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A92422" w:rsidRPr="00D87B79" w:rsidTr="00EA30FC">
        <w:trPr>
          <w:trHeight w:val="4063"/>
        </w:trPr>
        <w:tc>
          <w:tcPr>
            <w:tcW w:w="5951" w:type="dxa"/>
            <w:tcBorders>
              <w:bottom w:val="single" w:sz="18" w:space="0" w:color="808080"/>
              <w:right w:val="single" w:sz="18" w:space="0" w:color="808080"/>
            </w:tcBorders>
            <w:vAlign w:val="center"/>
          </w:tcPr>
          <w:p w:rsidR="00A92422" w:rsidRPr="00C56614" w:rsidRDefault="00A92422" w:rsidP="00EA30FC">
            <w:pPr>
              <w:pStyle w:val="Title"/>
              <w:rPr>
                <w:rFonts w:eastAsia="Times New Roman"/>
                <w:b w:val="0"/>
                <w:sz w:val="76"/>
                <w:szCs w:val="76"/>
              </w:rPr>
            </w:pPr>
            <w:bookmarkStart w:id="0" w:name="_Toc342899909"/>
            <w:bookmarkStart w:id="1" w:name="_Toc336338167"/>
            <w:bookmarkStart w:id="2" w:name="_GoBack"/>
            <w:bookmarkEnd w:id="2"/>
            <w:r w:rsidRPr="00C56614">
              <w:rPr>
                <w:rFonts w:eastAsia="Times New Roman"/>
                <w:b w:val="0"/>
                <w:sz w:val="76"/>
                <w:szCs w:val="76"/>
              </w:rPr>
              <w:t>Microsoft</w:t>
            </w:r>
            <w:r w:rsidRPr="003A0F2F">
              <w:rPr>
                <w:rFonts w:eastAsia="Times New Roman"/>
                <w:b w:val="0"/>
                <w:sz w:val="76"/>
                <w:szCs w:val="76"/>
                <w:vertAlign w:val="superscript"/>
              </w:rPr>
              <w:t>®</w:t>
            </w:r>
            <w:bookmarkEnd w:id="0"/>
          </w:p>
          <w:p w:rsidR="00A92422" w:rsidRPr="00D87B79" w:rsidRDefault="00A92422" w:rsidP="00EA30FC">
            <w:pPr>
              <w:pStyle w:val="NoSpacing1"/>
              <w:tabs>
                <w:tab w:val="left" w:pos="733"/>
                <w:tab w:val="left" w:pos="3600"/>
                <w:tab w:val="left" w:pos="3780"/>
              </w:tabs>
              <w:ind w:left="270" w:right="1784"/>
              <w:jc w:val="right"/>
              <w:rPr>
                <w:rFonts w:ascii="Tahoma" w:hAnsi="Tahoma" w:cs="Tahoma"/>
                <w:sz w:val="76"/>
                <w:szCs w:val="72"/>
              </w:rPr>
            </w:pPr>
            <w:r w:rsidRPr="00C56614">
              <w:rPr>
                <w:rFonts w:ascii="Cambria" w:eastAsia="Times New Roman" w:hAnsi="Cambria"/>
                <w:bCs/>
                <w:kern w:val="28"/>
                <w:sz w:val="76"/>
                <w:szCs w:val="76"/>
                <w:lang w:eastAsia="en-US"/>
              </w:rPr>
              <w:t>Lista dei</w:t>
            </w:r>
            <w:r w:rsidRPr="00D87B79">
              <w:rPr>
                <w:rFonts w:ascii="Tahoma" w:hAnsi="Tahoma" w:cs="Tahoma"/>
                <w:sz w:val="76"/>
                <w:szCs w:val="72"/>
                <w:lang w:val="it-IT"/>
              </w:rPr>
              <w:t xml:space="preserve"> </w:t>
            </w:r>
            <w:r w:rsidRPr="00C56614">
              <w:rPr>
                <w:rFonts w:ascii="Cambria" w:eastAsia="Times New Roman" w:hAnsi="Cambria"/>
                <w:bCs/>
                <w:kern w:val="28"/>
                <w:sz w:val="76"/>
                <w:szCs w:val="76"/>
                <w:lang w:eastAsia="en-US"/>
              </w:rPr>
              <w:t>Prodotti</w:t>
            </w:r>
          </w:p>
        </w:tc>
        <w:tc>
          <w:tcPr>
            <w:tcW w:w="4615" w:type="dxa"/>
            <w:tcBorders>
              <w:left w:val="single" w:sz="18" w:space="0" w:color="808080"/>
              <w:bottom w:val="single" w:sz="18" w:space="0" w:color="808080"/>
            </w:tcBorders>
            <w:vAlign w:val="center"/>
          </w:tcPr>
          <w:p w:rsidR="00A92422" w:rsidRPr="00D87B79" w:rsidRDefault="00A92422" w:rsidP="00EA30FC">
            <w:pPr>
              <w:pStyle w:val="NoSpacing1"/>
              <w:ind w:right="-1797"/>
              <w:rPr>
                <w:rFonts w:ascii="Tahoma" w:hAnsi="Tahoma" w:cs="Tahoma"/>
                <w:sz w:val="72"/>
                <w:szCs w:val="72"/>
              </w:rPr>
            </w:pPr>
          </w:p>
          <w:p w:rsidR="00A92422" w:rsidRPr="00D87B79" w:rsidRDefault="00A92422" w:rsidP="00EA30FC">
            <w:pPr>
              <w:pStyle w:val="NoSpacing1"/>
              <w:ind w:right="-1797"/>
              <w:rPr>
                <w:rFonts w:ascii="Tahoma" w:hAnsi="Tahoma" w:cs="Tahoma"/>
                <w:sz w:val="72"/>
                <w:szCs w:val="72"/>
              </w:rPr>
            </w:pPr>
            <w:r w:rsidRPr="00D87B79">
              <w:rPr>
                <w:rFonts w:ascii="Tahoma" w:hAnsi="Tahoma" w:cs="Tahoma"/>
                <w:sz w:val="72"/>
                <w:szCs w:val="72"/>
              </w:rPr>
              <w:t>Gennaio 1</w:t>
            </w:r>
          </w:p>
          <w:p w:rsidR="00A92422" w:rsidRPr="00D87B79" w:rsidRDefault="00A92422" w:rsidP="00A92422">
            <w:pPr>
              <w:pStyle w:val="NoSpacing1"/>
              <w:ind w:rightChars="-103" w:right="-185"/>
              <w:rPr>
                <w:rFonts w:ascii="Tahoma" w:hAnsi="Tahoma" w:cs="Tahoma"/>
                <w:color w:val="4F81BD"/>
                <w:sz w:val="200"/>
                <w:szCs w:val="200"/>
              </w:rPr>
            </w:pPr>
            <w:r w:rsidRPr="00D87B79">
              <w:rPr>
                <w:rFonts w:ascii="Tahoma" w:hAnsi="Tahoma" w:cs="Tahoma"/>
                <w:color w:val="4F81BD"/>
                <w:sz w:val="200"/>
                <w:szCs w:val="200"/>
              </w:rPr>
              <w:t>2013</w:t>
            </w:r>
          </w:p>
        </w:tc>
      </w:tr>
      <w:tr w:rsidR="00A92422" w:rsidRPr="00D87B79" w:rsidTr="00EA30FC">
        <w:trPr>
          <w:trHeight w:val="412"/>
        </w:trPr>
        <w:tc>
          <w:tcPr>
            <w:tcW w:w="5951" w:type="dxa"/>
            <w:tcBorders>
              <w:top w:val="single" w:sz="18" w:space="0" w:color="808080"/>
            </w:tcBorders>
            <w:vAlign w:val="center"/>
          </w:tcPr>
          <w:p w:rsidR="00A92422" w:rsidRPr="00D87B79" w:rsidRDefault="00A92422" w:rsidP="00A92422">
            <w:pPr>
              <w:pStyle w:val="NoSpacing1"/>
              <w:ind w:leftChars="122" w:left="220" w:firstLine="2"/>
              <w:rPr>
                <w:rFonts w:ascii="Tahoma" w:hAnsi="Tahoma" w:cs="Tahoma"/>
                <w:sz w:val="22"/>
                <w:szCs w:val="22"/>
              </w:rPr>
            </w:pPr>
            <w:r w:rsidRPr="00D87B79">
              <w:rPr>
                <w:rFonts w:ascii="Tahoma" w:hAnsi="Tahoma" w:cs="Tahoma"/>
                <w:lang w:val="it-IT"/>
              </w:rPr>
              <w:t>La Lista dei Prodotti Microsoft fornisce mensilmente informazioni sul software Microsoft e sui Servizi Online concessi in licenza tramite i programmi Microsoft Volume</w:t>
            </w:r>
            <w:r>
              <w:rPr>
                <w:rFonts w:ascii="Tahoma" w:hAnsi="Tahoma" w:cs="Tahoma"/>
                <w:lang w:val="it-IT"/>
              </w:rPr>
              <w:t> </w:t>
            </w:r>
            <w:r w:rsidRPr="00D87B79">
              <w:rPr>
                <w:rFonts w:ascii="Tahoma" w:hAnsi="Tahoma" w:cs="Tahoma"/>
                <w:lang w:val="it-IT"/>
              </w:rPr>
              <w:t>Licensing.</w:t>
            </w:r>
          </w:p>
        </w:tc>
        <w:tc>
          <w:tcPr>
            <w:tcW w:w="4615" w:type="dxa"/>
            <w:tcBorders>
              <w:top w:val="single" w:sz="18" w:space="0" w:color="808080"/>
            </w:tcBorders>
            <w:vAlign w:val="center"/>
          </w:tcPr>
          <w:p w:rsidR="00A92422" w:rsidRPr="00D87B79" w:rsidRDefault="00A92422" w:rsidP="00A92422">
            <w:pPr>
              <w:pStyle w:val="NoSpacing1"/>
              <w:ind w:rightChars="-15" w:right="-27"/>
              <w:rPr>
                <w:rFonts w:ascii="Tahoma" w:hAnsi="Tahoma" w:cs="Tahoma"/>
                <w:sz w:val="32"/>
                <w:szCs w:val="32"/>
              </w:rPr>
            </w:pPr>
          </w:p>
        </w:tc>
      </w:tr>
    </w:tbl>
    <w:p w:rsidR="00A92422" w:rsidRPr="00D87B79" w:rsidRDefault="00A92422" w:rsidP="00A92422">
      <w:pPr>
        <w:pStyle w:val="Heading1"/>
        <w:sectPr w:rsidR="00A92422" w:rsidRPr="00D87B79" w:rsidSect="00210219">
          <w:headerReference w:type="default" r:id="rId6"/>
          <w:footerReference w:type="default" r:id="rId7"/>
          <w:headerReference w:type="first" r:id="rId8"/>
          <w:footerReference w:type="first" r:id="rId9"/>
          <w:endnotePr>
            <w:numFmt w:val="decimal"/>
          </w:endnotePr>
          <w:pgSz w:w="12240" w:h="15840" w:code="1"/>
          <w:pgMar w:top="1440" w:right="1440" w:bottom="1440" w:left="1440" w:header="720" w:footer="720" w:gutter="0"/>
          <w:cols w:space="720"/>
          <w:titlePg/>
          <w:docGrid w:linePitch="360"/>
        </w:sectPr>
      </w:pPr>
    </w:p>
    <w:p w:rsidR="00A92422" w:rsidRPr="00D87B79" w:rsidRDefault="00A92422" w:rsidP="00A92422">
      <w:pPr>
        <w:pStyle w:val="Heading1"/>
      </w:pPr>
      <w:bookmarkStart w:id="3" w:name="_Toc336337838"/>
      <w:bookmarkStart w:id="4" w:name="_Toc342899910"/>
      <w:bookmarkEnd w:id="3"/>
      <w:r w:rsidRPr="00D87B79">
        <w:lastRenderedPageBreak/>
        <w:t>INFORMAZIONI SUL PRESENTE Documento</w:t>
      </w:r>
      <w:bookmarkEnd w:id="4"/>
    </w:p>
    <w:p w:rsidR="00A92422" w:rsidRPr="00D87B79" w:rsidRDefault="00A92422" w:rsidP="00A92422">
      <w:pPr>
        <w:pStyle w:val="Body"/>
        <w:ind w:right="720"/>
        <w:rPr>
          <w:rFonts w:ascii="Tahoma" w:hAnsi="Tahoma" w:cs="Tahoma"/>
        </w:rPr>
      </w:pPr>
    </w:p>
    <w:p w:rsidR="00A92422" w:rsidRPr="00D87B79" w:rsidRDefault="00A92422" w:rsidP="00A92422">
      <w:pPr>
        <w:pStyle w:val="Body"/>
        <w:ind w:right="720"/>
        <w:rPr>
          <w:rFonts w:ascii="Tahoma" w:hAnsi="Tahoma" w:cs="Tahoma"/>
          <w:sz w:val="18"/>
          <w:szCs w:val="18"/>
        </w:rPr>
      </w:pPr>
      <w:r w:rsidRPr="00D87B79">
        <w:rPr>
          <w:rFonts w:ascii="Tahoma" w:hAnsi="Tahoma" w:cs="Tahoma"/>
          <w:sz w:val="18"/>
          <w:szCs w:val="18"/>
          <w:lang w:val="it-IT"/>
        </w:rPr>
        <w:t>La Lista dei Prodotti Microsoft fornisce mensilmente informazioni sul software Microsoft e sui Servizi Online concessi in licenza tramite i programmi Microsoft Volume Licensing.</w:t>
      </w:r>
      <w:r w:rsidRPr="00D87B79">
        <w:rPr>
          <w:rFonts w:ascii="Tahoma" w:hAnsi="Tahoma" w:cs="Tahoma"/>
          <w:sz w:val="18"/>
          <w:szCs w:val="18"/>
        </w:rPr>
        <w:t xml:space="preserve"> </w:t>
      </w:r>
      <w:r w:rsidRPr="00D87B79">
        <w:rPr>
          <w:rFonts w:ascii="Tahoma" w:hAnsi="Tahoma" w:cs="Tahoma"/>
          <w:sz w:val="18"/>
          <w:szCs w:val="18"/>
          <w:lang w:val="it-IT"/>
        </w:rPr>
        <w:t>Le informazioni riportate nella Lista dei Prodotti Microsoft includono:</w:t>
      </w:r>
    </w:p>
    <w:p w:rsidR="00A92422" w:rsidRPr="00D87B79" w:rsidRDefault="00A92422" w:rsidP="00A92422">
      <w:pPr>
        <w:pStyle w:val="Body"/>
        <w:ind w:right="720"/>
        <w:rPr>
          <w:rFonts w:ascii="Tahoma" w:hAnsi="Tahoma" w:cs="Tahoma"/>
        </w:rPr>
      </w:pPr>
    </w:p>
    <w:p w:rsidR="00A92422" w:rsidRPr="00D87B79" w:rsidRDefault="00A92422" w:rsidP="00A92422">
      <w:pPr>
        <w:pStyle w:val="BulletedList"/>
        <w:ind w:right="720"/>
        <w:rPr>
          <w:rFonts w:ascii="Tahoma" w:hAnsi="Tahoma" w:cs="Tahoma"/>
          <w:sz w:val="18"/>
          <w:szCs w:val="18"/>
        </w:rPr>
      </w:pPr>
      <w:r w:rsidRPr="00D87B79">
        <w:rPr>
          <w:rFonts w:ascii="Tahoma" w:hAnsi="Tahoma" w:cs="Tahoma"/>
          <w:sz w:val="18"/>
          <w:szCs w:val="18"/>
          <w:lang w:val="it-IT"/>
        </w:rPr>
        <w:t>Disponibilità di software e prodotti nuovi offerti tramite Microsoft Volume Licensing</w:t>
      </w:r>
    </w:p>
    <w:p w:rsidR="00A92422" w:rsidRPr="00D87B79" w:rsidRDefault="00A92422" w:rsidP="00A92422">
      <w:pPr>
        <w:pStyle w:val="BulletedList"/>
        <w:numPr>
          <w:ilvl w:val="0"/>
          <w:numId w:val="1"/>
        </w:numPr>
        <w:ind w:right="450"/>
        <w:rPr>
          <w:rFonts w:ascii="Tahoma" w:hAnsi="Tahoma" w:cs="Tahoma"/>
        </w:rPr>
      </w:pPr>
      <w:r w:rsidRPr="00D87B79">
        <w:rPr>
          <w:rFonts w:ascii="Tahoma" w:hAnsi="Tahoma" w:cs="Tahoma"/>
          <w:sz w:val="18"/>
          <w:lang w:val="it-IT"/>
        </w:rPr>
        <w:t>Interruzione della fornitura di software e prodotti offerti tramite Microsoft Volume Licensing</w:t>
      </w:r>
    </w:p>
    <w:p w:rsidR="00A92422" w:rsidRPr="00D87B79" w:rsidRDefault="00A92422" w:rsidP="00A92422">
      <w:pPr>
        <w:pStyle w:val="BulletedList"/>
        <w:numPr>
          <w:ilvl w:val="0"/>
          <w:numId w:val="1"/>
        </w:numPr>
        <w:ind w:right="540"/>
        <w:rPr>
          <w:rFonts w:ascii="Tahoma" w:hAnsi="Tahoma" w:cs="Tahoma"/>
        </w:rPr>
      </w:pPr>
      <w:r w:rsidRPr="00D87B79">
        <w:rPr>
          <w:rFonts w:ascii="Tahoma" w:hAnsi="Tahoma" w:cs="Tahoma"/>
          <w:sz w:val="18"/>
          <w:lang w:val="it-IT"/>
        </w:rPr>
        <w:t>Classificazione di software e prodotti relativa al pool di prodotti Microsoft Volume Licensing</w:t>
      </w:r>
      <w:r w:rsidRPr="00D87B79">
        <w:rPr>
          <w:rFonts w:ascii="Tahoma" w:hAnsi="Tahoma" w:cs="Tahoma"/>
        </w:rPr>
        <w:t xml:space="preserve"> </w:t>
      </w:r>
    </w:p>
    <w:p w:rsidR="00A92422" w:rsidRPr="00D87B79" w:rsidRDefault="00A92422" w:rsidP="00A92422">
      <w:pPr>
        <w:pStyle w:val="BulletedList"/>
        <w:numPr>
          <w:ilvl w:val="0"/>
          <w:numId w:val="1"/>
        </w:numPr>
        <w:ind w:right="720"/>
        <w:rPr>
          <w:rFonts w:ascii="Tahoma" w:hAnsi="Tahoma" w:cs="Tahoma"/>
        </w:rPr>
      </w:pPr>
      <w:r w:rsidRPr="00D87B79">
        <w:rPr>
          <w:rFonts w:ascii="Tahoma" w:hAnsi="Tahoma" w:cs="Tahoma"/>
          <w:sz w:val="18"/>
          <w:lang w:val="it-IT"/>
        </w:rPr>
        <w:t>Valore di punti per la tecnologia di ciascun software e prodotto</w:t>
      </w:r>
    </w:p>
    <w:p w:rsidR="00A92422" w:rsidRPr="00D87B79" w:rsidRDefault="00A92422" w:rsidP="00A92422">
      <w:pPr>
        <w:pStyle w:val="BulletedList"/>
        <w:numPr>
          <w:ilvl w:val="0"/>
          <w:numId w:val="1"/>
        </w:numPr>
        <w:ind w:right="720"/>
        <w:rPr>
          <w:rFonts w:ascii="Tahoma" w:hAnsi="Tahoma" w:cs="Tahoma"/>
        </w:rPr>
      </w:pPr>
      <w:r w:rsidRPr="00D87B79">
        <w:rPr>
          <w:rFonts w:ascii="Tahoma" w:hAnsi="Tahoma" w:cs="Tahoma"/>
          <w:sz w:val="18"/>
          <w:lang w:val="it-IT"/>
        </w:rPr>
        <w:t>Promozioni disponibili</w:t>
      </w:r>
    </w:p>
    <w:p w:rsidR="00A92422" w:rsidRPr="00D87B79" w:rsidRDefault="00A92422" w:rsidP="00A92422">
      <w:pPr>
        <w:pStyle w:val="BulletedList"/>
        <w:numPr>
          <w:ilvl w:val="0"/>
          <w:numId w:val="1"/>
        </w:numPr>
        <w:ind w:right="720"/>
        <w:rPr>
          <w:rFonts w:ascii="Tahoma" w:hAnsi="Tahoma" w:cs="Tahoma"/>
        </w:rPr>
      </w:pPr>
      <w:r w:rsidRPr="00D87B79">
        <w:rPr>
          <w:rFonts w:ascii="Tahoma" w:hAnsi="Tahoma" w:cs="Tahoma"/>
          <w:sz w:val="18"/>
          <w:lang w:val="it-IT"/>
        </w:rPr>
        <w:t>Percorsi di migrazione da una versione di software a un’altra versione dello stesso software</w:t>
      </w:r>
    </w:p>
    <w:p w:rsidR="00A92422" w:rsidRPr="00D87B79" w:rsidRDefault="00A92422" w:rsidP="00A92422">
      <w:pPr>
        <w:pStyle w:val="BulletedList"/>
        <w:numPr>
          <w:ilvl w:val="0"/>
          <w:numId w:val="1"/>
        </w:numPr>
        <w:ind w:right="720"/>
        <w:rPr>
          <w:rFonts w:ascii="Tahoma" w:hAnsi="Tahoma" w:cs="Tahoma"/>
        </w:rPr>
      </w:pPr>
      <w:r w:rsidRPr="00D87B79">
        <w:rPr>
          <w:rFonts w:ascii="Tahoma" w:hAnsi="Tahoma" w:cs="Tahoma"/>
          <w:sz w:val="18"/>
          <w:lang w:val="it-IT"/>
        </w:rPr>
        <w:t>Percorsi di migrazione da un software interrotto a nuove versioni di software</w:t>
      </w:r>
    </w:p>
    <w:p w:rsidR="00A92422" w:rsidRPr="00D87B79" w:rsidRDefault="00A92422" w:rsidP="00A92422">
      <w:pPr>
        <w:pStyle w:val="BulletedList"/>
        <w:numPr>
          <w:ilvl w:val="0"/>
          <w:numId w:val="1"/>
        </w:numPr>
        <w:ind w:right="720"/>
        <w:rPr>
          <w:rFonts w:ascii="Tahoma" w:hAnsi="Tahoma" w:cs="Tahoma"/>
        </w:rPr>
      </w:pPr>
      <w:r w:rsidRPr="00D87B79">
        <w:rPr>
          <w:rFonts w:ascii="Tahoma" w:hAnsi="Tahoma" w:cs="Tahoma"/>
          <w:sz w:val="18"/>
          <w:lang w:val="it-IT"/>
        </w:rPr>
        <w:t>Vantaggi di Software Assurance</w:t>
      </w:r>
    </w:p>
    <w:p w:rsidR="00A92422" w:rsidRPr="00D87B79" w:rsidRDefault="00A92422" w:rsidP="00A92422">
      <w:pPr>
        <w:pStyle w:val="BulletedList"/>
        <w:numPr>
          <w:ilvl w:val="0"/>
          <w:numId w:val="1"/>
        </w:numPr>
        <w:ind w:right="720"/>
        <w:rPr>
          <w:rFonts w:ascii="Tahoma" w:hAnsi="Tahoma" w:cs="Tahoma"/>
        </w:rPr>
      </w:pPr>
      <w:r w:rsidRPr="00D87B79">
        <w:rPr>
          <w:rFonts w:ascii="Tahoma" w:hAnsi="Tahoma" w:cs="Tahoma"/>
          <w:sz w:val="18"/>
          <w:lang w:val="it-IT"/>
        </w:rPr>
        <w:t>Altre Note e informazioni specifiche del software e dei prodotti</w:t>
      </w:r>
    </w:p>
    <w:p w:rsidR="00A92422" w:rsidRPr="00D87B79" w:rsidRDefault="00A92422" w:rsidP="00A92422">
      <w:pPr>
        <w:ind w:right="720"/>
        <w:rPr>
          <w:rFonts w:cs="Tahoma"/>
        </w:rPr>
      </w:pPr>
    </w:p>
    <w:p w:rsidR="00A92422" w:rsidRPr="00D87B79" w:rsidRDefault="00A92422" w:rsidP="00A92422">
      <w:pPr>
        <w:ind w:right="720"/>
        <w:rPr>
          <w:rFonts w:cs="Tahoma"/>
        </w:rPr>
      </w:pPr>
    </w:p>
    <w:p w:rsidR="00A92422" w:rsidRPr="00D87B79" w:rsidRDefault="00A92422" w:rsidP="00A92422">
      <w:pPr>
        <w:pStyle w:val="Heading1"/>
      </w:pPr>
      <w:bookmarkStart w:id="5" w:name="_Toc336337839"/>
      <w:bookmarkStart w:id="6" w:name="_Toc342899911"/>
      <w:bookmarkEnd w:id="5"/>
      <w:r w:rsidRPr="00D87B79">
        <w:t>MODALITà DI Utilizzo deLLA LISTA DEI</w:t>
      </w:r>
      <w:r>
        <w:t> </w:t>
      </w:r>
      <w:r w:rsidRPr="00D87B79">
        <w:t>Prodotti Microsoft</w:t>
      </w:r>
      <w:bookmarkEnd w:id="6"/>
    </w:p>
    <w:p w:rsidR="00A92422" w:rsidRPr="00D87B79" w:rsidRDefault="00A92422" w:rsidP="00A92422">
      <w:pPr>
        <w:pStyle w:val="Body"/>
        <w:ind w:right="-1890"/>
        <w:rPr>
          <w:rFonts w:ascii="Tahoma" w:hAnsi="Tahoma" w:cs="Tahoma"/>
        </w:rPr>
      </w:pPr>
    </w:p>
    <w:p w:rsidR="00A92422" w:rsidRPr="00D87B79" w:rsidRDefault="00A92422" w:rsidP="00A92422">
      <w:pPr>
        <w:pStyle w:val="Body"/>
        <w:ind w:right="-1890"/>
        <w:rPr>
          <w:rFonts w:ascii="Tahoma" w:hAnsi="Tahoma" w:cs="Tahoma"/>
        </w:rPr>
      </w:pPr>
      <w:r w:rsidRPr="00D87B79">
        <w:rPr>
          <w:rFonts w:ascii="Tahoma" w:hAnsi="Tahoma" w:cs="Tahoma"/>
          <w:b/>
          <w:lang w:val="it-IT"/>
        </w:rPr>
        <w:t xml:space="preserve">Si consiglia di familiarizzare con i codici della tabella riportati dopo i passaggi </w:t>
      </w:r>
      <w:r>
        <w:rPr>
          <w:rFonts w:ascii="Tahoma" w:hAnsi="Tahoma" w:cs="Tahoma"/>
          <w:b/>
          <w:lang w:val="it-IT"/>
        </w:rPr>
        <w:br/>
      </w:r>
      <w:r w:rsidRPr="00D87B79">
        <w:rPr>
          <w:rFonts w:ascii="Tahoma" w:hAnsi="Tahoma" w:cs="Tahoma"/>
          <w:b/>
          <w:lang w:val="it-IT"/>
        </w:rPr>
        <w:t>che seguono.</w:t>
      </w:r>
    </w:p>
    <w:p w:rsidR="00A92422" w:rsidRPr="00D87B79" w:rsidRDefault="00A92422" w:rsidP="00A92422">
      <w:pPr>
        <w:pStyle w:val="Body"/>
        <w:ind w:right="-1890"/>
        <w:rPr>
          <w:rFonts w:ascii="Tahoma" w:hAnsi="Tahoma" w:cs="Tahoma"/>
        </w:rPr>
      </w:pPr>
    </w:p>
    <w:p w:rsidR="00A92422" w:rsidRPr="00D87B79" w:rsidRDefault="00A92422" w:rsidP="00A92422">
      <w:pPr>
        <w:pStyle w:val="Body"/>
        <w:ind w:right="-1890"/>
        <w:rPr>
          <w:rFonts w:ascii="Tahoma" w:hAnsi="Tahoma" w:cs="Tahoma"/>
        </w:rPr>
      </w:pPr>
      <w:r w:rsidRPr="00D87B79">
        <w:rPr>
          <w:rStyle w:val="BodyChar"/>
          <w:rFonts w:ascii="Tahoma" w:hAnsi="Tahoma" w:cs="Tahoma"/>
          <w:b/>
          <w:sz w:val="18"/>
          <w:lang w:val="it-IT"/>
        </w:rPr>
        <w:t>Punto 1:</w:t>
      </w:r>
      <w:r w:rsidRPr="00D87B79">
        <w:rPr>
          <w:rStyle w:val="BodyChar"/>
          <w:rFonts w:ascii="Tahoma" w:hAnsi="Tahoma" w:cs="Tahoma"/>
          <w:b/>
          <w:sz w:val="18"/>
          <w:szCs w:val="18"/>
        </w:rPr>
        <w:t xml:space="preserve"> </w:t>
      </w:r>
      <w:r w:rsidRPr="00D87B79">
        <w:rPr>
          <w:rFonts w:ascii="Tahoma" w:hAnsi="Tahoma" w:cs="Tahoma"/>
          <w:sz w:val="18"/>
          <w:szCs w:val="18"/>
          <w:lang w:val="it-IT"/>
        </w:rPr>
        <w:t>individuare nella tabella il software che interessa.</w:t>
      </w:r>
      <w:r w:rsidRPr="00D87B79">
        <w:rPr>
          <w:rFonts w:ascii="Tahoma" w:hAnsi="Tahoma" w:cs="Tahoma"/>
          <w:sz w:val="18"/>
          <w:szCs w:val="18"/>
        </w:rPr>
        <w:t xml:space="preserve"> </w:t>
      </w:r>
    </w:p>
    <w:p w:rsidR="00A92422" w:rsidRPr="00D87B79" w:rsidRDefault="00A92422" w:rsidP="00A92422">
      <w:pPr>
        <w:pStyle w:val="Body"/>
        <w:ind w:right="-1890"/>
        <w:rPr>
          <w:rFonts w:ascii="Tahoma" w:hAnsi="Tahoma" w:cs="Tahoma"/>
        </w:rPr>
      </w:pPr>
    </w:p>
    <w:p w:rsidR="00A92422" w:rsidRPr="00D87B79" w:rsidRDefault="00A92422" w:rsidP="00A92422">
      <w:pPr>
        <w:pStyle w:val="NumberedSteps"/>
        <w:ind w:left="-180" w:right="720"/>
        <w:rPr>
          <w:rFonts w:ascii="Tahoma" w:hAnsi="Tahoma" w:cs="Tahoma"/>
        </w:rPr>
      </w:pPr>
      <w:r>
        <w:rPr>
          <w:noProof/>
        </w:rPr>
        <mc:AlternateContent>
          <mc:Choice Requires="wps">
            <w:drawing>
              <wp:anchor distT="0" distB="0" distL="114300" distR="114300" simplePos="0" relativeHeight="251663360" behindDoc="0" locked="0" layoutInCell="1" allowOverlap="1" wp14:anchorId="118620F1" wp14:editId="61AA83E8">
                <wp:simplePos x="0" y="0"/>
                <wp:positionH relativeFrom="column">
                  <wp:posOffset>-180975</wp:posOffset>
                </wp:positionH>
                <wp:positionV relativeFrom="paragraph">
                  <wp:posOffset>856615</wp:posOffset>
                </wp:positionV>
                <wp:extent cx="1847850" cy="200025"/>
                <wp:effectExtent l="0" t="0" r="19050" b="28575"/>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7850" cy="20002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id="Oval 2" o:spid="_x0000_s1026" style="position:absolute;margin-left:-14.25pt;margin-top:67.45pt;width:145.5pt;height:15.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" filled="f" strokecolor="red" strokeweight="2pt">
                <v:path arrowok="t"/>
              </v:oval>
            </w:pict>
          </mc:Fallback>
        </mc:AlternateContent>
      </w:r>
      <w:r>
        <w:rPr>
          <w:noProof/>
        </w:rPr>
        <w:drawing>
          <wp:inline distT="0" distB="0" distL="0" distR="0" wp14:anchorId="65934A9F" wp14:editId="5EA2B2D1">
            <wp:extent cx="5916012" cy="1506931"/>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15995" t="39815" r="14039" b="31138"/>
                    <a:stretch/>
                  </pic:blipFill>
                  <pic:spPr bwMode="auto">
                    <a:xfrm>
                      <a:off x="0" y="0"/>
                      <a:ext cx="5931672" cy="1510920"/>
                    </a:xfrm>
                    <a:prstGeom prst="rect">
                      <a:avLst/>
                    </a:prstGeom>
                    <a:ln>
                      <a:noFill/>
                    </a:ln>
                    <a:extLst>
                      <a:ext uri="{53640926-AAD7-44D8-BBD7-CCE9431645EC}">
                        <a14:shadowObscured xmlns:a14="http://schemas.microsoft.com/office/drawing/2010/main"/>
                      </a:ext>
                    </a:extLst>
                  </pic:spPr>
                </pic:pic>
              </a:graphicData>
            </a:graphic>
          </wp:inline>
        </w:drawing>
      </w:r>
    </w:p>
    <w:p w:rsidR="00A92422" w:rsidRPr="00D87B79" w:rsidRDefault="00A92422" w:rsidP="00A92422">
      <w:pPr>
        <w:pStyle w:val="NumberedSteps"/>
        <w:ind w:right="720"/>
        <w:rPr>
          <w:rFonts w:ascii="Tahoma" w:hAnsi="Tahoma" w:cs="Tahoma"/>
        </w:rPr>
      </w:pPr>
    </w:p>
    <w:p w:rsidR="00A92422" w:rsidRPr="00D87B79" w:rsidRDefault="00A92422" w:rsidP="00A92422">
      <w:pPr>
        <w:pStyle w:val="NumberedSteps"/>
        <w:ind w:right="720"/>
        <w:rPr>
          <w:rFonts w:ascii="Tahoma" w:hAnsi="Tahoma" w:cs="Tahoma"/>
        </w:rPr>
      </w:pPr>
      <w:r w:rsidRPr="00D87B79">
        <w:rPr>
          <w:rStyle w:val="BodyChar"/>
          <w:rFonts w:ascii="Tahoma" w:hAnsi="Tahoma" w:cs="Tahoma"/>
          <w:b/>
          <w:sz w:val="18"/>
          <w:lang w:val="it-IT"/>
        </w:rPr>
        <w:t>Punto 2:</w:t>
      </w:r>
      <w:r w:rsidRPr="00D87B79">
        <w:rPr>
          <w:rFonts w:ascii="Tahoma" w:hAnsi="Tahoma" w:cs="Tahoma"/>
          <w:sz w:val="18"/>
          <w:szCs w:val="18"/>
        </w:rPr>
        <w:t xml:space="preserve"> </w:t>
      </w:r>
      <w:r w:rsidRPr="00D87B79">
        <w:rPr>
          <w:rFonts w:ascii="Tahoma" w:hAnsi="Tahoma" w:cs="Tahoma"/>
          <w:sz w:val="18"/>
          <w:lang w:val="it-IT"/>
        </w:rPr>
        <w:t>esaminare le informazioni nelle colonne relative alle promozioni disponibili, ai vantaggi di</w:t>
      </w:r>
      <w:r>
        <w:rPr>
          <w:rFonts w:ascii="Tahoma" w:hAnsi="Tahoma" w:cs="Tahoma"/>
          <w:sz w:val="18"/>
          <w:lang w:val="it-IT"/>
        </w:rPr>
        <w:t> </w:t>
      </w:r>
      <w:r w:rsidRPr="00D87B79">
        <w:rPr>
          <w:rFonts w:ascii="Tahoma" w:hAnsi="Tahoma" w:cs="Tahoma"/>
          <w:sz w:val="18"/>
          <w:lang w:val="it-IT"/>
        </w:rPr>
        <w:t>Software Assurance, ai punti accumulati, alla disponibilità dei programmi, ecc.</w:t>
      </w:r>
    </w:p>
    <w:p w:rsidR="00A92422" w:rsidRPr="00D87B79" w:rsidRDefault="00A92422" w:rsidP="00A92422">
      <w:pPr>
        <w:pStyle w:val="NumberedSteps"/>
        <w:ind w:right="720"/>
        <w:rPr>
          <w:rFonts w:ascii="Tahoma" w:hAnsi="Tahoma" w:cs="Tahoma"/>
        </w:rPr>
      </w:pPr>
      <w:r w:rsidRPr="00D87B79">
        <w:rPr>
          <w:rStyle w:val="BodyChar"/>
          <w:rFonts w:ascii="Tahoma" w:hAnsi="Tahoma" w:cs="Tahoma"/>
          <w:b/>
          <w:sz w:val="18"/>
          <w:lang w:val="it-IT"/>
        </w:rPr>
        <w:t>Punto 3:</w:t>
      </w:r>
      <w:r w:rsidRPr="00D87B79">
        <w:rPr>
          <w:rFonts w:ascii="Tahoma" w:hAnsi="Tahoma" w:cs="Tahoma"/>
          <w:sz w:val="18"/>
          <w:szCs w:val="18"/>
        </w:rPr>
        <w:t xml:space="preserve"> </w:t>
      </w:r>
      <w:r w:rsidRPr="00D87B79">
        <w:rPr>
          <w:rFonts w:ascii="Tahoma" w:hAnsi="Tahoma" w:cs="Tahoma"/>
          <w:sz w:val="18"/>
          <w:szCs w:val="18"/>
          <w:lang w:val="it-IT"/>
        </w:rPr>
        <w:t>alcuni software saranno anche corredati di note a piè di pagina riguardanti informazioni aggiuntive.</w:t>
      </w:r>
      <w:r w:rsidRPr="00D87B79">
        <w:rPr>
          <w:rFonts w:ascii="Tahoma" w:hAnsi="Tahoma" w:cs="Tahoma"/>
          <w:sz w:val="18"/>
          <w:szCs w:val="18"/>
        </w:rPr>
        <w:t xml:space="preserve"> </w:t>
      </w:r>
      <w:r w:rsidRPr="00D87B79">
        <w:rPr>
          <w:rFonts w:ascii="Tahoma" w:hAnsi="Tahoma" w:cs="Tahoma"/>
          <w:sz w:val="18"/>
          <w:szCs w:val="18"/>
          <w:lang w:val="it-IT"/>
        </w:rPr>
        <w:t>Per leggerle, se applicabile, “fare clic” (Ctrl + clic) sul numero della nota a piè di pagina, che indirizzerà immediatamente al testo corrispondente oppure fare riferimento alla nota</w:t>
      </w:r>
      <w:r>
        <w:rPr>
          <w:rFonts w:ascii="Tahoma" w:hAnsi="Tahoma" w:cs="Tahoma"/>
          <w:sz w:val="18"/>
          <w:szCs w:val="18"/>
          <w:lang w:val="it-IT"/>
        </w:rPr>
        <w:t> </w:t>
      </w:r>
      <w:r w:rsidRPr="00D87B79">
        <w:rPr>
          <w:rFonts w:ascii="Tahoma" w:hAnsi="Tahoma" w:cs="Tahoma"/>
          <w:sz w:val="18"/>
          <w:szCs w:val="18"/>
          <w:lang w:val="it-IT"/>
        </w:rPr>
        <w:t>a</w:t>
      </w:r>
      <w:r>
        <w:rPr>
          <w:rFonts w:ascii="Tahoma" w:hAnsi="Tahoma" w:cs="Tahoma"/>
          <w:sz w:val="18"/>
          <w:szCs w:val="18"/>
          <w:lang w:val="it-IT"/>
        </w:rPr>
        <w:t> </w:t>
      </w:r>
      <w:r w:rsidRPr="00D87B79">
        <w:rPr>
          <w:rFonts w:ascii="Tahoma" w:hAnsi="Tahoma" w:cs="Tahoma"/>
          <w:sz w:val="18"/>
          <w:szCs w:val="18"/>
          <w:lang w:val="it-IT"/>
        </w:rPr>
        <w:t>piè di pagina identificata nelle pagine che seguono la tabella.</w:t>
      </w:r>
      <w:r w:rsidRPr="00D87B79">
        <w:rPr>
          <w:rFonts w:ascii="Tahoma" w:hAnsi="Tahoma" w:cs="Tahoma"/>
        </w:rPr>
        <w:t xml:space="preserve"> </w:t>
      </w:r>
      <w:r w:rsidRPr="00D87B79">
        <w:rPr>
          <w:rFonts w:ascii="Tahoma" w:hAnsi="Tahoma" w:cs="Tahoma"/>
          <w:sz w:val="18"/>
          <w:lang w:val="it-IT"/>
        </w:rPr>
        <w:t>Le informazioni aggiuntive includono i dettagli riguardanti le offerte di migrazione o i criteri di idoneità illustrati nell’esempio che segue.</w:t>
      </w:r>
    </w:p>
    <w:p w:rsidR="00A92422" w:rsidRPr="00D87B79" w:rsidRDefault="00A92422" w:rsidP="00A92422">
      <w:pPr>
        <w:pStyle w:val="NumberedSteps"/>
        <w:ind w:right="720"/>
        <w:rPr>
          <w:rFonts w:ascii="Tahoma" w:hAnsi="Tahoma" w:cs="Tahoma"/>
        </w:rPr>
      </w:pPr>
    </w:p>
    <w:p w:rsidR="00A92422" w:rsidRPr="00272DC7" w:rsidRDefault="00A92422" w:rsidP="00A92422">
      <w:pPr>
        <w:pStyle w:val="NumberedSteps"/>
        <w:tabs>
          <w:tab w:val="left" w:pos="9360"/>
        </w:tabs>
        <w:ind w:right="720"/>
        <w:rPr>
          <w:rStyle w:val="BodyChar"/>
          <w:rFonts w:ascii="Tahoma" w:hAnsi="Tahoma"/>
          <w:b/>
          <w:sz w:val="18"/>
          <w:szCs w:val="18"/>
        </w:rPr>
      </w:pPr>
      <w:r>
        <w:rPr>
          <w:noProof/>
        </w:rPr>
        <w:lastRenderedPageBreak/>
        <mc:AlternateContent>
          <mc:Choice Requires="wps">
            <w:drawing>
              <wp:anchor distT="0" distB="0" distL="114300" distR="114300" simplePos="0" relativeHeight="251665408" behindDoc="0" locked="0" layoutInCell="1" allowOverlap="1" wp14:anchorId="22B2DBD6" wp14:editId="42A86766">
                <wp:simplePos x="0" y="0"/>
                <wp:positionH relativeFrom="column">
                  <wp:posOffset>2209800</wp:posOffset>
                </wp:positionH>
                <wp:positionV relativeFrom="paragraph">
                  <wp:posOffset>745490</wp:posOffset>
                </wp:positionV>
                <wp:extent cx="266700" cy="152400"/>
                <wp:effectExtent l="0" t="0" r="19050" b="19050"/>
                <wp:wrapNone/>
                <wp:docPr id="13" name="Oval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6700" cy="15240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13" o:spid="_x0000_s1026" style="position:absolute;margin-left:174pt;margin-top:58.7pt;width:21pt;height:1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" filled="f" strokecolor="red" strokeweight="2pt">
                <v:path arrowok="t"/>
              </v:oval>
            </w:pict>
          </mc:Fallback>
        </mc:AlternateContent>
      </w:r>
      <w:r>
        <w:rPr>
          <w:noProof/>
        </w:rPr>
        <mc:AlternateContent>
          <mc:Choice Requires="wps">
            <w:drawing>
              <wp:anchor distT="0" distB="0" distL="114300" distR="114300" simplePos="0" relativeHeight="251664384" behindDoc="0" locked="0" layoutInCell="1" allowOverlap="1" wp14:anchorId="519398E8" wp14:editId="265DE8DB">
                <wp:simplePos x="0" y="0"/>
                <wp:positionH relativeFrom="column">
                  <wp:posOffset>419100</wp:posOffset>
                </wp:positionH>
                <wp:positionV relativeFrom="paragraph">
                  <wp:posOffset>725805</wp:posOffset>
                </wp:positionV>
                <wp:extent cx="1209675" cy="161925"/>
                <wp:effectExtent l="0" t="0" r="28575" b="28575"/>
                <wp:wrapNone/>
                <wp:docPr id="12" name="Oval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9675" cy="16192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12" o:spid="_x0000_s1026" style="position:absolute;margin-left:33pt;margin-top:57.15pt;width:95.25pt;height:12.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" filled="f" strokecolor="red" strokeweight="2pt">
                <v:path arrowok="t"/>
              </v:oval>
            </w:pict>
          </mc:Fallback>
        </mc:AlternateContent>
      </w:r>
      <w:r>
        <w:rPr>
          <w:noProof/>
        </w:rPr>
        <w:drawing>
          <wp:inline distT="0" distB="0" distL="0" distR="0" wp14:anchorId="7BBAD499" wp14:editId="497AF6E1">
            <wp:extent cx="2574950" cy="147035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15798" t="39852" r="57792" b="30976"/>
                    <a:stretch/>
                  </pic:blipFill>
                  <pic:spPr bwMode="auto">
                    <a:xfrm>
                      <a:off x="0" y="0"/>
                      <a:ext cx="2578608" cy="1472444"/>
                    </a:xfrm>
                    <a:prstGeom prst="rect">
                      <a:avLst/>
                    </a:prstGeom>
                    <a:ln>
                      <a:noFill/>
                    </a:ln>
                    <a:extLst>
                      <a:ext uri="{53640926-AAD7-44D8-BBD7-CCE9431645EC}">
                        <a14:shadowObscured xmlns:a14="http://schemas.microsoft.com/office/drawing/2010/main"/>
                      </a:ext>
                    </a:extLst>
                  </pic:spPr>
                </pic:pic>
              </a:graphicData>
            </a:graphic>
          </wp:inline>
        </w:drawing>
      </w:r>
    </w:p>
    <w:p w:rsidR="00A92422" w:rsidRPr="00D87B79" w:rsidRDefault="00A92422" w:rsidP="00A92422">
      <w:pPr>
        <w:pStyle w:val="NumberedSteps"/>
        <w:tabs>
          <w:tab w:val="left" w:pos="9360"/>
        </w:tabs>
        <w:ind w:right="720"/>
        <w:rPr>
          <w:rFonts w:ascii="Tahoma" w:hAnsi="Tahoma" w:cs="Tahoma"/>
        </w:rPr>
      </w:pPr>
    </w:p>
    <w:p w:rsidR="00A92422" w:rsidRPr="00D87B79" w:rsidRDefault="00A92422" w:rsidP="00A92422">
      <w:pPr>
        <w:pStyle w:val="NumberedSteps"/>
        <w:ind w:right="720"/>
        <w:rPr>
          <w:rFonts w:ascii="Tahoma" w:hAnsi="Tahoma" w:cs="Tahoma"/>
        </w:rPr>
      </w:pPr>
      <w:r>
        <w:rPr>
          <w:noProof/>
        </w:rPr>
        <w:drawing>
          <wp:inline distT="0" distB="0" distL="0" distR="0" wp14:anchorId="0D5DF4FA" wp14:editId="688BC920">
            <wp:extent cx="4818888" cy="1042416"/>
            <wp:effectExtent l="19050" t="19050" r="20320" b="2476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14718" t="39827" r="11796" b="40982"/>
                    <a:stretch/>
                  </pic:blipFill>
                  <pic:spPr bwMode="auto">
                    <a:xfrm>
                      <a:off x="0" y="0"/>
                      <a:ext cx="4818888" cy="1042416"/>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A92422" w:rsidRPr="00D87B79" w:rsidRDefault="00A92422" w:rsidP="00A92422">
      <w:pPr>
        <w:pStyle w:val="NumberedSteps"/>
        <w:ind w:right="720"/>
        <w:rPr>
          <w:rFonts w:ascii="Tahoma" w:hAnsi="Tahoma" w:cs="Tahoma"/>
        </w:rPr>
      </w:pPr>
    </w:p>
    <w:p w:rsidR="00A92422" w:rsidRPr="00D87B79" w:rsidRDefault="00A92422" w:rsidP="00A92422">
      <w:pPr>
        <w:pStyle w:val="NumberedSteps"/>
        <w:ind w:right="720"/>
        <w:rPr>
          <w:rFonts w:ascii="Tahoma" w:hAnsi="Tahoma" w:cs="Tahoma"/>
        </w:rPr>
      </w:pPr>
      <w:r w:rsidRPr="00D87B79">
        <w:rPr>
          <w:rStyle w:val="BodyChar"/>
          <w:rFonts w:ascii="Tahoma" w:hAnsi="Tahoma" w:cs="Tahoma"/>
          <w:b/>
          <w:sz w:val="18"/>
          <w:szCs w:val="18"/>
          <w:lang w:val="it-IT"/>
        </w:rPr>
        <w:t>Punto 4:</w:t>
      </w:r>
      <w:r w:rsidRPr="00D87B79">
        <w:rPr>
          <w:rStyle w:val="BodyChar"/>
          <w:rFonts w:ascii="Tahoma" w:hAnsi="Tahoma" w:cs="Tahoma"/>
          <w:b/>
          <w:sz w:val="18"/>
          <w:szCs w:val="18"/>
        </w:rPr>
        <w:t xml:space="preserve"> </w:t>
      </w:r>
      <w:r w:rsidRPr="00D87B79">
        <w:rPr>
          <w:rFonts w:ascii="Tahoma" w:hAnsi="Tahoma" w:cs="Tahoma"/>
          <w:sz w:val="18"/>
          <w:lang w:val="it-IT"/>
        </w:rPr>
        <w:t>per ulteriori informazioni sui vantaggi di Software Assurance e sulle modalità di acquisto e di rinnovo di Software Assurance, vedere le Appendici 5 e 6.</w:t>
      </w:r>
    </w:p>
    <w:p w:rsidR="00A92422" w:rsidRPr="00D87B79" w:rsidRDefault="00A92422" w:rsidP="00A92422">
      <w:pPr>
        <w:pStyle w:val="Body"/>
        <w:ind w:right="720"/>
        <w:rPr>
          <w:rFonts w:ascii="Tahoma" w:hAnsi="Tahoma" w:cs="Tahoma"/>
        </w:rPr>
      </w:pPr>
      <w:r w:rsidRPr="00D87B79">
        <w:rPr>
          <w:rFonts w:ascii="Tahoma" w:hAnsi="Tahoma" w:cs="Tahoma"/>
          <w:b/>
          <w:sz w:val="18"/>
          <w:lang w:val="it-IT"/>
        </w:rPr>
        <w:t>Nota:</w:t>
      </w:r>
      <w:r w:rsidRPr="00D87B79">
        <w:rPr>
          <w:rFonts w:ascii="Tahoma" w:hAnsi="Tahoma" w:cs="Tahoma"/>
          <w:sz w:val="18"/>
          <w:szCs w:val="18"/>
        </w:rPr>
        <w:t xml:space="preserve"> </w:t>
      </w:r>
      <w:r w:rsidRPr="00D87B79">
        <w:rPr>
          <w:rFonts w:ascii="Tahoma" w:hAnsi="Tahoma" w:cs="Tahoma"/>
          <w:sz w:val="18"/>
          <w:szCs w:val="18"/>
          <w:lang w:val="it-IT"/>
        </w:rPr>
        <w:t>la presente Lista dei Prodotti identifica, in base al programma, il software che è disponibile e</w:t>
      </w:r>
      <w:r>
        <w:rPr>
          <w:rFonts w:ascii="Tahoma" w:hAnsi="Tahoma" w:cs="Tahoma"/>
          <w:sz w:val="18"/>
          <w:szCs w:val="18"/>
          <w:lang w:val="it-IT"/>
        </w:rPr>
        <w:t> </w:t>
      </w:r>
      <w:r w:rsidRPr="00D87B79">
        <w:rPr>
          <w:rFonts w:ascii="Tahoma" w:hAnsi="Tahoma" w:cs="Tahoma"/>
          <w:sz w:val="18"/>
          <w:szCs w:val="18"/>
          <w:lang w:val="it-IT"/>
        </w:rPr>
        <w:t>le informazioni specifiche riguardanti l’acquisto di Licenze per tale software.</w:t>
      </w:r>
      <w:r w:rsidRPr="00D87B79">
        <w:rPr>
          <w:rFonts w:ascii="Tahoma" w:hAnsi="Tahoma" w:cs="Tahoma"/>
          <w:sz w:val="18"/>
          <w:szCs w:val="18"/>
        </w:rPr>
        <w:t xml:space="preserve"> </w:t>
      </w:r>
      <w:r w:rsidRPr="00D87B79">
        <w:rPr>
          <w:rFonts w:ascii="Tahoma" w:hAnsi="Tahoma" w:cs="Tahoma"/>
          <w:sz w:val="18"/>
          <w:szCs w:val="18"/>
          <w:lang w:val="it-IT"/>
        </w:rPr>
        <w:t>È incorporato nel contratto Microsoft Volume Licensing.</w:t>
      </w:r>
      <w:r w:rsidRPr="00D87B79">
        <w:rPr>
          <w:rFonts w:ascii="Tahoma" w:hAnsi="Tahoma" w:cs="Tahoma"/>
          <w:sz w:val="18"/>
          <w:szCs w:val="18"/>
        </w:rPr>
        <w:t xml:space="preserve"> </w:t>
      </w:r>
      <w:r w:rsidRPr="00D87B79">
        <w:rPr>
          <w:rFonts w:ascii="Tahoma" w:hAnsi="Tahoma" w:cs="Tahoma"/>
          <w:sz w:val="18"/>
          <w:szCs w:val="18"/>
          <w:lang w:val="it-IT"/>
        </w:rPr>
        <w:t>La disponibilità del software può variare in base al paese.</w:t>
      </w:r>
      <w:r w:rsidRPr="00D87B79">
        <w:rPr>
          <w:rFonts w:ascii="Tahoma" w:hAnsi="Tahoma" w:cs="Tahoma"/>
        </w:rPr>
        <w:t xml:space="preserve"> </w:t>
      </w:r>
      <w:r w:rsidRPr="00D87B79">
        <w:rPr>
          <w:rFonts w:ascii="Tahoma" w:hAnsi="Tahoma" w:cs="Tahoma"/>
          <w:sz w:val="18"/>
          <w:lang w:val="it-IT"/>
        </w:rPr>
        <w:t>Le</w:t>
      </w:r>
      <w:r>
        <w:t> </w:t>
      </w:r>
      <w:r w:rsidRPr="00D87B79">
        <w:rPr>
          <w:rFonts w:ascii="Tahoma" w:hAnsi="Tahoma" w:cs="Tahoma"/>
          <w:sz w:val="18"/>
          <w:lang w:val="it-IT"/>
        </w:rPr>
        <w:t>società dovranno contattare il loro rivenditore o l’Account Manager designato da Microsoft per</w:t>
      </w:r>
      <w:r>
        <w:rPr>
          <w:rFonts w:ascii="Tahoma" w:hAnsi="Tahoma" w:cs="Tahoma"/>
          <w:sz w:val="18"/>
          <w:lang w:val="it-IT"/>
        </w:rPr>
        <w:t> </w:t>
      </w:r>
      <w:r w:rsidRPr="00D87B79">
        <w:rPr>
          <w:rFonts w:ascii="Tahoma" w:hAnsi="Tahoma" w:cs="Tahoma"/>
          <w:sz w:val="18"/>
          <w:lang w:val="it-IT"/>
        </w:rPr>
        <w:t>informazioni relative alla disponibilità di un determinato software in base al paese.</w:t>
      </w:r>
    </w:p>
    <w:p w:rsidR="00A92422" w:rsidRPr="00D87B79" w:rsidRDefault="00A92422" w:rsidP="00A92422">
      <w:pPr>
        <w:pStyle w:val="Body"/>
        <w:ind w:right="720"/>
        <w:rPr>
          <w:rFonts w:ascii="Tahoma" w:hAnsi="Tahoma" w:cs="Tahoma"/>
        </w:rPr>
      </w:pPr>
    </w:p>
    <w:p w:rsidR="00A92422" w:rsidRPr="00484351" w:rsidRDefault="00A92422" w:rsidP="00A92422">
      <w:pPr>
        <w:pStyle w:val="Body"/>
        <w:ind w:right="720"/>
        <w:rPr>
          <w:rFonts w:ascii="Tahoma" w:hAnsi="Tahoma" w:cs="Tahoma"/>
          <w:sz w:val="18"/>
          <w:szCs w:val="18"/>
        </w:rPr>
      </w:pPr>
      <w:r w:rsidRPr="00484351">
        <w:rPr>
          <w:rFonts w:ascii="Tahoma" w:hAnsi="Tahoma" w:cs="Tahoma"/>
          <w:sz w:val="18"/>
          <w:szCs w:val="18"/>
          <w:lang w:val="it-IT"/>
        </w:rPr>
        <w:t>Sarà anche possibile prendere in visione il documento Diritti di Utilizzo del Prodotto (Product Use</w:t>
      </w:r>
      <w:r>
        <w:rPr>
          <w:rFonts w:ascii="Tahoma" w:hAnsi="Tahoma" w:cs="Tahoma"/>
          <w:sz w:val="18"/>
          <w:szCs w:val="18"/>
          <w:lang w:val="it-IT"/>
        </w:rPr>
        <w:t> </w:t>
      </w:r>
      <w:r w:rsidRPr="00484351">
        <w:rPr>
          <w:rFonts w:ascii="Tahoma" w:hAnsi="Tahoma" w:cs="Tahoma"/>
          <w:sz w:val="18"/>
          <w:szCs w:val="18"/>
          <w:lang w:val="it-IT"/>
        </w:rPr>
        <w:t>Rights o PUR).</w:t>
      </w:r>
      <w:r w:rsidRPr="00484351">
        <w:rPr>
          <w:rFonts w:ascii="Tahoma" w:hAnsi="Tahoma" w:cs="Tahoma"/>
          <w:sz w:val="18"/>
          <w:szCs w:val="18"/>
        </w:rPr>
        <w:t xml:space="preserve"> </w:t>
      </w:r>
      <w:r w:rsidRPr="00484351">
        <w:rPr>
          <w:rFonts w:ascii="Tahoma" w:hAnsi="Tahoma" w:cs="Tahoma"/>
          <w:sz w:val="18"/>
          <w:szCs w:val="18"/>
          <w:lang w:val="it-IT"/>
        </w:rPr>
        <w:t>Il PUR viene prodotto ogni trimestre e fornisce informazioni sugli ultimi diritti sull’utilizzo del software Microsoft ai sensi dei programmi Microsoft Volume Licensing.</w:t>
      </w:r>
      <w:r w:rsidRPr="00484351">
        <w:rPr>
          <w:rFonts w:ascii="Tahoma" w:hAnsi="Tahoma" w:cs="Tahoma"/>
          <w:sz w:val="18"/>
          <w:szCs w:val="18"/>
        </w:rPr>
        <w:t xml:space="preserve"> </w:t>
      </w:r>
      <w:r w:rsidRPr="00484351">
        <w:rPr>
          <w:rFonts w:ascii="Tahoma" w:hAnsi="Tahoma" w:cs="Tahoma"/>
          <w:sz w:val="18"/>
          <w:szCs w:val="18"/>
          <w:lang w:val="it-IT"/>
        </w:rPr>
        <w:t>Il documento si trova all’indirizzo:</w:t>
      </w:r>
      <w:r w:rsidRPr="00484351">
        <w:rPr>
          <w:rFonts w:ascii="Tahoma" w:hAnsi="Tahoma" w:cs="Tahoma"/>
          <w:sz w:val="18"/>
          <w:szCs w:val="18"/>
        </w:rPr>
        <w:t xml:space="preserve"> </w:t>
      </w:r>
      <w:r w:rsidRPr="00484351">
        <w:rPr>
          <w:rFonts w:ascii="Tahoma" w:hAnsi="Tahoma" w:cs="Tahoma"/>
          <w:sz w:val="18"/>
          <w:lang w:val="it-IT"/>
        </w:rPr>
        <w:t>http://www.microsoftvolumelicensing.com/userights/Default.aspx</w:t>
      </w:r>
    </w:p>
    <w:p w:rsidR="00A92422" w:rsidRPr="00D87B79" w:rsidRDefault="00A92422" w:rsidP="00A92422">
      <w:pPr>
        <w:rPr>
          <w:rFonts w:cs="Tahoma"/>
        </w:rPr>
      </w:pPr>
    </w:p>
    <w:p w:rsidR="00A92422" w:rsidRDefault="00A92422" w:rsidP="00A92422">
      <w:pPr>
        <w:rPr>
          <w:rFonts w:cs="Tahoma"/>
        </w:rPr>
      </w:pPr>
      <w:r>
        <w:rPr>
          <w:rFonts w:cs="Tahoma"/>
        </w:rPr>
        <w:br w:type="page"/>
      </w:r>
    </w:p>
    <w:p w:rsidR="00A92422" w:rsidRPr="006C3B66" w:rsidRDefault="00A92422" w:rsidP="00A92422">
      <w:pPr>
        <w:pStyle w:val="TOC1"/>
        <w:rPr>
          <w:rFonts w:asciiTheme="minorHAnsi" w:eastAsiaTheme="minorEastAsia" w:hAnsiTheme="minorHAnsi" w:cstheme="minorBidi"/>
          <w:b w:val="0"/>
          <w:caps w:val="0"/>
          <w:color w:val="auto"/>
          <w:szCs w:val="22"/>
        </w:rPr>
      </w:pPr>
      <w:r w:rsidRPr="006C3B66">
        <w:rPr>
          <w:color w:val="auto"/>
        </w:rPr>
        <w:lastRenderedPageBreak/>
        <w:fldChar w:fldCharType="begin"/>
      </w:r>
      <w:r w:rsidRPr="006C3B66">
        <w:rPr>
          <w:color w:val="auto"/>
        </w:rPr>
        <w:instrText xml:space="preserve"> TOC \o "1-2" \t "Heading 3,3,Heading 4,4,Product Names,2" </w:instrText>
      </w:r>
      <w:r w:rsidRPr="006C3B66">
        <w:rPr>
          <w:color w:val="auto"/>
        </w:rPr>
        <w:fldChar w:fldCharType="separate"/>
      </w:r>
      <w:r w:rsidRPr="006C3B66">
        <w:rPr>
          <w:rFonts w:eastAsia="Times New Roman"/>
          <w:b w:val="0"/>
          <w:color w:val="auto"/>
        </w:rPr>
        <w:t>Microsoft</w:t>
      </w:r>
      <w:r w:rsidRPr="003A0F2F">
        <w:rPr>
          <w:rFonts w:eastAsia="Times New Roman"/>
          <w:b w:val="0"/>
          <w:color w:val="auto"/>
          <w:vertAlign w:val="superscript"/>
        </w:rPr>
        <w:t>®</w:t>
      </w:r>
      <w:r w:rsidRPr="006C3B66">
        <w:rPr>
          <w:color w:val="auto"/>
        </w:rPr>
        <w:tab/>
      </w:r>
      <w:r w:rsidRPr="006C3B66">
        <w:rPr>
          <w:color w:val="auto"/>
        </w:rPr>
        <w:fldChar w:fldCharType="begin"/>
      </w:r>
      <w:r w:rsidRPr="006C3B66">
        <w:rPr>
          <w:color w:val="auto"/>
        </w:rPr>
        <w:instrText xml:space="preserve"> PAGEREF _Toc342899909 \h </w:instrText>
      </w:r>
      <w:r w:rsidRPr="006C3B66">
        <w:rPr>
          <w:color w:val="auto"/>
        </w:rPr>
      </w:r>
      <w:r w:rsidRPr="006C3B66">
        <w:rPr>
          <w:color w:val="auto"/>
        </w:rPr>
        <w:fldChar w:fldCharType="separate"/>
      </w:r>
      <w:r>
        <w:rPr>
          <w:color w:val="auto"/>
        </w:rPr>
        <w:t>1</w:t>
      </w:r>
      <w:r w:rsidRPr="006C3B66">
        <w:rPr>
          <w:color w:val="auto"/>
        </w:rPr>
        <w:fldChar w:fldCharType="end"/>
      </w:r>
    </w:p>
    <w:p w:rsidR="00A92422" w:rsidRPr="006C3B66" w:rsidRDefault="00A92422" w:rsidP="00A92422">
      <w:pPr>
        <w:pStyle w:val="TOC1"/>
        <w:rPr>
          <w:rFonts w:asciiTheme="minorHAnsi" w:eastAsiaTheme="minorEastAsia" w:hAnsiTheme="minorHAnsi" w:cstheme="minorBidi"/>
          <w:b w:val="0"/>
          <w:caps w:val="0"/>
          <w:color w:val="auto"/>
          <w:szCs w:val="22"/>
        </w:rPr>
      </w:pPr>
      <w:r w:rsidRPr="006C3B66">
        <w:rPr>
          <w:color w:val="auto"/>
        </w:rPr>
        <w:t>INFORMAZIONI SUL PRESENTE Documento</w:t>
      </w:r>
      <w:r w:rsidRPr="006C3B66">
        <w:rPr>
          <w:color w:val="auto"/>
        </w:rPr>
        <w:tab/>
      </w:r>
      <w:r w:rsidRPr="006C3B66">
        <w:rPr>
          <w:color w:val="auto"/>
        </w:rPr>
        <w:fldChar w:fldCharType="begin"/>
      </w:r>
      <w:r w:rsidRPr="006C3B66">
        <w:rPr>
          <w:color w:val="auto"/>
        </w:rPr>
        <w:instrText xml:space="preserve"> PAGEREF _Toc342899910 \h </w:instrText>
      </w:r>
      <w:r w:rsidRPr="006C3B66">
        <w:rPr>
          <w:color w:val="auto"/>
        </w:rPr>
      </w:r>
      <w:r w:rsidRPr="006C3B66">
        <w:rPr>
          <w:color w:val="auto"/>
        </w:rPr>
        <w:fldChar w:fldCharType="separate"/>
      </w:r>
      <w:r>
        <w:rPr>
          <w:color w:val="auto"/>
        </w:rPr>
        <w:t>2</w:t>
      </w:r>
      <w:r w:rsidRPr="006C3B66">
        <w:rPr>
          <w:color w:val="auto"/>
        </w:rPr>
        <w:fldChar w:fldCharType="end"/>
      </w:r>
    </w:p>
    <w:p w:rsidR="00A92422" w:rsidRPr="006C3B66" w:rsidRDefault="00A92422" w:rsidP="00A92422">
      <w:pPr>
        <w:pStyle w:val="TOC1"/>
        <w:rPr>
          <w:rFonts w:asciiTheme="minorHAnsi" w:eastAsiaTheme="minorEastAsia" w:hAnsiTheme="minorHAnsi" w:cstheme="minorBidi"/>
          <w:b w:val="0"/>
          <w:caps w:val="0"/>
          <w:color w:val="auto"/>
          <w:szCs w:val="22"/>
        </w:rPr>
      </w:pPr>
      <w:r w:rsidRPr="006C3B66">
        <w:rPr>
          <w:color w:val="auto"/>
        </w:rPr>
        <w:t>MODALITà DI Utilizzo deLLA LISTA DEI Prodotti Microsoft</w:t>
      </w:r>
      <w:r w:rsidRPr="006C3B66">
        <w:rPr>
          <w:color w:val="auto"/>
        </w:rPr>
        <w:tab/>
      </w:r>
      <w:r w:rsidRPr="006C3B66">
        <w:rPr>
          <w:color w:val="auto"/>
        </w:rPr>
        <w:fldChar w:fldCharType="begin"/>
      </w:r>
      <w:r w:rsidRPr="006C3B66">
        <w:rPr>
          <w:color w:val="auto"/>
        </w:rPr>
        <w:instrText xml:space="preserve"> PAGEREF _Toc342899911 \h </w:instrText>
      </w:r>
      <w:r w:rsidRPr="006C3B66">
        <w:rPr>
          <w:color w:val="auto"/>
        </w:rPr>
      </w:r>
      <w:r w:rsidRPr="006C3B66">
        <w:rPr>
          <w:color w:val="auto"/>
        </w:rPr>
        <w:fldChar w:fldCharType="separate"/>
      </w:r>
      <w:r>
        <w:rPr>
          <w:color w:val="auto"/>
        </w:rPr>
        <w:t>2</w:t>
      </w:r>
      <w:r w:rsidRPr="006C3B66">
        <w:rPr>
          <w:color w:val="auto"/>
        </w:rPr>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Codici Tabella</w:t>
      </w:r>
      <w:r w:rsidRPr="006C3B66">
        <w:tab/>
      </w:r>
      <w:r w:rsidRPr="006C3B66">
        <w:fldChar w:fldCharType="begin"/>
      </w:r>
      <w:r w:rsidRPr="006C3B66">
        <w:instrText xml:space="preserve"> PAGEREF _Toc342899912 \h </w:instrText>
      </w:r>
      <w:r w:rsidRPr="006C3B66">
        <w:fldChar w:fldCharType="separate"/>
      </w:r>
      <w:r>
        <w:t>14</w:t>
      </w:r>
      <w:r w:rsidRPr="006C3B66">
        <w:fldChar w:fldCharType="end"/>
      </w:r>
    </w:p>
    <w:p w:rsidR="00A92422" w:rsidRPr="006C3B66" w:rsidRDefault="00A92422" w:rsidP="00A92422">
      <w:pPr>
        <w:pStyle w:val="TOC1"/>
        <w:rPr>
          <w:rFonts w:asciiTheme="minorHAnsi" w:eastAsiaTheme="minorEastAsia" w:hAnsiTheme="minorHAnsi" w:cstheme="minorBidi"/>
          <w:b w:val="0"/>
          <w:caps w:val="0"/>
          <w:color w:val="auto"/>
          <w:szCs w:val="22"/>
        </w:rPr>
      </w:pPr>
      <w:r w:rsidRPr="006C3B66">
        <w:rPr>
          <w:color w:val="auto"/>
        </w:rPr>
        <w:t>LISTA DEI ProdottI</w:t>
      </w:r>
      <w:r w:rsidRPr="006C3B66">
        <w:rPr>
          <w:color w:val="auto"/>
        </w:rPr>
        <w:tab/>
      </w:r>
      <w:r w:rsidRPr="006C3B66">
        <w:rPr>
          <w:color w:val="auto"/>
        </w:rPr>
        <w:fldChar w:fldCharType="begin"/>
      </w:r>
      <w:r w:rsidRPr="006C3B66">
        <w:rPr>
          <w:color w:val="auto"/>
        </w:rPr>
        <w:instrText xml:space="preserve"> PAGEREF _Toc342899913 \h </w:instrText>
      </w:r>
      <w:r w:rsidRPr="006C3B66">
        <w:rPr>
          <w:color w:val="auto"/>
        </w:rPr>
      </w:r>
      <w:r w:rsidRPr="006C3B66">
        <w:rPr>
          <w:color w:val="auto"/>
        </w:rPr>
        <w:fldChar w:fldCharType="separate"/>
      </w:r>
      <w:r>
        <w:rPr>
          <w:color w:val="auto"/>
        </w:rPr>
        <w:t>16</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POOL DI APPLICAZIONI</w:t>
      </w:r>
      <w:r w:rsidRPr="006C3B66">
        <w:rPr>
          <w:color w:val="auto"/>
        </w:rPr>
        <w:tab/>
      </w:r>
      <w:r w:rsidRPr="006C3B66">
        <w:rPr>
          <w:color w:val="auto"/>
        </w:rPr>
        <w:fldChar w:fldCharType="begin"/>
      </w:r>
      <w:r w:rsidRPr="006C3B66">
        <w:rPr>
          <w:color w:val="auto"/>
        </w:rPr>
        <w:instrText xml:space="preserve"> PAGEREF _Toc342899914 \h </w:instrText>
      </w:r>
      <w:r w:rsidRPr="006C3B66">
        <w:rPr>
          <w:color w:val="auto"/>
        </w:rPr>
      </w:r>
      <w:r w:rsidRPr="006C3B66">
        <w:rPr>
          <w:color w:val="auto"/>
        </w:rPr>
        <w:fldChar w:fldCharType="separate"/>
      </w:r>
      <w:r>
        <w:rPr>
          <w:color w:val="auto"/>
        </w:rPr>
        <w:t>16</w:t>
      </w:r>
      <w:r w:rsidRPr="006C3B66">
        <w:rPr>
          <w:color w:val="auto"/>
        </w:rPr>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Access 2013</w:t>
      </w:r>
      <w:r w:rsidRPr="006C3B66">
        <w:tab/>
      </w:r>
      <w:r w:rsidRPr="006C3B66">
        <w:fldChar w:fldCharType="begin"/>
      </w:r>
      <w:r w:rsidRPr="006C3B66">
        <w:instrText xml:space="preserve"> PAGEREF _Toc342899915 \h </w:instrText>
      </w:r>
      <w:r w:rsidRPr="006C3B66">
        <w:fldChar w:fldCharType="separate"/>
      </w:r>
      <w:r>
        <w:t>16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AutoRoute 2013</w:t>
      </w:r>
      <w:r w:rsidRPr="006C3B66">
        <w:tab/>
      </w:r>
      <w:r w:rsidRPr="006C3B66">
        <w:fldChar w:fldCharType="begin"/>
      </w:r>
      <w:r w:rsidRPr="006C3B66">
        <w:instrText xml:space="preserve"> PAGEREF _Toc342899916 \h </w:instrText>
      </w:r>
      <w:r w:rsidRPr="006C3B66">
        <w:fldChar w:fldCharType="separate"/>
      </w:r>
      <w:r>
        <w:t>16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Bing Maps Desktop con Enhanced Content Pack</w:t>
      </w:r>
      <w:r w:rsidRPr="006C3B66">
        <w:tab/>
      </w:r>
      <w:r w:rsidRPr="006C3B66">
        <w:fldChar w:fldCharType="begin"/>
      </w:r>
      <w:r w:rsidRPr="006C3B66">
        <w:instrText xml:space="preserve"> PAGEREF _Toc342899917 \h </w:instrText>
      </w:r>
      <w:r w:rsidRPr="006C3B66">
        <w:fldChar w:fldCharType="separate"/>
      </w:r>
      <w:r>
        <w:t>16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Excel 2013</w:t>
      </w:r>
      <w:r w:rsidRPr="006C3B66">
        <w:tab/>
      </w:r>
      <w:r w:rsidRPr="006C3B66">
        <w:fldChar w:fldCharType="begin"/>
      </w:r>
      <w:r w:rsidRPr="006C3B66">
        <w:instrText xml:space="preserve"> PAGEREF _Toc342899918 \h </w:instrText>
      </w:r>
      <w:r w:rsidRPr="006C3B66">
        <w:fldChar w:fldCharType="separate"/>
      </w:r>
      <w:r>
        <w:t>16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Excel per Mac 2011</w:t>
      </w:r>
      <w:r w:rsidRPr="006C3B66">
        <w:tab/>
      </w:r>
      <w:r w:rsidRPr="006C3B66">
        <w:fldChar w:fldCharType="begin"/>
      </w:r>
      <w:r w:rsidRPr="006C3B66">
        <w:instrText xml:space="preserve"> PAGEREF _Toc342899919 \h </w:instrText>
      </w:r>
      <w:r w:rsidRPr="006C3B66">
        <w:fldChar w:fldCharType="separate"/>
      </w:r>
      <w:r>
        <w:t>16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Expression Studio Professional 4</w:t>
      </w:r>
      <w:r w:rsidRPr="006C3B66">
        <w:tab/>
      </w:r>
      <w:r w:rsidRPr="006C3B66">
        <w:fldChar w:fldCharType="begin"/>
      </w:r>
      <w:r w:rsidRPr="006C3B66">
        <w:instrText xml:space="preserve"> PAGEREF _Toc342899920 \h </w:instrText>
      </w:r>
      <w:r w:rsidRPr="006C3B66">
        <w:fldChar w:fldCharType="separate"/>
      </w:r>
      <w:r>
        <w:t>16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Expression Studio Ultimate 4</w:t>
      </w:r>
      <w:r w:rsidRPr="006C3B66">
        <w:tab/>
      </w:r>
      <w:r w:rsidRPr="006C3B66">
        <w:fldChar w:fldCharType="begin"/>
      </w:r>
      <w:r w:rsidRPr="006C3B66">
        <w:instrText xml:space="preserve"> PAGEREF _Toc342899921 \h </w:instrText>
      </w:r>
      <w:r w:rsidRPr="006C3B66">
        <w:fldChar w:fldCharType="separate"/>
      </w:r>
      <w:r>
        <w:t>16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Expression Encoder Pro 4</w:t>
      </w:r>
      <w:r w:rsidRPr="006C3B66">
        <w:tab/>
      </w:r>
      <w:r w:rsidRPr="006C3B66">
        <w:fldChar w:fldCharType="begin"/>
      </w:r>
      <w:r w:rsidRPr="006C3B66">
        <w:instrText xml:space="preserve"> PAGEREF _Toc342899922 \h </w:instrText>
      </w:r>
      <w:r w:rsidRPr="006C3B66">
        <w:fldChar w:fldCharType="separate"/>
      </w:r>
      <w:r>
        <w:t>16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GeoSynther 3.0</w:t>
      </w:r>
      <w:r w:rsidRPr="006C3B66">
        <w:tab/>
      </w:r>
      <w:r w:rsidRPr="006C3B66">
        <w:fldChar w:fldCharType="begin"/>
      </w:r>
      <w:r w:rsidRPr="006C3B66">
        <w:instrText xml:space="preserve"> PAGEREF _Toc342899923 \h </w:instrText>
      </w:r>
      <w:r w:rsidRPr="006C3B66">
        <w:fldChar w:fldCharType="separate"/>
      </w:r>
      <w:r>
        <w:t>16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GeoSynth Viewer 3.0</w:t>
      </w:r>
      <w:r w:rsidRPr="006C3B66">
        <w:tab/>
      </w:r>
      <w:r w:rsidRPr="006C3B66">
        <w:fldChar w:fldCharType="begin"/>
      </w:r>
      <w:r w:rsidRPr="006C3B66">
        <w:instrText xml:space="preserve"> PAGEREF _Toc342899924 \h </w:instrText>
      </w:r>
      <w:r w:rsidRPr="006C3B66">
        <w:fldChar w:fldCharType="separate"/>
      </w:r>
      <w:r>
        <w:t>16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InfoPath</w:t>
      </w:r>
      <w:r w:rsidRPr="003A0F2F">
        <w:rPr>
          <w:rFonts w:cs="Tahoma"/>
          <w:vertAlign w:val="superscript"/>
          <w:lang w:val="it-IT"/>
        </w:rPr>
        <w:t>®</w:t>
      </w:r>
      <w:r w:rsidRPr="006C3B66">
        <w:rPr>
          <w:rFonts w:cs="Tahoma"/>
          <w:lang w:val="it-IT"/>
        </w:rPr>
        <w:t xml:space="preserve"> 2013</w:t>
      </w:r>
      <w:r w:rsidRPr="006C3B66">
        <w:tab/>
      </w:r>
      <w:r w:rsidRPr="006C3B66">
        <w:fldChar w:fldCharType="begin"/>
      </w:r>
      <w:r w:rsidRPr="006C3B66">
        <w:instrText xml:space="preserve"> PAGEREF _Toc342899925 \h </w:instrText>
      </w:r>
      <w:r w:rsidRPr="006C3B66">
        <w:fldChar w:fldCharType="separate"/>
      </w:r>
      <w:r>
        <w:t>16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Lync 2013</w:t>
      </w:r>
      <w:r w:rsidRPr="006C3B66">
        <w:tab/>
      </w:r>
      <w:r w:rsidRPr="006C3B66">
        <w:fldChar w:fldCharType="begin"/>
      </w:r>
      <w:r w:rsidRPr="006C3B66">
        <w:instrText xml:space="preserve"> PAGEREF _Toc342899926 \h </w:instrText>
      </w:r>
      <w:r w:rsidRPr="006C3B66">
        <w:fldChar w:fldCharType="separate"/>
      </w:r>
      <w:r>
        <w:t>16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Lync per Mac 2011</w:t>
      </w:r>
      <w:r w:rsidRPr="006C3B66">
        <w:tab/>
      </w:r>
      <w:r w:rsidRPr="006C3B66">
        <w:fldChar w:fldCharType="begin"/>
      </w:r>
      <w:r w:rsidRPr="006C3B66">
        <w:instrText xml:space="preserve"> PAGEREF _Toc342899927 \h </w:instrText>
      </w:r>
      <w:r w:rsidRPr="006C3B66">
        <w:fldChar w:fldCharType="separate"/>
      </w:r>
      <w:r>
        <w:t>16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MapPoint</w:t>
      </w:r>
      <w:r w:rsidRPr="003A0F2F">
        <w:rPr>
          <w:rFonts w:cs="Tahoma"/>
          <w:vertAlign w:val="superscript"/>
          <w:lang w:val="it-IT"/>
        </w:rPr>
        <w:t>®</w:t>
      </w:r>
      <w:r w:rsidRPr="006C3B66">
        <w:rPr>
          <w:rFonts w:cs="Tahoma"/>
          <w:lang w:val="it-IT"/>
        </w:rPr>
        <w:t xml:space="preserve"> Fleet Edition 2013</w:t>
      </w:r>
      <w:r w:rsidRPr="006C3B66">
        <w:tab/>
      </w:r>
      <w:r w:rsidRPr="006C3B66">
        <w:fldChar w:fldCharType="begin"/>
      </w:r>
      <w:r w:rsidRPr="006C3B66">
        <w:instrText xml:space="preserve"> PAGEREF _Toc342899928 \h </w:instrText>
      </w:r>
      <w:r w:rsidRPr="006C3B66">
        <w:fldChar w:fldCharType="separate"/>
      </w:r>
      <w:r>
        <w:t>16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MapPoint</w:t>
      </w:r>
      <w:r w:rsidRPr="003A0F2F">
        <w:rPr>
          <w:rFonts w:cs="Tahoma"/>
          <w:vertAlign w:val="superscript"/>
          <w:lang w:val="it-IT"/>
        </w:rPr>
        <w:t>®</w:t>
      </w:r>
      <w:r w:rsidRPr="006C3B66">
        <w:rPr>
          <w:rFonts w:cs="Tahoma"/>
          <w:lang w:val="it-IT"/>
        </w:rPr>
        <w:t xml:space="preserve"> 2013 per Windows</w:t>
      </w:r>
      <w:r w:rsidRPr="006C3B66">
        <w:tab/>
      </w:r>
      <w:r w:rsidRPr="006C3B66">
        <w:fldChar w:fldCharType="begin"/>
      </w:r>
      <w:r w:rsidRPr="006C3B66">
        <w:instrText xml:space="preserve"> PAGEREF _Toc342899929 \h </w:instrText>
      </w:r>
      <w:r w:rsidRPr="006C3B66">
        <w:fldChar w:fldCharType="separate"/>
      </w:r>
      <w:r>
        <w:t>16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Sistemi Operativi MSDN</w:t>
      </w:r>
      <w:r w:rsidRPr="006C3B66">
        <w:tab/>
      </w:r>
      <w:r w:rsidRPr="006C3B66">
        <w:fldChar w:fldCharType="begin"/>
      </w:r>
      <w:r w:rsidRPr="006C3B66">
        <w:instrText xml:space="preserve"> PAGEREF _Toc342899930 \h </w:instrText>
      </w:r>
      <w:r w:rsidRPr="006C3B66">
        <w:fldChar w:fldCharType="separate"/>
      </w:r>
      <w:r>
        <w:t>16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Office 365 A2 (SL per Utente)</w:t>
      </w:r>
      <w:r w:rsidRPr="006C3B66">
        <w:tab/>
      </w:r>
      <w:r w:rsidRPr="006C3B66">
        <w:fldChar w:fldCharType="begin"/>
      </w:r>
      <w:r w:rsidRPr="006C3B66">
        <w:instrText xml:space="preserve"> PAGEREF _Toc342899931 \h </w:instrText>
      </w:r>
      <w:r w:rsidRPr="006C3B66">
        <w:fldChar w:fldCharType="separate"/>
      </w:r>
      <w:r>
        <w:t>16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Office 365 A3 (SL per Utente)</w:t>
      </w:r>
      <w:r w:rsidRPr="006C3B66">
        <w:tab/>
      </w:r>
      <w:r w:rsidRPr="006C3B66">
        <w:fldChar w:fldCharType="begin"/>
      </w:r>
      <w:r w:rsidRPr="006C3B66">
        <w:instrText xml:space="preserve"> PAGEREF _Toc342899932 \h </w:instrText>
      </w:r>
      <w:r w:rsidRPr="006C3B66">
        <w:fldChar w:fldCharType="separate"/>
      </w:r>
      <w:r>
        <w:t>16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Office 365 A4 (SL per Utente)</w:t>
      </w:r>
      <w:r w:rsidRPr="006C3B66">
        <w:tab/>
      </w:r>
      <w:r w:rsidRPr="006C3B66">
        <w:fldChar w:fldCharType="begin"/>
      </w:r>
      <w:r w:rsidRPr="006C3B66">
        <w:instrText xml:space="preserve"> PAGEREF _Toc342899933 \h </w:instrText>
      </w:r>
      <w:r w:rsidRPr="006C3B66">
        <w:fldChar w:fldCharType="separate"/>
      </w:r>
      <w:r>
        <w:t>16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Office 365 Piano E2 (SL per Utente).</w:t>
      </w:r>
      <w:r w:rsidRPr="006C3B66">
        <w:tab/>
      </w:r>
      <w:r w:rsidRPr="006C3B66">
        <w:fldChar w:fldCharType="begin"/>
      </w:r>
      <w:r w:rsidRPr="006C3B66">
        <w:instrText xml:space="preserve"> PAGEREF _Toc342899934 \h </w:instrText>
      </w:r>
      <w:r w:rsidRPr="006C3B66">
        <w:fldChar w:fldCharType="separate"/>
      </w:r>
      <w:r>
        <w:t>16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Office 365 Piano E3 (SL per Utente).</w:t>
      </w:r>
      <w:r w:rsidRPr="006C3B66">
        <w:tab/>
      </w:r>
      <w:r w:rsidRPr="006C3B66">
        <w:fldChar w:fldCharType="begin"/>
      </w:r>
      <w:r w:rsidRPr="006C3B66">
        <w:instrText xml:space="preserve"> PAGEREF _Toc342899935 \h </w:instrText>
      </w:r>
      <w:r w:rsidRPr="006C3B66">
        <w:fldChar w:fldCharType="separate"/>
      </w:r>
      <w:r>
        <w:t>16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Office 365 Piano E4 (SL per Utente).</w:t>
      </w:r>
      <w:r w:rsidRPr="006C3B66">
        <w:tab/>
      </w:r>
      <w:r w:rsidRPr="006C3B66">
        <w:fldChar w:fldCharType="begin"/>
      </w:r>
      <w:r w:rsidRPr="006C3B66">
        <w:instrText xml:space="preserve"> PAGEREF _Toc342899936 \h </w:instrText>
      </w:r>
      <w:r w:rsidRPr="006C3B66">
        <w:fldChar w:fldCharType="separate"/>
      </w:r>
      <w:r>
        <w:t>16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Office Home and Student RT 2013</w:t>
      </w:r>
      <w:r w:rsidRPr="006C3B66">
        <w:tab/>
      </w:r>
      <w:r w:rsidRPr="006C3B66">
        <w:fldChar w:fldCharType="begin"/>
      </w:r>
      <w:r w:rsidRPr="006C3B66">
        <w:instrText xml:space="preserve"> PAGEREF _Toc342899937 \h </w:instrText>
      </w:r>
      <w:r w:rsidRPr="006C3B66">
        <w:fldChar w:fldCharType="separate"/>
      </w:r>
      <w:r>
        <w:t>16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Office per Mac Standard 2011</w:t>
      </w:r>
      <w:r w:rsidRPr="006C3B66">
        <w:tab/>
      </w:r>
      <w:r w:rsidRPr="006C3B66">
        <w:fldChar w:fldCharType="begin"/>
      </w:r>
      <w:r w:rsidRPr="006C3B66">
        <w:instrText xml:space="preserve"> PAGEREF _Toc342899938 \h </w:instrText>
      </w:r>
      <w:r w:rsidRPr="006C3B66">
        <w:fldChar w:fldCharType="separate"/>
      </w:r>
      <w:r>
        <w:t>16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Office Multi-Language Pack 2013</w:t>
      </w:r>
      <w:r w:rsidRPr="006C3B66">
        <w:tab/>
      </w:r>
      <w:r w:rsidRPr="006C3B66">
        <w:fldChar w:fldCharType="begin"/>
      </w:r>
      <w:r w:rsidRPr="006C3B66">
        <w:instrText xml:space="preserve"> PAGEREF _Toc342899939 \h </w:instrText>
      </w:r>
      <w:r w:rsidRPr="006C3B66">
        <w:fldChar w:fldCharType="separate"/>
      </w:r>
      <w:r>
        <w:t>16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Office Professional Plus 2013</w:t>
      </w:r>
      <w:r w:rsidRPr="006C3B66">
        <w:tab/>
      </w:r>
      <w:r w:rsidRPr="006C3B66">
        <w:fldChar w:fldCharType="begin"/>
      </w:r>
      <w:r w:rsidRPr="006C3B66">
        <w:instrText xml:space="preserve"> PAGEREF _Toc342899940 \h </w:instrText>
      </w:r>
      <w:r w:rsidRPr="006C3B66">
        <w:fldChar w:fldCharType="separate"/>
      </w:r>
      <w:r>
        <w:t>16</w:t>
      </w:r>
      <w:r w:rsidRPr="006C3B66">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Office Standard 2013</w:t>
      </w:r>
      <w:r w:rsidRPr="006C3B66">
        <w:rPr>
          <w:color w:val="auto"/>
        </w:rPr>
        <w:tab/>
      </w:r>
      <w:r w:rsidRPr="006C3B66">
        <w:rPr>
          <w:color w:val="auto"/>
        </w:rPr>
        <w:fldChar w:fldCharType="begin"/>
      </w:r>
      <w:r w:rsidRPr="006C3B66">
        <w:rPr>
          <w:color w:val="auto"/>
        </w:rPr>
        <w:instrText xml:space="preserve"> PAGEREF _Toc342899941 \h </w:instrText>
      </w:r>
      <w:r w:rsidRPr="006C3B66">
        <w:rPr>
          <w:color w:val="auto"/>
        </w:rPr>
      </w:r>
      <w:r w:rsidRPr="006C3B66">
        <w:rPr>
          <w:color w:val="auto"/>
        </w:rPr>
        <w:fldChar w:fldCharType="separate"/>
      </w:r>
      <w:r>
        <w:rPr>
          <w:color w:val="auto"/>
        </w:rPr>
        <w:t>16</w:t>
      </w:r>
      <w:r w:rsidRPr="006C3B66">
        <w:rPr>
          <w:color w:val="auto"/>
        </w:rPr>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Sottoscrizione a Office Professional Plus (SL per Utente)</w:t>
      </w:r>
      <w:r w:rsidRPr="006C3B66">
        <w:tab/>
      </w:r>
      <w:r w:rsidRPr="006C3B66">
        <w:fldChar w:fldCharType="begin"/>
      </w:r>
      <w:r w:rsidRPr="006C3B66">
        <w:instrText xml:space="preserve"> PAGEREF _Toc342899942 \h </w:instrText>
      </w:r>
      <w:r w:rsidRPr="006C3B66">
        <w:fldChar w:fldCharType="separate"/>
      </w:r>
      <w:r>
        <w:t>16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Sottoscrizione Office Professional Plus A (SL per Utente)</w:t>
      </w:r>
      <w:r w:rsidRPr="006C3B66">
        <w:tab/>
      </w:r>
      <w:r w:rsidRPr="006C3B66">
        <w:fldChar w:fldCharType="begin"/>
      </w:r>
      <w:r w:rsidRPr="006C3B66">
        <w:instrText xml:space="preserve"> PAGEREF _Toc342899943 \h </w:instrText>
      </w:r>
      <w:r w:rsidRPr="006C3B66">
        <w:fldChar w:fldCharType="separate"/>
      </w:r>
      <w:r>
        <w:t>16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Office Web Applications A</w:t>
      </w:r>
      <w:r>
        <w:rPr>
          <w:rFonts w:cs="Tahoma"/>
          <w:lang w:val="it-IT"/>
        </w:rPr>
        <w:t xml:space="preserve"> </w:t>
      </w:r>
      <w:r w:rsidRPr="006C3B66">
        <w:rPr>
          <w:rFonts w:cs="Tahoma"/>
          <w:lang w:val="it-IT"/>
        </w:rPr>
        <w:t>(SL per Utente)</w:t>
      </w:r>
      <w:r w:rsidRPr="006C3B66">
        <w:tab/>
      </w:r>
      <w:r w:rsidRPr="006C3B66">
        <w:fldChar w:fldCharType="begin"/>
      </w:r>
      <w:r w:rsidRPr="006C3B66">
        <w:instrText xml:space="preserve"> PAGEREF _Toc342899944 \h </w:instrText>
      </w:r>
      <w:r w:rsidRPr="006C3B66">
        <w:fldChar w:fldCharType="separate"/>
      </w:r>
      <w:r>
        <w:t>17</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OneNote</w:t>
      </w:r>
      <w:r w:rsidRPr="003A0F2F">
        <w:rPr>
          <w:rFonts w:cs="Tahoma"/>
          <w:vertAlign w:val="superscript"/>
          <w:lang w:val="it-IT"/>
        </w:rPr>
        <w:t>®</w:t>
      </w:r>
      <w:r w:rsidRPr="006C3B66">
        <w:rPr>
          <w:rFonts w:cs="Tahoma"/>
          <w:lang w:val="it-IT"/>
        </w:rPr>
        <w:t xml:space="preserve"> 2013</w:t>
      </w:r>
      <w:r w:rsidRPr="006C3B66">
        <w:tab/>
      </w:r>
      <w:r w:rsidRPr="006C3B66">
        <w:fldChar w:fldCharType="begin"/>
      </w:r>
      <w:r w:rsidRPr="006C3B66">
        <w:instrText xml:space="preserve"> PAGEREF _Toc342899945 \h </w:instrText>
      </w:r>
      <w:r w:rsidRPr="006C3B66">
        <w:fldChar w:fldCharType="separate"/>
      </w:r>
      <w:r>
        <w:t>17</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Outlook</w:t>
      </w:r>
      <w:r w:rsidRPr="003A0F2F">
        <w:rPr>
          <w:rFonts w:cs="Tahoma"/>
          <w:vertAlign w:val="superscript"/>
          <w:lang w:val="it-IT"/>
        </w:rPr>
        <w:t>®</w:t>
      </w:r>
      <w:r w:rsidRPr="006C3B66">
        <w:rPr>
          <w:rFonts w:cs="Tahoma"/>
          <w:lang w:val="it-IT"/>
        </w:rPr>
        <w:t xml:space="preserve"> 2013</w:t>
      </w:r>
      <w:r w:rsidRPr="006C3B66">
        <w:tab/>
      </w:r>
      <w:r w:rsidRPr="006C3B66">
        <w:fldChar w:fldCharType="begin"/>
      </w:r>
      <w:r w:rsidRPr="006C3B66">
        <w:instrText xml:space="preserve"> PAGEREF _Toc342899946 \h </w:instrText>
      </w:r>
      <w:r w:rsidRPr="006C3B66">
        <w:fldChar w:fldCharType="separate"/>
      </w:r>
      <w:r>
        <w:t>17</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Outlook per Mac 2011</w:t>
      </w:r>
      <w:r w:rsidRPr="006C3B66">
        <w:tab/>
      </w:r>
      <w:r w:rsidRPr="006C3B66">
        <w:fldChar w:fldCharType="begin"/>
      </w:r>
      <w:r w:rsidRPr="006C3B66">
        <w:instrText xml:space="preserve"> PAGEREF _Toc342899947 \h </w:instrText>
      </w:r>
      <w:r w:rsidRPr="006C3B66">
        <w:fldChar w:fldCharType="separate"/>
      </w:r>
      <w:r>
        <w:t>17</w:t>
      </w:r>
      <w:r w:rsidRPr="006C3B66">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PowerPoint 2013</w:t>
      </w:r>
      <w:r w:rsidRPr="006C3B66">
        <w:rPr>
          <w:color w:val="auto"/>
        </w:rPr>
        <w:tab/>
      </w:r>
      <w:r w:rsidRPr="006C3B66">
        <w:rPr>
          <w:color w:val="auto"/>
        </w:rPr>
        <w:fldChar w:fldCharType="begin"/>
      </w:r>
      <w:r w:rsidRPr="006C3B66">
        <w:rPr>
          <w:color w:val="auto"/>
        </w:rPr>
        <w:instrText xml:space="preserve"> PAGEREF _Toc342899948 \h </w:instrText>
      </w:r>
      <w:r w:rsidRPr="006C3B66">
        <w:rPr>
          <w:color w:val="auto"/>
        </w:rPr>
      </w:r>
      <w:r w:rsidRPr="006C3B66">
        <w:rPr>
          <w:color w:val="auto"/>
        </w:rPr>
        <w:fldChar w:fldCharType="separate"/>
      </w:r>
      <w:r>
        <w:rPr>
          <w:color w:val="auto"/>
        </w:rPr>
        <w:t>17</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PowerPoint per Mac 2011</w:t>
      </w:r>
      <w:r w:rsidRPr="006C3B66">
        <w:rPr>
          <w:color w:val="auto"/>
        </w:rPr>
        <w:tab/>
      </w:r>
      <w:r w:rsidRPr="006C3B66">
        <w:rPr>
          <w:color w:val="auto"/>
        </w:rPr>
        <w:fldChar w:fldCharType="begin"/>
      </w:r>
      <w:r w:rsidRPr="006C3B66">
        <w:rPr>
          <w:color w:val="auto"/>
        </w:rPr>
        <w:instrText xml:space="preserve"> PAGEREF _Toc342899949 \h </w:instrText>
      </w:r>
      <w:r w:rsidRPr="006C3B66">
        <w:rPr>
          <w:color w:val="auto"/>
        </w:rPr>
      </w:r>
      <w:r w:rsidRPr="006C3B66">
        <w:rPr>
          <w:color w:val="auto"/>
        </w:rPr>
        <w:fldChar w:fldCharType="separate"/>
      </w:r>
      <w:r>
        <w:rPr>
          <w:color w:val="auto"/>
        </w:rPr>
        <w:t>17</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Project 2013 Standard</w:t>
      </w:r>
      <w:r w:rsidRPr="006C3B66">
        <w:rPr>
          <w:color w:val="auto"/>
        </w:rPr>
        <w:tab/>
      </w:r>
      <w:r w:rsidRPr="006C3B66">
        <w:rPr>
          <w:color w:val="auto"/>
        </w:rPr>
        <w:fldChar w:fldCharType="begin"/>
      </w:r>
      <w:r w:rsidRPr="006C3B66">
        <w:rPr>
          <w:color w:val="auto"/>
        </w:rPr>
        <w:instrText xml:space="preserve"> PAGEREF _Toc342899950 \h </w:instrText>
      </w:r>
      <w:r w:rsidRPr="006C3B66">
        <w:rPr>
          <w:color w:val="auto"/>
        </w:rPr>
      </w:r>
      <w:r w:rsidRPr="006C3B66">
        <w:rPr>
          <w:color w:val="auto"/>
        </w:rPr>
        <w:fldChar w:fldCharType="separate"/>
      </w:r>
      <w:r>
        <w:rPr>
          <w:color w:val="auto"/>
        </w:rPr>
        <w:t>17</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Project 2013 Professional</w:t>
      </w:r>
      <w:r w:rsidRPr="006C3B66">
        <w:rPr>
          <w:color w:val="auto"/>
        </w:rPr>
        <w:tab/>
      </w:r>
      <w:r w:rsidRPr="006C3B66">
        <w:rPr>
          <w:color w:val="auto"/>
        </w:rPr>
        <w:fldChar w:fldCharType="begin"/>
      </w:r>
      <w:r w:rsidRPr="006C3B66">
        <w:rPr>
          <w:color w:val="auto"/>
        </w:rPr>
        <w:instrText xml:space="preserve"> PAGEREF _Toc342899951 \h </w:instrText>
      </w:r>
      <w:r w:rsidRPr="006C3B66">
        <w:rPr>
          <w:color w:val="auto"/>
        </w:rPr>
      </w:r>
      <w:r w:rsidRPr="006C3B66">
        <w:rPr>
          <w:color w:val="auto"/>
        </w:rPr>
        <w:fldChar w:fldCharType="separate"/>
      </w:r>
      <w:r>
        <w:rPr>
          <w:color w:val="auto"/>
        </w:rPr>
        <w:t>17</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Publisher 2013</w:t>
      </w:r>
      <w:r w:rsidRPr="006C3B66">
        <w:rPr>
          <w:color w:val="auto"/>
        </w:rPr>
        <w:tab/>
      </w:r>
      <w:r w:rsidRPr="006C3B66">
        <w:rPr>
          <w:color w:val="auto"/>
        </w:rPr>
        <w:fldChar w:fldCharType="begin"/>
      </w:r>
      <w:r w:rsidRPr="006C3B66">
        <w:rPr>
          <w:color w:val="auto"/>
        </w:rPr>
        <w:instrText xml:space="preserve"> PAGEREF _Toc342899952 \h </w:instrText>
      </w:r>
      <w:r w:rsidRPr="006C3B66">
        <w:rPr>
          <w:color w:val="auto"/>
        </w:rPr>
      </w:r>
      <w:r w:rsidRPr="006C3B66">
        <w:rPr>
          <w:color w:val="auto"/>
        </w:rPr>
        <w:fldChar w:fldCharType="separate"/>
      </w:r>
      <w:r>
        <w:rPr>
          <w:color w:val="auto"/>
        </w:rPr>
        <w:t>17</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Diritti di Noleggio per Office Standard</w:t>
      </w:r>
      <w:r w:rsidRPr="006C3B66">
        <w:rPr>
          <w:color w:val="auto"/>
        </w:rPr>
        <w:tab/>
      </w:r>
      <w:r w:rsidRPr="006C3B66">
        <w:rPr>
          <w:color w:val="auto"/>
        </w:rPr>
        <w:fldChar w:fldCharType="begin"/>
      </w:r>
      <w:r w:rsidRPr="006C3B66">
        <w:rPr>
          <w:color w:val="auto"/>
        </w:rPr>
        <w:instrText xml:space="preserve"> PAGEREF _Toc342899953 \h </w:instrText>
      </w:r>
      <w:r w:rsidRPr="006C3B66">
        <w:rPr>
          <w:color w:val="auto"/>
        </w:rPr>
      </w:r>
      <w:r w:rsidRPr="006C3B66">
        <w:rPr>
          <w:color w:val="auto"/>
        </w:rPr>
        <w:fldChar w:fldCharType="separate"/>
      </w:r>
      <w:r>
        <w:rPr>
          <w:color w:val="auto"/>
        </w:rPr>
        <w:t>17</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Diritto di Noleggio per Office Professional Plus</w:t>
      </w:r>
      <w:r w:rsidRPr="006C3B66">
        <w:rPr>
          <w:color w:val="auto"/>
        </w:rPr>
        <w:tab/>
      </w:r>
      <w:r w:rsidRPr="006C3B66">
        <w:rPr>
          <w:color w:val="auto"/>
        </w:rPr>
        <w:fldChar w:fldCharType="begin"/>
      </w:r>
      <w:r w:rsidRPr="006C3B66">
        <w:rPr>
          <w:color w:val="auto"/>
        </w:rPr>
        <w:instrText xml:space="preserve"> PAGEREF _Toc342899954 \h </w:instrText>
      </w:r>
      <w:r w:rsidRPr="006C3B66">
        <w:rPr>
          <w:color w:val="auto"/>
        </w:rPr>
      </w:r>
      <w:r w:rsidRPr="006C3B66">
        <w:rPr>
          <w:color w:val="auto"/>
        </w:rPr>
        <w:fldChar w:fldCharType="separate"/>
      </w:r>
      <w:r>
        <w:rPr>
          <w:color w:val="auto"/>
        </w:rPr>
        <w:t>17</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Streets and Trips 2013</w:t>
      </w:r>
      <w:r w:rsidRPr="006C3B66">
        <w:rPr>
          <w:color w:val="auto"/>
        </w:rPr>
        <w:tab/>
      </w:r>
      <w:r w:rsidRPr="006C3B66">
        <w:rPr>
          <w:color w:val="auto"/>
        </w:rPr>
        <w:fldChar w:fldCharType="begin"/>
      </w:r>
      <w:r w:rsidRPr="006C3B66">
        <w:rPr>
          <w:color w:val="auto"/>
        </w:rPr>
        <w:instrText xml:space="preserve"> PAGEREF _Toc342899955 \h </w:instrText>
      </w:r>
      <w:r w:rsidRPr="006C3B66">
        <w:rPr>
          <w:color w:val="auto"/>
        </w:rPr>
      </w:r>
      <w:r w:rsidRPr="006C3B66">
        <w:rPr>
          <w:color w:val="auto"/>
        </w:rPr>
        <w:fldChar w:fldCharType="separate"/>
      </w:r>
      <w:r>
        <w:rPr>
          <w:color w:val="auto"/>
        </w:rPr>
        <w:t>17</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Visio</w:t>
      </w:r>
      <w:r w:rsidRPr="003A0F2F">
        <w:rPr>
          <w:color w:val="auto"/>
          <w:vertAlign w:val="superscript"/>
          <w:lang w:val="it-IT"/>
        </w:rPr>
        <w:t>®</w:t>
      </w:r>
      <w:r w:rsidRPr="006C3B66">
        <w:rPr>
          <w:color w:val="auto"/>
          <w:lang w:val="it-IT"/>
        </w:rPr>
        <w:t xml:space="preserve"> 2013 Professional</w:t>
      </w:r>
      <w:r w:rsidRPr="006C3B66">
        <w:rPr>
          <w:color w:val="auto"/>
        </w:rPr>
        <w:tab/>
      </w:r>
      <w:r w:rsidRPr="006C3B66">
        <w:rPr>
          <w:color w:val="auto"/>
        </w:rPr>
        <w:fldChar w:fldCharType="begin"/>
      </w:r>
      <w:r w:rsidRPr="006C3B66">
        <w:rPr>
          <w:color w:val="auto"/>
        </w:rPr>
        <w:instrText xml:space="preserve"> PAGEREF _Toc342899956 \h </w:instrText>
      </w:r>
      <w:r w:rsidRPr="006C3B66">
        <w:rPr>
          <w:color w:val="auto"/>
        </w:rPr>
      </w:r>
      <w:r w:rsidRPr="006C3B66">
        <w:rPr>
          <w:color w:val="auto"/>
        </w:rPr>
        <w:fldChar w:fldCharType="separate"/>
      </w:r>
      <w:r>
        <w:rPr>
          <w:color w:val="auto"/>
        </w:rPr>
        <w:t>17</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Visio</w:t>
      </w:r>
      <w:r w:rsidRPr="003A0F2F">
        <w:rPr>
          <w:color w:val="auto"/>
          <w:vertAlign w:val="superscript"/>
          <w:lang w:val="it-IT"/>
        </w:rPr>
        <w:t>®</w:t>
      </w:r>
      <w:r w:rsidRPr="006C3B66">
        <w:rPr>
          <w:color w:val="auto"/>
          <w:lang w:val="it-IT"/>
        </w:rPr>
        <w:t xml:space="preserve"> 2013 Standard</w:t>
      </w:r>
      <w:r w:rsidRPr="006C3B66">
        <w:rPr>
          <w:color w:val="auto"/>
        </w:rPr>
        <w:tab/>
      </w:r>
      <w:r w:rsidRPr="006C3B66">
        <w:rPr>
          <w:color w:val="auto"/>
        </w:rPr>
        <w:fldChar w:fldCharType="begin"/>
      </w:r>
      <w:r w:rsidRPr="006C3B66">
        <w:rPr>
          <w:color w:val="auto"/>
        </w:rPr>
        <w:instrText xml:space="preserve"> PAGEREF _Toc342899957 \h </w:instrText>
      </w:r>
      <w:r w:rsidRPr="006C3B66">
        <w:rPr>
          <w:color w:val="auto"/>
        </w:rPr>
      </w:r>
      <w:r w:rsidRPr="006C3B66">
        <w:rPr>
          <w:color w:val="auto"/>
        </w:rPr>
        <w:fldChar w:fldCharType="separate"/>
      </w:r>
      <w:r>
        <w:rPr>
          <w:color w:val="auto"/>
        </w:rPr>
        <w:t>17</w:t>
      </w:r>
      <w:r w:rsidRPr="006C3B66">
        <w:rPr>
          <w:color w:val="auto"/>
        </w:rPr>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TechNet Plus Direct</w:t>
      </w:r>
      <w:r w:rsidRPr="006C3B66">
        <w:tab/>
      </w:r>
      <w:r w:rsidRPr="006C3B66">
        <w:fldChar w:fldCharType="begin"/>
      </w:r>
      <w:r w:rsidRPr="006C3B66">
        <w:instrText xml:space="preserve"> PAGEREF _Toc342899958 \h </w:instrText>
      </w:r>
      <w:r w:rsidRPr="006C3B66">
        <w:fldChar w:fldCharType="separate"/>
      </w:r>
      <w:r>
        <w:t>17</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Visual Studio</w:t>
      </w:r>
      <w:r w:rsidRPr="003A0F2F">
        <w:rPr>
          <w:rFonts w:cs="Tahoma"/>
          <w:vertAlign w:val="superscript"/>
          <w:lang w:val="it-IT"/>
        </w:rPr>
        <w:t>®</w:t>
      </w:r>
      <w:r w:rsidRPr="006C3B66">
        <w:rPr>
          <w:rFonts w:cs="Tahoma"/>
          <w:lang w:val="it-IT"/>
        </w:rPr>
        <w:t xml:space="preserve"> Professional 2012</w:t>
      </w:r>
      <w:r w:rsidRPr="006C3B66">
        <w:tab/>
      </w:r>
      <w:r w:rsidRPr="006C3B66">
        <w:fldChar w:fldCharType="begin"/>
      </w:r>
      <w:r w:rsidRPr="006C3B66">
        <w:instrText xml:space="preserve"> PAGEREF _Toc342899959 \h </w:instrText>
      </w:r>
      <w:r w:rsidRPr="006C3B66">
        <w:fldChar w:fldCharType="separate"/>
      </w:r>
      <w:r>
        <w:t>17</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Visual Studio</w:t>
      </w:r>
      <w:r w:rsidRPr="003A0F2F">
        <w:rPr>
          <w:rFonts w:cs="Tahoma"/>
          <w:vertAlign w:val="superscript"/>
          <w:lang w:val="it-IT"/>
        </w:rPr>
        <w:t>®</w:t>
      </w:r>
      <w:r w:rsidRPr="006C3B66">
        <w:rPr>
          <w:rFonts w:cs="Tahoma"/>
          <w:lang w:val="it-IT"/>
        </w:rPr>
        <w:t xml:space="preserve"> Professional 2012 con MSDN</w:t>
      </w:r>
      <w:r w:rsidRPr="006C3B66">
        <w:tab/>
      </w:r>
      <w:r w:rsidRPr="006C3B66">
        <w:fldChar w:fldCharType="begin"/>
      </w:r>
      <w:r w:rsidRPr="006C3B66">
        <w:instrText xml:space="preserve"> PAGEREF _Toc342899960 \h </w:instrText>
      </w:r>
      <w:r w:rsidRPr="006C3B66">
        <w:fldChar w:fldCharType="separate"/>
      </w:r>
      <w:r>
        <w:t>17</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Visual Studio</w:t>
      </w:r>
      <w:r w:rsidRPr="003A0F2F">
        <w:rPr>
          <w:rFonts w:cs="Tahoma"/>
          <w:vertAlign w:val="superscript"/>
          <w:lang w:val="it-IT"/>
        </w:rPr>
        <w:t>®</w:t>
      </w:r>
      <w:r w:rsidRPr="006C3B66">
        <w:rPr>
          <w:rFonts w:cs="Tahoma"/>
          <w:lang w:val="it-IT"/>
        </w:rPr>
        <w:t xml:space="preserve"> Premium 2012 con MSDN</w:t>
      </w:r>
      <w:r w:rsidRPr="006C3B66">
        <w:tab/>
      </w:r>
      <w:r w:rsidRPr="006C3B66">
        <w:fldChar w:fldCharType="begin"/>
      </w:r>
      <w:r w:rsidRPr="006C3B66">
        <w:instrText xml:space="preserve"> PAGEREF _Toc342899961 \h </w:instrText>
      </w:r>
      <w:r w:rsidRPr="006C3B66">
        <w:fldChar w:fldCharType="separate"/>
      </w:r>
      <w:r>
        <w:t>17</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Visual Studio</w:t>
      </w:r>
      <w:r w:rsidRPr="003A0F2F">
        <w:rPr>
          <w:rFonts w:cs="Tahoma"/>
          <w:vertAlign w:val="superscript"/>
          <w:lang w:val="it-IT"/>
        </w:rPr>
        <w:t>®</w:t>
      </w:r>
      <w:r w:rsidRPr="006C3B66">
        <w:rPr>
          <w:rFonts w:cs="Tahoma"/>
          <w:lang w:val="it-IT"/>
        </w:rPr>
        <w:t xml:space="preserve"> Ultimate 2012 con MSDN</w:t>
      </w:r>
      <w:r w:rsidRPr="006C3B66">
        <w:tab/>
      </w:r>
      <w:r w:rsidRPr="006C3B66">
        <w:fldChar w:fldCharType="begin"/>
      </w:r>
      <w:r w:rsidRPr="006C3B66">
        <w:instrText xml:space="preserve"> PAGEREF _Toc342899962 \h </w:instrText>
      </w:r>
      <w:r w:rsidRPr="006C3B66">
        <w:fldChar w:fldCharType="separate"/>
      </w:r>
      <w:r>
        <w:t>17</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Visual Studio</w:t>
      </w:r>
      <w:r w:rsidRPr="003A0F2F">
        <w:rPr>
          <w:rFonts w:cs="Tahoma"/>
          <w:vertAlign w:val="superscript"/>
          <w:lang w:val="it-IT"/>
        </w:rPr>
        <w:t>®</w:t>
      </w:r>
      <w:r w:rsidRPr="006C3B66">
        <w:rPr>
          <w:rFonts w:cs="Tahoma"/>
          <w:lang w:val="it-IT"/>
        </w:rPr>
        <w:t xml:space="preserve"> Test Professional 2012</w:t>
      </w:r>
      <w:r>
        <w:rPr>
          <w:rFonts w:cs="Tahoma"/>
          <w:lang w:val="it-IT"/>
        </w:rPr>
        <w:t xml:space="preserve"> </w:t>
      </w:r>
      <w:r w:rsidRPr="006C3B66">
        <w:rPr>
          <w:rFonts w:cs="Tahoma"/>
          <w:lang w:val="it-IT"/>
        </w:rPr>
        <w:t>con MSDN</w:t>
      </w:r>
      <w:r w:rsidRPr="006C3B66">
        <w:tab/>
      </w:r>
      <w:r w:rsidRPr="006C3B66">
        <w:fldChar w:fldCharType="begin"/>
      </w:r>
      <w:r w:rsidRPr="006C3B66">
        <w:instrText xml:space="preserve"> PAGEREF _Toc342899963 \h </w:instrText>
      </w:r>
      <w:r w:rsidRPr="006C3B66">
        <w:fldChar w:fldCharType="separate"/>
      </w:r>
      <w:r>
        <w:t>17</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Word 2013</w:t>
      </w:r>
      <w:r w:rsidRPr="006C3B66">
        <w:tab/>
      </w:r>
      <w:r w:rsidRPr="006C3B66">
        <w:fldChar w:fldCharType="begin"/>
      </w:r>
      <w:r w:rsidRPr="006C3B66">
        <w:instrText xml:space="preserve"> PAGEREF _Toc342899964 \h </w:instrText>
      </w:r>
      <w:r w:rsidRPr="006C3B66">
        <w:fldChar w:fldCharType="separate"/>
      </w:r>
      <w:r>
        <w:t>17</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lastRenderedPageBreak/>
        <w:t>Word per Mac 2011</w:t>
      </w:r>
      <w:r w:rsidRPr="006C3B66">
        <w:tab/>
      </w:r>
      <w:r w:rsidRPr="006C3B66">
        <w:fldChar w:fldCharType="begin"/>
      </w:r>
      <w:r w:rsidRPr="006C3B66">
        <w:instrText xml:space="preserve"> PAGEREF _Toc342899965 \h </w:instrText>
      </w:r>
      <w:r w:rsidRPr="006C3B66">
        <w:fldChar w:fldCharType="separate"/>
      </w:r>
      <w:r>
        <w:t>17</w:t>
      </w:r>
      <w:r w:rsidRPr="006C3B66">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POOL DI SISTEMI</w:t>
      </w:r>
      <w:r w:rsidRPr="006C3B66">
        <w:rPr>
          <w:color w:val="auto"/>
        </w:rPr>
        <w:tab/>
      </w:r>
      <w:r w:rsidRPr="006C3B66">
        <w:rPr>
          <w:color w:val="auto"/>
        </w:rPr>
        <w:fldChar w:fldCharType="begin"/>
      </w:r>
      <w:r w:rsidRPr="006C3B66">
        <w:rPr>
          <w:color w:val="auto"/>
        </w:rPr>
        <w:instrText xml:space="preserve"> PAGEREF _Toc342899966 \h </w:instrText>
      </w:r>
      <w:r w:rsidRPr="006C3B66">
        <w:rPr>
          <w:color w:val="auto"/>
        </w:rPr>
      </w:r>
      <w:r w:rsidRPr="006C3B66">
        <w:rPr>
          <w:color w:val="auto"/>
        </w:rPr>
        <w:fldChar w:fldCharType="separate"/>
      </w:r>
      <w:r>
        <w:rPr>
          <w:color w:val="auto"/>
        </w:rPr>
        <w:t>18</w:t>
      </w:r>
      <w:r w:rsidRPr="006C3B66">
        <w:rPr>
          <w:color w:val="auto"/>
        </w:rPr>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Licenza “Subscription” per Windows Companion</w:t>
      </w:r>
      <w:r w:rsidRPr="006C3B66">
        <w:tab/>
      </w:r>
      <w:r w:rsidRPr="006C3B66">
        <w:fldChar w:fldCharType="begin"/>
      </w:r>
      <w:r w:rsidRPr="006C3B66">
        <w:instrText xml:space="preserve"> PAGEREF _Toc342899967 \h </w:instrText>
      </w:r>
      <w:r w:rsidRPr="006C3B66">
        <w:fldChar w:fldCharType="separate"/>
      </w:r>
      <w:r>
        <w:t>18</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Windows Vista DVD Playback Pack</w:t>
      </w:r>
      <w:r w:rsidRPr="006C3B66">
        <w:tab/>
      </w:r>
      <w:r w:rsidRPr="006C3B66">
        <w:fldChar w:fldCharType="begin"/>
      </w:r>
      <w:r w:rsidRPr="006C3B66">
        <w:instrText xml:space="preserve"> PAGEREF _Toc342899968 \h </w:instrText>
      </w:r>
      <w:r w:rsidRPr="006C3B66">
        <w:fldChar w:fldCharType="separate"/>
      </w:r>
      <w:r>
        <w:t>18</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Microsoft Desktop Optimization Pack per Software Assurance</w:t>
      </w:r>
      <w:r w:rsidRPr="006C3B66">
        <w:tab/>
      </w:r>
      <w:r w:rsidRPr="006C3B66">
        <w:fldChar w:fldCharType="begin"/>
      </w:r>
      <w:r w:rsidRPr="006C3B66">
        <w:instrText xml:space="preserve"> PAGEREF _Toc342899969 \h </w:instrText>
      </w:r>
      <w:r w:rsidRPr="006C3B66">
        <w:fldChar w:fldCharType="separate"/>
      </w:r>
      <w:r>
        <w:t>18</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Microsoft Desktop Optimization Pack 2012 per Software Assurance</w:t>
      </w:r>
      <w:r w:rsidRPr="006C3B66">
        <w:tab/>
      </w:r>
      <w:r w:rsidRPr="006C3B66">
        <w:fldChar w:fldCharType="begin"/>
      </w:r>
      <w:r w:rsidRPr="006C3B66">
        <w:instrText xml:space="preserve"> PAGEREF _Toc342899970 \h </w:instrText>
      </w:r>
      <w:r w:rsidRPr="006C3B66">
        <w:fldChar w:fldCharType="separate"/>
      </w:r>
      <w:r>
        <w:t>18</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Diritti di Noleggio per Windows</w:t>
      </w:r>
      <w:r w:rsidRPr="006C3B66">
        <w:tab/>
      </w:r>
      <w:r w:rsidRPr="006C3B66">
        <w:fldChar w:fldCharType="begin"/>
      </w:r>
      <w:r w:rsidRPr="006C3B66">
        <w:instrText xml:space="preserve"> PAGEREF _Toc342899971 \h </w:instrText>
      </w:r>
      <w:r w:rsidRPr="006C3B66">
        <w:fldChar w:fldCharType="separate"/>
      </w:r>
      <w:r>
        <w:t>18</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Windows 8 Enterprise Sideloading (100 Confezioni)</w:t>
      </w:r>
      <w:r w:rsidRPr="006C3B66">
        <w:tab/>
      </w:r>
      <w:r w:rsidRPr="006C3B66">
        <w:fldChar w:fldCharType="begin"/>
      </w:r>
      <w:r w:rsidRPr="006C3B66">
        <w:instrText xml:space="preserve"> PAGEREF _Toc342899972 \h </w:instrText>
      </w:r>
      <w:r w:rsidRPr="006C3B66">
        <w:fldChar w:fldCharType="separate"/>
      </w:r>
      <w:r>
        <w:t>18</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Windows</w:t>
      </w:r>
      <w:r w:rsidRPr="003A0F2F">
        <w:rPr>
          <w:rFonts w:cs="Tahoma"/>
          <w:vertAlign w:val="superscript"/>
          <w:lang w:val="it-IT"/>
        </w:rPr>
        <w:t>®</w:t>
      </w:r>
      <w:r w:rsidRPr="006C3B66">
        <w:rPr>
          <w:rFonts w:cs="Tahoma"/>
          <w:lang w:val="it-IT"/>
        </w:rPr>
        <w:t xml:space="preserve"> 7 Partners in Learning</w:t>
      </w:r>
      <w:r w:rsidRPr="006C3B66">
        <w:tab/>
      </w:r>
      <w:r w:rsidRPr="006C3B66">
        <w:fldChar w:fldCharType="begin"/>
      </w:r>
      <w:r w:rsidRPr="006C3B66">
        <w:instrText xml:space="preserve"> PAGEREF _Toc342899973 \h </w:instrText>
      </w:r>
      <w:r w:rsidRPr="006C3B66">
        <w:fldChar w:fldCharType="separate"/>
      </w:r>
      <w:r>
        <w:t>18</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Windows</w:t>
      </w:r>
      <w:r w:rsidRPr="003A0F2F">
        <w:rPr>
          <w:rFonts w:cs="Tahoma"/>
          <w:vertAlign w:val="superscript"/>
          <w:lang w:val="it-IT"/>
        </w:rPr>
        <w:t>®</w:t>
      </w:r>
      <w:r w:rsidRPr="006C3B66">
        <w:rPr>
          <w:rFonts w:cs="Tahoma"/>
          <w:lang w:val="it-IT"/>
        </w:rPr>
        <w:t xml:space="preserve"> 8 Pro</w:t>
      </w:r>
      <w:r w:rsidRPr="006C3B66">
        <w:tab/>
      </w:r>
      <w:r w:rsidRPr="006C3B66">
        <w:fldChar w:fldCharType="begin"/>
      </w:r>
      <w:r w:rsidRPr="006C3B66">
        <w:instrText xml:space="preserve"> PAGEREF _Toc342899974 \h </w:instrText>
      </w:r>
      <w:r w:rsidRPr="006C3B66">
        <w:fldChar w:fldCharType="separate"/>
      </w:r>
      <w:r>
        <w:t>18</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Windows</w:t>
      </w:r>
      <w:r w:rsidRPr="003A0F2F">
        <w:rPr>
          <w:rFonts w:cs="Tahoma"/>
          <w:vertAlign w:val="superscript"/>
          <w:lang w:val="it-IT"/>
        </w:rPr>
        <w:t>®</w:t>
      </w:r>
      <w:r w:rsidRPr="006C3B66">
        <w:rPr>
          <w:rFonts w:cs="Tahoma"/>
          <w:lang w:val="it-IT"/>
        </w:rPr>
        <w:t xml:space="preserve"> 8 Pro con MDOP</w:t>
      </w:r>
      <w:r w:rsidRPr="006C3B66">
        <w:tab/>
      </w:r>
      <w:r w:rsidRPr="006C3B66">
        <w:fldChar w:fldCharType="begin"/>
      </w:r>
      <w:r w:rsidRPr="006C3B66">
        <w:instrText xml:space="preserve"> PAGEREF _Toc342899975 \h </w:instrText>
      </w:r>
      <w:r w:rsidRPr="006C3B66">
        <w:fldChar w:fldCharType="separate"/>
      </w:r>
      <w:r>
        <w:t>18</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Windows Virtual Desktop Access (VDA)</w:t>
      </w:r>
      <w:r w:rsidRPr="006C3B66">
        <w:tab/>
      </w:r>
      <w:r w:rsidRPr="006C3B66">
        <w:fldChar w:fldCharType="begin"/>
      </w:r>
      <w:r w:rsidRPr="006C3B66">
        <w:instrText xml:space="preserve"> PAGEREF _Toc342899976 \h </w:instrText>
      </w:r>
      <w:r w:rsidRPr="006C3B66">
        <w:fldChar w:fldCharType="separate"/>
      </w:r>
      <w:r>
        <w:t>18</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Windows Intune (Per Dispositivo)</w:t>
      </w:r>
      <w:r w:rsidRPr="006C3B66">
        <w:tab/>
      </w:r>
      <w:r w:rsidRPr="006C3B66">
        <w:fldChar w:fldCharType="begin"/>
      </w:r>
      <w:r w:rsidRPr="006C3B66">
        <w:instrText xml:space="preserve"> PAGEREF _Toc342899977 \h </w:instrText>
      </w:r>
      <w:r w:rsidRPr="006C3B66">
        <w:fldChar w:fldCharType="separate"/>
      </w:r>
      <w:r>
        <w:t>18</w:t>
      </w:r>
      <w:r w:rsidRPr="006C3B66">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POOL DI SERVER</w:t>
      </w:r>
      <w:r w:rsidRPr="006C3B66">
        <w:rPr>
          <w:color w:val="auto"/>
        </w:rPr>
        <w:tab/>
      </w:r>
      <w:r w:rsidRPr="006C3B66">
        <w:rPr>
          <w:color w:val="auto"/>
        </w:rPr>
        <w:fldChar w:fldCharType="begin"/>
      </w:r>
      <w:r w:rsidRPr="006C3B66">
        <w:rPr>
          <w:color w:val="auto"/>
        </w:rPr>
        <w:instrText xml:space="preserve"> PAGEREF _Toc342899978 \h </w:instrText>
      </w:r>
      <w:r w:rsidRPr="006C3B66">
        <w:rPr>
          <w:color w:val="auto"/>
        </w:rPr>
      </w:r>
      <w:r w:rsidRPr="006C3B66">
        <w:rPr>
          <w:color w:val="auto"/>
        </w:rPr>
        <w:fldChar w:fldCharType="separate"/>
      </w:r>
      <w:r>
        <w:rPr>
          <w:color w:val="auto"/>
        </w:rPr>
        <w:t>18</w:t>
      </w:r>
      <w:r w:rsidRPr="006C3B66">
        <w:rPr>
          <w:color w:val="auto"/>
        </w:rPr>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Bing Maps Server</w:t>
      </w:r>
      <w:r w:rsidRPr="006C3B66">
        <w:tab/>
      </w:r>
      <w:r w:rsidRPr="006C3B66">
        <w:fldChar w:fldCharType="begin"/>
      </w:r>
      <w:r w:rsidRPr="006C3B66">
        <w:instrText xml:space="preserve"> PAGEREF _Toc342899979 \h </w:instrText>
      </w:r>
      <w:r w:rsidRPr="006C3B66">
        <w:fldChar w:fldCharType="separate"/>
      </w:r>
      <w:r>
        <w:t>18</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CAL per Bing Maps Server</w:t>
      </w:r>
      <w:r w:rsidRPr="006C3B66">
        <w:tab/>
      </w:r>
      <w:r w:rsidRPr="006C3B66">
        <w:fldChar w:fldCharType="begin"/>
      </w:r>
      <w:r w:rsidRPr="006C3B66">
        <w:instrText xml:space="preserve"> PAGEREF _Toc342899980 \h </w:instrText>
      </w:r>
      <w:r w:rsidRPr="006C3B66">
        <w:fldChar w:fldCharType="separate"/>
      </w:r>
      <w:r>
        <w:t>18</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Bing Maps Server con Enhanced Content Pack</w:t>
      </w:r>
      <w:r w:rsidRPr="006C3B66">
        <w:tab/>
      </w:r>
      <w:r w:rsidRPr="006C3B66">
        <w:fldChar w:fldCharType="begin"/>
      </w:r>
      <w:r w:rsidRPr="006C3B66">
        <w:instrText xml:space="preserve"> PAGEREF _Toc342899981 \h </w:instrText>
      </w:r>
      <w:r w:rsidRPr="006C3B66">
        <w:fldChar w:fldCharType="separate"/>
      </w:r>
      <w:r>
        <w:t>18</w:t>
      </w:r>
      <w:r w:rsidRPr="006C3B66">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CAL per Bing Maps Server con Enhanced Content Pack</w:t>
      </w:r>
      <w:r w:rsidRPr="006C3B66">
        <w:rPr>
          <w:color w:val="auto"/>
        </w:rPr>
        <w:tab/>
      </w:r>
      <w:r w:rsidRPr="006C3B66">
        <w:rPr>
          <w:color w:val="auto"/>
        </w:rPr>
        <w:fldChar w:fldCharType="begin"/>
      </w:r>
      <w:r w:rsidRPr="006C3B66">
        <w:rPr>
          <w:color w:val="auto"/>
        </w:rPr>
        <w:instrText xml:space="preserve"> PAGEREF _Toc342899982 \h </w:instrText>
      </w:r>
      <w:r w:rsidRPr="006C3B66">
        <w:rPr>
          <w:color w:val="auto"/>
        </w:rPr>
      </w:r>
      <w:r w:rsidRPr="006C3B66">
        <w:rPr>
          <w:color w:val="auto"/>
        </w:rPr>
        <w:fldChar w:fldCharType="separate"/>
      </w:r>
      <w:r>
        <w:rPr>
          <w:color w:val="auto"/>
        </w:rPr>
        <w:t>18</w:t>
      </w:r>
      <w:r w:rsidRPr="006C3B66">
        <w:rPr>
          <w:color w:val="auto"/>
        </w:rPr>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Bing Maps Standard o Professional</w:t>
      </w:r>
      <w:r>
        <w:rPr>
          <w:rFonts w:cs="Tahoma"/>
          <w:lang w:val="it-IT"/>
        </w:rPr>
        <w:t xml:space="preserve"> </w:t>
      </w:r>
      <w:r w:rsidRPr="006C3B66">
        <w:rPr>
          <w:rFonts w:cs="Tahoma"/>
          <w:lang w:val="it-IT"/>
        </w:rPr>
        <w:t>(SL Utente)</w:t>
      </w:r>
      <w:r w:rsidRPr="006C3B66">
        <w:tab/>
      </w:r>
      <w:r w:rsidRPr="006C3B66">
        <w:fldChar w:fldCharType="begin"/>
      </w:r>
      <w:r w:rsidRPr="006C3B66">
        <w:instrText xml:space="preserve"> PAGEREF _Toc342899983 \h </w:instrText>
      </w:r>
      <w:r w:rsidRPr="006C3B66">
        <w:fldChar w:fldCharType="separate"/>
      </w:r>
      <w:r>
        <w:t>18</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Bing Maps Standard (SL Servizi)</w:t>
      </w:r>
      <w:r w:rsidRPr="006C3B66">
        <w:tab/>
      </w:r>
      <w:r w:rsidRPr="006C3B66">
        <w:fldChar w:fldCharType="begin"/>
      </w:r>
      <w:r w:rsidRPr="006C3B66">
        <w:instrText xml:space="preserve"> PAGEREF _Toc342899984 \h </w:instrText>
      </w:r>
      <w:r w:rsidRPr="006C3B66">
        <w:fldChar w:fldCharType="separate"/>
      </w:r>
      <w:r>
        <w:t>18</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Bing Maps Professional (SL Servizi)</w:t>
      </w:r>
      <w:r w:rsidRPr="006C3B66">
        <w:tab/>
      </w:r>
      <w:r w:rsidRPr="006C3B66">
        <w:fldChar w:fldCharType="begin"/>
      </w:r>
      <w:r w:rsidRPr="006C3B66">
        <w:instrText xml:space="preserve"> PAGEREF _Toc342899985 \h </w:instrText>
      </w:r>
      <w:r w:rsidRPr="006C3B66">
        <w:fldChar w:fldCharType="separate"/>
      </w:r>
      <w:r>
        <w:t>18</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Bing Maps 25KTrx (SL Add-on)</w:t>
      </w:r>
      <w:r w:rsidRPr="006C3B66">
        <w:tab/>
      </w:r>
      <w:r w:rsidRPr="006C3B66">
        <w:fldChar w:fldCharType="begin"/>
      </w:r>
      <w:r w:rsidRPr="006C3B66">
        <w:instrText xml:space="preserve"> PAGEREF _Toc342899986 \h </w:instrText>
      </w:r>
      <w:r w:rsidRPr="006C3B66">
        <w:fldChar w:fldCharType="separate"/>
      </w:r>
      <w:r>
        <w:t>18</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Bing Maps 250KTrx (SL Add-on)</w:t>
      </w:r>
      <w:r w:rsidRPr="006C3B66">
        <w:tab/>
      </w:r>
      <w:r w:rsidRPr="006C3B66">
        <w:fldChar w:fldCharType="begin"/>
      </w:r>
      <w:r w:rsidRPr="006C3B66">
        <w:instrText xml:space="preserve"> PAGEREF _Toc342899987 \h </w:instrText>
      </w:r>
      <w:r w:rsidRPr="006C3B66">
        <w:fldChar w:fldCharType="separate"/>
      </w:r>
      <w:r>
        <w:t>18</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Bing Maps Unlimited Trx (SL Add-on)</w:t>
      </w:r>
      <w:r w:rsidRPr="006C3B66">
        <w:tab/>
      </w:r>
      <w:r w:rsidRPr="006C3B66">
        <w:fldChar w:fldCharType="begin"/>
      </w:r>
      <w:r w:rsidRPr="006C3B66">
        <w:instrText xml:space="preserve"> PAGEREF _Toc342899988 \h </w:instrText>
      </w:r>
      <w:r w:rsidRPr="006C3B66">
        <w:fldChar w:fldCharType="separate"/>
      </w:r>
      <w:r>
        <w:t>18</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BizTalk</w:t>
      </w:r>
      <w:r w:rsidRPr="003A0F2F">
        <w:rPr>
          <w:rFonts w:cs="Tahoma"/>
          <w:vertAlign w:val="superscript"/>
          <w:lang w:val="it-IT"/>
        </w:rPr>
        <w:t>®</w:t>
      </w:r>
      <w:r w:rsidRPr="006C3B66">
        <w:rPr>
          <w:rFonts w:cs="Tahoma"/>
          <w:lang w:val="it-IT"/>
        </w:rPr>
        <w:t xml:space="preserve"> Server 2010 Branch Edition</w:t>
      </w:r>
      <w:r w:rsidRPr="006C3B66">
        <w:tab/>
      </w:r>
      <w:r w:rsidRPr="006C3B66">
        <w:fldChar w:fldCharType="begin"/>
      </w:r>
      <w:r w:rsidRPr="006C3B66">
        <w:instrText xml:space="preserve"> PAGEREF _Toc342899989 \h </w:instrText>
      </w:r>
      <w:r w:rsidRPr="006C3B66">
        <w:fldChar w:fldCharType="separate"/>
      </w:r>
      <w:r>
        <w:t>18</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BizTalk</w:t>
      </w:r>
      <w:r w:rsidRPr="003A0F2F">
        <w:rPr>
          <w:rFonts w:cs="Tahoma"/>
          <w:vertAlign w:val="superscript"/>
          <w:lang w:val="it-IT"/>
        </w:rPr>
        <w:t>®</w:t>
      </w:r>
      <w:r w:rsidRPr="006C3B66">
        <w:rPr>
          <w:rFonts w:cs="Tahoma"/>
          <w:lang w:val="it-IT"/>
        </w:rPr>
        <w:t xml:space="preserve"> Server 2010 Enterprise Edition</w:t>
      </w:r>
      <w:r w:rsidRPr="006C3B66">
        <w:tab/>
      </w:r>
      <w:r w:rsidRPr="006C3B66">
        <w:fldChar w:fldCharType="begin"/>
      </w:r>
      <w:r w:rsidRPr="006C3B66">
        <w:instrText xml:space="preserve"> PAGEREF _Toc342899990 \h </w:instrText>
      </w:r>
      <w:r w:rsidRPr="006C3B66">
        <w:fldChar w:fldCharType="separate"/>
      </w:r>
      <w:r>
        <w:t>18</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BizTalk</w:t>
      </w:r>
      <w:r w:rsidRPr="003A0F2F">
        <w:rPr>
          <w:rFonts w:cs="Tahoma"/>
          <w:vertAlign w:val="superscript"/>
          <w:lang w:val="it-IT"/>
        </w:rPr>
        <w:t>®</w:t>
      </w:r>
      <w:r w:rsidRPr="006C3B66">
        <w:rPr>
          <w:rFonts w:cs="Tahoma"/>
          <w:lang w:val="it-IT"/>
        </w:rPr>
        <w:t xml:space="preserve"> Server 2010 Enterprise RFID</w:t>
      </w:r>
      <w:r w:rsidRPr="006C3B66">
        <w:tab/>
      </w:r>
      <w:r w:rsidRPr="006C3B66">
        <w:fldChar w:fldCharType="begin"/>
      </w:r>
      <w:r w:rsidRPr="006C3B66">
        <w:instrText xml:space="preserve"> PAGEREF _Toc342899991 \h </w:instrText>
      </w:r>
      <w:r w:rsidRPr="006C3B66">
        <w:fldChar w:fldCharType="separate"/>
      </w:r>
      <w:r>
        <w:t>18</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BizTalk</w:t>
      </w:r>
      <w:r w:rsidRPr="003A0F2F">
        <w:rPr>
          <w:rFonts w:cs="Tahoma"/>
          <w:vertAlign w:val="superscript"/>
          <w:lang w:val="it-IT"/>
        </w:rPr>
        <w:t>®</w:t>
      </w:r>
      <w:r w:rsidRPr="006C3B66">
        <w:rPr>
          <w:rFonts w:cs="Tahoma"/>
          <w:lang w:val="it-IT"/>
        </w:rPr>
        <w:t xml:space="preserve"> Server 2010 Standard Edition</w:t>
      </w:r>
      <w:r w:rsidRPr="006C3B66">
        <w:tab/>
      </w:r>
      <w:r w:rsidRPr="006C3B66">
        <w:fldChar w:fldCharType="begin"/>
      </w:r>
      <w:r w:rsidRPr="006C3B66">
        <w:instrText xml:space="preserve"> PAGEREF _Toc342899992 \h </w:instrText>
      </w:r>
      <w:r w:rsidRPr="006C3B66">
        <w:fldChar w:fldCharType="separate"/>
      </w:r>
      <w:r>
        <w:t>18</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BizTalk</w:t>
      </w:r>
      <w:r w:rsidRPr="003A0F2F">
        <w:rPr>
          <w:rFonts w:cs="Tahoma"/>
          <w:vertAlign w:val="superscript"/>
          <w:lang w:val="it-IT"/>
        </w:rPr>
        <w:t>®</w:t>
      </w:r>
      <w:r w:rsidRPr="006C3B66">
        <w:rPr>
          <w:rFonts w:cs="Tahoma"/>
          <w:lang w:val="it-IT"/>
        </w:rPr>
        <w:t xml:space="preserve"> Server 2010 Branch IDC</w:t>
      </w:r>
      <w:r w:rsidRPr="006C3B66">
        <w:tab/>
      </w:r>
      <w:r w:rsidRPr="006C3B66">
        <w:fldChar w:fldCharType="begin"/>
      </w:r>
      <w:r w:rsidRPr="006C3B66">
        <w:instrText xml:space="preserve"> PAGEREF _Toc342899993 \h </w:instrText>
      </w:r>
      <w:r w:rsidRPr="006C3B66">
        <w:fldChar w:fldCharType="separate"/>
      </w:r>
      <w:r>
        <w:t>18</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BizTalk</w:t>
      </w:r>
      <w:r w:rsidRPr="003A0F2F">
        <w:rPr>
          <w:rFonts w:cs="Tahoma"/>
          <w:vertAlign w:val="superscript"/>
          <w:lang w:val="it-IT"/>
        </w:rPr>
        <w:t>®</w:t>
      </w:r>
      <w:r w:rsidRPr="006C3B66">
        <w:rPr>
          <w:rFonts w:cs="Tahoma"/>
          <w:lang w:val="it-IT"/>
        </w:rPr>
        <w:t xml:space="preserve"> Server 2010 Developer IDC</w:t>
      </w:r>
      <w:r w:rsidRPr="006C3B66">
        <w:tab/>
      </w:r>
      <w:r w:rsidRPr="006C3B66">
        <w:fldChar w:fldCharType="begin"/>
      </w:r>
      <w:r w:rsidRPr="006C3B66">
        <w:instrText xml:space="preserve"> PAGEREF _Toc342899994 \h </w:instrText>
      </w:r>
      <w:r w:rsidRPr="006C3B66">
        <w:fldChar w:fldCharType="separate"/>
      </w:r>
      <w:r>
        <w:t>19</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Business Intelligence Appliance 2012</w:t>
      </w:r>
      <w:r w:rsidRPr="006C3B66">
        <w:tab/>
      </w:r>
      <w:r w:rsidRPr="006C3B66">
        <w:fldChar w:fldCharType="begin"/>
      </w:r>
      <w:r w:rsidRPr="006C3B66">
        <w:instrText xml:space="preserve"> PAGEREF _Toc342899995 \h </w:instrText>
      </w:r>
      <w:r w:rsidRPr="006C3B66">
        <w:fldChar w:fldCharType="separate"/>
      </w:r>
      <w:r>
        <w:t>19</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Core CAL Suite Bridge per Office 365 (Utente e Dispositivo)</w:t>
      </w:r>
      <w:r w:rsidRPr="006C3B66">
        <w:tab/>
      </w:r>
      <w:r w:rsidRPr="006C3B66">
        <w:fldChar w:fldCharType="begin"/>
      </w:r>
      <w:r w:rsidRPr="006C3B66">
        <w:instrText xml:space="preserve"> PAGEREF _Toc342899996 \h </w:instrText>
      </w:r>
      <w:r w:rsidRPr="006C3B66">
        <w:fldChar w:fldCharType="separate"/>
      </w:r>
      <w:r>
        <w:t>19</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Core CAL Suite Bridge per Office 365 e Windows</w:t>
      </w:r>
      <w:r w:rsidRPr="003A0F2F">
        <w:rPr>
          <w:rFonts w:cs="Tahoma"/>
          <w:vertAlign w:val="superscript"/>
          <w:lang w:val="it-IT"/>
        </w:rPr>
        <w:t>®</w:t>
      </w:r>
      <w:r w:rsidRPr="006C3B66">
        <w:rPr>
          <w:rFonts w:cs="Tahoma"/>
          <w:lang w:val="it-IT"/>
        </w:rPr>
        <w:t xml:space="preserve"> Intune (Utente e Dispositivo)</w:t>
      </w:r>
      <w:r w:rsidRPr="006C3B66">
        <w:tab/>
      </w:r>
      <w:r w:rsidRPr="006C3B66">
        <w:fldChar w:fldCharType="begin"/>
      </w:r>
      <w:r w:rsidRPr="006C3B66">
        <w:instrText xml:space="preserve"> PAGEREF _Toc342899997 \h </w:instrText>
      </w:r>
      <w:r w:rsidRPr="006C3B66">
        <w:fldChar w:fldCharType="separate"/>
      </w:r>
      <w:r>
        <w:t>19</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Core CAL Bridge per Windows</w:t>
      </w:r>
      <w:r w:rsidRPr="003A0F2F">
        <w:rPr>
          <w:rFonts w:cs="Tahoma"/>
          <w:vertAlign w:val="superscript"/>
          <w:lang w:val="it-IT"/>
        </w:rPr>
        <w:t>®</w:t>
      </w:r>
      <w:r w:rsidRPr="006C3B66">
        <w:rPr>
          <w:rFonts w:cs="Tahoma"/>
          <w:lang w:val="it-IT"/>
        </w:rPr>
        <w:t xml:space="preserve"> Intune (Utente e Dispositivo)</w:t>
      </w:r>
      <w:r w:rsidRPr="006C3B66">
        <w:tab/>
      </w:r>
      <w:r w:rsidRPr="006C3B66">
        <w:fldChar w:fldCharType="begin"/>
      </w:r>
      <w:r w:rsidRPr="006C3B66">
        <w:instrText xml:space="preserve"> PAGEREF _Toc342899998 \h </w:instrText>
      </w:r>
      <w:r w:rsidRPr="006C3B66">
        <w:fldChar w:fldCharType="separate"/>
      </w:r>
      <w:r>
        <w:t>19</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Core CAL Suite (Utente e Dispositivo)</w:t>
      </w:r>
      <w:r w:rsidRPr="006C3B66">
        <w:tab/>
      </w:r>
      <w:r w:rsidRPr="006C3B66">
        <w:fldChar w:fldCharType="begin"/>
      </w:r>
      <w:r w:rsidRPr="006C3B66">
        <w:instrText xml:space="preserve"> PAGEREF _Toc342899999 \h </w:instrText>
      </w:r>
      <w:r w:rsidRPr="006C3B66">
        <w:fldChar w:fldCharType="separate"/>
      </w:r>
      <w:r>
        <w:t>19</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Core Infrastructure Server Suite Standard</w:t>
      </w:r>
      <w:r w:rsidRPr="006C3B66">
        <w:tab/>
      </w:r>
      <w:r w:rsidRPr="006C3B66">
        <w:fldChar w:fldCharType="begin"/>
      </w:r>
      <w:r w:rsidRPr="006C3B66">
        <w:instrText xml:space="preserve"> PAGEREF _Toc342900000 \h </w:instrText>
      </w:r>
      <w:r w:rsidRPr="006C3B66">
        <w:fldChar w:fldCharType="separate"/>
      </w:r>
      <w:r>
        <w:t>19</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Core Infrastructure Server Suite Enterprise</w:t>
      </w:r>
      <w:r w:rsidRPr="006C3B66">
        <w:tab/>
      </w:r>
      <w:r w:rsidRPr="006C3B66">
        <w:fldChar w:fldCharType="begin"/>
      </w:r>
      <w:r w:rsidRPr="006C3B66">
        <w:instrText xml:space="preserve"> PAGEREF _Toc342900001 \h </w:instrText>
      </w:r>
      <w:r w:rsidRPr="006C3B66">
        <w:fldChar w:fldCharType="separate"/>
      </w:r>
      <w:r>
        <w:t>19</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Core Infrastructure Server Suite Datacenter</w:t>
      </w:r>
      <w:r w:rsidRPr="006C3B66">
        <w:tab/>
      </w:r>
      <w:r w:rsidRPr="006C3B66">
        <w:fldChar w:fldCharType="begin"/>
      </w:r>
      <w:r w:rsidRPr="006C3B66">
        <w:instrText xml:space="preserve"> PAGEREF _Toc342900002 \h </w:instrText>
      </w:r>
      <w:r w:rsidRPr="006C3B66">
        <w:fldChar w:fldCharType="separate"/>
      </w:r>
      <w:r>
        <w:t>19</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Data Warehouse Appliance 2012</w:t>
      </w:r>
      <w:r w:rsidRPr="006C3B66">
        <w:tab/>
      </w:r>
      <w:r w:rsidRPr="006C3B66">
        <w:fldChar w:fldCharType="begin"/>
      </w:r>
      <w:r w:rsidRPr="006C3B66">
        <w:instrText xml:space="preserve"> PAGEREF _Toc342900003 \h </w:instrText>
      </w:r>
      <w:r w:rsidRPr="006C3B66">
        <w:fldChar w:fldCharType="separate"/>
      </w:r>
      <w:r>
        <w:t>19</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Dynamics CRM Online Extra Storage</w:t>
      </w:r>
      <w:r w:rsidRPr="006C3B66">
        <w:tab/>
      </w:r>
      <w:r w:rsidRPr="006C3B66">
        <w:fldChar w:fldCharType="begin"/>
      </w:r>
      <w:r w:rsidRPr="006C3B66">
        <w:instrText xml:space="preserve"> PAGEREF _Toc342900004 \h </w:instrText>
      </w:r>
      <w:r w:rsidRPr="006C3B66">
        <w:fldChar w:fldCharType="separate"/>
      </w:r>
      <w:r>
        <w:t>19</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Dynamics CRM Online Per Utente</w:t>
      </w:r>
      <w:r w:rsidRPr="006C3B66">
        <w:tab/>
      </w:r>
      <w:r w:rsidRPr="006C3B66">
        <w:fldChar w:fldCharType="begin"/>
      </w:r>
      <w:r w:rsidRPr="006C3B66">
        <w:instrText xml:space="preserve"> PAGEREF _Toc342900005 \h </w:instrText>
      </w:r>
      <w:r w:rsidRPr="006C3B66">
        <w:fldChar w:fldCharType="separate"/>
      </w:r>
      <w:r>
        <w:t>19</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Dynamics CRM Online per SA</w:t>
      </w:r>
      <w:r w:rsidRPr="006C3B66">
        <w:tab/>
      </w:r>
      <w:r w:rsidRPr="006C3B66">
        <w:fldChar w:fldCharType="begin"/>
      </w:r>
      <w:r w:rsidRPr="006C3B66">
        <w:instrText xml:space="preserve"> PAGEREF _Toc342900006 \h </w:instrText>
      </w:r>
      <w:r w:rsidRPr="006C3B66">
        <w:fldChar w:fldCharType="separate"/>
      </w:r>
      <w:r>
        <w:t>19</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Enterprise CAL Suite Bridge per Office 365 (Utente e Dispositivo)</w:t>
      </w:r>
      <w:r w:rsidRPr="006C3B66">
        <w:tab/>
      </w:r>
      <w:r w:rsidRPr="006C3B66">
        <w:fldChar w:fldCharType="begin"/>
      </w:r>
      <w:r w:rsidRPr="006C3B66">
        <w:instrText xml:space="preserve"> PAGEREF _Toc342900007 \h </w:instrText>
      </w:r>
      <w:r w:rsidRPr="006C3B66">
        <w:fldChar w:fldCharType="separate"/>
      </w:r>
      <w:r>
        <w:t>19</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Enterprise CAL Suite Bridge per Office 365 e Windows</w:t>
      </w:r>
      <w:r w:rsidRPr="003A0F2F">
        <w:rPr>
          <w:rFonts w:cs="Tahoma"/>
          <w:vertAlign w:val="superscript"/>
          <w:lang w:val="it-IT"/>
        </w:rPr>
        <w:t>®</w:t>
      </w:r>
      <w:r w:rsidRPr="006C3B66">
        <w:rPr>
          <w:rFonts w:cs="Tahoma"/>
          <w:lang w:val="it-IT"/>
        </w:rPr>
        <w:t xml:space="preserve"> Intune (Utente e Dispositivo)</w:t>
      </w:r>
      <w:r w:rsidRPr="006C3B66">
        <w:tab/>
      </w:r>
      <w:r w:rsidRPr="006C3B66">
        <w:fldChar w:fldCharType="begin"/>
      </w:r>
      <w:r w:rsidRPr="006C3B66">
        <w:instrText xml:space="preserve"> PAGEREF _Toc342900008 \h </w:instrText>
      </w:r>
      <w:r w:rsidRPr="006C3B66">
        <w:fldChar w:fldCharType="separate"/>
      </w:r>
      <w:r>
        <w:t>19</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Enterprise CAL Suite Bridge per Windows</w:t>
      </w:r>
      <w:r w:rsidRPr="003A0F2F">
        <w:rPr>
          <w:rFonts w:cs="Tahoma"/>
          <w:vertAlign w:val="superscript"/>
          <w:lang w:val="it-IT"/>
        </w:rPr>
        <w:t>®</w:t>
      </w:r>
      <w:r w:rsidRPr="006C3B66">
        <w:rPr>
          <w:rFonts w:cs="Tahoma"/>
          <w:lang w:val="it-IT"/>
        </w:rPr>
        <w:t xml:space="preserve"> Intune (Utente e Dispositivo)</w:t>
      </w:r>
      <w:r w:rsidRPr="006C3B66">
        <w:tab/>
      </w:r>
      <w:r w:rsidRPr="006C3B66">
        <w:fldChar w:fldCharType="begin"/>
      </w:r>
      <w:r w:rsidRPr="006C3B66">
        <w:instrText xml:space="preserve"> PAGEREF _Toc342900009 \h </w:instrText>
      </w:r>
      <w:r w:rsidRPr="006C3B66">
        <w:fldChar w:fldCharType="separate"/>
      </w:r>
      <w:r>
        <w:t>19</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Enterprise CAL Suite (Utente e Dispositivo)</w:t>
      </w:r>
      <w:r w:rsidRPr="006C3B66">
        <w:tab/>
      </w:r>
      <w:r w:rsidRPr="006C3B66">
        <w:fldChar w:fldCharType="begin"/>
      </w:r>
      <w:r w:rsidRPr="006C3B66">
        <w:instrText xml:space="preserve"> PAGEREF _Toc342900010 \h </w:instrText>
      </w:r>
      <w:r w:rsidRPr="006C3B66">
        <w:fldChar w:fldCharType="separate"/>
      </w:r>
      <w:r>
        <w:t>19</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Enterprise CAL per Exchange 2013 con Servizi</w:t>
      </w:r>
      <w:r w:rsidRPr="006C3B66">
        <w:tab/>
      </w:r>
      <w:r w:rsidRPr="006C3B66">
        <w:fldChar w:fldCharType="begin"/>
      </w:r>
      <w:r w:rsidRPr="006C3B66">
        <w:instrText xml:space="preserve"> PAGEREF _Toc342900011 \h </w:instrText>
      </w:r>
      <w:r w:rsidRPr="006C3B66">
        <w:fldChar w:fldCharType="separate"/>
      </w:r>
      <w:r>
        <w:t>19</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Enterprise CAL per Exchange 2013 senza Servizi</w:t>
      </w:r>
      <w:r w:rsidRPr="006C3B66">
        <w:tab/>
      </w:r>
      <w:r w:rsidRPr="006C3B66">
        <w:fldChar w:fldCharType="begin"/>
      </w:r>
      <w:r w:rsidRPr="006C3B66">
        <w:instrText xml:space="preserve"> PAGEREF _Toc342900012 \h </w:instrText>
      </w:r>
      <w:r w:rsidRPr="006C3B66">
        <w:fldChar w:fldCharType="separate"/>
      </w:r>
      <w:r>
        <w:t>19</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Archiviazione Exchange Online</w:t>
      </w:r>
      <w:r w:rsidRPr="006C3B66">
        <w:tab/>
      </w:r>
      <w:r w:rsidRPr="006C3B66">
        <w:fldChar w:fldCharType="begin"/>
      </w:r>
      <w:r w:rsidRPr="006C3B66">
        <w:instrText xml:space="preserve"> PAGEREF _Toc342900013 \h </w:instrText>
      </w:r>
      <w:r w:rsidRPr="006C3B66">
        <w:fldChar w:fldCharType="separate"/>
      </w:r>
      <w:r>
        <w:t>19</w:t>
      </w:r>
      <w:r w:rsidRPr="006C3B66">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Archiviazione Exchange Online per Exchange Server A (SL per Utente)</w:t>
      </w:r>
      <w:r w:rsidRPr="006C3B66">
        <w:rPr>
          <w:color w:val="auto"/>
        </w:rPr>
        <w:tab/>
      </w:r>
      <w:r w:rsidRPr="006C3B66">
        <w:rPr>
          <w:color w:val="auto"/>
        </w:rPr>
        <w:fldChar w:fldCharType="begin"/>
      </w:r>
      <w:r w:rsidRPr="006C3B66">
        <w:rPr>
          <w:color w:val="auto"/>
        </w:rPr>
        <w:instrText xml:space="preserve"> PAGEREF _Toc342900014 \h </w:instrText>
      </w:r>
      <w:r w:rsidRPr="006C3B66">
        <w:rPr>
          <w:color w:val="auto"/>
        </w:rPr>
      </w:r>
      <w:r w:rsidRPr="006C3B66">
        <w:rPr>
          <w:color w:val="auto"/>
        </w:rPr>
        <w:fldChar w:fldCharType="separate"/>
      </w:r>
      <w:r>
        <w:rPr>
          <w:color w:val="auto"/>
        </w:rPr>
        <w:t>19</w:t>
      </w:r>
      <w:r w:rsidRPr="006C3B66">
        <w:rPr>
          <w:color w:val="auto"/>
        </w:rPr>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Exchange Hosted Archive (SL per Utente)</w:t>
      </w:r>
      <w:r w:rsidRPr="006C3B66">
        <w:tab/>
      </w:r>
      <w:r w:rsidRPr="006C3B66">
        <w:fldChar w:fldCharType="begin"/>
      </w:r>
      <w:r w:rsidRPr="006C3B66">
        <w:instrText xml:space="preserve"> PAGEREF _Toc342900015 \h </w:instrText>
      </w:r>
      <w:r w:rsidRPr="006C3B66">
        <w:fldChar w:fldCharType="separate"/>
      </w:r>
      <w:r>
        <w:t>19</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Exchange Hosted Archive Extra Storage (SL per Utente)</w:t>
      </w:r>
      <w:r w:rsidRPr="006C3B66">
        <w:tab/>
      </w:r>
      <w:r w:rsidRPr="006C3B66">
        <w:fldChar w:fldCharType="begin"/>
      </w:r>
      <w:r w:rsidRPr="006C3B66">
        <w:instrText xml:space="preserve"> PAGEREF _Toc342900016 \h </w:instrText>
      </w:r>
      <w:r w:rsidRPr="006C3B66">
        <w:fldChar w:fldCharType="separate"/>
      </w:r>
      <w:r>
        <w:t>19</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Exchange Hosted Encryption</w:t>
      </w:r>
      <w:r>
        <w:rPr>
          <w:rFonts w:cs="Tahoma"/>
          <w:lang w:val="it-IT"/>
        </w:rPr>
        <w:t xml:space="preserve"> </w:t>
      </w:r>
      <w:r w:rsidRPr="006C3B66">
        <w:rPr>
          <w:rFonts w:cs="Tahoma"/>
          <w:lang w:val="it-IT"/>
        </w:rPr>
        <w:t>(SL per Utente)</w:t>
      </w:r>
      <w:r w:rsidRPr="006C3B66">
        <w:tab/>
      </w:r>
      <w:r w:rsidRPr="006C3B66">
        <w:fldChar w:fldCharType="begin"/>
      </w:r>
      <w:r w:rsidRPr="006C3B66">
        <w:instrText xml:space="preserve"> PAGEREF _Toc342900017 \h </w:instrText>
      </w:r>
      <w:r w:rsidRPr="006C3B66">
        <w:fldChar w:fldCharType="separate"/>
      </w:r>
      <w:r>
        <w:t>19</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Chiosco Exchange Online (SL per Utente)</w:t>
      </w:r>
      <w:r w:rsidRPr="006C3B66">
        <w:tab/>
      </w:r>
      <w:r w:rsidRPr="006C3B66">
        <w:fldChar w:fldCharType="begin"/>
      </w:r>
      <w:r w:rsidRPr="006C3B66">
        <w:instrText xml:space="preserve"> PAGEREF _Toc342900018 \h </w:instrText>
      </w:r>
      <w:r w:rsidRPr="006C3B66">
        <w:fldChar w:fldCharType="separate"/>
      </w:r>
      <w:r>
        <w:t>19</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Exchange Online Piano 1 (SL per Utente)</w:t>
      </w:r>
      <w:r w:rsidRPr="006C3B66">
        <w:tab/>
      </w:r>
      <w:r w:rsidRPr="006C3B66">
        <w:fldChar w:fldCharType="begin"/>
      </w:r>
      <w:r w:rsidRPr="006C3B66">
        <w:instrText xml:space="preserve"> PAGEREF _Toc342900019 \h </w:instrText>
      </w:r>
      <w:r w:rsidRPr="006C3B66">
        <w:fldChar w:fldCharType="separate"/>
      </w:r>
      <w:r>
        <w:t>19</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Exchange Online Piano 2 (SL per Utente)</w:t>
      </w:r>
      <w:r w:rsidRPr="006C3B66">
        <w:tab/>
      </w:r>
      <w:r w:rsidRPr="006C3B66">
        <w:fldChar w:fldCharType="begin"/>
      </w:r>
      <w:r w:rsidRPr="006C3B66">
        <w:instrText xml:space="preserve"> PAGEREF _Toc342900020 \h </w:instrText>
      </w:r>
      <w:r w:rsidRPr="006C3B66">
        <w:fldChar w:fldCharType="separate"/>
      </w:r>
      <w:r>
        <w:t>19</w:t>
      </w:r>
      <w:r w:rsidRPr="006C3B66">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Exchange Online Piano 1A per Ex Allievi (SL per Utente)</w:t>
      </w:r>
      <w:r w:rsidRPr="006C3B66">
        <w:rPr>
          <w:color w:val="auto"/>
        </w:rPr>
        <w:tab/>
      </w:r>
      <w:r w:rsidRPr="006C3B66">
        <w:rPr>
          <w:color w:val="auto"/>
        </w:rPr>
        <w:fldChar w:fldCharType="begin"/>
      </w:r>
      <w:r w:rsidRPr="006C3B66">
        <w:rPr>
          <w:color w:val="auto"/>
        </w:rPr>
        <w:instrText xml:space="preserve"> PAGEREF _Toc342900021 \h </w:instrText>
      </w:r>
      <w:r w:rsidRPr="006C3B66">
        <w:rPr>
          <w:color w:val="auto"/>
        </w:rPr>
      </w:r>
      <w:r w:rsidRPr="006C3B66">
        <w:rPr>
          <w:color w:val="auto"/>
        </w:rPr>
        <w:fldChar w:fldCharType="separate"/>
      </w:r>
      <w:r>
        <w:rPr>
          <w:color w:val="auto"/>
        </w:rPr>
        <w:t>19</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Exchange Online Piano 2A (SL per Utente)</w:t>
      </w:r>
      <w:r w:rsidRPr="006C3B66">
        <w:rPr>
          <w:color w:val="auto"/>
        </w:rPr>
        <w:tab/>
      </w:r>
      <w:r w:rsidRPr="006C3B66">
        <w:rPr>
          <w:color w:val="auto"/>
        </w:rPr>
        <w:fldChar w:fldCharType="begin"/>
      </w:r>
      <w:r w:rsidRPr="006C3B66">
        <w:rPr>
          <w:color w:val="auto"/>
        </w:rPr>
        <w:instrText xml:space="preserve"> PAGEREF _Toc342900022 \h </w:instrText>
      </w:r>
      <w:r w:rsidRPr="006C3B66">
        <w:rPr>
          <w:color w:val="auto"/>
        </w:rPr>
      </w:r>
      <w:r w:rsidRPr="006C3B66">
        <w:rPr>
          <w:color w:val="auto"/>
        </w:rPr>
        <w:fldChar w:fldCharType="separate"/>
      </w:r>
      <w:r>
        <w:rPr>
          <w:color w:val="auto"/>
        </w:rPr>
        <w:t>19</w:t>
      </w:r>
      <w:r w:rsidRPr="006C3B66">
        <w:rPr>
          <w:color w:val="auto"/>
        </w:rPr>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Exchange Server Enterprise 2013</w:t>
      </w:r>
      <w:r w:rsidRPr="006C3B66">
        <w:tab/>
      </w:r>
      <w:r w:rsidRPr="006C3B66">
        <w:fldChar w:fldCharType="begin"/>
      </w:r>
      <w:r w:rsidRPr="006C3B66">
        <w:instrText xml:space="preserve"> PAGEREF _Toc342900023 \h </w:instrText>
      </w:r>
      <w:r w:rsidRPr="006C3B66">
        <w:fldChar w:fldCharType="separate"/>
      </w:r>
      <w:r>
        <w:t>19</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lastRenderedPageBreak/>
        <w:t>Exchange Server Standard 2013</w:t>
      </w:r>
      <w:r w:rsidRPr="006C3B66">
        <w:tab/>
      </w:r>
      <w:r w:rsidRPr="006C3B66">
        <w:fldChar w:fldCharType="begin"/>
      </w:r>
      <w:r w:rsidRPr="006C3B66">
        <w:instrText xml:space="preserve"> PAGEREF _Toc342900024 \h </w:instrText>
      </w:r>
      <w:r w:rsidRPr="006C3B66">
        <w:fldChar w:fldCharType="separate"/>
      </w:r>
      <w:r>
        <w:t>19</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Exchange Server 2007 Standard for Small Business</w:t>
      </w:r>
      <w:r w:rsidRPr="006C3B66">
        <w:tab/>
      </w:r>
      <w:r w:rsidRPr="006C3B66">
        <w:fldChar w:fldCharType="begin"/>
      </w:r>
      <w:r w:rsidRPr="006C3B66">
        <w:instrText xml:space="preserve"> PAGEREF _Toc342900025 \h </w:instrText>
      </w:r>
      <w:r w:rsidRPr="006C3B66">
        <w:fldChar w:fldCharType="separate"/>
      </w:r>
      <w:r>
        <w:t>19</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CAL per Exchange Server 2007 Standard for Small Business</w:t>
      </w:r>
      <w:r w:rsidRPr="006C3B66">
        <w:tab/>
      </w:r>
      <w:r w:rsidRPr="006C3B66">
        <w:fldChar w:fldCharType="begin"/>
      </w:r>
      <w:r w:rsidRPr="006C3B66">
        <w:instrText xml:space="preserve"> PAGEREF _Toc342900026 \h </w:instrText>
      </w:r>
      <w:r w:rsidRPr="006C3B66">
        <w:fldChar w:fldCharType="separate"/>
      </w:r>
      <w:r>
        <w:t>20</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Exchange Server 2010 Standard CAL (Dispositivo e Utente)</w:t>
      </w:r>
      <w:r w:rsidRPr="006C3B66">
        <w:tab/>
      </w:r>
      <w:r w:rsidRPr="006C3B66">
        <w:fldChar w:fldCharType="begin"/>
      </w:r>
      <w:r w:rsidRPr="006C3B66">
        <w:instrText xml:space="preserve"> PAGEREF _Toc342900027 \h </w:instrText>
      </w:r>
      <w:r w:rsidRPr="006C3B66">
        <w:fldChar w:fldCharType="separate"/>
      </w:r>
      <w:r>
        <w:t>20</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Forefront Endpoint Protection</w:t>
      </w:r>
      <w:r w:rsidRPr="006C3B66">
        <w:tab/>
      </w:r>
      <w:r w:rsidRPr="006C3B66">
        <w:fldChar w:fldCharType="begin"/>
      </w:r>
      <w:r w:rsidRPr="006C3B66">
        <w:instrText xml:space="preserve"> PAGEREF _Toc342900028 \h </w:instrText>
      </w:r>
      <w:r w:rsidRPr="006C3B66">
        <w:fldChar w:fldCharType="separate"/>
      </w:r>
      <w:r>
        <w:t>20</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CAL per Forefront Identity Manager 2010 R2 (solo Utente)</w:t>
      </w:r>
      <w:r w:rsidRPr="006C3B66">
        <w:tab/>
      </w:r>
      <w:r w:rsidRPr="006C3B66">
        <w:fldChar w:fldCharType="begin"/>
      </w:r>
      <w:r w:rsidRPr="006C3B66">
        <w:instrText xml:space="preserve"> PAGEREF _Toc342900029 \h </w:instrText>
      </w:r>
      <w:r w:rsidRPr="006C3B66">
        <w:fldChar w:fldCharType="separate"/>
      </w:r>
      <w:r>
        <w:t>20</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External Connector per Forefront Identity Manager 2010 R2</w:t>
      </w:r>
      <w:r w:rsidRPr="006C3B66">
        <w:tab/>
      </w:r>
      <w:r w:rsidRPr="006C3B66">
        <w:fldChar w:fldCharType="begin"/>
      </w:r>
      <w:r w:rsidRPr="006C3B66">
        <w:instrText xml:space="preserve"> PAGEREF _Toc342900030 \h </w:instrText>
      </w:r>
      <w:r w:rsidRPr="006C3B66">
        <w:fldChar w:fldCharType="separate"/>
      </w:r>
      <w:r>
        <w:t>20</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Forefront Identity Manager 2010 R2 Server</w:t>
      </w:r>
      <w:r w:rsidRPr="006C3B66">
        <w:tab/>
      </w:r>
      <w:r w:rsidRPr="006C3B66">
        <w:fldChar w:fldCharType="begin"/>
      </w:r>
      <w:r w:rsidRPr="006C3B66">
        <w:instrText xml:space="preserve"> PAGEREF _Toc342900031 \h </w:instrText>
      </w:r>
      <w:r w:rsidRPr="006C3B66">
        <w:fldChar w:fldCharType="separate"/>
      </w:r>
      <w:r>
        <w:t>20</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Forefront Identity Manager 2010 R2 - Windows Live Edition</w:t>
      </w:r>
      <w:r w:rsidRPr="006C3B66">
        <w:tab/>
      </w:r>
      <w:r w:rsidRPr="006C3B66">
        <w:fldChar w:fldCharType="begin"/>
      </w:r>
      <w:r w:rsidRPr="006C3B66">
        <w:instrText xml:space="preserve"> PAGEREF _Toc342900032 \h </w:instrText>
      </w:r>
      <w:r w:rsidRPr="006C3B66">
        <w:fldChar w:fldCharType="separate"/>
      </w:r>
      <w:r>
        <w:t>20</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Forefront Online Protection for Exchange (SL per Dispositivo e Utente)</w:t>
      </w:r>
      <w:r w:rsidRPr="006C3B66">
        <w:tab/>
      </w:r>
      <w:r w:rsidRPr="006C3B66">
        <w:fldChar w:fldCharType="begin"/>
      </w:r>
      <w:r w:rsidRPr="006C3B66">
        <w:instrText xml:space="preserve"> PAGEREF _Toc342900033 \h </w:instrText>
      </w:r>
      <w:r w:rsidRPr="006C3B66">
        <w:fldChar w:fldCharType="separate"/>
      </w:r>
      <w:r>
        <w:t>20</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Forefront Protection 2010 for Exchange Server (SL per Dispositivo e Utente)</w:t>
      </w:r>
      <w:r w:rsidRPr="006C3B66">
        <w:tab/>
      </w:r>
      <w:r w:rsidRPr="006C3B66">
        <w:fldChar w:fldCharType="begin"/>
      </w:r>
      <w:r w:rsidRPr="006C3B66">
        <w:instrText xml:space="preserve"> PAGEREF _Toc342900034 \h </w:instrText>
      </w:r>
      <w:r w:rsidRPr="006C3B66">
        <w:fldChar w:fldCharType="separate"/>
      </w:r>
      <w:r>
        <w:t>20</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Forefront Protection Suite</w:t>
      </w:r>
      <w:r>
        <w:rPr>
          <w:rFonts w:cs="Tahoma"/>
          <w:lang w:val="it-IT"/>
        </w:rPr>
        <w:t xml:space="preserve"> </w:t>
      </w:r>
      <w:r w:rsidRPr="006C3B66">
        <w:rPr>
          <w:rFonts w:cs="Tahoma"/>
          <w:lang w:val="it-IT"/>
        </w:rPr>
        <w:t>(SL per Dispositivo e Utente)</w:t>
      </w:r>
      <w:r w:rsidRPr="006C3B66">
        <w:tab/>
      </w:r>
      <w:r w:rsidRPr="006C3B66">
        <w:fldChar w:fldCharType="begin"/>
      </w:r>
      <w:r w:rsidRPr="006C3B66">
        <w:instrText xml:space="preserve"> PAGEREF _Toc342900035 \h </w:instrText>
      </w:r>
      <w:r w:rsidRPr="006C3B66">
        <w:fldChar w:fldCharType="separate"/>
      </w:r>
      <w:r>
        <w:t>20</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Forefront Security for Office Communications Server</w:t>
      </w:r>
      <w:r>
        <w:rPr>
          <w:rFonts w:cs="Tahoma"/>
          <w:lang w:val="it-IT"/>
        </w:rPr>
        <w:t xml:space="preserve"> </w:t>
      </w:r>
      <w:r w:rsidRPr="006C3B66">
        <w:rPr>
          <w:rFonts w:cs="Tahoma"/>
          <w:lang w:val="it-IT"/>
        </w:rPr>
        <w:t>(SL per Dispositivo e Utente)</w:t>
      </w:r>
      <w:r w:rsidRPr="006C3B66">
        <w:tab/>
      </w:r>
      <w:r w:rsidRPr="006C3B66">
        <w:fldChar w:fldCharType="begin"/>
      </w:r>
      <w:r w:rsidRPr="006C3B66">
        <w:instrText xml:space="preserve"> PAGEREF _Toc342900036 \h </w:instrText>
      </w:r>
      <w:r w:rsidRPr="006C3B66">
        <w:fldChar w:fldCharType="separate"/>
      </w:r>
      <w:r>
        <w:t>20</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Forefront Protection 2010 for SharePoint (SL per Dispositivo e Utente)</w:t>
      </w:r>
      <w:r w:rsidRPr="006C3B66">
        <w:tab/>
      </w:r>
      <w:r w:rsidRPr="006C3B66">
        <w:fldChar w:fldCharType="begin"/>
      </w:r>
      <w:r w:rsidRPr="006C3B66">
        <w:instrText xml:space="preserve"> PAGEREF _Toc342900037 \h </w:instrText>
      </w:r>
      <w:r w:rsidRPr="006C3B66">
        <w:fldChar w:fldCharType="separate"/>
      </w:r>
      <w:r>
        <w:t>20</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Forefront Protection 2010 for SharePoint per Siti Internet (SL Add-on)</w:t>
      </w:r>
      <w:r w:rsidRPr="006C3B66">
        <w:tab/>
      </w:r>
      <w:r w:rsidRPr="006C3B66">
        <w:fldChar w:fldCharType="begin"/>
      </w:r>
      <w:r w:rsidRPr="006C3B66">
        <w:instrText xml:space="preserve"> PAGEREF _Toc342900038 \h </w:instrText>
      </w:r>
      <w:r w:rsidRPr="006C3B66">
        <w:fldChar w:fldCharType="separate"/>
      </w:r>
      <w:r>
        <w:t>20</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Forefront Threat Management Gateway Web Protection Services</w:t>
      </w:r>
      <w:r w:rsidRPr="006C3B66">
        <w:tab/>
      </w:r>
      <w:r w:rsidRPr="006C3B66">
        <w:fldChar w:fldCharType="begin"/>
      </w:r>
      <w:r w:rsidRPr="006C3B66">
        <w:instrText xml:space="preserve"> PAGEREF _Toc342900039 \h </w:instrText>
      </w:r>
      <w:r w:rsidRPr="006C3B66">
        <w:fldChar w:fldCharType="separate"/>
      </w:r>
      <w:r>
        <w:t>20</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Forefront Unified Access Gateway Server 2010</w:t>
      </w:r>
      <w:r w:rsidRPr="006C3B66">
        <w:tab/>
      </w:r>
      <w:r w:rsidRPr="006C3B66">
        <w:fldChar w:fldCharType="begin"/>
      </w:r>
      <w:r w:rsidRPr="006C3B66">
        <w:instrText xml:space="preserve"> PAGEREF _Toc342900040 \h </w:instrText>
      </w:r>
      <w:r w:rsidRPr="006C3B66">
        <w:fldChar w:fldCharType="separate"/>
      </w:r>
      <w:r>
        <w:t>20</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External Connector per Forefront Unified Access Gateway 2010</w:t>
      </w:r>
      <w:r w:rsidRPr="006C3B66">
        <w:tab/>
      </w:r>
      <w:r w:rsidRPr="006C3B66">
        <w:fldChar w:fldCharType="begin"/>
      </w:r>
      <w:r w:rsidRPr="006C3B66">
        <w:instrText xml:space="preserve"> PAGEREF _Toc342900041 \h </w:instrText>
      </w:r>
      <w:r w:rsidRPr="006C3B66">
        <w:fldChar w:fldCharType="separate"/>
      </w:r>
      <w:r>
        <w:t>20</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CAL per Forefront Unified Access Gateway 2010</w:t>
      </w:r>
      <w:r w:rsidRPr="006C3B66">
        <w:tab/>
      </w:r>
      <w:r w:rsidRPr="006C3B66">
        <w:fldChar w:fldCharType="begin"/>
      </w:r>
      <w:r w:rsidRPr="006C3B66">
        <w:instrText xml:space="preserve"> PAGEREF _Toc342900042 \h </w:instrText>
      </w:r>
      <w:r w:rsidRPr="006C3B66">
        <w:fldChar w:fldCharType="separate"/>
      </w:r>
      <w:r>
        <w:t>20</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Pacchetto di 10.000 CAL per Forefront Unified Access Gateway 2010</w:t>
      </w:r>
      <w:r w:rsidRPr="006C3B66">
        <w:tab/>
      </w:r>
      <w:r w:rsidRPr="006C3B66">
        <w:fldChar w:fldCharType="begin"/>
      </w:r>
      <w:r w:rsidRPr="006C3B66">
        <w:instrText xml:space="preserve"> PAGEREF _Toc342900043 \h </w:instrText>
      </w:r>
      <w:r w:rsidRPr="006C3B66">
        <w:fldChar w:fldCharType="separate"/>
      </w:r>
      <w:r>
        <w:t>20</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GeoSynth Server</w:t>
      </w:r>
      <w:r w:rsidRPr="006C3B66">
        <w:tab/>
      </w:r>
      <w:r w:rsidRPr="006C3B66">
        <w:fldChar w:fldCharType="begin"/>
      </w:r>
      <w:r w:rsidRPr="006C3B66">
        <w:instrText xml:space="preserve"> PAGEREF _Toc342900044 \h </w:instrText>
      </w:r>
      <w:r w:rsidRPr="006C3B66">
        <w:fldChar w:fldCharType="separate"/>
      </w:r>
      <w:r>
        <w:t>20</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HPC Pack 2008 R2 Enterprise</w:t>
      </w:r>
      <w:r w:rsidRPr="006C3B66">
        <w:tab/>
      </w:r>
      <w:r w:rsidRPr="006C3B66">
        <w:fldChar w:fldCharType="begin"/>
      </w:r>
      <w:r w:rsidRPr="006C3B66">
        <w:instrText xml:space="preserve"> PAGEREF _Toc342900045 \h </w:instrText>
      </w:r>
      <w:r w:rsidRPr="006C3B66">
        <w:fldChar w:fldCharType="separate"/>
      </w:r>
      <w:r>
        <w:t>20</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HPC Pack 2008 R2 per Workstation</w:t>
      </w:r>
      <w:r w:rsidRPr="006C3B66">
        <w:tab/>
      </w:r>
      <w:r w:rsidRPr="006C3B66">
        <w:fldChar w:fldCharType="begin"/>
      </w:r>
      <w:r w:rsidRPr="006C3B66">
        <w:instrText xml:space="preserve"> PAGEREF _Toc342900046 \h </w:instrText>
      </w:r>
      <w:r w:rsidRPr="006C3B66">
        <w:fldChar w:fldCharType="separate"/>
      </w:r>
      <w:r>
        <w:t>20</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Learning Solutions Combination</w:t>
      </w:r>
      <w:r>
        <w:rPr>
          <w:rFonts w:cs="Tahoma"/>
          <w:lang w:val="it-IT"/>
        </w:rPr>
        <w:t xml:space="preserve"> </w:t>
      </w:r>
      <w:r w:rsidRPr="006C3B66">
        <w:rPr>
          <w:rFonts w:cs="Tahoma"/>
          <w:lang w:val="it-IT"/>
        </w:rPr>
        <w:t>E-Reference Library (SL per Utente)</w:t>
      </w:r>
      <w:r w:rsidRPr="006C3B66">
        <w:tab/>
      </w:r>
      <w:r w:rsidRPr="006C3B66">
        <w:fldChar w:fldCharType="begin"/>
      </w:r>
      <w:r w:rsidRPr="006C3B66">
        <w:instrText xml:space="preserve"> PAGEREF _Toc342900047 \h </w:instrText>
      </w:r>
      <w:r w:rsidRPr="006C3B66">
        <w:fldChar w:fldCharType="separate"/>
      </w:r>
      <w:r>
        <w:t>20</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Learning Solutions IT Academy</w:t>
      </w:r>
      <w:r>
        <w:rPr>
          <w:rFonts w:cs="Tahoma"/>
          <w:lang w:val="it-IT"/>
        </w:rPr>
        <w:t xml:space="preserve"> </w:t>
      </w:r>
      <w:r w:rsidRPr="006C3B66">
        <w:rPr>
          <w:rFonts w:cs="Tahoma"/>
          <w:lang w:val="it-IT"/>
        </w:rPr>
        <w:t>(SL Servizi)</w:t>
      </w:r>
      <w:r w:rsidRPr="006C3B66">
        <w:tab/>
      </w:r>
      <w:r w:rsidRPr="006C3B66">
        <w:fldChar w:fldCharType="begin"/>
      </w:r>
      <w:r w:rsidRPr="006C3B66">
        <w:instrText xml:space="preserve"> PAGEREF _Toc342900048 \h </w:instrText>
      </w:r>
      <w:r w:rsidRPr="006C3B66">
        <w:fldChar w:fldCharType="separate"/>
      </w:r>
      <w:r>
        <w:t>20</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Learning Solutions MCP 1 Exam Vouchers/Month (SL Servizi)</w:t>
      </w:r>
      <w:r w:rsidRPr="006C3B66">
        <w:tab/>
      </w:r>
      <w:r w:rsidRPr="006C3B66">
        <w:fldChar w:fldCharType="begin"/>
      </w:r>
      <w:r w:rsidRPr="006C3B66">
        <w:instrText xml:space="preserve"> PAGEREF _Toc342900049 \h </w:instrText>
      </w:r>
      <w:r w:rsidRPr="006C3B66">
        <w:fldChar w:fldCharType="separate"/>
      </w:r>
      <w:r>
        <w:t>20</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Lync Online Piano 1 (SL per Utente)</w:t>
      </w:r>
      <w:r w:rsidRPr="006C3B66">
        <w:tab/>
      </w:r>
      <w:r w:rsidRPr="006C3B66">
        <w:fldChar w:fldCharType="begin"/>
      </w:r>
      <w:r w:rsidRPr="006C3B66">
        <w:instrText xml:space="preserve"> PAGEREF _Toc342900050 \h </w:instrText>
      </w:r>
      <w:r w:rsidRPr="006C3B66">
        <w:fldChar w:fldCharType="separate"/>
      </w:r>
      <w:r>
        <w:t>20</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Lync Online Piano 2 (SL per Utente)</w:t>
      </w:r>
      <w:r w:rsidRPr="006C3B66">
        <w:tab/>
      </w:r>
      <w:r w:rsidRPr="006C3B66">
        <w:fldChar w:fldCharType="begin"/>
      </w:r>
      <w:r w:rsidRPr="006C3B66">
        <w:instrText xml:space="preserve"> PAGEREF _Toc342900051 \h </w:instrText>
      </w:r>
      <w:r w:rsidRPr="006C3B66">
        <w:fldChar w:fldCharType="separate"/>
      </w:r>
      <w:r>
        <w:t>20</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Lync Online Piano 3 (SL per Utente)</w:t>
      </w:r>
      <w:r w:rsidRPr="006C3B66">
        <w:tab/>
      </w:r>
      <w:r w:rsidRPr="006C3B66">
        <w:fldChar w:fldCharType="begin"/>
      </w:r>
      <w:r w:rsidRPr="006C3B66">
        <w:instrText xml:space="preserve"> PAGEREF _Toc342900052 \h </w:instrText>
      </w:r>
      <w:r w:rsidRPr="006C3B66">
        <w:fldChar w:fldCharType="separate"/>
      </w:r>
      <w:r>
        <w:t>20</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Lync Online Piano 3A (SL per Utente)</w:t>
      </w:r>
      <w:r w:rsidRPr="006C3B66">
        <w:tab/>
      </w:r>
      <w:r w:rsidRPr="006C3B66">
        <w:fldChar w:fldCharType="begin"/>
      </w:r>
      <w:r w:rsidRPr="006C3B66">
        <w:instrText xml:space="preserve"> PAGEREF _Toc342900053 \h </w:instrText>
      </w:r>
      <w:r w:rsidRPr="006C3B66">
        <w:fldChar w:fldCharType="separate"/>
      </w:r>
      <w:r>
        <w:t>20</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Lync Server 2013</w:t>
      </w:r>
      <w:r w:rsidRPr="006C3B66">
        <w:tab/>
      </w:r>
      <w:r w:rsidRPr="006C3B66">
        <w:fldChar w:fldCharType="begin"/>
      </w:r>
      <w:r w:rsidRPr="006C3B66">
        <w:instrText xml:space="preserve"> PAGEREF _Toc342900054 \h </w:instrText>
      </w:r>
      <w:r w:rsidRPr="006C3B66">
        <w:fldChar w:fldCharType="separate"/>
      </w:r>
      <w:r>
        <w:t>20</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Enterprise CAL per Lync Server 2013</w:t>
      </w:r>
      <w:r w:rsidRPr="006C3B66">
        <w:tab/>
      </w:r>
      <w:r w:rsidRPr="006C3B66">
        <w:fldChar w:fldCharType="begin"/>
      </w:r>
      <w:r w:rsidRPr="006C3B66">
        <w:instrText xml:space="preserve"> PAGEREF _Toc342900055 \h </w:instrText>
      </w:r>
      <w:r w:rsidRPr="006C3B66">
        <w:fldChar w:fldCharType="separate"/>
      </w:r>
      <w:r>
        <w:t>20</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Plus CAL per Lync Server 2013</w:t>
      </w:r>
      <w:r w:rsidRPr="006C3B66">
        <w:tab/>
      </w:r>
      <w:r w:rsidRPr="006C3B66">
        <w:fldChar w:fldCharType="begin"/>
      </w:r>
      <w:r w:rsidRPr="006C3B66">
        <w:instrText xml:space="preserve"> PAGEREF _Toc342900056 \h </w:instrText>
      </w:r>
      <w:r w:rsidRPr="006C3B66">
        <w:fldChar w:fldCharType="separate"/>
      </w:r>
      <w:r>
        <w:t>20</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Standard CAL per Lync Server 2013</w:t>
      </w:r>
      <w:r w:rsidRPr="006C3B66">
        <w:tab/>
      </w:r>
      <w:r w:rsidRPr="006C3B66">
        <w:fldChar w:fldCharType="begin"/>
      </w:r>
      <w:r w:rsidRPr="006C3B66">
        <w:instrText xml:space="preserve"> PAGEREF _Toc342900057 \h </w:instrText>
      </w:r>
      <w:r w:rsidRPr="006C3B66">
        <w:fldChar w:fldCharType="separate"/>
      </w:r>
      <w:r>
        <w:t>20</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Enterprise Additive CAL p</w:t>
      </w:r>
      <w:r>
        <w:rPr>
          <w:rFonts w:cs="Tahoma"/>
          <w:lang w:val="it-IT"/>
        </w:rPr>
        <w:t>er Microsoft Dynamics AX 2012</w:t>
      </w:r>
      <w:r w:rsidRPr="006C3B66">
        <w:rPr>
          <w:rFonts w:cs="Tahoma"/>
          <w:lang w:val="it-IT"/>
        </w:rPr>
        <w:t xml:space="preserve"> (Utente e Dispositivo)</w:t>
      </w:r>
      <w:r w:rsidRPr="006C3B66">
        <w:tab/>
      </w:r>
      <w:r w:rsidRPr="006C3B66">
        <w:fldChar w:fldCharType="begin"/>
      </w:r>
      <w:r w:rsidRPr="006C3B66">
        <w:instrText xml:space="preserve"> PAGEREF _Toc342900058 \h </w:instrText>
      </w:r>
      <w:r w:rsidRPr="006C3B66">
        <w:fldChar w:fldCharType="separate"/>
      </w:r>
      <w:r>
        <w:t>21</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Enterprise CAL pe</w:t>
      </w:r>
      <w:r>
        <w:rPr>
          <w:rFonts w:cs="Tahoma"/>
          <w:lang w:val="it-IT"/>
        </w:rPr>
        <w:t xml:space="preserve">r Microsoft Dynamics AX 2012 </w:t>
      </w:r>
      <w:r w:rsidRPr="006C3B66">
        <w:rPr>
          <w:rFonts w:cs="Tahoma"/>
          <w:lang w:val="it-IT"/>
        </w:rPr>
        <w:t>(Utente e Dispositivo)</w:t>
      </w:r>
      <w:r w:rsidRPr="006C3B66">
        <w:tab/>
      </w:r>
      <w:r w:rsidRPr="006C3B66">
        <w:fldChar w:fldCharType="begin"/>
      </w:r>
      <w:r w:rsidRPr="006C3B66">
        <w:instrText xml:space="preserve"> PAGEREF _Toc342900059 \h </w:instrText>
      </w:r>
      <w:r w:rsidRPr="006C3B66">
        <w:fldChar w:fldCharType="separate"/>
      </w:r>
      <w:r>
        <w:t>21</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Functional Additive CAL pe</w:t>
      </w:r>
      <w:r>
        <w:rPr>
          <w:rFonts w:cs="Tahoma"/>
          <w:lang w:val="it-IT"/>
        </w:rPr>
        <w:t xml:space="preserve">r Microsoft Dynamics AX 2012 </w:t>
      </w:r>
      <w:r w:rsidRPr="006C3B66">
        <w:rPr>
          <w:rFonts w:cs="Tahoma"/>
          <w:lang w:val="it-IT"/>
        </w:rPr>
        <w:t>(Utente e Dispositivo)</w:t>
      </w:r>
      <w:r w:rsidRPr="006C3B66">
        <w:tab/>
      </w:r>
      <w:r w:rsidRPr="006C3B66">
        <w:fldChar w:fldCharType="begin"/>
      </w:r>
      <w:r w:rsidRPr="006C3B66">
        <w:instrText xml:space="preserve"> PAGEREF _Toc342900060 \h </w:instrText>
      </w:r>
      <w:r w:rsidRPr="006C3B66">
        <w:fldChar w:fldCharType="separate"/>
      </w:r>
      <w:r>
        <w:t>21</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Functional CAL pe</w:t>
      </w:r>
      <w:r>
        <w:rPr>
          <w:rFonts w:cs="Tahoma"/>
          <w:lang w:val="it-IT"/>
        </w:rPr>
        <w:t xml:space="preserve">r Microsoft Dynamics AX 2012 </w:t>
      </w:r>
      <w:r w:rsidRPr="006C3B66">
        <w:rPr>
          <w:rFonts w:cs="Tahoma"/>
          <w:lang w:val="it-IT"/>
        </w:rPr>
        <w:t>(Utente e Dispositivo)</w:t>
      </w:r>
      <w:r w:rsidRPr="006C3B66">
        <w:tab/>
      </w:r>
      <w:r w:rsidRPr="006C3B66">
        <w:fldChar w:fldCharType="begin"/>
      </w:r>
      <w:r w:rsidRPr="006C3B66">
        <w:instrText xml:space="preserve"> PAGEREF _Toc342900061 \h </w:instrText>
      </w:r>
      <w:r w:rsidRPr="006C3B66">
        <w:fldChar w:fldCharType="separate"/>
      </w:r>
      <w:r>
        <w:t>21</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Self Serve CAL pe</w:t>
      </w:r>
      <w:r>
        <w:rPr>
          <w:rFonts w:cs="Tahoma"/>
          <w:lang w:val="it-IT"/>
        </w:rPr>
        <w:t xml:space="preserve">r Microsoft Dynamics AX 2012 </w:t>
      </w:r>
      <w:r w:rsidRPr="006C3B66">
        <w:rPr>
          <w:rFonts w:cs="Tahoma"/>
          <w:lang w:val="it-IT"/>
        </w:rPr>
        <w:t>(Utente e Dispositivo)</w:t>
      </w:r>
      <w:r w:rsidRPr="006C3B66">
        <w:tab/>
      </w:r>
      <w:r w:rsidRPr="006C3B66">
        <w:fldChar w:fldCharType="begin"/>
      </w:r>
      <w:r w:rsidRPr="006C3B66">
        <w:instrText xml:space="preserve"> PAGEREF _Toc342900062 \h </w:instrText>
      </w:r>
      <w:r w:rsidRPr="006C3B66">
        <w:fldChar w:fldCharType="separate"/>
      </w:r>
      <w:r>
        <w:t>21</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Pr>
          <w:rFonts w:cs="Tahoma"/>
          <w:lang w:val="it-IT"/>
        </w:rPr>
        <w:t xml:space="preserve">Microsoft Dynamics AX 2012 </w:t>
      </w:r>
      <w:r w:rsidRPr="006C3B66">
        <w:rPr>
          <w:rFonts w:cs="Tahoma"/>
          <w:lang w:val="it-IT"/>
        </w:rPr>
        <w:t>Server</w:t>
      </w:r>
      <w:r w:rsidRPr="006C3B66">
        <w:tab/>
      </w:r>
      <w:r w:rsidRPr="006C3B66">
        <w:fldChar w:fldCharType="begin"/>
      </w:r>
      <w:r w:rsidRPr="006C3B66">
        <w:instrText xml:space="preserve"> PAGEREF _Toc342900063 \h </w:instrText>
      </w:r>
      <w:r w:rsidRPr="006C3B66">
        <w:fldChar w:fldCharType="separate"/>
      </w:r>
      <w:r>
        <w:t>21</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Task Additive CAL pe</w:t>
      </w:r>
      <w:r>
        <w:rPr>
          <w:rFonts w:cs="Tahoma"/>
          <w:lang w:val="it-IT"/>
        </w:rPr>
        <w:t xml:space="preserve">r Microsoft Dynamics AX 2012 </w:t>
      </w:r>
      <w:r w:rsidRPr="006C3B66">
        <w:rPr>
          <w:rFonts w:cs="Tahoma"/>
          <w:lang w:val="it-IT"/>
        </w:rPr>
        <w:t>(Utente e Dispositivo)</w:t>
      </w:r>
      <w:r w:rsidRPr="006C3B66">
        <w:tab/>
      </w:r>
      <w:r w:rsidRPr="006C3B66">
        <w:fldChar w:fldCharType="begin"/>
      </w:r>
      <w:r w:rsidRPr="006C3B66">
        <w:instrText xml:space="preserve"> PAGEREF _Toc342900064 \h </w:instrText>
      </w:r>
      <w:r w:rsidRPr="006C3B66">
        <w:fldChar w:fldCharType="separate"/>
      </w:r>
      <w:r>
        <w:t>21</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Task CAL pe</w:t>
      </w:r>
      <w:r>
        <w:rPr>
          <w:rFonts w:cs="Tahoma"/>
          <w:lang w:val="it-IT"/>
        </w:rPr>
        <w:t xml:space="preserve">r Microsoft Dynamics AX 2012 </w:t>
      </w:r>
      <w:r w:rsidRPr="006C3B66">
        <w:rPr>
          <w:rFonts w:cs="Tahoma"/>
          <w:lang w:val="it-IT"/>
        </w:rPr>
        <w:t>(Utente e Dispositivo)</w:t>
      </w:r>
      <w:r w:rsidRPr="006C3B66">
        <w:tab/>
      </w:r>
      <w:r w:rsidRPr="006C3B66">
        <w:fldChar w:fldCharType="begin"/>
      </w:r>
      <w:r w:rsidRPr="006C3B66">
        <w:instrText xml:space="preserve"> PAGEREF _Toc342900065 \h </w:instrText>
      </w:r>
      <w:r w:rsidRPr="006C3B66">
        <w:fldChar w:fldCharType="separate"/>
      </w:r>
      <w:r>
        <w:t>21</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CAL per Microsoft Dynamics CRM 2011 (Utente e Dispositivo)</w:t>
      </w:r>
      <w:r w:rsidRPr="006C3B66">
        <w:tab/>
      </w:r>
      <w:r w:rsidRPr="006C3B66">
        <w:fldChar w:fldCharType="begin"/>
      </w:r>
      <w:r w:rsidRPr="006C3B66">
        <w:instrText xml:space="preserve"> PAGEREF _Toc342900066 \h </w:instrText>
      </w:r>
      <w:r w:rsidRPr="006C3B66">
        <w:fldChar w:fldCharType="separate"/>
      </w:r>
      <w:r>
        <w:t>21</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CAL per Employee Self Service di Microsoft Dynamics CRM 2011 (Utente e Dispositivo)</w:t>
      </w:r>
      <w:r w:rsidRPr="006C3B66">
        <w:tab/>
      </w:r>
      <w:r w:rsidRPr="006C3B66">
        <w:fldChar w:fldCharType="begin"/>
      </w:r>
      <w:r w:rsidRPr="006C3B66">
        <w:instrText xml:space="preserve"> PAGEREF _Toc342900067 \h </w:instrText>
      </w:r>
      <w:r w:rsidRPr="006C3B66">
        <w:fldChar w:fldCharType="separate"/>
      </w:r>
      <w:r>
        <w:t>21</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Microsoft Dynamics CRM 2011 External Connector</w:t>
      </w:r>
      <w:r w:rsidRPr="006C3B66">
        <w:tab/>
      </w:r>
      <w:r w:rsidRPr="006C3B66">
        <w:fldChar w:fldCharType="begin"/>
      </w:r>
      <w:r w:rsidRPr="006C3B66">
        <w:instrText xml:space="preserve"> PAGEREF _Toc342900068 \h </w:instrText>
      </w:r>
      <w:r w:rsidRPr="006C3B66">
        <w:fldChar w:fldCharType="separate"/>
      </w:r>
      <w:r>
        <w:t>21</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CAL Aggiuntiva per l’Utilizzo Completo di Microsoft Dynamics CRM 2011</w:t>
      </w:r>
      <w:r>
        <w:rPr>
          <w:rFonts w:cs="Tahoma"/>
          <w:lang w:val="it-IT"/>
        </w:rPr>
        <w:t xml:space="preserve"> </w:t>
      </w:r>
      <w:r w:rsidRPr="006C3B66">
        <w:rPr>
          <w:rFonts w:cs="Tahoma"/>
          <w:lang w:val="it-IT"/>
        </w:rPr>
        <w:t>(Utente e Dispositivo)</w:t>
      </w:r>
      <w:r w:rsidRPr="006C3B66">
        <w:tab/>
      </w:r>
      <w:r w:rsidRPr="006C3B66">
        <w:fldChar w:fldCharType="begin"/>
      </w:r>
      <w:r w:rsidRPr="006C3B66">
        <w:instrText xml:space="preserve"> PAGEREF _Toc342900069 \h </w:instrText>
      </w:r>
      <w:r w:rsidRPr="006C3B66">
        <w:fldChar w:fldCharType="separate"/>
      </w:r>
      <w:r>
        <w:t>21</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CAL per l’Utilizzo Limitato di Microsoft Dynamics CRM 2011 (Utenti e Dispositivo)</w:t>
      </w:r>
      <w:r w:rsidRPr="006C3B66">
        <w:tab/>
      </w:r>
      <w:r w:rsidRPr="006C3B66">
        <w:fldChar w:fldCharType="begin"/>
      </w:r>
      <w:r w:rsidRPr="006C3B66">
        <w:instrText xml:space="preserve"> PAGEREF _Toc342900070 \h </w:instrText>
      </w:r>
      <w:r w:rsidRPr="006C3B66">
        <w:fldChar w:fldCharType="separate"/>
      </w:r>
      <w:r>
        <w:t>21</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CAL Aggiuntiva per l’Utilizzo Limitato di Microsoft Dynamics CRM 2011</w:t>
      </w:r>
      <w:r>
        <w:rPr>
          <w:rFonts w:cs="Tahoma"/>
          <w:lang w:val="it-IT"/>
        </w:rPr>
        <w:t xml:space="preserve"> </w:t>
      </w:r>
      <w:r w:rsidRPr="006C3B66">
        <w:rPr>
          <w:rFonts w:cs="Tahoma"/>
          <w:lang w:val="it-IT"/>
        </w:rPr>
        <w:t>(Utente e Dispositivo)</w:t>
      </w:r>
      <w:r w:rsidRPr="006C3B66">
        <w:tab/>
      </w:r>
      <w:r w:rsidRPr="006C3B66">
        <w:fldChar w:fldCharType="begin"/>
      </w:r>
      <w:r w:rsidRPr="006C3B66">
        <w:instrText xml:space="preserve"> PAGEREF _Toc342900071 \h </w:instrText>
      </w:r>
      <w:r w:rsidRPr="006C3B66">
        <w:fldChar w:fldCharType="separate"/>
      </w:r>
      <w:r>
        <w:t>21</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Microsoft Dynamics CRM Server 2011</w:t>
      </w:r>
      <w:r w:rsidRPr="006C3B66">
        <w:tab/>
      </w:r>
      <w:r w:rsidRPr="006C3B66">
        <w:fldChar w:fldCharType="begin"/>
      </w:r>
      <w:r w:rsidRPr="006C3B66">
        <w:instrText xml:space="preserve"> PAGEREF _Toc342900072 \h </w:instrText>
      </w:r>
      <w:r w:rsidRPr="006C3B66">
        <w:fldChar w:fldCharType="separate"/>
      </w:r>
      <w:r>
        <w:t>21</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Microsoft Dynamics CRM Workgroup Server 2011</w:t>
      </w:r>
      <w:r w:rsidRPr="006C3B66">
        <w:tab/>
      </w:r>
      <w:r w:rsidRPr="006C3B66">
        <w:fldChar w:fldCharType="begin"/>
      </w:r>
      <w:r w:rsidRPr="006C3B66">
        <w:instrText xml:space="preserve"> PAGEREF _Toc342900073 \h </w:instrText>
      </w:r>
      <w:r w:rsidRPr="006C3B66">
        <w:fldChar w:fldCharType="separate"/>
      </w:r>
      <w:r>
        <w:t>21</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Microsoft Translator API</w:t>
      </w:r>
      <w:r w:rsidRPr="006C3B66">
        <w:tab/>
      </w:r>
      <w:r w:rsidRPr="006C3B66">
        <w:fldChar w:fldCharType="begin"/>
      </w:r>
      <w:r w:rsidRPr="006C3B66">
        <w:instrText xml:space="preserve"> PAGEREF _Toc342900074 \h </w:instrText>
      </w:r>
      <w:r w:rsidRPr="006C3B66">
        <w:fldChar w:fldCharType="separate"/>
      </w:r>
      <w:r>
        <w:t>21</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Office 365 Piano A2 (SL per Utente).</w:t>
      </w:r>
      <w:r w:rsidRPr="006C3B66">
        <w:tab/>
      </w:r>
      <w:r w:rsidRPr="006C3B66">
        <w:fldChar w:fldCharType="begin"/>
      </w:r>
      <w:r w:rsidRPr="006C3B66">
        <w:instrText xml:space="preserve"> PAGEREF _Toc342900075 \h </w:instrText>
      </w:r>
      <w:r w:rsidRPr="006C3B66">
        <w:fldChar w:fldCharType="separate"/>
      </w:r>
      <w:r>
        <w:t>21</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Office 365 Piano A3 (SL per Utente).</w:t>
      </w:r>
      <w:r w:rsidRPr="006C3B66">
        <w:tab/>
      </w:r>
      <w:r w:rsidRPr="006C3B66">
        <w:fldChar w:fldCharType="begin"/>
      </w:r>
      <w:r w:rsidRPr="006C3B66">
        <w:instrText xml:space="preserve"> PAGEREF _Toc342900076 \h </w:instrText>
      </w:r>
      <w:r w:rsidRPr="006C3B66">
        <w:fldChar w:fldCharType="separate"/>
      </w:r>
      <w:r>
        <w:t>21</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Office 365 Piano A4 (SL per Utente).</w:t>
      </w:r>
      <w:r w:rsidRPr="006C3B66">
        <w:tab/>
      </w:r>
      <w:r w:rsidRPr="006C3B66">
        <w:fldChar w:fldCharType="begin"/>
      </w:r>
      <w:r w:rsidRPr="006C3B66">
        <w:instrText xml:space="preserve"> PAGEREF _Toc342900077 \h </w:instrText>
      </w:r>
      <w:r w:rsidRPr="006C3B66">
        <w:fldChar w:fldCharType="separate"/>
      </w:r>
      <w:r>
        <w:t>21</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Office 365 Piano E1 (SL per Utente).</w:t>
      </w:r>
      <w:r w:rsidRPr="006C3B66">
        <w:tab/>
      </w:r>
      <w:r w:rsidRPr="006C3B66">
        <w:fldChar w:fldCharType="begin"/>
      </w:r>
      <w:r w:rsidRPr="006C3B66">
        <w:instrText xml:space="preserve"> PAGEREF _Toc342900078 \h </w:instrText>
      </w:r>
      <w:r w:rsidRPr="006C3B66">
        <w:fldChar w:fldCharType="separate"/>
      </w:r>
      <w:r>
        <w:t>21</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Office 365 Piano E2 - E4 (SL per Utente).</w:t>
      </w:r>
      <w:r w:rsidRPr="006C3B66">
        <w:tab/>
      </w:r>
      <w:r w:rsidRPr="006C3B66">
        <w:fldChar w:fldCharType="begin"/>
      </w:r>
      <w:r w:rsidRPr="006C3B66">
        <w:instrText xml:space="preserve"> PAGEREF _Toc342900079 \h </w:instrText>
      </w:r>
      <w:r w:rsidRPr="006C3B66">
        <w:fldChar w:fldCharType="separate"/>
      </w:r>
      <w:r>
        <w:t>21</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Office 365 Piano G1 - G4 (SL per Utente).</w:t>
      </w:r>
      <w:r w:rsidRPr="006C3B66">
        <w:tab/>
      </w:r>
      <w:r w:rsidRPr="006C3B66">
        <w:fldChar w:fldCharType="begin"/>
      </w:r>
      <w:r w:rsidRPr="006C3B66">
        <w:instrText xml:space="preserve"> PAGEREF _Toc342900080 \h </w:instrText>
      </w:r>
      <w:r w:rsidRPr="006C3B66">
        <w:fldChar w:fldCharType="separate"/>
      </w:r>
      <w:r>
        <w:t>21</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Office 365 Piano K1 (SL per Utente).</w:t>
      </w:r>
      <w:r w:rsidRPr="006C3B66">
        <w:tab/>
      </w:r>
      <w:r w:rsidRPr="006C3B66">
        <w:fldChar w:fldCharType="begin"/>
      </w:r>
      <w:r w:rsidRPr="006C3B66">
        <w:instrText xml:space="preserve"> PAGEREF _Toc342900081 \h </w:instrText>
      </w:r>
      <w:r w:rsidRPr="006C3B66">
        <w:fldChar w:fldCharType="separate"/>
      </w:r>
      <w:r>
        <w:t>21</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Office 365 Piano K2 (SL per Utente).</w:t>
      </w:r>
      <w:r w:rsidRPr="006C3B66">
        <w:tab/>
      </w:r>
      <w:r w:rsidRPr="006C3B66">
        <w:fldChar w:fldCharType="begin"/>
      </w:r>
      <w:r w:rsidRPr="006C3B66">
        <w:instrText xml:space="preserve"> PAGEREF _Toc342900082 \h </w:instrText>
      </w:r>
      <w:r w:rsidRPr="006C3B66">
        <w:fldChar w:fldCharType="separate"/>
      </w:r>
      <w:r>
        <w:t>21</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lastRenderedPageBreak/>
        <w:t>Office Web Applications con SharePoint Piano 2A (SL per utente)</w:t>
      </w:r>
      <w:r w:rsidRPr="006C3B66">
        <w:tab/>
      </w:r>
      <w:r w:rsidRPr="006C3B66">
        <w:fldChar w:fldCharType="begin"/>
      </w:r>
      <w:r w:rsidRPr="006C3B66">
        <w:instrText xml:space="preserve"> PAGEREF _Toc342900083 \h </w:instrText>
      </w:r>
      <w:r w:rsidRPr="006C3B66">
        <w:fldChar w:fldCharType="separate"/>
      </w:r>
      <w:r>
        <w:t>21</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Project Server 2013</w:t>
      </w:r>
      <w:r w:rsidRPr="006C3B66">
        <w:tab/>
      </w:r>
      <w:r w:rsidRPr="006C3B66">
        <w:fldChar w:fldCharType="begin"/>
      </w:r>
      <w:r w:rsidRPr="006C3B66">
        <w:instrText xml:space="preserve"> PAGEREF _Toc342900084 \h </w:instrText>
      </w:r>
      <w:r w:rsidRPr="006C3B66">
        <w:fldChar w:fldCharType="separate"/>
      </w:r>
      <w:r>
        <w:t>21</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CAL per Project Server 2013</w:t>
      </w:r>
      <w:r w:rsidRPr="006C3B66">
        <w:tab/>
      </w:r>
      <w:r w:rsidRPr="006C3B66">
        <w:fldChar w:fldCharType="begin"/>
      </w:r>
      <w:r w:rsidRPr="006C3B66">
        <w:instrText xml:space="preserve"> PAGEREF _Toc342900085 \h </w:instrText>
      </w:r>
      <w:r w:rsidRPr="006C3B66">
        <w:fldChar w:fldCharType="separate"/>
      </w:r>
      <w:r>
        <w:t>21</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SharePoint™ Online Extra Storage 1 GB (SL Add-on)</w:t>
      </w:r>
      <w:r w:rsidRPr="006C3B66">
        <w:tab/>
      </w:r>
      <w:r w:rsidRPr="006C3B66">
        <w:fldChar w:fldCharType="begin"/>
      </w:r>
      <w:r w:rsidRPr="006C3B66">
        <w:instrText xml:space="preserve"> PAGEREF _Toc342900086 \h </w:instrText>
      </w:r>
      <w:r w:rsidRPr="006C3B66">
        <w:fldChar w:fldCharType="separate"/>
      </w:r>
      <w:r>
        <w:t>21</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SharePoint™ Online Extra Storage 1 GB A (SL Add-on)</w:t>
      </w:r>
      <w:r w:rsidRPr="006C3B66">
        <w:tab/>
      </w:r>
      <w:r w:rsidRPr="006C3B66">
        <w:fldChar w:fldCharType="begin"/>
      </w:r>
      <w:r w:rsidRPr="006C3B66">
        <w:instrText xml:space="preserve"> PAGEREF _Toc342900087 \h </w:instrText>
      </w:r>
      <w:r w:rsidRPr="006C3B66">
        <w:fldChar w:fldCharType="separate"/>
      </w:r>
      <w:r>
        <w:t>21</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SharePoint™ Online Piano 1</w:t>
      </w:r>
      <w:r>
        <w:rPr>
          <w:rFonts w:cs="Tahoma"/>
          <w:lang w:val="it-IT"/>
        </w:rPr>
        <w:t xml:space="preserve"> </w:t>
      </w:r>
      <w:r w:rsidRPr="006C3B66">
        <w:rPr>
          <w:rFonts w:cs="Tahoma"/>
          <w:lang w:val="it-IT"/>
        </w:rPr>
        <w:t>(SL per Utente)</w:t>
      </w:r>
      <w:r w:rsidRPr="006C3B66">
        <w:tab/>
      </w:r>
      <w:r w:rsidRPr="006C3B66">
        <w:fldChar w:fldCharType="begin"/>
      </w:r>
      <w:r w:rsidRPr="006C3B66">
        <w:instrText xml:space="preserve"> PAGEREF _Toc342900088 \h </w:instrText>
      </w:r>
      <w:r w:rsidRPr="006C3B66">
        <w:fldChar w:fldCharType="separate"/>
      </w:r>
      <w:r>
        <w:t>21</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SharePoint™ Online Piano 2</w:t>
      </w:r>
      <w:r>
        <w:rPr>
          <w:rFonts w:cs="Tahoma"/>
          <w:lang w:val="it-IT"/>
        </w:rPr>
        <w:t xml:space="preserve"> </w:t>
      </w:r>
      <w:r w:rsidRPr="006C3B66">
        <w:rPr>
          <w:rFonts w:cs="Tahoma"/>
          <w:lang w:val="it-IT"/>
        </w:rPr>
        <w:t>(SL per Utente)</w:t>
      </w:r>
      <w:r w:rsidRPr="006C3B66">
        <w:tab/>
      </w:r>
      <w:r w:rsidRPr="006C3B66">
        <w:fldChar w:fldCharType="begin"/>
      </w:r>
      <w:r w:rsidRPr="006C3B66">
        <w:instrText xml:space="preserve"> PAGEREF _Toc342900089 \h </w:instrText>
      </w:r>
      <w:r w:rsidRPr="006C3B66">
        <w:fldChar w:fldCharType="separate"/>
      </w:r>
      <w:r>
        <w:t>22</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SharePoint™ Server 2013</w:t>
      </w:r>
      <w:r w:rsidRPr="006C3B66">
        <w:tab/>
      </w:r>
      <w:r w:rsidRPr="006C3B66">
        <w:fldChar w:fldCharType="begin"/>
      </w:r>
      <w:r w:rsidRPr="006C3B66">
        <w:instrText xml:space="preserve"> PAGEREF _Toc342900090 \h </w:instrText>
      </w:r>
      <w:r w:rsidRPr="006C3B66">
        <w:fldChar w:fldCharType="separate"/>
      </w:r>
      <w:r>
        <w:t>22</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Enterprise CAL per SharePoint™ Server 2013</w:t>
      </w:r>
      <w:r w:rsidRPr="006C3B66">
        <w:tab/>
      </w:r>
      <w:r w:rsidRPr="006C3B66">
        <w:fldChar w:fldCharType="begin"/>
      </w:r>
      <w:r w:rsidRPr="006C3B66">
        <w:instrText xml:space="preserve"> PAGEREF _Toc342900091 \h </w:instrText>
      </w:r>
      <w:r w:rsidRPr="006C3B66">
        <w:fldChar w:fldCharType="separate"/>
      </w:r>
      <w:r>
        <w:t>22</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Standard CAL per SharePoint™ Server 2013</w:t>
      </w:r>
      <w:r w:rsidRPr="006C3B66">
        <w:tab/>
      </w:r>
      <w:r w:rsidRPr="006C3B66">
        <w:fldChar w:fldCharType="begin"/>
      </w:r>
      <w:r w:rsidRPr="006C3B66">
        <w:instrText xml:space="preserve"> PAGEREF _Toc342900092 \h </w:instrText>
      </w:r>
      <w:r w:rsidRPr="006C3B66">
        <w:fldChar w:fldCharType="separate"/>
      </w:r>
      <w:r>
        <w:t>22</w:t>
      </w:r>
      <w:r w:rsidRPr="006C3B66">
        <w:fldChar w:fldCharType="end"/>
      </w:r>
    </w:p>
    <w:p w:rsidR="00A92422" w:rsidRPr="006C3B66" w:rsidRDefault="00A92422" w:rsidP="00A92422">
      <w:pPr>
        <w:pStyle w:val="TOC2"/>
        <w:rPr>
          <w:rFonts w:cs="Tahoma"/>
          <w:lang w:val="it-IT"/>
        </w:rPr>
      </w:pPr>
      <w:r w:rsidRPr="006C3B66">
        <w:rPr>
          <w:rFonts w:cs="Tahoma"/>
          <w:lang w:val="it-IT"/>
        </w:rPr>
        <w:t>1 Licenza per Processore per SQL Server</w:t>
      </w:r>
      <w:r w:rsidRPr="003A0F2F">
        <w:rPr>
          <w:rFonts w:cs="Tahoma"/>
          <w:vertAlign w:val="superscript"/>
          <w:lang w:val="it-IT"/>
        </w:rPr>
        <w:t>®</w:t>
      </w:r>
      <w:r w:rsidRPr="006C3B66">
        <w:rPr>
          <w:rFonts w:cs="Tahoma"/>
          <w:lang w:val="it-IT"/>
        </w:rPr>
        <w:t xml:space="preserve"> 2008 R2 Datacenter</w:t>
      </w:r>
      <w:r w:rsidRPr="006C3B66">
        <w:rPr>
          <w:rFonts w:cs="Tahoma"/>
          <w:lang w:val="it-IT"/>
        </w:rPr>
        <w:tab/>
      </w:r>
      <w:r w:rsidRPr="006C3B66">
        <w:rPr>
          <w:rFonts w:cs="Tahoma"/>
          <w:lang w:val="it-IT"/>
        </w:rPr>
        <w:fldChar w:fldCharType="begin"/>
      </w:r>
      <w:r w:rsidRPr="006C3B66">
        <w:rPr>
          <w:rFonts w:cs="Tahoma"/>
          <w:lang w:val="it-IT"/>
        </w:rPr>
        <w:instrText xml:space="preserve"> PAGEREF _Toc342900093 \h </w:instrText>
      </w:r>
      <w:r w:rsidRPr="006C3B66">
        <w:rPr>
          <w:rFonts w:cs="Tahoma"/>
          <w:lang w:val="it-IT"/>
        </w:rPr>
      </w:r>
      <w:r w:rsidRPr="006C3B66">
        <w:rPr>
          <w:rFonts w:cs="Tahoma"/>
          <w:lang w:val="it-IT"/>
        </w:rPr>
        <w:fldChar w:fldCharType="separate"/>
      </w:r>
      <w:r>
        <w:rPr>
          <w:rFonts w:cs="Tahoma"/>
          <w:lang w:val="it-IT"/>
        </w:rPr>
        <w:t>22</w:t>
      </w:r>
      <w:r w:rsidRPr="006C3B66">
        <w:rPr>
          <w:rFonts w:cs="Tahoma"/>
          <w:lang w:val="it-IT"/>
        </w:rPr>
        <w:fldChar w:fldCharType="end"/>
      </w:r>
    </w:p>
    <w:p w:rsidR="00A92422" w:rsidRPr="006C3B66" w:rsidRDefault="00A92422" w:rsidP="00A92422">
      <w:pPr>
        <w:pStyle w:val="TOC2"/>
        <w:rPr>
          <w:rFonts w:cs="Tahoma"/>
          <w:lang w:val="it-IT"/>
        </w:rPr>
      </w:pPr>
      <w:r w:rsidRPr="006C3B66">
        <w:rPr>
          <w:rFonts w:cs="Tahoma"/>
          <w:lang w:val="it-IT"/>
        </w:rPr>
        <w:t>SQL Server</w:t>
      </w:r>
      <w:r w:rsidRPr="003A0F2F">
        <w:rPr>
          <w:rFonts w:cs="Tahoma"/>
          <w:vertAlign w:val="superscript"/>
          <w:lang w:val="it-IT"/>
        </w:rPr>
        <w:t>®</w:t>
      </w:r>
      <w:r w:rsidRPr="006C3B66">
        <w:rPr>
          <w:rFonts w:cs="Tahoma"/>
          <w:lang w:val="it-IT"/>
        </w:rPr>
        <w:t xml:space="preserve"> 2008 R2 Parallel Data Warehouse</w:t>
      </w:r>
      <w:r w:rsidRPr="006C3B66">
        <w:rPr>
          <w:rFonts w:cs="Tahoma"/>
          <w:lang w:val="it-IT"/>
        </w:rPr>
        <w:tab/>
      </w:r>
      <w:r w:rsidRPr="006C3B66">
        <w:rPr>
          <w:rFonts w:cs="Tahoma"/>
          <w:lang w:val="it-IT"/>
        </w:rPr>
        <w:fldChar w:fldCharType="begin"/>
      </w:r>
      <w:r w:rsidRPr="006C3B66">
        <w:rPr>
          <w:rFonts w:cs="Tahoma"/>
          <w:lang w:val="it-IT"/>
        </w:rPr>
        <w:instrText xml:space="preserve"> PAGEREF _Toc342900094 \h </w:instrText>
      </w:r>
      <w:r w:rsidRPr="006C3B66">
        <w:rPr>
          <w:rFonts w:cs="Tahoma"/>
          <w:lang w:val="it-IT"/>
        </w:rPr>
      </w:r>
      <w:r w:rsidRPr="006C3B66">
        <w:rPr>
          <w:rFonts w:cs="Tahoma"/>
          <w:lang w:val="it-IT"/>
        </w:rPr>
        <w:fldChar w:fldCharType="separate"/>
      </w:r>
      <w:r>
        <w:rPr>
          <w:rFonts w:cs="Tahoma"/>
          <w:lang w:val="it-IT"/>
        </w:rPr>
        <w:t>22</w:t>
      </w:r>
      <w:r w:rsidRPr="006C3B66">
        <w:rPr>
          <w:rFonts w:cs="Tahoma"/>
          <w:lang w:val="it-IT"/>
        </w:rPr>
        <w:fldChar w:fldCharType="end"/>
      </w:r>
    </w:p>
    <w:p w:rsidR="00A92422" w:rsidRPr="006C3B66" w:rsidRDefault="00A92422" w:rsidP="00A92422">
      <w:pPr>
        <w:pStyle w:val="TOC2"/>
        <w:rPr>
          <w:rFonts w:cs="Tahoma"/>
          <w:lang w:val="it-IT"/>
        </w:rPr>
      </w:pPr>
      <w:r w:rsidRPr="006C3B66">
        <w:rPr>
          <w:rFonts w:cs="Tahoma"/>
          <w:lang w:val="it-IT"/>
        </w:rPr>
        <w:t>SQL Server</w:t>
      </w:r>
      <w:r w:rsidRPr="003A0F2F">
        <w:rPr>
          <w:rFonts w:cs="Tahoma"/>
          <w:vertAlign w:val="superscript"/>
          <w:lang w:val="it-IT"/>
        </w:rPr>
        <w:t>®</w:t>
      </w:r>
      <w:r w:rsidRPr="006C3B66">
        <w:rPr>
          <w:rFonts w:cs="Tahoma"/>
          <w:lang w:val="it-IT"/>
        </w:rPr>
        <w:t xml:space="preserve"> 2008 R2 Parallel Data Warehouse Developer</w:t>
      </w:r>
      <w:r w:rsidRPr="006C3B66">
        <w:rPr>
          <w:rFonts w:cs="Tahoma"/>
          <w:lang w:val="it-IT"/>
        </w:rPr>
        <w:tab/>
      </w:r>
      <w:r w:rsidRPr="006C3B66">
        <w:rPr>
          <w:rFonts w:cs="Tahoma"/>
          <w:lang w:val="it-IT"/>
        </w:rPr>
        <w:fldChar w:fldCharType="begin"/>
      </w:r>
      <w:r w:rsidRPr="006C3B66">
        <w:rPr>
          <w:rFonts w:cs="Tahoma"/>
          <w:lang w:val="it-IT"/>
        </w:rPr>
        <w:instrText xml:space="preserve"> PAGEREF _Toc342900095 \h </w:instrText>
      </w:r>
      <w:r w:rsidRPr="006C3B66">
        <w:rPr>
          <w:rFonts w:cs="Tahoma"/>
          <w:lang w:val="it-IT"/>
        </w:rPr>
      </w:r>
      <w:r w:rsidRPr="006C3B66">
        <w:rPr>
          <w:rFonts w:cs="Tahoma"/>
          <w:lang w:val="it-IT"/>
        </w:rPr>
        <w:fldChar w:fldCharType="separate"/>
      </w:r>
      <w:r>
        <w:rPr>
          <w:rFonts w:cs="Tahoma"/>
          <w:lang w:val="it-IT"/>
        </w:rPr>
        <w:t>22</w:t>
      </w:r>
      <w:r w:rsidRPr="006C3B66">
        <w:rPr>
          <w:rFonts w:cs="Tahoma"/>
          <w:lang w:val="it-IT"/>
        </w:rPr>
        <w:fldChar w:fldCharType="end"/>
      </w:r>
    </w:p>
    <w:p w:rsidR="00A92422" w:rsidRPr="006C3B66" w:rsidRDefault="00A92422" w:rsidP="00A92422">
      <w:pPr>
        <w:pStyle w:val="TOC2"/>
        <w:rPr>
          <w:rFonts w:cs="Tahoma"/>
          <w:lang w:val="it-IT"/>
        </w:rPr>
      </w:pPr>
      <w:r w:rsidRPr="006C3B66">
        <w:rPr>
          <w:rFonts w:cs="Tahoma"/>
          <w:lang w:val="it-IT"/>
        </w:rPr>
        <w:t>SQL Server</w:t>
      </w:r>
      <w:r w:rsidRPr="003A0F2F">
        <w:rPr>
          <w:rFonts w:cs="Tahoma"/>
          <w:vertAlign w:val="superscript"/>
          <w:lang w:val="it-IT"/>
        </w:rPr>
        <w:t>®</w:t>
      </w:r>
      <w:r w:rsidRPr="006C3B66">
        <w:rPr>
          <w:rFonts w:cs="Tahoma"/>
          <w:lang w:val="it-IT"/>
        </w:rPr>
        <w:t xml:space="preserve"> 2008 R2 Small Business</w:t>
      </w:r>
      <w:r w:rsidRPr="006C3B66">
        <w:rPr>
          <w:rFonts w:cs="Tahoma"/>
          <w:lang w:val="it-IT"/>
        </w:rPr>
        <w:tab/>
      </w:r>
      <w:r w:rsidRPr="006C3B66">
        <w:rPr>
          <w:rFonts w:cs="Tahoma"/>
          <w:lang w:val="it-IT"/>
        </w:rPr>
        <w:fldChar w:fldCharType="begin"/>
      </w:r>
      <w:r w:rsidRPr="006C3B66">
        <w:rPr>
          <w:rFonts w:cs="Tahoma"/>
          <w:lang w:val="it-IT"/>
        </w:rPr>
        <w:instrText xml:space="preserve"> PAGEREF _Toc342900096 \h </w:instrText>
      </w:r>
      <w:r w:rsidRPr="006C3B66">
        <w:rPr>
          <w:rFonts w:cs="Tahoma"/>
          <w:lang w:val="it-IT"/>
        </w:rPr>
      </w:r>
      <w:r w:rsidRPr="006C3B66">
        <w:rPr>
          <w:rFonts w:cs="Tahoma"/>
          <w:lang w:val="it-IT"/>
        </w:rPr>
        <w:fldChar w:fldCharType="separate"/>
      </w:r>
      <w:r>
        <w:rPr>
          <w:rFonts w:cs="Tahoma"/>
          <w:lang w:val="it-IT"/>
        </w:rPr>
        <w:t>22</w:t>
      </w:r>
      <w:r w:rsidRPr="006C3B66">
        <w:rPr>
          <w:rFonts w:cs="Tahoma"/>
          <w:lang w:val="it-IT"/>
        </w:rPr>
        <w:fldChar w:fldCharType="end"/>
      </w:r>
    </w:p>
    <w:p w:rsidR="00A92422" w:rsidRPr="006C3B66" w:rsidRDefault="00A92422" w:rsidP="00A92422">
      <w:pPr>
        <w:pStyle w:val="TOC2"/>
        <w:rPr>
          <w:rFonts w:cs="Tahoma"/>
          <w:lang w:val="it-IT"/>
        </w:rPr>
      </w:pPr>
      <w:r w:rsidRPr="006C3B66">
        <w:rPr>
          <w:rFonts w:cs="Tahoma"/>
          <w:lang w:val="it-IT"/>
        </w:rPr>
        <w:t>CAL per SQL Server</w:t>
      </w:r>
      <w:r w:rsidRPr="003A0F2F">
        <w:rPr>
          <w:rFonts w:cs="Tahoma"/>
          <w:vertAlign w:val="superscript"/>
          <w:lang w:val="it-IT"/>
        </w:rPr>
        <w:t>®</w:t>
      </w:r>
      <w:r w:rsidRPr="006C3B66">
        <w:rPr>
          <w:rFonts w:cs="Tahoma"/>
          <w:lang w:val="it-IT"/>
        </w:rPr>
        <w:t xml:space="preserve"> 2008 R2 Small Business</w:t>
      </w:r>
      <w:r w:rsidRPr="006C3B66">
        <w:rPr>
          <w:rFonts w:cs="Tahoma"/>
          <w:lang w:val="it-IT"/>
        </w:rPr>
        <w:tab/>
      </w:r>
      <w:r w:rsidRPr="006C3B66">
        <w:rPr>
          <w:rFonts w:cs="Tahoma"/>
          <w:lang w:val="it-IT"/>
        </w:rPr>
        <w:fldChar w:fldCharType="begin"/>
      </w:r>
      <w:r w:rsidRPr="006C3B66">
        <w:rPr>
          <w:rFonts w:cs="Tahoma"/>
          <w:lang w:val="it-IT"/>
        </w:rPr>
        <w:instrText xml:space="preserve"> PAGEREF _Toc342900097 \h </w:instrText>
      </w:r>
      <w:r w:rsidRPr="006C3B66">
        <w:rPr>
          <w:rFonts w:cs="Tahoma"/>
          <w:lang w:val="it-IT"/>
        </w:rPr>
      </w:r>
      <w:r w:rsidRPr="006C3B66">
        <w:rPr>
          <w:rFonts w:cs="Tahoma"/>
          <w:lang w:val="it-IT"/>
        </w:rPr>
        <w:fldChar w:fldCharType="separate"/>
      </w:r>
      <w:r>
        <w:rPr>
          <w:rFonts w:cs="Tahoma"/>
          <w:lang w:val="it-IT"/>
        </w:rPr>
        <w:t>22</w:t>
      </w:r>
      <w:r w:rsidRPr="006C3B66">
        <w:rPr>
          <w:rFonts w:cs="Tahoma"/>
          <w:lang w:val="it-IT"/>
        </w:rPr>
        <w:fldChar w:fldCharType="end"/>
      </w:r>
    </w:p>
    <w:p w:rsidR="00A92422" w:rsidRPr="006C3B66" w:rsidRDefault="00A92422" w:rsidP="00A92422">
      <w:pPr>
        <w:pStyle w:val="TOC2"/>
        <w:rPr>
          <w:rFonts w:cs="Tahoma"/>
          <w:lang w:val="it-IT"/>
        </w:rPr>
      </w:pPr>
      <w:r w:rsidRPr="006C3B66">
        <w:rPr>
          <w:rFonts w:cs="Tahoma"/>
          <w:lang w:val="it-IT"/>
        </w:rPr>
        <w:t>Licenza per Processore per SQL Server</w:t>
      </w:r>
      <w:r w:rsidRPr="003A0F2F">
        <w:rPr>
          <w:rFonts w:cs="Tahoma"/>
          <w:vertAlign w:val="superscript"/>
          <w:lang w:val="it-IT"/>
        </w:rPr>
        <w:t>®</w:t>
      </w:r>
      <w:r w:rsidRPr="006C3B66">
        <w:rPr>
          <w:rFonts w:cs="Tahoma"/>
          <w:lang w:val="it-IT"/>
        </w:rPr>
        <w:t xml:space="preserve"> 2008 R2 Web</w:t>
      </w:r>
      <w:r w:rsidRPr="006C3B66">
        <w:rPr>
          <w:rFonts w:cs="Tahoma"/>
          <w:lang w:val="it-IT"/>
        </w:rPr>
        <w:tab/>
      </w:r>
      <w:r w:rsidRPr="006C3B66">
        <w:rPr>
          <w:rFonts w:cs="Tahoma"/>
          <w:lang w:val="it-IT"/>
        </w:rPr>
        <w:fldChar w:fldCharType="begin"/>
      </w:r>
      <w:r w:rsidRPr="006C3B66">
        <w:rPr>
          <w:rFonts w:cs="Tahoma"/>
          <w:lang w:val="it-IT"/>
        </w:rPr>
        <w:instrText xml:space="preserve"> PAGEREF _Toc342900098 \h </w:instrText>
      </w:r>
      <w:r w:rsidRPr="006C3B66">
        <w:rPr>
          <w:rFonts w:cs="Tahoma"/>
          <w:lang w:val="it-IT"/>
        </w:rPr>
      </w:r>
      <w:r w:rsidRPr="006C3B66">
        <w:rPr>
          <w:rFonts w:cs="Tahoma"/>
          <w:lang w:val="it-IT"/>
        </w:rPr>
        <w:fldChar w:fldCharType="separate"/>
      </w:r>
      <w:r>
        <w:rPr>
          <w:rFonts w:cs="Tahoma"/>
          <w:lang w:val="it-IT"/>
        </w:rPr>
        <w:t>22</w:t>
      </w:r>
      <w:r w:rsidRPr="006C3B66">
        <w:rPr>
          <w:rFonts w:cs="Tahoma"/>
          <w:lang w:val="it-IT"/>
        </w:rPr>
        <w:fldChar w:fldCharType="end"/>
      </w:r>
    </w:p>
    <w:p w:rsidR="00A92422" w:rsidRPr="006C3B66" w:rsidRDefault="00A92422" w:rsidP="00A92422">
      <w:pPr>
        <w:pStyle w:val="TOC2"/>
        <w:rPr>
          <w:rFonts w:cs="Tahoma"/>
          <w:lang w:val="it-IT"/>
        </w:rPr>
      </w:pPr>
      <w:r w:rsidRPr="006C3B66">
        <w:rPr>
          <w:rFonts w:cs="Tahoma"/>
          <w:lang w:val="it-IT"/>
        </w:rPr>
        <w:t>CAL per SQL Server</w:t>
      </w:r>
      <w:r w:rsidRPr="003A0F2F">
        <w:rPr>
          <w:rFonts w:cs="Tahoma"/>
          <w:vertAlign w:val="superscript"/>
          <w:lang w:val="it-IT"/>
        </w:rPr>
        <w:t>®</w:t>
      </w:r>
      <w:r w:rsidRPr="006C3B66">
        <w:rPr>
          <w:rFonts w:cs="Tahoma"/>
          <w:lang w:val="it-IT"/>
        </w:rPr>
        <w:t xml:space="preserve"> 2008 R2 Workgroup</w:t>
      </w:r>
      <w:r w:rsidRPr="006C3B66">
        <w:rPr>
          <w:rFonts w:cs="Tahoma"/>
          <w:lang w:val="it-IT"/>
        </w:rPr>
        <w:tab/>
      </w:r>
      <w:r w:rsidRPr="006C3B66">
        <w:rPr>
          <w:rFonts w:cs="Tahoma"/>
          <w:lang w:val="it-IT"/>
        </w:rPr>
        <w:fldChar w:fldCharType="begin"/>
      </w:r>
      <w:r w:rsidRPr="006C3B66">
        <w:rPr>
          <w:rFonts w:cs="Tahoma"/>
          <w:lang w:val="it-IT"/>
        </w:rPr>
        <w:instrText xml:space="preserve"> PAGEREF _Toc342900099 \h </w:instrText>
      </w:r>
      <w:r w:rsidRPr="006C3B66">
        <w:rPr>
          <w:rFonts w:cs="Tahoma"/>
          <w:lang w:val="it-IT"/>
        </w:rPr>
      </w:r>
      <w:r w:rsidRPr="006C3B66">
        <w:rPr>
          <w:rFonts w:cs="Tahoma"/>
          <w:lang w:val="it-IT"/>
        </w:rPr>
        <w:fldChar w:fldCharType="separate"/>
      </w:r>
      <w:r>
        <w:rPr>
          <w:rFonts w:cs="Tahoma"/>
          <w:lang w:val="it-IT"/>
        </w:rPr>
        <w:t>22</w:t>
      </w:r>
      <w:r w:rsidRPr="006C3B66">
        <w:rPr>
          <w:rFonts w:cs="Tahoma"/>
          <w:lang w:val="it-IT"/>
        </w:rPr>
        <w:fldChar w:fldCharType="end"/>
      </w:r>
    </w:p>
    <w:p w:rsidR="00A92422" w:rsidRPr="006C3B66" w:rsidRDefault="00A92422" w:rsidP="00A92422">
      <w:pPr>
        <w:pStyle w:val="TOC2"/>
        <w:rPr>
          <w:rFonts w:cs="Tahoma"/>
          <w:lang w:val="it-IT"/>
        </w:rPr>
      </w:pPr>
      <w:r w:rsidRPr="006C3B66">
        <w:rPr>
          <w:rFonts w:cs="Tahoma"/>
          <w:lang w:val="it-IT"/>
        </w:rPr>
        <w:t>1 Licenza per Processore per SQL Server</w:t>
      </w:r>
      <w:r w:rsidRPr="003A0F2F">
        <w:rPr>
          <w:rFonts w:cs="Tahoma"/>
          <w:vertAlign w:val="superscript"/>
          <w:lang w:val="it-IT"/>
        </w:rPr>
        <w:t>®</w:t>
      </w:r>
      <w:r w:rsidRPr="006C3B66">
        <w:rPr>
          <w:rFonts w:cs="Tahoma"/>
          <w:lang w:val="it-IT"/>
        </w:rPr>
        <w:t xml:space="preserve"> 2008 R2 Workgroup</w:t>
      </w:r>
      <w:r w:rsidRPr="006C3B66">
        <w:rPr>
          <w:rFonts w:cs="Tahoma"/>
          <w:lang w:val="it-IT"/>
        </w:rPr>
        <w:tab/>
      </w:r>
      <w:r w:rsidRPr="006C3B66">
        <w:rPr>
          <w:rFonts w:cs="Tahoma"/>
          <w:lang w:val="it-IT"/>
        </w:rPr>
        <w:fldChar w:fldCharType="begin"/>
      </w:r>
      <w:r w:rsidRPr="006C3B66">
        <w:rPr>
          <w:rFonts w:cs="Tahoma"/>
          <w:lang w:val="it-IT"/>
        </w:rPr>
        <w:instrText xml:space="preserve"> PAGEREF _Toc342900100 \h </w:instrText>
      </w:r>
      <w:r w:rsidRPr="006C3B66">
        <w:rPr>
          <w:rFonts w:cs="Tahoma"/>
          <w:lang w:val="it-IT"/>
        </w:rPr>
      </w:r>
      <w:r w:rsidRPr="006C3B66">
        <w:rPr>
          <w:rFonts w:cs="Tahoma"/>
          <w:lang w:val="it-IT"/>
        </w:rPr>
        <w:fldChar w:fldCharType="separate"/>
      </w:r>
      <w:r>
        <w:rPr>
          <w:rFonts w:cs="Tahoma"/>
          <w:lang w:val="it-IT"/>
        </w:rPr>
        <w:t>22</w:t>
      </w:r>
      <w:r w:rsidRPr="006C3B66">
        <w:rPr>
          <w:rFonts w:cs="Tahoma"/>
          <w:lang w:val="it-IT"/>
        </w:rPr>
        <w:fldChar w:fldCharType="end"/>
      </w:r>
    </w:p>
    <w:p w:rsidR="00A92422" w:rsidRPr="006C3B66" w:rsidRDefault="00A92422" w:rsidP="00A92422">
      <w:pPr>
        <w:pStyle w:val="TOC2"/>
        <w:rPr>
          <w:rFonts w:cs="Tahoma"/>
          <w:lang w:val="it-IT"/>
        </w:rPr>
      </w:pPr>
      <w:r w:rsidRPr="006C3B66">
        <w:rPr>
          <w:rFonts w:cs="Tahoma"/>
          <w:lang w:val="it-IT"/>
        </w:rPr>
        <w:t>SQL Server</w:t>
      </w:r>
      <w:r w:rsidRPr="003A0F2F">
        <w:rPr>
          <w:rFonts w:cs="Tahoma"/>
          <w:vertAlign w:val="superscript"/>
          <w:lang w:val="it-IT"/>
        </w:rPr>
        <w:t>®</w:t>
      </w:r>
      <w:r w:rsidRPr="006C3B66">
        <w:rPr>
          <w:rFonts w:cs="Tahoma"/>
          <w:lang w:val="it-IT"/>
        </w:rPr>
        <w:t xml:space="preserve"> 2008 R2 Workgroup</w:t>
      </w:r>
      <w:r>
        <w:rPr>
          <w:rFonts w:cs="Tahoma"/>
          <w:lang w:val="it-IT"/>
        </w:rPr>
        <w:t xml:space="preserve"> </w:t>
      </w:r>
      <w:r w:rsidRPr="006C3B66">
        <w:rPr>
          <w:rFonts w:cs="Tahoma"/>
          <w:lang w:val="it-IT"/>
        </w:rPr>
        <w:t>(5 Add On Client)</w:t>
      </w:r>
      <w:r w:rsidRPr="006C3B66">
        <w:rPr>
          <w:rFonts w:cs="Tahoma"/>
          <w:lang w:val="it-IT"/>
        </w:rPr>
        <w:tab/>
      </w:r>
      <w:r w:rsidRPr="006C3B66">
        <w:rPr>
          <w:rFonts w:cs="Tahoma"/>
          <w:lang w:val="it-IT"/>
        </w:rPr>
        <w:fldChar w:fldCharType="begin"/>
      </w:r>
      <w:r w:rsidRPr="006C3B66">
        <w:rPr>
          <w:rFonts w:cs="Tahoma"/>
          <w:lang w:val="it-IT"/>
        </w:rPr>
        <w:instrText xml:space="preserve"> PAGEREF _Toc342900101 \h </w:instrText>
      </w:r>
      <w:r w:rsidRPr="006C3B66">
        <w:rPr>
          <w:rFonts w:cs="Tahoma"/>
          <w:lang w:val="it-IT"/>
        </w:rPr>
      </w:r>
      <w:r w:rsidRPr="006C3B66">
        <w:rPr>
          <w:rFonts w:cs="Tahoma"/>
          <w:lang w:val="it-IT"/>
        </w:rPr>
        <w:fldChar w:fldCharType="separate"/>
      </w:r>
      <w:r>
        <w:rPr>
          <w:rFonts w:cs="Tahoma"/>
          <w:lang w:val="it-IT"/>
        </w:rPr>
        <w:t>22</w:t>
      </w:r>
      <w:r w:rsidRPr="006C3B66">
        <w:rPr>
          <w:rFonts w:cs="Tahoma"/>
          <w:lang w:val="it-IT"/>
        </w:rPr>
        <w:fldChar w:fldCharType="end"/>
      </w:r>
    </w:p>
    <w:p w:rsidR="00A92422" w:rsidRPr="006C3B66" w:rsidRDefault="00A92422" w:rsidP="00A92422">
      <w:pPr>
        <w:pStyle w:val="TOC2"/>
        <w:rPr>
          <w:rFonts w:cs="Tahoma"/>
          <w:lang w:val="it-IT"/>
        </w:rPr>
      </w:pPr>
      <w:r w:rsidRPr="006C3B66">
        <w:rPr>
          <w:rFonts w:cs="Tahoma"/>
          <w:lang w:val="it-IT"/>
        </w:rPr>
        <w:t>SQL Server</w:t>
      </w:r>
      <w:r w:rsidRPr="003A0F2F">
        <w:rPr>
          <w:rFonts w:cs="Tahoma"/>
          <w:vertAlign w:val="superscript"/>
          <w:lang w:val="it-IT"/>
        </w:rPr>
        <w:t>®</w:t>
      </w:r>
      <w:r w:rsidRPr="006C3B66">
        <w:rPr>
          <w:rFonts w:cs="Tahoma"/>
          <w:lang w:val="it-IT"/>
        </w:rPr>
        <w:t xml:space="preserve"> 2012 Business Intelligence</w:t>
      </w:r>
      <w:r w:rsidRPr="006C3B66">
        <w:rPr>
          <w:rFonts w:cs="Tahoma"/>
          <w:lang w:val="it-IT"/>
        </w:rPr>
        <w:tab/>
      </w:r>
      <w:r w:rsidRPr="006C3B66">
        <w:rPr>
          <w:rFonts w:cs="Tahoma"/>
          <w:lang w:val="it-IT"/>
        </w:rPr>
        <w:fldChar w:fldCharType="begin"/>
      </w:r>
      <w:r w:rsidRPr="006C3B66">
        <w:rPr>
          <w:rFonts w:cs="Tahoma"/>
          <w:lang w:val="it-IT"/>
        </w:rPr>
        <w:instrText xml:space="preserve"> PAGEREF _Toc342900102 \h </w:instrText>
      </w:r>
      <w:r w:rsidRPr="006C3B66">
        <w:rPr>
          <w:rFonts w:cs="Tahoma"/>
          <w:lang w:val="it-IT"/>
        </w:rPr>
      </w:r>
      <w:r w:rsidRPr="006C3B66">
        <w:rPr>
          <w:rFonts w:cs="Tahoma"/>
          <w:lang w:val="it-IT"/>
        </w:rPr>
        <w:fldChar w:fldCharType="separate"/>
      </w:r>
      <w:r>
        <w:rPr>
          <w:rFonts w:cs="Tahoma"/>
          <w:lang w:val="it-IT"/>
        </w:rPr>
        <w:t>22</w:t>
      </w:r>
      <w:r w:rsidRPr="006C3B66">
        <w:rPr>
          <w:rFonts w:cs="Tahoma"/>
          <w:lang w:val="it-IT"/>
        </w:rPr>
        <w:fldChar w:fldCharType="end"/>
      </w:r>
    </w:p>
    <w:p w:rsidR="00A92422" w:rsidRPr="006C3B66" w:rsidRDefault="00A92422" w:rsidP="00A92422">
      <w:pPr>
        <w:pStyle w:val="TOC2"/>
        <w:rPr>
          <w:rFonts w:cs="Tahoma"/>
          <w:lang w:val="it-IT"/>
        </w:rPr>
      </w:pPr>
      <w:r w:rsidRPr="006C3B66">
        <w:rPr>
          <w:rFonts w:cs="Tahoma"/>
          <w:lang w:val="it-IT"/>
        </w:rPr>
        <w:t>CAL per SQL Server</w:t>
      </w:r>
      <w:r w:rsidRPr="003A0F2F">
        <w:rPr>
          <w:rFonts w:cs="Tahoma"/>
          <w:vertAlign w:val="superscript"/>
          <w:lang w:val="it-IT"/>
        </w:rPr>
        <w:t>®</w:t>
      </w:r>
      <w:r w:rsidRPr="006C3B66">
        <w:rPr>
          <w:rFonts w:cs="Tahoma"/>
          <w:lang w:val="it-IT"/>
        </w:rPr>
        <w:t xml:space="preserve"> 2012</w:t>
      </w:r>
      <w:r>
        <w:rPr>
          <w:rFonts w:cs="Tahoma"/>
          <w:lang w:val="it-IT"/>
        </w:rPr>
        <w:t xml:space="preserve"> </w:t>
      </w:r>
      <w:r w:rsidRPr="006C3B66">
        <w:rPr>
          <w:rFonts w:cs="Tahoma"/>
          <w:lang w:val="it-IT"/>
        </w:rPr>
        <w:t>(SL per Dispositivo e Utente)</w:t>
      </w:r>
      <w:r w:rsidRPr="006C3B66">
        <w:rPr>
          <w:rFonts w:cs="Tahoma"/>
          <w:lang w:val="it-IT"/>
        </w:rPr>
        <w:tab/>
      </w:r>
      <w:r w:rsidRPr="006C3B66">
        <w:rPr>
          <w:rFonts w:cs="Tahoma"/>
          <w:lang w:val="it-IT"/>
        </w:rPr>
        <w:fldChar w:fldCharType="begin"/>
      </w:r>
      <w:r w:rsidRPr="006C3B66">
        <w:rPr>
          <w:rFonts w:cs="Tahoma"/>
          <w:lang w:val="it-IT"/>
        </w:rPr>
        <w:instrText xml:space="preserve"> PAGEREF _Toc342900103 \h </w:instrText>
      </w:r>
      <w:r w:rsidRPr="006C3B66">
        <w:rPr>
          <w:rFonts w:cs="Tahoma"/>
          <w:lang w:val="it-IT"/>
        </w:rPr>
      </w:r>
      <w:r w:rsidRPr="006C3B66">
        <w:rPr>
          <w:rFonts w:cs="Tahoma"/>
          <w:lang w:val="it-IT"/>
        </w:rPr>
        <w:fldChar w:fldCharType="separate"/>
      </w:r>
      <w:r>
        <w:rPr>
          <w:rFonts w:cs="Tahoma"/>
          <w:lang w:val="it-IT"/>
        </w:rPr>
        <w:t>22</w:t>
      </w:r>
      <w:r w:rsidRPr="006C3B66">
        <w:rPr>
          <w:rFonts w:cs="Tahoma"/>
          <w:lang w:val="it-IT"/>
        </w:rPr>
        <w:fldChar w:fldCharType="end"/>
      </w:r>
    </w:p>
    <w:p w:rsidR="00A92422" w:rsidRPr="006C3B66" w:rsidRDefault="00A92422" w:rsidP="00A92422">
      <w:pPr>
        <w:pStyle w:val="TOC2"/>
        <w:rPr>
          <w:rFonts w:cs="Tahoma"/>
          <w:lang w:val="it-IT"/>
        </w:rPr>
      </w:pPr>
      <w:r w:rsidRPr="006C3B66">
        <w:rPr>
          <w:rFonts w:cs="Tahoma"/>
          <w:lang w:val="it-IT"/>
        </w:rPr>
        <w:t>SQL Server</w:t>
      </w:r>
      <w:r w:rsidRPr="003A0F2F">
        <w:rPr>
          <w:rFonts w:cs="Tahoma"/>
          <w:vertAlign w:val="superscript"/>
          <w:lang w:val="it-IT"/>
        </w:rPr>
        <w:t>®</w:t>
      </w:r>
      <w:r w:rsidRPr="006C3B66">
        <w:rPr>
          <w:rFonts w:cs="Tahoma"/>
          <w:lang w:val="it-IT"/>
        </w:rPr>
        <w:t xml:space="preserve"> 2012 Developer</w:t>
      </w:r>
      <w:r w:rsidRPr="006C3B66">
        <w:rPr>
          <w:rFonts w:cs="Tahoma"/>
          <w:lang w:val="it-IT"/>
        </w:rPr>
        <w:tab/>
      </w:r>
      <w:r w:rsidRPr="006C3B66">
        <w:rPr>
          <w:rFonts w:cs="Tahoma"/>
          <w:lang w:val="it-IT"/>
        </w:rPr>
        <w:fldChar w:fldCharType="begin"/>
      </w:r>
      <w:r w:rsidRPr="006C3B66">
        <w:rPr>
          <w:rFonts w:cs="Tahoma"/>
          <w:lang w:val="it-IT"/>
        </w:rPr>
        <w:instrText xml:space="preserve"> PAGEREF _Toc342900104 \h </w:instrText>
      </w:r>
      <w:r w:rsidRPr="006C3B66">
        <w:rPr>
          <w:rFonts w:cs="Tahoma"/>
          <w:lang w:val="it-IT"/>
        </w:rPr>
      </w:r>
      <w:r w:rsidRPr="006C3B66">
        <w:rPr>
          <w:rFonts w:cs="Tahoma"/>
          <w:lang w:val="it-IT"/>
        </w:rPr>
        <w:fldChar w:fldCharType="separate"/>
      </w:r>
      <w:r>
        <w:rPr>
          <w:rFonts w:cs="Tahoma"/>
          <w:lang w:val="it-IT"/>
        </w:rPr>
        <w:t>22</w:t>
      </w:r>
      <w:r w:rsidRPr="006C3B66">
        <w:rPr>
          <w:rFonts w:cs="Tahoma"/>
          <w:lang w:val="it-IT"/>
        </w:rPr>
        <w:fldChar w:fldCharType="end"/>
      </w:r>
    </w:p>
    <w:p w:rsidR="00A92422" w:rsidRPr="006C3B66" w:rsidRDefault="00A92422" w:rsidP="00A92422">
      <w:pPr>
        <w:pStyle w:val="TOC2"/>
        <w:rPr>
          <w:rFonts w:cs="Tahoma"/>
          <w:lang w:val="it-IT"/>
        </w:rPr>
      </w:pPr>
      <w:r w:rsidRPr="006C3B66">
        <w:rPr>
          <w:rFonts w:cs="Tahoma"/>
          <w:lang w:val="it-IT"/>
        </w:rPr>
        <w:t>SQL Server</w:t>
      </w:r>
      <w:r w:rsidRPr="003A0F2F">
        <w:rPr>
          <w:rFonts w:cs="Tahoma"/>
          <w:vertAlign w:val="superscript"/>
          <w:lang w:val="it-IT"/>
        </w:rPr>
        <w:t>®</w:t>
      </w:r>
      <w:r w:rsidRPr="006C3B66">
        <w:rPr>
          <w:rFonts w:cs="Tahoma"/>
          <w:lang w:val="it-IT"/>
        </w:rPr>
        <w:t xml:space="preserve"> 2012 Enterprise</w:t>
      </w:r>
      <w:r w:rsidRPr="006C3B66">
        <w:rPr>
          <w:rFonts w:cs="Tahoma"/>
          <w:lang w:val="it-IT"/>
        </w:rPr>
        <w:tab/>
      </w:r>
      <w:r w:rsidRPr="006C3B66">
        <w:rPr>
          <w:rFonts w:cs="Tahoma"/>
          <w:lang w:val="it-IT"/>
        </w:rPr>
        <w:fldChar w:fldCharType="begin"/>
      </w:r>
      <w:r w:rsidRPr="006C3B66">
        <w:rPr>
          <w:rFonts w:cs="Tahoma"/>
          <w:lang w:val="it-IT"/>
        </w:rPr>
        <w:instrText xml:space="preserve"> PAGEREF _Toc342900105 \h </w:instrText>
      </w:r>
      <w:r w:rsidRPr="006C3B66">
        <w:rPr>
          <w:rFonts w:cs="Tahoma"/>
          <w:lang w:val="it-IT"/>
        </w:rPr>
      </w:r>
      <w:r w:rsidRPr="006C3B66">
        <w:rPr>
          <w:rFonts w:cs="Tahoma"/>
          <w:lang w:val="it-IT"/>
        </w:rPr>
        <w:fldChar w:fldCharType="separate"/>
      </w:r>
      <w:r>
        <w:rPr>
          <w:rFonts w:cs="Tahoma"/>
          <w:lang w:val="it-IT"/>
        </w:rPr>
        <w:t>22</w:t>
      </w:r>
      <w:r w:rsidRPr="006C3B66">
        <w:rPr>
          <w:rFonts w:cs="Tahoma"/>
          <w:lang w:val="it-IT"/>
        </w:rPr>
        <w:fldChar w:fldCharType="end"/>
      </w:r>
    </w:p>
    <w:p w:rsidR="00A92422" w:rsidRPr="006C3B66" w:rsidRDefault="00A92422" w:rsidP="00A92422">
      <w:pPr>
        <w:pStyle w:val="TOC2"/>
        <w:rPr>
          <w:rFonts w:cs="Tahoma"/>
          <w:lang w:val="it-IT"/>
        </w:rPr>
      </w:pPr>
      <w:r w:rsidRPr="006C3B66">
        <w:rPr>
          <w:rFonts w:cs="Tahoma"/>
          <w:lang w:val="it-IT"/>
        </w:rPr>
        <w:t>SQL Server</w:t>
      </w:r>
      <w:r w:rsidRPr="003A0F2F">
        <w:rPr>
          <w:rFonts w:cs="Tahoma"/>
          <w:vertAlign w:val="superscript"/>
          <w:lang w:val="it-IT"/>
        </w:rPr>
        <w:t>®</w:t>
      </w:r>
      <w:r w:rsidRPr="006C3B66">
        <w:rPr>
          <w:rFonts w:cs="Tahoma"/>
          <w:lang w:val="it-IT"/>
        </w:rPr>
        <w:t xml:space="preserve"> 2012 Enterprise Core</w:t>
      </w:r>
      <w:r>
        <w:rPr>
          <w:rFonts w:cs="Tahoma"/>
          <w:lang w:val="it-IT"/>
        </w:rPr>
        <w:t xml:space="preserve"> </w:t>
      </w:r>
      <w:r w:rsidRPr="006C3B66">
        <w:rPr>
          <w:rFonts w:cs="Tahoma"/>
          <w:lang w:val="it-IT"/>
        </w:rPr>
        <w:t>(2 Licenze Core per confezione)</w:t>
      </w:r>
      <w:r w:rsidRPr="006C3B66">
        <w:rPr>
          <w:rFonts w:cs="Tahoma"/>
          <w:lang w:val="it-IT"/>
        </w:rPr>
        <w:tab/>
      </w:r>
      <w:r w:rsidRPr="006C3B66">
        <w:rPr>
          <w:rFonts w:cs="Tahoma"/>
          <w:lang w:val="it-IT"/>
        </w:rPr>
        <w:fldChar w:fldCharType="begin"/>
      </w:r>
      <w:r w:rsidRPr="006C3B66">
        <w:rPr>
          <w:rFonts w:cs="Tahoma"/>
          <w:lang w:val="it-IT"/>
        </w:rPr>
        <w:instrText xml:space="preserve"> PAGEREF _Toc342900106 \h </w:instrText>
      </w:r>
      <w:r w:rsidRPr="006C3B66">
        <w:rPr>
          <w:rFonts w:cs="Tahoma"/>
          <w:lang w:val="it-IT"/>
        </w:rPr>
      </w:r>
      <w:r w:rsidRPr="006C3B66">
        <w:rPr>
          <w:rFonts w:cs="Tahoma"/>
          <w:lang w:val="it-IT"/>
        </w:rPr>
        <w:fldChar w:fldCharType="separate"/>
      </w:r>
      <w:r>
        <w:rPr>
          <w:rFonts w:cs="Tahoma"/>
          <w:lang w:val="it-IT"/>
        </w:rPr>
        <w:t>22</w:t>
      </w:r>
      <w:r w:rsidRPr="006C3B66">
        <w:rPr>
          <w:rFonts w:cs="Tahoma"/>
          <w:lang w:val="it-IT"/>
        </w:rPr>
        <w:fldChar w:fldCharType="end"/>
      </w:r>
    </w:p>
    <w:p w:rsidR="00A92422" w:rsidRPr="006C3B66" w:rsidRDefault="00A92422" w:rsidP="00A92422">
      <w:pPr>
        <w:pStyle w:val="TOC2"/>
        <w:rPr>
          <w:rFonts w:cs="Tahoma"/>
          <w:lang w:val="it-IT"/>
        </w:rPr>
      </w:pPr>
      <w:r w:rsidRPr="006C3B66">
        <w:rPr>
          <w:rFonts w:cs="Tahoma"/>
          <w:lang w:val="it-IT"/>
        </w:rPr>
        <w:t>SQL Server</w:t>
      </w:r>
      <w:r w:rsidRPr="003A0F2F">
        <w:rPr>
          <w:rFonts w:cs="Tahoma"/>
          <w:vertAlign w:val="superscript"/>
          <w:lang w:val="it-IT"/>
        </w:rPr>
        <w:t>®</w:t>
      </w:r>
      <w:r w:rsidRPr="006C3B66">
        <w:rPr>
          <w:rFonts w:cs="Tahoma"/>
          <w:lang w:val="it-IT"/>
        </w:rPr>
        <w:t xml:space="preserve"> 2012 Standard</w:t>
      </w:r>
      <w:r w:rsidRPr="006C3B66">
        <w:rPr>
          <w:rFonts w:cs="Tahoma"/>
          <w:lang w:val="it-IT"/>
        </w:rPr>
        <w:tab/>
      </w:r>
      <w:r w:rsidRPr="006C3B66">
        <w:rPr>
          <w:rFonts w:cs="Tahoma"/>
          <w:lang w:val="it-IT"/>
        </w:rPr>
        <w:fldChar w:fldCharType="begin"/>
      </w:r>
      <w:r w:rsidRPr="006C3B66">
        <w:rPr>
          <w:rFonts w:cs="Tahoma"/>
          <w:lang w:val="it-IT"/>
        </w:rPr>
        <w:instrText xml:space="preserve"> PAGEREF _Toc342900107 \h </w:instrText>
      </w:r>
      <w:r w:rsidRPr="006C3B66">
        <w:rPr>
          <w:rFonts w:cs="Tahoma"/>
          <w:lang w:val="it-IT"/>
        </w:rPr>
      </w:r>
      <w:r w:rsidRPr="006C3B66">
        <w:rPr>
          <w:rFonts w:cs="Tahoma"/>
          <w:lang w:val="it-IT"/>
        </w:rPr>
        <w:fldChar w:fldCharType="separate"/>
      </w:r>
      <w:r>
        <w:rPr>
          <w:rFonts w:cs="Tahoma"/>
          <w:lang w:val="it-IT"/>
        </w:rPr>
        <w:t>22</w:t>
      </w:r>
      <w:r w:rsidRPr="006C3B66">
        <w:rPr>
          <w:rFonts w:cs="Tahoma"/>
          <w:lang w:val="it-IT"/>
        </w:rPr>
        <w:fldChar w:fldCharType="end"/>
      </w:r>
    </w:p>
    <w:p w:rsidR="00A92422" w:rsidRPr="006C3B66" w:rsidRDefault="00A92422" w:rsidP="00A92422">
      <w:pPr>
        <w:pStyle w:val="TOC2"/>
        <w:rPr>
          <w:rFonts w:cs="Tahoma"/>
          <w:lang w:val="it-IT"/>
        </w:rPr>
      </w:pPr>
      <w:r w:rsidRPr="006C3B66">
        <w:rPr>
          <w:rFonts w:cs="Tahoma"/>
          <w:lang w:val="it-IT"/>
        </w:rPr>
        <w:t>SQL Server</w:t>
      </w:r>
      <w:r w:rsidRPr="003A0F2F">
        <w:rPr>
          <w:rFonts w:cs="Tahoma"/>
          <w:vertAlign w:val="superscript"/>
          <w:lang w:val="it-IT"/>
        </w:rPr>
        <w:t>®</w:t>
      </w:r>
      <w:r w:rsidRPr="006C3B66">
        <w:rPr>
          <w:rFonts w:cs="Tahoma"/>
          <w:lang w:val="it-IT"/>
        </w:rPr>
        <w:t xml:space="preserve"> 2012 Standard Core</w:t>
      </w:r>
      <w:r>
        <w:rPr>
          <w:rFonts w:cs="Tahoma"/>
          <w:lang w:val="it-IT"/>
        </w:rPr>
        <w:t xml:space="preserve"> </w:t>
      </w:r>
      <w:r w:rsidRPr="006C3B66">
        <w:rPr>
          <w:rFonts w:cs="Tahoma"/>
          <w:lang w:val="it-IT"/>
        </w:rPr>
        <w:t>(2 Licenze Core per confezione)</w:t>
      </w:r>
      <w:r w:rsidRPr="006C3B66">
        <w:rPr>
          <w:rFonts w:cs="Tahoma"/>
          <w:lang w:val="it-IT"/>
        </w:rPr>
        <w:tab/>
      </w:r>
      <w:r w:rsidRPr="006C3B66">
        <w:rPr>
          <w:rFonts w:cs="Tahoma"/>
          <w:lang w:val="it-IT"/>
        </w:rPr>
        <w:fldChar w:fldCharType="begin"/>
      </w:r>
      <w:r w:rsidRPr="006C3B66">
        <w:rPr>
          <w:rFonts w:cs="Tahoma"/>
          <w:lang w:val="it-IT"/>
        </w:rPr>
        <w:instrText xml:space="preserve"> PAGEREF _Toc342900108 \h </w:instrText>
      </w:r>
      <w:r w:rsidRPr="006C3B66">
        <w:rPr>
          <w:rFonts w:cs="Tahoma"/>
          <w:lang w:val="it-IT"/>
        </w:rPr>
      </w:r>
      <w:r w:rsidRPr="006C3B66">
        <w:rPr>
          <w:rFonts w:cs="Tahoma"/>
          <w:lang w:val="it-IT"/>
        </w:rPr>
        <w:fldChar w:fldCharType="separate"/>
      </w:r>
      <w:r>
        <w:rPr>
          <w:rFonts w:cs="Tahoma"/>
          <w:lang w:val="it-IT"/>
        </w:rPr>
        <w:t>22</w:t>
      </w:r>
      <w:r w:rsidRPr="006C3B66">
        <w:rPr>
          <w:rFonts w:cs="Tahoma"/>
          <w:lang w:val="it-IT"/>
        </w:rPr>
        <w:fldChar w:fldCharType="end"/>
      </w:r>
    </w:p>
    <w:p w:rsidR="00A92422" w:rsidRPr="006C3B66" w:rsidRDefault="00A92422" w:rsidP="00A92422">
      <w:pPr>
        <w:pStyle w:val="TOC2"/>
        <w:rPr>
          <w:rFonts w:cs="Tahoma"/>
          <w:lang w:val="it-IT"/>
        </w:rPr>
      </w:pPr>
      <w:r w:rsidRPr="006C3B66">
        <w:rPr>
          <w:rFonts w:cs="Tahoma"/>
          <w:lang w:val="it-IT"/>
        </w:rPr>
        <w:t>System Center Configuration Manager 2007 R3</w:t>
      </w:r>
      <w:r w:rsidRPr="006C3B66">
        <w:rPr>
          <w:rFonts w:cs="Tahoma"/>
          <w:lang w:val="it-IT"/>
        </w:rPr>
        <w:tab/>
      </w:r>
      <w:r w:rsidRPr="006C3B66">
        <w:rPr>
          <w:rFonts w:cs="Tahoma"/>
          <w:lang w:val="it-IT"/>
        </w:rPr>
        <w:fldChar w:fldCharType="begin"/>
      </w:r>
      <w:r w:rsidRPr="006C3B66">
        <w:rPr>
          <w:rFonts w:cs="Tahoma"/>
          <w:lang w:val="it-IT"/>
        </w:rPr>
        <w:instrText xml:space="preserve"> PAGEREF _Toc342900109 \h </w:instrText>
      </w:r>
      <w:r w:rsidRPr="006C3B66">
        <w:rPr>
          <w:rFonts w:cs="Tahoma"/>
          <w:lang w:val="it-IT"/>
        </w:rPr>
      </w:r>
      <w:r w:rsidRPr="006C3B66">
        <w:rPr>
          <w:rFonts w:cs="Tahoma"/>
          <w:lang w:val="it-IT"/>
        </w:rPr>
        <w:fldChar w:fldCharType="separate"/>
      </w:r>
      <w:r>
        <w:rPr>
          <w:rFonts w:cs="Tahoma"/>
          <w:lang w:val="it-IT"/>
        </w:rPr>
        <w:t>22</w:t>
      </w:r>
      <w:r w:rsidRPr="006C3B66">
        <w:rPr>
          <w:rFonts w:cs="Tahoma"/>
          <w:lang w:val="it-IT"/>
        </w:rPr>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Licenza di Gestione Server Enterprise per System Center Configuration Manager 2007 R3</w:t>
      </w:r>
      <w:r w:rsidRPr="006C3B66">
        <w:tab/>
      </w:r>
      <w:r w:rsidRPr="006C3B66">
        <w:fldChar w:fldCharType="begin"/>
      </w:r>
      <w:r w:rsidRPr="006C3B66">
        <w:instrText xml:space="preserve"> PAGEREF _Toc342900110 \h </w:instrText>
      </w:r>
      <w:r w:rsidRPr="006C3B66">
        <w:fldChar w:fldCharType="separate"/>
      </w:r>
      <w:r>
        <w:t>22</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Licenza di Gestione Server Standard (Standard Server ML) per System Center Configuration Manager 2007 R3</w:t>
      </w:r>
      <w:r w:rsidRPr="006C3B66">
        <w:tab/>
      </w:r>
      <w:r w:rsidRPr="006C3B66">
        <w:fldChar w:fldCharType="begin"/>
      </w:r>
      <w:r w:rsidRPr="006C3B66">
        <w:instrText xml:space="preserve"> PAGEREF _Toc342900111 \h </w:instrText>
      </w:r>
      <w:r w:rsidRPr="006C3B66">
        <w:fldChar w:fldCharType="separate"/>
      </w:r>
      <w:r>
        <w:t>22</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System Center Configuration Manager 2007 R3 con Tecnologia SQL Server 2008</w:t>
      </w:r>
      <w:r w:rsidRPr="006C3B66">
        <w:tab/>
      </w:r>
      <w:r w:rsidRPr="006C3B66">
        <w:fldChar w:fldCharType="begin"/>
      </w:r>
      <w:r w:rsidRPr="006C3B66">
        <w:instrText xml:space="preserve"> PAGEREF _Toc342900112 \h </w:instrText>
      </w:r>
      <w:r w:rsidRPr="006C3B66">
        <w:fldChar w:fldCharType="separate"/>
      </w:r>
      <w:r>
        <w:t>22</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Licenza di Gestione Client per Utente per System Center Data Protection Manager 2010</w:t>
      </w:r>
      <w:r w:rsidRPr="006C3B66">
        <w:tab/>
      </w:r>
      <w:r w:rsidRPr="006C3B66">
        <w:fldChar w:fldCharType="begin"/>
      </w:r>
      <w:r w:rsidRPr="006C3B66">
        <w:instrText xml:space="preserve"> PAGEREF _Toc342900113 \h </w:instrText>
      </w:r>
      <w:r w:rsidRPr="006C3B66">
        <w:fldChar w:fldCharType="separate"/>
      </w:r>
      <w:r>
        <w:t>22</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Licenza di Gestione Client per OSE per System Center Data Protection Manager 2010</w:t>
      </w:r>
      <w:r w:rsidRPr="006C3B66">
        <w:tab/>
      </w:r>
      <w:r w:rsidRPr="006C3B66">
        <w:fldChar w:fldCharType="begin"/>
      </w:r>
      <w:r w:rsidRPr="006C3B66">
        <w:instrText xml:space="preserve"> PAGEREF _Toc342900114 \h </w:instrText>
      </w:r>
      <w:r w:rsidRPr="006C3B66">
        <w:fldChar w:fldCharType="separate"/>
      </w:r>
      <w:r>
        <w:t>23</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Licenza di Gestione Server Enterprise per System Center Data Protection Manager 2010</w:t>
      </w:r>
      <w:r w:rsidRPr="006C3B66">
        <w:tab/>
      </w:r>
      <w:r w:rsidRPr="006C3B66">
        <w:fldChar w:fldCharType="begin"/>
      </w:r>
      <w:r w:rsidRPr="006C3B66">
        <w:instrText xml:space="preserve"> PAGEREF _Toc342900115 \h </w:instrText>
      </w:r>
      <w:r w:rsidRPr="006C3B66">
        <w:fldChar w:fldCharType="separate"/>
      </w:r>
      <w:r>
        <w:t>23</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Licenza di Gestione Server Standard per System Center Data Protection Manager 2010</w:t>
      </w:r>
      <w:r w:rsidRPr="006C3B66">
        <w:tab/>
      </w:r>
      <w:r w:rsidRPr="006C3B66">
        <w:fldChar w:fldCharType="begin"/>
      </w:r>
      <w:r w:rsidRPr="006C3B66">
        <w:instrText xml:space="preserve"> PAGEREF _Toc342900116 \h </w:instrText>
      </w:r>
      <w:r w:rsidRPr="006C3B66">
        <w:fldChar w:fldCharType="separate"/>
      </w:r>
      <w:r>
        <w:t>23</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System Center Essentials 2010</w:t>
      </w:r>
      <w:r w:rsidRPr="006C3B66">
        <w:tab/>
      </w:r>
      <w:r w:rsidRPr="006C3B66">
        <w:fldChar w:fldCharType="begin"/>
      </w:r>
      <w:r w:rsidRPr="006C3B66">
        <w:instrText xml:space="preserve"> PAGEREF _Toc342900117 \h </w:instrText>
      </w:r>
      <w:r w:rsidRPr="006C3B66">
        <w:fldChar w:fldCharType="separate"/>
      </w:r>
      <w:r>
        <w:t>23</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Client ML per System Center Essentials 2010</w:t>
      </w:r>
      <w:r w:rsidRPr="006C3B66">
        <w:tab/>
      </w:r>
      <w:r w:rsidRPr="006C3B66">
        <w:fldChar w:fldCharType="begin"/>
      </w:r>
      <w:r w:rsidRPr="006C3B66">
        <w:instrText xml:space="preserve"> PAGEREF _Toc342900118 \h </w:instrText>
      </w:r>
      <w:r w:rsidRPr="006C3B66">
        <w:fldChar w:fldCharType="separate"/>
      </w:r>
      <w:r>
        <w:t>23</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Server ML per System Center Essentials 2010</w:t>
      </w:r>
      <w:r w:rsidRPr="006C3B66">
        <w:tab/>
      </w:r>
      <w:r w:rsidRPr="006C3B66">
        <w:fldChar w:fldCharType="begin"/>
      </w:r>
      <w:r w:rsidRPr="006C3B66">
        <w:instrText xml:space="preserve"> PAGEREF _Toc342900119 \h </w:instrText>
      </w:r>
      <w:r w:rsidRPr="006C3B66">
        <w:fldChar w:fldCharType="separate"/>
      </w:r>
      <w:r>
        <w:t>23</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System Center Essentials 2010 con Tecnologia SQL Server 2008</w:t>
      </w:r>
      <w:r w:rsidRPr="006C3B66">
        <w:tab/>
      </w:r>
      <w:r w:rsidRPr="006C3B66">
        <w:fldChar w:fldCharType="begin"/>
      </w:r>
      <w:r w:rsidRPr="006C3B66">
        <w:instrText xml:space="preserve"> PAGEREF _Toc342900120 \h </w:instrText>
      </w:r>
      <w:r w:rsidRPr="006C3B66">
        <w:fldChar w:fldCharType="separate"/>
      </w:r>
      <w:r>
        <w:t>23</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Suite di Licenza di Gestione Client per System Center Essentials Plus 2010</w:t>
      </w:r>
      <w:r w:rsidRPr="006C3B66">
        <w:tab/>
      </w:r>
      <w:r w:rsidRPr="006C3B66">
        <w:fldChar w:fldCharType="begin"/>
      </w:r>
      <w:r w:rsidRPr="006C3B66">
        <w:instrText xml:space="preserve"> PAGEREF _Toc342900121 \h </w:instrText>
      </w:r>
      <w:r w:rsidRPr="006C3B66">
        <w:fldChar w:fldCharType="separate"/>
      </w:r>
      <w:r>
        <w:t>23</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Suite di Licenza di Gestione Server per System Center Essentials Plus 2010</w:t>
      </w:r>
      <w:r w:rsidRPr="006C3B66">
        <w:tab/>
      </w:r>
      <w:r w:rsidRPr="006C3B66">
        <w:fldChar w:fldCharType="begin"/>
      </w:r>
      <w:r w:rsidRPr="006C3B66">
        <w:instrText xml:space="preserve"> PAGEREF _Toc342900122 \h </w:instrText>
      </w:r>
      <w:r w:rsidRPr="006C3B66">
        <w:fldChar w:fldCharType="separate"/>
      </w:r>
      <w:r>
        <w:t>23</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System Center Operations Manager 2007 R2</w:t>
      </w:r>
      <w:r w:rsidRPr="006C3B66">
        <w:tab/>
      </w:r>
      <w:r w:rsidRPr="006C3B66">
        <w:fldChar w:fldCharType="begin"/>
      </w:r>
      <w:r w:rsidRPr="006C3B66">
        <w:instrText xml:space="preserve"> PAGEREF _Toc342900123 \h </w:instrText>
      </w:r>
      <w:r w:rsidRPr="006C3B66">
        <w:fldChar w:fldCharType="separate"/>
      </w:r>
      <w:r>
        <w:t>23</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System Center Operations Manager 2007 R2 con Tecnologia SQL Server 2008</w:t>
      </w:r>
      <w:r w:rsidRPr="006C3B66">
        <w:tab/>
      </w:r>
      <w:r w:rsidRPr="006C3B66">
        <w:fldChar w:fldCharType="begin"/>
      </w:r>
      <w:r w:rsidRPr="006C3B66">
        <w:instrText xml:space="preserve"> PAGEREF _Toc342900124 \h </w:instrText>
      </w:r>
      <w:r w:rsidRPr="006C3B66">
        <w:fldChar w:fldCharType="separate"/>
      </w:r>
      <w:r>
        <w:t>23</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Licenza di Gestione Server Standard per System Center Operations Manager 2007 R2</w:t>
      </w:r>
      <w:r w:rsidRPr="006C3B66">
        <w:tab/>
      </w:r>
      <w:r w:rsidRPr="006C3B66">
        <w:fldChar w:fldCharType="begin"/>
      </w:r>
      <w:r w:rsidRPr="006C3B66">
        <w:instrText xml:space="preserve"> PAGEREF _Toc342900125 \h </w:instrText>
      </w:r>
      <w:r w:rsidRPr="006C3B66">
        <w:fldChar w:fldCharType="separate"/>
      </w:r>
      <w:r>
        <w:t>23</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Licenza di Gestione Server Enterprise per System Center Operations Manager 2007 R2</w:t>
      </w:r>
      <w:r w:rsidRPr="006C3B66">
        <w:tab/>
      </w:r>
      <w:r w:rsidRPr="006C3B66">
        <w:fldChar w:fldCharType="begin"/>
      </w:r>
      <w:r w:rsidRPr="006C3B66">
        <w:instrText xml:space="preserve"> PAGEREF _Toc342900126 \h </w:instrText>
      </w:r>
      <w:r w:rsidRPr="006C3B66">
        <w:fldChar w:fldCharType="separate"/>
      </w:r>
      <w:r>
        <w:t>23</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Licenza di Gestione Client per OSE per System Center Operations Manager 2007 R2</w:t>
      </w:r>
      <w:r w:rsidRPr="006C3B66">
        <w:tab/>
      </w:r>
      <w:r w:rsidRPr="006C3B66">
        <w:fldChar w:fldCharType="begin"/>
      </w:r>
      <w:r w:rsidRPr="006C3B66">
        <w:instrText xml:space="preserve"> PAGEREF _Toc342900127 \h </w:instrText>
      </w:r>
      <w:r w:rsidRPr="006C3B66">
        <w:fldChar w:fldCharType="separate"/>
      </w:r>
      <w:r>
        <w:t>23</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Licenza di Gestione Client per Utente per System Center Operations Manager 2007 R2</w:t>
      </w:r>
      <w:r w:rsidRPr="006C3B66">
        <w:tab/>
      </w:r>
      <w:r w:rsidRPr="006C3B66">
        <w:fldChar w:fldCharType="begin"/>
      </w:r>
      <w:r w:rsidRPr="006C3B66">
        <w:instrText xml:space="preserve"> PAGEREF _Toc342900128 \h </w:instrText>
      </w:r>
      <w:r w:rsidRPr="006C3B66">
        <w:fldChar w:fldCharType="separate"/>
      </w:r>
      <w:r>
        <w:t>23</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System Center Reporting Manager 2006</w:t>
      </w:r>
      <w:r w:rsidRPr="006C3B66">
        <w:tab/>
      </w:r>
      <w:r w:rsidRPr="006C3B66">
        <w:fldChar w:fldCharType="begin"/>
      </w:r>
      <w:r w:rsidRPr="006C3B66">
        <w:instrText xml:space="preserve"> PAGEREF _Toc342900129 \h </w:instrText>
      </w:r>
      <w:r w:rsidRPr="006C3B66">
        <w:fldChar w:fldCharType="separate"/>
      </w:r>
      <w:r>
        <w:t>23</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System Center Server Management Suite Enterprise</w:t>
      </w:r>
      <w:r w:rsidRPr="006C3B66">
        <w:tab/>
      </w:r>
      <w:r w:rsidRPr="006C3B66">
        <w:fldChar w:fldCharType="begin"/>
      </w:r>
      <w:r w:rsidRPr="006C3B66">
        <w:instrText xml:space="preserve"> PAGEREF _Toc342900130 \h </w:instrText>
      </w:r>
      <w:r w:rsidRPr="006C3B66">
        <w:fldChar w:fldCharType="separate"/>
      </w:r>
      <w:r>
        <w:t>23</w:t>
      </w:r>
      <w:r w:rsidRPr="006C3B66">
        <w:fldChar w:fldCharType="end"/>
      </w:r>
    </w:p>
    <w:p w:rsidR="00A92422" w:rsidRPr="006C3B66" w:rsidRDefault="00A92422" w:rsidP="00A92422">
      <w:pPr>
        <w:pStyle w:val="TOC4"/>
        <w:rPr>
          <w:rFonts w:asciiTheme="minorHAnsi" w:eastAsiaTheme="minorEastAsia" w:hAnsiTheme="minorHAnsi" w:cstheme="minorBidi"/>
          <w:noProof/>
          <w:sz w:val="22"/>
          <w:szCs w:val="22"/>
        </w:rPr>
      </w:pPr>
      <w:r w:rsidRPr="006C3B66">
        <w:rPr>
          <w:rFonts w:cs="Tahoma"/>
          <w:noProof/>
          <w:lang w:val="it-IT"/>
        </w:rPr>
        <w:t>System Center Server Management Suite Datacenter</w:t>
      </w:r>
      <w:r w:rsidRPr="006C3B66">
        <w:rPr>
          <w:noProof/>
        </w:rPr>
        <w:tab/>
      </w:r>
      <w:r w:rsidRPr="006C3B66">
        <w:rPr>
          <w:noProof/>
        </w:rPr>
        <w:fldChar w:fldCharType="begin"/>
      </w:r>
      <w:r w:rsidRPr="006C3B66">
        <w:rPr>
          <w:noProof/>
        </w:rPr>
        <w:instrText xml:space="preserve"> PAGEREF _Toc342900131 \h </w:instrText>
      </w:r>
      <w:r w:rsidRPr="006C3B66">
        <w:rPr>
          <w:noProof/>
        </w:rPr>
      </w:r>
      <w:r w:rsidRPr="006C3B66">
        <w:rPr>
          <w:noProof/>
        </w:rPr>
        <w:fldChar w:fldCharType="separate"/>
      </w:r>
      <w:r>
        <w:rPr>
          <w:noProof/>
        </w:rPr>
        <w:t>23</w:t>
      </w:r>
      <w:r w:rsidRPr="006C3B66">
        <w:rPr>
          <w:noProof/>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System Center Service Manager 2010</w:t>
      </w:r>
      <w:r w:rsidRPr="006C3B66">
        <w:rPr>
          <w:color w:val="auto"/>
        </w:rPr>
        <w:tab/>
      </w:r>
      <w:r w:rsidRPr="006C3B66">
        <w:rPr>
          <w:color w:val="auto"/>
        </w:rPr>
        <w:fldChar w:fldCharType="begin"/>
      </w:r>
      <w:r w:rsidRPr="006C3B66">
        <w:rPr>
          <w:color w:val="auto"/>
        </w:rPr>
        <w:instrText xml:space="preserve"> PAGEREF _Toc342900132 \h </w:instrText>
      </w:r>
      <w:r w:rsidRPr="006C3B66">
        <w:rPr>
          <w:color w:val="auto"/>
        </w:rPr>
      </w:r>
      <w:r w:rsidRPr="006C3B66">
        <w:rPr>
          <w:color w:val="auto"/>
        </w:rPr>
        <w:fldChar w:fldCharType="separate"/>
      </w:r>
      <w:r>
        <w:rPr>
          <w:color w:val="auto"/>
        </w:rPr>
        <w:t>23</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System Center Service Manager 2010 con Tecnologia SQL Server 2008</w:t>
      </w:r>
      <w:r w:rsidRPr="006C3B66">
        <w:rPr>
          <w:color w:val="auto"/>
        </w:rPr>
        <w:tab/>
      </w:r>
      <w:r w:rsidRPr="006C3B66">
        <w:rPr>
          <w:color w:val="auto"/>
        </w:rPr>
        <w:fldChar w:fldCharType="begin"/>
      </w:r>
      <w:r w:rsidRPr="006C3B66">
        <w:rPr>
          <w:color w:val="auto"/>
        </w:rPr>
        <w:instrText xml:space="preserve"> PAGEREF _Toc342900133 \h </w:instrText>
      </w:r>
      <w:r w:rsidRPr="006C3B66">
        <w:rPr>
          <w:color w:val="auto"/>
        </w:rPr>
      </w:r>
      <w:r w:rsidRPr="006C3B66">
        <w:rPr>
          <w:color w:val="auto"/>
        </w:rPr>
        <w:fldChar w:fldCharType="separate"/>
      </w:r>
      <w:r>
        <w:rPr>
          <w:color w:val="auto"/>
        </w:rPr>
        <w:t>23</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Licenza di Gestione Client (Client ML) per OSE per System Center Service Manager 2010</w:t>
      </w:r>
      <w:r w:rsidRPr="006C3B66">
        <w:rPr>
          <w:color w:val="auto"/>
        </w:rPr>
        <w:tab/>
      </w:r>
      <w:r w:rsidRPr="006C3B66">
        <w:rPr>
          <w:color w:val="auto"/>
        </w:rPr>
        <w:fldChar w:fldCharType="begin"/>
      </w:r>
      <w:r w:rsidRPr="006C3B66">
        <w:rPr>
          <w:color w:val="auto"/>
        </w:rPr>
        <w:instrText xml:space="preserve"> PAGEREF _Toc342900134 \h </w:instrText>
      </w:r>
      <w:r w:rsidRPr="006C3B66">
        <w:rPr>
          <w:color w:val="auto"/>
        </w:rPr>
      </w:r>
      <w:r w:rsidRPr="006C3B66">
        <w:rPr>
          <w:color w:val="auto"/>
        </w:rPr>
        <w:fldChar w:fldCharType="separate"/>
      </w:r>
      <w:r>
        <w:rPr>
          <w:color w:val="auto"/>
        </w:rPr>
        <w:t>23</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Licenza di Gestione Client (Client ML) per Utente per System Center Service Manager 2010</w:t>
      </w:r>
      <w:r w:rsidRPr="006C3B66">
        <w:rPr>
          <w:color w:val="auto"/>
        </w:rPr>
        <w:tab/>
      </w:r>
      <w:r w:rsidRPr="006C3B66">
        <w:rPr>
          <w:color w:val="auto"/>
        </w:rPr>
        <w:fldChar w:fldCharType="begin"/>
      </w:r>
      <w:r w:rsidRPr="006C3B66">
        <w:rPr>
          <w:color w:val="auto"/>
        </w:rPr>
        <w:instrText xml:space="preserve"> PAGEREF _Toc342900135 \h </w:instrText>
      </w:r>
      <w:r w:rsidRPr="006C3B66">
        <w:rPr>
          <w:color w:val="auto"/>
        </w:rPr>
      </w:r>
      <w:r w:rsidRPr="006C3B66">
        <w:rPr>
          <w:color w:val="auto"/>
        </w:rPr>
        <w:fldChar w:fldCharType="separate"/>
      </w:r>
      <w:r>
        <w:rPr>
          <w:color w:val="auto"/>
        </w:rPr>
        <w:t>23</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Licenza di Gestione Server (Server ML)</w:t>
      </w:r>
      <w:r>
        <w:rPr>
          <w:color w:val="auto"/>
          <w:lang w:val="it-IT"/>
        </w:rPr>
        <w:t xml:space="preserve"> </w:t>
      </w:r>
      <w:r w:rsidRPr="006C3B66">
        <w:rPr>
          <w:color w:val="auto"/>
          <w:lang w:val="it-IT"/>
        </w:rPr>
        <w:t>per OSE per System Center Service Manager 2010</w:t>
      </w:r>
      <w:r w:rsidRPr="006C3B66">
        <w:rPr>
          <w:color w:val="auto"/>
        </w:rPr>
        <w:tab/>
      </w:r>
      <w:r w:rsidRPr="006C3B66">
        <w:rPr>
          <w:color w:val="auto"/>
        </w:rPr>
        <w:fldChar w:fldCharType="begin"/>
      </w:r>
      <w:r w:rsidRPr="006C3B66">
        <w:rPr>
          <w:color w:val="auto"/>
        </w:rPr>
        <w:instrText xml:space="preserve"> PAGEREF _Toc342900136 \h </w:instrText>
      </w:r>
      <w:r w:rsidRPr="006C3B66">
        <w:rPr>
          <w:color w:val="auto"/>
        </w:rPr>
      </w:r>
      <w:r w:rsidRPr="006C3B66">
        <w:rPr>
          <w:color w:val="auto"/>
        </w:rPr>
        <w:fldChar w:fldCharType="separate"/>
      </w:r>
      <w:r>
        <w:rPr>
          <w:color w:val="auto"/>
        </w:rPr>
        <w:t>23</w:t>
      </w:r>
      <w:r w:rsidRPr="006C3B66">
        <w:rPr>
          <w:color w:val="auto"/>
        </w:rPr>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Licenza di Gestione Client per OSE per System Center Virtual Machine Manager 2008 R2</w:t>
      </w:r>
      <w:r w:rsidRPr="006C3B66">
        <w:tab/>
      </w:r>
      <w:r w:rsidRPr="006C3B66">
        <w:fldChar w:fldCharType="begin"/>
      </w:r>
      <w:r w:rsidRPr="006C3B66">
        <w:instrText xml:space="preserve"> PAGEREF _Toc342900137 \h </w:instrText>
      </w:r>
      <w:r w:rsidRPr="006C3B66">
        <w:fldChar w:fldCharType="separate"/>
      </w:r>
      <w:r>
        <w:t>24</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Licenza di Gestione Client per Utente per System Center Virtual Machine Manager 2008 R2</w:t>
      </w:r>
      <w:r w:rsidRPr="006C3B66">
        <w:tab/>
      </w:r>
      <w:r w:rsidRPr="006C3B66">
        <w:fldChar w:fldCharType="begin"/>
      </w:r>
      <w:r w:rsidRPr="006C3B66">
        <w:instrText xml:space="preserve"> PAGEREF _Toc342900138 \h </w:instrText>
      </w:r>
      <w:r w:rsidRPr="006C3B66">
        <w:fldChar w:fldCharType="separate"/>
      </w:r>
      <w:r>
        <w:t>24</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Licenza di Gestione Server per System Center Virtual Machine Manager 2008 R2 Enterprise</w:t>
      </w:r>
      <w:r w:rsidRPr="006C3B66">
        <w:tab/>
      </w:r>
      <w:r w:rsidRPr="006C3B66">
        <w:fldChar w:fldCharType="begin"/>
      </w:r>
      <w:r w:rsidRPr="006C3B66">
        <w:instrText xml:space="preserve"> PAGEREF _Toc342900139 \h </w:instrText>
      </w:r>
      <w:r w:rsidRPr="006C3B66">
        <w:fldChar w:fldCharType="separate"/>
      </w:r>
      <w:r>
        <w:t>24</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System Center Virtual Machine Manager 2008 R2 Workgroup Edition</w:t>
      </w:r>
      <w:r w:rsidRPr="006C3B66">
        <w:tab/>
      </w:r>
      <w:r w:rsidRPr="006C3B66">
        <w:fldChar w:fldCharType="begin"/>
      </w:r>
      <w:r w:rsidRPr="006C3B66">
        <w:instrText xml:space="preserve"> PAGEREF _Toc342900140 \h </w:instrText>
      </w:r>
      <w:r w:rsidRPr="006C3B66">
        <w:fldChar w:fldCharType="separate"/>
      </w:r>
      <w:r>
        <w:t>24</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System Center 2012 Client Management Suite (Client ML) per OSE</w:t>
      </w:r>
      <w:r w:rsidRPr="006C3B66">
        <w:tab/>
      </w:r>
      <w:r w:rsidRPr="006C3B66">
        <w:fldChar w:fldCharType="begin"/>
      </w:r>
      <w:r w:rsidRPr="006C3B66">
        <w:instrText xml:space="preserve"> PAGEREF _Toc342900141 \h </w:instrText>
      </w:r>
      <w:r w:rsidRPr="006C3B66">
        <w:fldChar w:fldCharType="separate"/>
      </w:r>
      <w:r>
        <w:t>24</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lastRenderedPageBreak/>
        <w:t>System Center 2012 Client Management Suite (Client ML) per Utente</w:t>
      </w:r>
      <w:r w:rsidRPr="006C3B66">
        <w:tab/>
      </w:r>
      <w:r w:rsidRPr="006C3B66">
        <w:fldChar w:fldCharType="begin"/>
      </w:r>
      <w:r w:rsidRPr="006C3B66">
        <w:instrText xml:space="preserve"> PAGEREF _Toc342900142 \h </w:instrText>
      </w:r>
      <w:r w:rsidRPr="006C3B66">
        <w:fldChar w:fldCharType="separate"/>
      </w:r>
      <w:r>
        <w:t>24</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Licenza di Gestione Client (Client ML) per System Center 2012 Configuration Manager (Solo Studenti)</w:t>
      </w:r>
      <w:r w:rsidRPr="006C3B66">
        <w:tab/>
      </w:r>
      <w:r w:rsidRPr="006C3B66">
        <w:fldChar w:fldCharType="begin"/>
      </w:r>
      <w:r w:rsidRPr="006C3B66">
        <w:instrText xml:space="preserve"> PAGEREF _Toc342900143 \h </w:instrText>
      </w:r>
      <w:r w:rsidRPr="006C3B66">
        <w:fldChar w:fldCharType="separate"/>
      </w:r>
      <w:r>
        <w:t>24</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Licenza di Gestione Client per OSE per System Center 2012 Configuration Manager</w:t>
      </w:r>
      <w:r w:rsidRPr="006C3B66">
        <w:tab/>
      </w:r>
      <w:r w:rsidRPr="006C3B66">
        <w:fldChar w:fldCharType="begin"/>
      </w:r>
      <w:r w:rsidRPr="006C3B66">
        <w:instrText xml:space="preserve"> PAGEREF _Toc342900144 \h </w:instrText>
      </w:r>
      <w:r w:rsidRPr="006C3B66">
        <w:fldChar w:fldCharType="separate"/>
      </w:r>
      <w:r>
        <w:t>24</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Licenza di Gestione Client per Utente per System Center 2012 Configuration Manager</w:t>
      </w:r>
      <w:r w:rsidRPr="006C3B66">
        <w:tab/>
      </w:r>
      <w:r w:rsidRPr="006C3B66">
        <w:fldChar w:fldCharType="begin"/>
      </w:r>
      <w:r w:rsidRPr="006C3B66">
        <w:instrText xml:space="preserve"> PAGEREF _Toc342900145 \h </w:instrText>
      </w:r>
      <w:r w:rsidRPr="006C3B66">
        <w:fldChar w:fldCharType="separate"/>
      </w:r>
      <w:r>
        <w:t>24</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Licenza di Gestione Server per System Center2012 Datacenter (2 processori)</w:t>
      </w:r>
      <w:r w:rsidRPr="006C3B66">
        <w:tab/>
      </w:r>
      <w:r w:rsidRPr="006C3B66">
        <w:fldChar w:fldCharType="begin"/>
      </w:r>
      <w:r w:rsidRPr="006C3B66">
        <w:instrText xml:space="preserve"> PAGEREF _Toc342900146 \h </w:instrText>
      </w:r>
      <w:r w:rsidRPr="006C3B66">
        <w:fldChar w:fldCharType="separate"/>
      </w:r>
      <w:r>
        <w:t>24</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System Center 2012 Endpoint Protection</w:t>
      </w:r>
      <w:r w:rsidRPr="006C3B66">
        <w:tab/>
      </w:r>
      <w:r w:rsidRPr="006C3B66">
        <w:fldChar w:fldCharType="begin"/>
      </w:r>
      <w:r w:rsidRPr="006C3B66">
        <w:instrText xml:space="preserve"> PAGEREF _Toc342900147 \h </w:instrText>
      </w:r>
      <w:r w:rsidRPr="006C3B66">
        <w:fldChar w:fldCharType="separate"/>
      </w:r>
      <w:r>
        <w:t>24</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Licenza di Gestione Server Standard per System Center 2012 (2 processori)</w:t>
      </w:r>
      <w:r w:rsidRPr="006C3B66">
        <w:tab/>
      </w:r>
      <w:r w:rsidRPr="006C3B66">
        <w:fldChar w:fldCharType="begin"/>
      </w:r>
      <w:r w:rsidRPr="006C3B66">
        <w:instrText xml:space="preserve"> PAGEREF _Toc342900148 \h </w:instrText>
      </w:r>
      <w:r w:rsidRPr="006C3B66">
        <w:fldChar w:fldCharType="separate"/>
      </w:r>
      <w:r>
        <w:t>24</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TechNet Plus Single User</w:t>
      </w:r>
      <w:r w:rsidRPr="006C3B66">
        <w:tab/>
      </w:r>
      <w:r w:rsidRPr="006C3B66">
        <w:fldChar w:fldCharType="begin"/>
      </w:r>
      <w:r w:rsidRPr="006C3B66">
        <w:instrText xml:space="preserve"> PAGEREF _Toc342900149 \h </w:instrText>
      </w:r>
      <w:r w:rsidRPr="006C3B66">
        <w:fldChar w:fldCharType="separate"/>
      </w:r>
      <w:r>
        <w:t>24</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VDI Suite</w:t>
      </w:r>
      <w:r w:rsidRPr="006C3B66">
        <w:tab/>
      </w:r>
      <w:r w:rsidRPr="006C3B66">
        <w:fldChar w:fldCharType="begin"/>
      </w:r>
      <w:r w:rsidRPr="006C3B66">
        <w:instrText xml:space="preserve"> PAGEREF _Toc342900150 \h </w:instrText>
      </w:r>
      <w:r w:rsidRPr="006C3B66">
        <w:fldChar w:fldCharType="separate"/>
      </w:r>
      <w:r>
        <w:t>24</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VDI Suite con MDOP</w:t>
      </w:r>
      <w:r w:rsidRPr="006C3B66">
        <w:tab/>
      </w:r>
      <w:r w:rsidRPr="006C3B66">
        <w:fldChar w:fldCharType="begin"/>
      </w:r>
      <w:r w:rsidRPr="006C3B66">
        <w:instrText xml:space="preserve"> PAGEREF _Toc342900151 \h </w:instrText>
      </w:r>
      <w:r w:rsidRPr="006C3B66">
        <w:fldChar w:fldCharType="separate"/>
      </w:r>
      <w:r>
        <w:t>24</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VDI Standard Suite</w:t>
      </w:r>
      <w:r w:rsidRPr="006C3B66">
        <w:tab/>
      </w:r>
      <w:r w:rsidRPr="006C3B66">
        <w:fldChar w:fldCharType="begin"/>
      </w:r>
      <w:r w:rsidRPr="006C3B66">
        <w:instrText xml:space="preserve"> PAGEREF _Toc342900152 \h </w:instrText>
      </w:r>
      <w:r w:rsidRPr="006C3B66">
        <w:fldChar w:fldCharType="separate"/>
      </w:r>
      <w:r>
        <w:t>24</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VDI Standard Suite con MDOP</w:t>
      </w:r>
      <w:r w:rsidRPr="006C3B66">
        <w:tab/>
      </w:r>
      <w:r w:rsidRPr="006C3B66">
        <w:fldChar w:fldCharType="begin"/>
      </w:r>
      <w:r w:rsidRPr="006C3B66">
        <w:instrText xml:space="preserve"> PAGEREF _Toc342900153 \h </w:instrText>
      </w:r>
      <w:r w:rsidRPr="006C3B66">
        <w:fldChar w:fldCharType="separate"/>
      </w:r>
      <w:r>
        <w:t>24</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VDI Premium Suite</w:t>
      </w:r>
      <w:r w:rsidRPr="006C3B66">
        <w:tab/>
      </w:r>
      <w:r w:rsidRPr="006C3B66">
        <w:fldChar w:fldCharType="begin"/>
      </w:r>
      <w:r w:rsidRPr="006C3B66">
        <w:instrText xml:space="preserve"> PAGEREF _Toc342900154 \h </w:instrText>
      </w:r>
      <w:r w:rsidRPr="006C3B66">
        <w:fldChar w:fldCharType="separate"/>
      </w:r>
      <w:r>
        <w:t>24</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VDI Premium Suite con MDOP</w:t>
      </w:r>
      <w:r w:rsidRPr="006C3B66">
        <w:tab/>
      </w:r>
      <w:r w:rsidRPr="006C3B66">
        <w:fldChar w:fldCharType="begin"/>
      </w:r>
      <w:r w:rsidRPr="006C3B66">
        <w:instrText xml:space="preserve"> PAGEREF _Toc342900155 \h </w:instrText>
      </w:r>
      <w:r w:rsidRPr="006C3B66">
        <w:fldChar w:fldCharType="separate"/>
      </w:r>
      <w:r>
        <w:t>24</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Virtual Server 2005 R2 Enterprise Edition</w:t>
      </w:r>
      <w:r w:rsidRPr="006C3B66">
        <w:tab/>
      </w:r>
      <w:r w:rsidRPr="006C3B66">
        <w:fldChar w:fldCharType="begin"/>
      </w:r>
      <w:r w:rsidRPr="006C3B66">
        <w:instrText xml:space="preserve"> PAGEREF _Toc342900156 \h </w:instrText>
      </w:r>
      <w:r w:rsidRPr="006C3B66">
        <w:fldChar w:fldCharType="separate"/>
      </w:r>
      <w:r>
        <w:t>24</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Visual Studio</w:t>
      </w:r>
      <w:r w:rsidRPr="003A0F2F">
        <w:rPr>
          <w:rFonts w:cs="Tahoma"/>
          <w:vertAlign w:val="superscript"/>
          <w:lang w:val="it-IT"/>
        </w:rPr>
        <w:t>®</w:t>
      </w:r>
      <w:r w:rsidRPr="006C3B66">
        <w:rPr>
          <w:rFonts w:cs="Tahoma"/>
          <w:lang w:val="it-IT"/>
        </w:rPr>
        <w:t xml:space="preserve"> Team Foundation Server 2012 con Tecnologia SQL Server 2012</w:t>
      </w:r>
      <w:r w:rsidRPr="006C3B66">
        <w:tab/>
      </w:r>
      <w:r w:rsidRPr="006C3B66">
        <w:fldChar w:fldCharType="begin"/>
      </w:r>
      <w:r w:rsidRPr="006C3B66">
        <w:instrText xml:space="preserve"> PAGEREF _Toc342900157 \h </w:instrText>
      </w:r>
      <w:r w:rsidRPr="006C3B66">
        <w:fldChar w:fldCharType="separate"/>
      </w:r>
      <w:r>
        <w:t>24</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CAL per Dispositivo per Visual Studio</w:t>
      </w:r>
      <w:r w:rsidRPr="003A0F2F">
        <w:rPr>
          <w:rFonts w:cs="Tahoma"/>
          <w:vertAlign w:val="superscript"/>
          <w:lang w:val="it-IT"/>
        </w:rPr>
        <w:t>®</w:t>
      </w:r>
      <w:r w:rsidRPr="006C3B66">
        <w:rPr>
          <w:rFonts w:cs="Tahoma"/>
          <w:lang w:val="it-IT"/>
        </w:rPr>
        <w:t xml:space="preserve"> Team Foundation Server 2012</w:t>
      </w:r>
      <w:r w:rsidRPr="006C3B66">
        <w:tab/>
      </w:r>
      <w:r w:rsidRPr="006C3B66">
        <w:fldChar w:fldCharType="begin"/>
      </w:r>
      <w:r w:rsidRPr="006C3B66">
        <w:instrText xml:space="preserve"> PAGEREF _Toc342900158 \h </w:instrText>
      </w:r>
      <w:r w:rsidRPr="006C3B66">
        <w:fldChar w:fldCharType="separate"/>
      </w:r>
      <w:r>
        <w:t>24</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User CAL per Visual Studio</w:t>
      </w:r>
      <w:r w:rsidRPr="003A0F2F">
        <w:rPr>
          <w:rFonts w:cs="Tahoma"/>
          <w:vertAlign w:val="superscript"/>
          <w:lang w:val="it-IT"/>
        </w:rPr>
        <w:t>®</w:t>
      </w:r>
      <w:r w:rsidRPr="006C3B66">
        <w:rPr>
          <w:rFonts w:cs="Tahoma"/>
          <w:lang w:val="it-IT"/>
        </w:rPr>
        <w:t xml:space="preserve"> Team Foundation Server 2012</w:t>
      </w:r>
      <w:r w:rsidRPr="006C3B66">
        <w:tab/>
      </w:r>
      <w:r w:rsidRPr="006C3B66">
        <w:fldChar w:fldCharType="begin"/>
      </w:r>
      <w:r w:rsidRPr="006C3B66">
        <w:instrText xml:space="preserve"> PAGEREF _Toc342900159 \h </w:instrText>
      </w:r>
      <w:r w:rsidRPr="006C3B66">
        <w:fldChar w:fldCharType="separate"/>
      </w:r>
      <w:r>
        <w:t>24</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External Connector per Visual Studio</w:t>
      </w:r>
      <w:r w:rsidRPr="003A0F2F">
        <w:rPr>
          <w:rFonts w:cs="Tahoma"/>
          <w:vertAlign w:val="superscript"/>
          <w:lang w:val="it-IT"/>
        </w:rPr>
        <w:t>®</w:t>
      </w:r>
      <w:r w:rsidRPr="006C3B66">
        <w:rPr>
          <w:rFonts w:cs="Tahoma"/>
          <w:lang w:val="it-IT"/>
        </w:rPr>
        <w:t xml:space="preserve"> Team Foundation Server 2012</w:t>
      </w:r>
      <w:r w:rsidRPr="006C3B66">
        <w:tab/>
      </w:r>
      <w:r w:rsidRPr="006C3B66">
        <w:fldChar w:fldCharType="begin"/>
      </w:r>
      <w:r w:rsidRPr="006C3B66">
        <w:instrText xml:space="preserve"> PAGEREF _Toc342900160 \h </w:instrText>
      </w:r>
      <w:r w:rsidRPr="006C3B66">
        <w:fldChar w:fldCharType="separate"/>
      </w:r>
      <w:r>
        <w:t>24</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Web Antimalware Subscription per Forefront Threat Management Gateway Medium Business Edition (Dispositivo e Utente)</w:t>
      </w:r>
      <w:r w:rsidRPr="006C3B66">
        <w:tab/>
      </w:r>
      <w:r w:rsidRPr="006C3B66">
        <w:fldChar w:fldCharType="begin"/>
      </w:r>
      <w:r w:rsidRPr="006C3B66">
        <w:instrText xml:space="preserve"> PAGEREF _Toc342900161 \h </w:instrText>
      </w:r>
      <w:r w:rsidRPr="006C3B66">
        <w:fldChar w:fldCharType="separate"/>
      </w:r>
      <w:r>
        <w:t>24</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Servizi di Windows Azure</w:t>
      </w:r>
      <w:r w:rsidRPr="006C3B66">
        <w:tab/>
      </w:r>
      <w:r w:rsidRPr="006C3B66">
        <w:fldChar w:fldCharType="begin"/>
      </w:r>
      <w:r w:rsidRPr="006C3B66">
        <w:instrText xml:space="preserve"> PAGEREF _Toc342900162 \h </w:instrText>
      </w:r>
      <w:r w:rsidRPr="006C3B66">
        <w:fldChar w:fldCharType="separate"/>
      </w:r>
      <w:r>
        <w:t>25</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Windows</w:t>
      </w:r>
      <w:r w:rsidRPr="003A0F2F">
        <w:rPr>
          <w:rFonts w:cs="Tahoma"/>
          <w:vertAlign w:val="superscript"/>
          <w:lang w:val="it-IT"/>
        </w:rPr>
        <w:t>®</w:t>
      </w:r>
      <w:r w:rsidRPr="006C3B66">
        <w:rPr>
          <w:rFonts w:cs="Tahoma"/>
          <w:lang w:val="it-IT"/>
        </w:rPr>
        <w:t xml:space="preserve"> Embedded Device Manager 2011</w:t>
      </w:r>
      <w:r w:rsidRPr="006C3B66">
        <w:tab/>
      </w:r>
      <w:r w:rsidRPr="006C3B66">
        <w:fldChar w:fldCharType="begin"/>
      </w:r>
      <w:r w:rsidRPr="006C3B66">
        <w:instrText xml:space="preserve"> PAGEREF _Toc342900163 \h </w:instrText>
      </w:r>
      <w:r w:rsidRPr="006C3B66">
        <w:fldChar w:fldCharType="separate"/>
      </w:r>
      <w:r>
        <w:t>25</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Licenza di Gestione Client per OSE per Windows</w:t>
      </w:r>
      <w:r w:rsidRPr="003A0F2F">
        <w:rPr>
          <w:rFonts w:cs="Tahoma"/>
          <w:vertAlign w:val="superscript"/>
          <w:lang w:val="it-IT"/>
        </w:rPr>
        <w:t>®</w:t>
      </w:r>
      <w:r w:rsidRPr="006C3B66">
        <w:rPr>
          <w:rFonts w:cs="Tahoma"/>
          <w:lang w:val="it-IT"/>
        </w:rPr>
        <w:t xml:space="preserve"> Embedded Device Manager 2011</w:t>
      </w:r>
      <w:r w:rsidRPr="006C3B66">
        <w:tab/>
      </w:r>
      <w:r w:rsidRPr="006C3B66">
        <w:fldChar w:fldCharType="begin"/>
      </w:r>
      <w:r w:rsidRPr="006C3B66">
        <w:instrText xml:space="preserve"> PAGEREF _Toc342900164 \h </w:instrText>
      </w:r>
      <w:r w:rsidRPr="006C3B66">
        <w:fldChar w:fldCharType="separate"/>
      </w:r>
      <w:r>
        <w:t>25</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Licenza di Gestione Client per Utente per Windows</w:t>
      </w:r>
      <w:r w:rsidRPr="003A0F2F">
        <w:rPr>
          <w:rFonts w:cs="Tahoma"/>
          <w:vertAlign w:val="superscript"/>
          <w:lang w:val="it-IT"/>
        </w:rPr>
        <w:t>®</w:t>
      </w:r>
      <w:r w:rsidRPr="006C3B66">
        <w:rPr>
          <w:rFonts w:cs="Tahoma"/>
          <w:lang w:val="it-IT"/>
        </w:rPr>
        <w:t xml:space="preserve"> Embedded Device Manager 2011</w:t>
      </w:r>
      <w:r w:rsidRPr="006C3B66">
        <w:tab/>
      </w:r>
      <w:r w:rsidRPr="006C3B66">
        <w:fldChar w:fldCharType="begin"/>
      </w:r>
      <w:r w:rsidRPr="006C3B66">
        <w:instrText xml:space="preserve"> PAGEREF _Toc342900165 \h </w:instrText>
      </w:r>
      <w:r w:rsidRPr="006C3B66">
        <w:fldChar w:fldCharType="separate"/>
      </w:r>
      <w:r>
        <w:t>25</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Windows</w:t>
      </w:r>
      <w:r w:rsidRPr="003A0F2F">
        <w:rPr>
          <w:rFonts w:cs="Tahoma"/>
          <w:vertAlign w:val="superscript"/>
          <w:lang w:val="it-IT"/>
        </w:rPr>
        <w:t>®</w:t>
      </w:r>
      <w:r w:rsidRPr="006C3B66">
        <w:rPr>
          <w:rFonts w:cs="Tahoma"/>
          <w:lang w:val="it-IT"/>
        </w:rPr>
        <w:t xml:space="preserve"> Embedded Device Manager 2011 con Tecnologia SQL Server</w:t>
      </w:r>
      <w:r w:rsidRPr="003A0F2F">
        <w:rPr>
          <w:rFonts w:cs="Tahoma"/>
          <w:vertAlign w:val="superscript"/>
          <w:lang w:val="it-IT"/>
        </w:rPr>
        <w:t>®</w:t>
      </w:r>
      <w:r w:rsidRPr="006C3B66">
        <w:rPr>
          <w:rFonts w:cs="Tahoma"/>
          <w:lang w:val="it-IT"/>
        </w:rPr>
        <w:t xml:space="preserve"> 2008</w:t>
      </w:r>
      <w:r w:rsidRPr="006C3B66">
        <w:tab/>
      </w:r>
      <w:r w:rsidRPr="006C3B66">
        <w:fldChar w:fldCharType="begin"/>
      </w:r>
      <w:r w:rsidRPr="006C3B66">
        <w:instrText xml:space="preserve"> PAGEREF _Toc342900166 \h </w:instrText>
      </w:r>
      <w:r w:rsidRPr="006C3B66">
        <w:fldChar w:fldCharType="separate"/>
      </w:r>
      <w:r>
        <w:t>25</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Windows Essential Business Server 2008 Standard</w:t>
      </w:r>
      <w:r w:rsidRPr="006C3B66">
        <w:tab/>
      </w:r>
      <w:r w:rsidRPr="006C3B66">
        <w:fldChar w:fldCharType="begin"/>
      </w:r>
      <w:r w:rsidRPr="006C3B66">
        <w:instrText xml:space="preserve"> PAGEREF _Toc342900167 \h </w:instrText>
      </w:r>
      <w:r w:rsidRPr="006C3B66">
        <w:fldChar w:fldCharType="separate"/>
      </w:r>
      <w:r>
        <w:t>25</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CAL Suite per Windows Essential Business Server 2008</w:t>
      </w:r>
      <w:r w:rsidRPr="006C3B66">
        <w:tab/>
      </w:r>
      <w:r w:rsidRPr="006C3B66">
        <w:fldChar w:fldCharType="begin"/>
      </w:r>
      <w:r w:rsidRPr="006C3B66">
        <w:instrText xml:space="preserve"> PAGEREF _Toc342900168 \h </w:instrText>
      </w:r>
      <w:r w:rsidRPr="006C3B66">
        <w:fldChar w:fldCharType="separate"/>
      </w:r>
      <w:r>
        <w:t>25</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CAL Suite per Windows Essential Business Server 2008 (5 client)</w:t>
      </w:r>
      <w:r w:rsidRPr="006C3B66">
        <w:tab/>
      </w:r>
      <w:r w:rsidRPr="006C3B66">
        <w:fldChar w:fldCharType="begin"/>
      </w:r>
      <w:r w:rsidRPr="006C3B66">
        <w:instrText xml:space="preserve"> PAGEREF _Toc342900169 \h </w:instrText>
      </w:r>
      <w:r w:rsidRPr="006C3B66">
        <w:fldChar w:fldCharType="separate"/>
      </w:r>
      <w:r>
        <w:t>25</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CAL Suite per Windows Essential Business Server 2008 (20 client)</w:t>
      </w:r>
      <w:r w:rsidRPr="006C3B66">
        <w:tab/>
      </w:r>
      <w:r w:rsidRPr="006C3B66">
        <w:fldChar w:fldCharType="begin"/>
      </w:r>
      <w:r w:rsidRPr="006C3B66">
        <w:instrText xml:space="preserve"> PAGEREF _Toc342900170 \h </w:instrText>
      </w:r>
      <w:r w:rsidRPr="006C3B66">
        <w:fldChar w:fldCharType="separate"/>
      </w:r>
      <w:r>
        <w:t>25</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CAL Suite per Windows Essential Business Server 2008 (50 client)</w:t>
      </w:r>
      <w:r w:rsidRPr="006C3B66">
        <w:tab/>
      </w:r>
      <w:r w:rsidRPr="006C3B66">
        <w:fldChar w:fldCharType="begin"/>
      </w:r>
      <w:r w:rsidRPr="006C3B66">
        <w:instrText xml:space="preserve"> PAGEREF _Toc342900171 \h </w:instrText>
      </w:r>
      <w:r w:rsidRPr="006C3B66">
        <w:fldChar w:fldCharType="separate"/>
      </w:r>
      <w:r>
        <w:t>25</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Windows Essential Business Server 2008 Premium</w:t>
      </w:r>
      <w:r w:rsidRPr="006C3B66">
        <w:tab/>
      </w:r>
      <w:r w:rsidRPr="006C3B66">
        <w:fldChar w:fldCharType="begin"/>
      </w:r>
      <w:r w:rsidRPr="006C3B66">
        <w:instrText xml:space="preserve"> PAGEREF _Toc342900172 \h </w:instrText>
      </w:r>
      <w:r w:rsidRPr="006C3B66">
        <w:fldChar w:fldCharType="separate"/>
      </w:r>
      <w:r>
        <w:t>25</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CAL Suite per Windows Essential Business Server 2008 per Utenti o Dispositivi Premium</w:t>
      </w:r>
      <w:r w:rsidRPr="006C3B66">
        <w:tab/>
      </w:r>
      <w:r w:rsidRPr="006C3B66">
        <w:fldChar w:fldCharType="begin"/>
      </w:r>
      <w:r w:rsidRPr="006C3B66">
        <w:instrText xml:space="preserve"> PAGEREF _Toc342900173 \h </w:instrText>
      </w:r>
      <w:r w:rsidRPr="006C3B66">
        <w:fldChar w:fldCharType="separate"/>
      </w:r>
      <w:r>
        <w:t>25</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CAL Suite per Windows Essential Business Server 2008 per Utenti o Dispositivi Premium (5 client)</w:t>
      </w:r>
      <w:r w:rsidRPr="006C3B66">
        <w:tab/>
      </w:r>
      <w:r w:rsidRPr="006C3B66">
        <w:fldChar w:fldCharType="begin"/>
      </w:r>
      <w:r w:rsidRPr="006C3B66">
        <w:instrText xml:space="preserve"> PAGEREF _Toc342900174 \h </w:instrText>
      </w:r>
      <w:r w:rsidRPr="006C3B66">
        <w:fldChar w:fldCharType="separate"/>
      </w:r>
      <w:r>
        <w:t>25</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CAL Suite per Windows Essential Business Server 2008 per Utenti o Dispositivi Premium (20 client)</w:t>
      </w:r>
      <w:r w:rsidRPr="006C3B66">
        <w:tab/>
      </w:r>
      <w:r w:rsidRPr="006C3B66">
        <w:fldChar w:fldCharType="begin"/>
      </w:r>
      <w:r w:rsidRPr="006C3B66">
        <w:instrText xml:space="preserve"> PAGEREF _Toc342900175 \h </w:instrText>
      </w:r>
      <w:r w:rsidRPr="006C3B66">
        <w:fldChar w:fldCharType="separate"/>
      </w:r>
      <w:r>
        <w:t>25</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CAL Suite per Windows Essential Business Server 2008 per Utenti o Dispositivi Premium (50 client)</w:t>
      </w:r>
      <w:r w:rsidRPr="006C3B66">
        <w:tab/>
      </w:r>
      <w:r w:rsidRPr="006C3B66">
        <w:fldChar w:fldCharType="begin"/>
      </w:r>
      <w:r w:rsidRPr="006C3B66">
        <w:instrText xml:space="preserve"> PAGEREF _Toc342900176 \h </w:instrText>
      </w:r>
      <w:r w:rsidRPr="006C3B66">
        <w:fldChar w:fldCharType="separate"/>
      </w:r>
      <w:r>
        <w:t>25</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Windows HPC Server 2008 R2 Suite</w:t>
      </w:r>
      <w:r w:rsidRPr="006C3B66">
        <w:tab/>
      </w:r>
      <w:r w:rsidRPr="006C3B66">
        <w:fldChar w:fldCharType="begin"/>
      </w:r>
      <w:r w:rsidRPr="006C3B66">
        <w:instrText xml:space="preserve"> PAGEREF _Toc342900177 \h </w:instrText>
      </w:r>
      <w:r w:rsidRPr="006C3B66">
        <w:fldChar w:fldCharType="separate"/>
      </w:r>
      <w:r>
        <w:t>25</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Componente Aggiuntivo per Windows Intune (Per Dispositivo)</w:t>
      </w:r>
      <w:r w:rsidRPr="006C3B66">
        <w:tab/>
      </w:r>
      <w:r w:rsidRPr="006C3B66">
        <w:fldChar w:fldCharType="begin"/>
      </w:r>
      <w:r w:rsidRPr="006C3B66">
        <w:instrText xml:space="preserve"> PAGEREF _Toc342900178 \h </w:instrText>
      </w:r>
      <w:r w:rsidRPr="006C3B66">
        <w:fldChar w:fldCharType="separate"/>
      </w:r>
      <w:r>
        <w:t>25</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Windows Intune (Per Dispositivo)</w:t>
      </w:r>
      <w:r w:rsidRPr="006C3B66">
        <w:tab/>
      </w:r>
      <w:r w:rsidRPr="006C3B66">
        <w:fldChar w:fldCharType="begin"/>
      </w:r>
      <w:r w:rsidRPr="006C3B66">
        <w:instrText xml:space="preserve"> PAGEREF _Toc342900179 \h </w:instrText>
      </w:r>
      <w:r w:rsidRPr="006C3B66">
        <w:fldChar w:fldCharType="separate"/>
      </w:r>
      <w:r>
        <w:t>25</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Componente Aggiuntivo per Windows Intune per System Center Configuration Manager e System Center EndPoint Protection (Per Utente)</w:t>
      </w:r>
      <w:r w:rsidRPr="006C3B66">
        <w:tab/>
      </w:r>
      <w:r w:rsidRPr="006C3B66">
        <w:fldChar w:fldCharType="begin"/>
      </w:r>
      <w:r w:rsidRPr="006C3B66">
        <w:instrText xml:space="preserve"> PAGEREF _Toc342900180 \h </w:instrText>
      </w:r>
      <w:r w:rsidRPr="006C3B66">
        <w:fldChar w:fldCharType="separate"/>
      </w:r>
      <w:r>
        <w:t>25</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Windows Intune (Per Utente)</w:t>
      </w:r>
      <w:r w:rsidRPr="006C3B66">
        <w:tab/>
      </w:r>
      <w:r w:rsidRPr="006C3B66">
        <w:fldChar w:fldCharType="begin"/>
      </w:r>
      <w:r w:rsidRPr="006C3B66">
        <w:instrText xml:space="preserve"> PAGEREF _Toc342900181 \h </w:instrText>
      </w:r>
      <w:r w:rsidRPr="006C3B66">
        <w:fldChar w:fldCharType="separate"/>
      </w:r>
      <w:r>
        <w:t>25</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Windows Intune Extra Storage 1 GB</w:t>
      </w:r>
      <w:r w:rsidRPr="006C3B66">
        <w:tab/>
      </w:r>
      <w:r w:rsidRPr="006C3B66">
        <w:fldChar w:fldCharType="begin"/>
      </w:r>
      <w:r w:rsidRPr="006C3B66">
        <w:instrText xml:space="preserve"> PAGEREF _Toc342900182 \h </w:instrText>
      </w:r>
      <w:r w:rsidRPr="006C3B66">
        <w:fldChar w:fldCharType="separate"/>
      </w:r>
      <w:r>
        <w:t>25</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USL per Windows Intune</w:t>
      </w:r>
      <w:r w:rsidRPr="006C3B66">
        <w:tab/>
      </w:r>
      <w:r w:rsidRPr="006C3B66">
        <w:fldChar w:fldCharType="begin"/>
      </w:r>
      <w:r w:rsidRPr="006C3B66">
        <w:instrText xml:space="preserve"> PAGEREF _Toc342900183 \h </w:instrText>
      </w:r>
      <w:r w:rsidRPr="006C3B66">
        <w:fldChar w:fldCharType="separate"/>
      </w:r>
      <w:r>
        <w:t>25</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USL Add-On per Windows Intune</w:t>
      </w:r>
      <w:r w:rsidRPr="006C3B66">
        <w:tab/>
      </w:r>
      <w:r w:rsidRPr="006C3B66">
        <w:fldChar w:fldCharType="begin"/>
      </w:r>
      <w:r w:rsidRPr="006C3B66">
        <w:instrText xml:space="preserve"> PAGEREF _Toc342900184 \h </w:instrText>
      </w:r>
      <w:r w:rsidRPr="006C3B66">
        <w:fldChar w:fldCharType="separate"/>
      </w:r>
      <w:r>
        <w:t>25</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USL Add-On per Windows Intune Extra Storage 1 GB</w:t>
      </w:r>
      <w:r w:rsidRPr="006C3B66">
        <w:tab/>
      </w:r>
      <w:r w:rsidRPr="006C3B66">
        <w:fldChar w:fldCharType="begin"/>
      </w:r>
      <w:r w:rsidRPr="006C3B66">
        <w:instrText xml:space="preserve"> PAGEREF _Toc342900185 \h </w:instrText>
      </w:r>
      <w:r w:rsidRPr="006C3B66">
        <w:fldChar w:fldCharType="separate"/>
      </w:r>
      <w:r>
        <w:t>25</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Windows MultiPoint Server 2012 Standard</w:t>
      </w:r>
      <w:r w:rsidRPr="006C3B66">
        <w:tab/>
      </w:r>
      <w:r w:rsidRPr="006C3B66">
        <w:fldChar w:fldCharType="begin"/>
      </w:r>
      <w:r w:rsidRPr="006C3B66">
        <w:instrText xml:space="preserve"> PAGEREF _Toc342900186 \h </w:instrText>
      </w:r>
      <w:r w:rsidRPr="006C3B66">
        <w:fldChar w:fldCharType="separate"/>
      </w:r>
      <w:r>
        <w:t>25</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Windows MultiPoint Server 2012 Premium</w:t>
      </w:r>
      <w:r w:rsidRPr="006C3B66">
        <w:tab/>
      </w:r>
      <w:r w:rsidRPr="006C3B66">
        <w:fldChar w:fldCharType="begin"/>
      </w:r>
      <w:r w:rsidRPr="006C3B66">
        <w:instrText xml:space="preserve"> PAGEREF _Toc342900187 \h </w:instrText>
      </w:r>
      <w:r w:rsidRPr="006C3B66">
        <w:fldChar w:fldCharType="separate"/>
      </w:r>
      <w:r>
        <w:t>25</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CAL per Windows MultiPoint Server 2012</w:t>
      </w:r>
      <w:r w:rsidRPr="006C3B66">
        <w:tab/>
      </w:r>
      <w:r w:rsidRPr="006C3B66">
        <w:fldChar w:fldCharType="begin"/>
      </w:r>
      <w:r w:rsidRPr="006C3B66">
        <w:instrText xml:space="preserve"> PAGEREF _Toc342900188 \h </w:instrText>
      </w:r>
      <w:r w:rsidRPr="006C3B66">
        <w:fldChar w:fldCharType="separate"/>
      </w:r>
      <w:r>
        <w:t>25</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CAL per Windows MultiPoint Server 2012 con CAL per Windows Server 2012</w:t>
      </w:r>
      <w:r w:rsidRPr="006C3B66">
        <w:tab/>
      </w:r>
      <w:r w:rsidRPr="006C3B66">
        <w:fldChar w:fldCharType="begin"/>
      </w:r>
      <w:r w:rsidRPr="006C3B66">
        <w:instrText xml:space="preserve"> PAGEREF _Toc342900189 \h </w:instrText>
      </w:r>
      <w:r w:rsidRPr="006C3B66">
        <w:fldChar w:fldCharType="separate"/>
      </w:r>
      <w:r>
        <w:t>25</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Windows MultiPoint Server 2012 Premium con Windows MultiPoint Server 2012 (CAL) (5 Client)</w:t>
      </w:r>
      <w:r w:rsidRPr="006C3B66">
        <w:tab/>
      </w:r>
      <w:r w:rsidRPr="006C3B66">
        <w:fldChar w:fldCharType="begin"/>
      </w:r>
      <w:r w:rsidRPr="006C3B66">
        <w:instrText xml:space="preserve"> PAGEREF _Toc342900190 \h </w:instrText>
      </w:r>
      <w:r w:rsidRPr="006C3B66">
        <w:fldChar w:fldCharType="separate"/>
      </w:r>
      <w:r>
        <w:t>25</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 xml:space="preserve">Windows MultiPoint Server 2012 Premium con Windows MultiPoint Server 2012 (CAL) (5 Client) </w:t>
      </w:r>
      <w:r w:rsidRPr="006C3B66">
        <w:rPr>
          <w:rFonts w:cs="Tahoma"/>
          <w:lang w:val="it-IT"/>
        </w:rPr>
        <w:br/>
        <w:t>con Windows Server 2012 (CAL) (5 Client)</w:t>
      </w:r>
      <w:r w:rsidRPr="006C3B66">
        <w:tab/>
      </w:r>
      <w:r w:rsidRPr="006C3B66">
        <w:fldChar w:fldCharType="begin"/>
      </w:r>
      <w:r w:rsidRPr="006C3B66">
        <w:instrText xml:space="preserve"> PAGEREF _Toc342900191 \h </w:instrText>
      </w:r>
      <w:r w:rsidRPr="006C3B66">
        <w:fldChar w:fldCharType="separate"/>
      </w:r>
      <w:r>
        <w:t>26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Windows Server™ 2008 R2 HPC Edition</w:t>
      </w:r>
      <w:r w:rsidRPr="006C3B66">
        <w:tab/>
      </w:r>
      <w:r w:rsidRPr="006C3B66">
        <w:fldChar w:fldCharType="begin"/>
      </w:r>
      <w:r w:rsidRPr="006C3B66">
        <w:instrText xml:space="preserve"> PAGEREF _Toc342900192 \h </w:instrText>
      </w:r>
      <w:r w:rsidRPr="006C3B66">
        <w:fldChar w:fldCharType="separate"/>
      </w:r>
      <w:r>
        <w:t>26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Windows Server™ 2008 R2 Enterprise</w:t>
      </w:r>
      <w:r w:rsidRPr="006C3B66">
        <w:tab/>
      </w:r>
      <w:r w:rsidRPr="006C3B66">
        <w:fldChar w:fldCharType="begin"/>
      </w:r>
      <w:r w:rsidRPr="006C3B66">
        <w:instrText xml:space="preserve"> PAGEREF _Toc342900193 \h </w:instrText>
      </w:r>
      <w:r w:rsidRPr="006C3B66">
        <w:fldChar w:fldCharType="separate"/>
      </w:r>
      <w:r>
        <w:t>26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Windows Server™ 2008 R2 per Sistemi Basati su Itanium</w:t>
      </w:r>
      <w:r w:rsidRPr="006C3B66">
        <w:tab/>
      </w:r>
      <w:r w:rsidRPr="006C3B66">
        <w:fldChar w:fldCharType="begin"/>
      </w:r>
      <w:r w:rsidRPr="006C3B66">
        <w:instrText xml:space="preserve"> PAGEREF _Toc342900194 \h </w:instrText>
      </w:r>
      <w:r w:rsidRPr="006C3B66">
        <w:fldChar w:fldCharType="separate"/>
      </w:r>
      <w:r>
        <w:t>26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CAL per Windows Server™ 2012 (Dispositivo e Utente)</w:t>
      </w:r>
      <w:r w:rsidRPr="006C3B66">
        <w:tab/>
      </w:r>
      <w:r w:rsidRPr="006C3B66">
        <w:fldChar w:fldCharType="begin"/>
      </w:r>
      <w:r w:rsidRPr="006C3B66">
        <w:instrText xml:space="preserve"> PAGEREF _Toc342900195 \h </w:instrText>
      </w:r>
      <w:r w:rsidRPr="006C3B66">
        <w:fldChar w:fldCharType="separate"/>
      </w:r>
      <w:r>
        <w:t>26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Windows Server™ 2012 Datacenter</w:t>
      </w:r>
      <w:r w:rsidRPr="006C3B66">
        <w:tab/>
      </w:r>
      <w:r w:rsidRPr="006C3B66">
        <w:fldChar w:fldCharType="begin"/>
      </w:r>
      <w:r w:rsidRPr="006C3B66">
        <w:instrText xml:space="preserve"> PAGEREF _Toc342900196 \h </w:instrText>
      </w:r>
      <w:r w:rsidRPr="006C3B66">
        <w:fldChar w:fldCharType="separate"/>
      </w:r>
      <w:r>
        <w:t>26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Windows Server™ 2012 Standard</w:t>
      </w:r>
      <w:r w:rsidRPr="006C3B66">
        <w:tab/>
      </w:r>
      <w:r w:rsidRPr="006C3B66">
        <w:fldChar w:fldCharType="begin"/>
      </w:r>
      <w:r w:rsidRPr="006C3B66">
        <w:instrText xml:space="preserve"> PAGEREF _Toc342900197 \h </w:instrText>
      </w:r>
      <w:r w:rsidRPr="006C3B66">
        <w:fldChar w:fldCharType="separate"/>
      </w:r>
      <w:r>
        <w:t>26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lastRenderedPageBreak/>
        <w:t>External Connector per Windows Server™</w:t>
      </w:r>
      <w:r w:rsidRPr="006C3B66">
        <w:tab/>
      </w:r>
      <w:r w:rsidRPr="006C3B66">
        <w:fldChar w:fldCharType="begin"/>
      </w:r>
      <w:r w:rsidRPr="006C3B66">
        <w:instrText xml:space="preserve"> PAGEREF _Toc342900198 \h </w:instrText>
      </w:r>
      <w:r w:rsidRPr="006C3B66">
        <w:fldChar w:fldCharType="separate"/>
      </w:r>
      <w:r>
        <w:t>26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CAL per Servizi Desktop Remoto Windows Server™ 2012</w:t>
      </w:r>
      <w:r w:rsidRPr="006C3B66">
        <w:tab/>
      </w:r>
      <w:r w:rsidRPr="006C3B66">
        <w:fldChar w:fldCharType="begin"/>
      </w:r>
      <w:r w:rsidRPr="006C3B66">
        <w:instrText xml:space="preserve"> PAGEREF _Toc342900199 \h </w:instrText>
      </w:r>
      <w:r w:rsidRPr="006C3B66">
        <w:fldChar w:fldCharType="separate"/>
      </w:r>
      <w:r>
        <w:t>26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External Connector per Servizi Desktop Remoto Windows Server™ 2012</w:t>
      </w:r>
      <w:r w:rsidRPr="006C3B66">
        <w:tab/>
      </w:r>
      <w:r w:rsidRPr="006C3B66">
        <w:fldChar w:fldCharType="begin"/>
      </w:r>
      <w:r w:rsidRPr="006C3B66">
        <w:instrText xml:space="preserve"> PAGEREF _Toc342900200 \h </w:instrText>
      </w:r>
      <w:r w:rsidRPr="006C3B66">
        <w:fldChar w:fldCharType="separate"/>
      </w:r>
      <w:r>
        <w:t>26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CAL per Windows Server™ 2012 Active Directory Rights Management Services</w:t>
      </w:r>
      <w:r w:rsidRPr="006C3B66">
        <w:tab/>
      </w:r>
      <w:r w:rsidRPr="006C3B66">
        <w:fldChar w:fldCharType="begin"/>
      </w:r>
      <w:r w:rsidRPr="006C3B66">
        <w:instrText xml:space="preserve"> PAGEREF _Toc342900201 \h </w:instrText>
      </w:r>
      <w:r w:rsidRPr="006C3B66">
        <w:fldChar w:fldCharType="separate"/>
      </w:r>
      <w:r>
        <w:t>26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External Connector per Windows Server™ Active Directory Rights Management Services</w:t>
      </w:r>
      <w:r w:rsidRPr="006C3B66">
        <w:tab/>
      </w:r>
      <w:r w:rsidRPr="006C3B66">
        <w:fldChar w:fldCharType="begin"/>
      </w:r>
      <w:r w:rsidRPr="006C3B66">
        <w:instrText xml:space="preserve"> PAGEREF _Toc342900202 \h </w:instrText>
      </w:r>
      <w:r w:rsidRPr="006C3B66">
        <w:fldChar w:fldCharType="separate"/>
      </w:r>
      <w:r>
        <w:t>26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Windows Web Server 2008 R2</w:t>
      </w:r>
      <w:r w:rsidRPr="006C3B66">
        <w:tab/>
      </w:r>
      <w:r w:rsidRPr="006C3B66">
        <w:fldChar w:fldCharType="begin"/>
      </w:r>
      <w:r w:rsidRPr="006C3B66">
        <w:instrText xml:space="preserve"> PAGEREF _Toc342900203 \h </w:instrText>
      </w:r>
      <w:r w:rsidRPr="006C3B66">
        <w:fldChar w:fldCharType="separate"/>
      </w:r>
      <w:r>
        <w:t>26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Windows Small Business Server 2008 Premium</w:t>
      </w:r>
      <w:r w:rsidRPr="006C3B66">
        <w:tab/>
      </w:r>
      <w:r w:rsidRPr="006C3B66">
        <w:fldChar w:fldCharType="begin"/>
      </w:r>
      <w:r w:rsidRPr="006C3B66">
        <w:instrText xml:space="preserve"> PAGEREF _Toc342900204 \h </w:instrText>
      </w:r>
      <w:r w:rsidRPr="006C3B66">
        <w:fldChar w:fldCharType="separate"/>
      </w:r>
      <w:r>
        <w:t>26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CAL Suite per Windows Small Business Server 2008 per Utenti o Dispositivi Premium</w:t>
      </w:r>
      <w:r w:rsidRPr="006C3B66">
        <w:tab/>
      </w:r>
      <w:r w:rsidRPr="006C3B66">
        <w:fldChar w:fldCharType="begin"/>
      </w:r>
      <w:r w:rsidRPr="006C3B66">
        <w:instrText xml:space="preserve"> PAGEREF _Toc342900205 \h </w:instrText>
      </w:r>
      <w:r w:rsidRPr="006C3B66">
        <w:fldChar w:fldCharType="separate"/>
      </w:r>
      <w:r>
        <w:t>26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CAL Suite per Windows Small Business Server 2008 per Utenti o Dispositivi Premium (5 Client)</w:t>
      </w:r>
      <w:r w:rsidRPr="006C3B66">
        <w:tab/>
      </w:r>
      <w:r w:rsidRPr="006C3B66">
        <w:fldChar w:fldCharType="begin"/>
      </w:r>
      <w:r w:rsidRPr="006C3B66">
        <w:instrText xml:space="preserve"> PAGEREF _Toc342900206 \h </w:instrText>
      </w:r>
      <w:r w:rsidRPr="006C3B66">
        <w:fldChar w:fldCharType="separate"/>
      </w:r>
      <w:r>
        <w:t>26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CAL Suite per Windows Small Business Server 2008 per Utenti o Dispositivi Premium (20 Client)</w:t>
      </w:r>
      <w:r w:rsidRPr="006C3B66">
        <w:tab/>
      </w:r>
      <w:r w:rsidRPr="006C3B66">
        <w:fldChar w:fldCharType="begin"/>
      </w:r>
      <w:r w:rsidRPr="006C3B66">
        <w:instrText xml:space="preserve"> PAGEREF _Toc342900207 \h </w:instrText>
      </w:r>
      <w:r w:rsidRPr="006C3B66">
        <w:fldChar w:fldCharType="separate"/>
      </w:r>
      <w:r>
        <w:t>26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Windows Small Business Server 2011 Standard (5 client)</w:t>
      </w:r>
      <w:r w:rsidRPr="006C3B66">
        <w:tab/>
      </w:r>
      <w:r w:rsidRPr="006C3B66">
        <w:fldChar w:fldCharType="begin"/>
      </w:r>
      <w:r w:rsidRPr="006C3B66">
        <w:instrText xml:space="preserve"> PAGEREF _Toc342900208 \h </w:instrText>
      </w:r>
      <w:r w:rsidRPr="006C3B66">
        <w:fldChar w:fldCharType="separate"/>
      </w:r>
      <w:r>
        <w:t>26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CAL Suite per Windows Small Business Server 2011 (1 client)</w:t>
      </w:r>
      <w:r w:rsidRPr="006C3B66">
        <w:tab/>
      </w:r>
      <w:r w:rsidRPr="006C3B66">
        <w:fldChar w:fldCharType="begin"/>
      </w:r>
      <w:r w:rsidRPr="006C3B66">
        <w:instrText xml:space="preserve"> PAGEREF _Toc342900209 \h </w:instrText>
      </w:r>
      <w:r w:rsidRPr="006C3B66">
        <w:fldChar w:fldCharType="separate"/>
      </w:r>
      <w:r>
        <w:t>26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CAL Suite per Windows Small Business Server 2011 (5 client)</w:t>
      </w:r>
      <w:r w:rsidRPr="006C3B66">
        <w:tab/>
      </w:r>
      <w:r w:rsidRPr="006C3B66">
        <w:fldChar w:fldCharType="begin"/>
      </w:r>
      <w:r w:rsidRPr="006C3B66">
        <w:instrText xml:space="preserve"> PAGEREF _Toc342900210 \h </w:instrText>
      </w:r>
      <w:r w:rsidRPr="006C3B66">
        <w:fldChar w:fldCharType="separate"/>
      </w:r>
      <w:r>
        <w:t>26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CAL Suite per Windows Small Business Server 2011 (20 client)</w:t>
      </w:r>
      <w:r w:rsidRPr="006C3B66">
        <w:tab/>
      </w:r>
      <w:r w:rsidRPr="006C3B66">
        <w:fldChar w:fldCharType="begin"/>
      </w:r>
      <w:r w:rsidRPr="006C3B66">
        <w:instrText xml:space="preserve"> PAGEREF _Toc342900211 \h </w:instrText>
      </w:r>
      <w:r w:rsidRPr="006C3B66">
        <w:fldChar w:fldCharType="separate"/>
      </w:r>
      <w:r>
        <w:t>26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Premium Add-on per Windows Small Business Server 2011 (5 client)</w:t>
      </w:r>
      <w:r w:rsidRPr="006C3B66">
        <w:tab/>
      </w:r>
      <w:r w:rsidRPr="006C3B66">
        <w:fldChar w:fldCharType="begin"/>
      </w:r>
      <w:r w:rsidRPr="006C3B66">
        <w:instrText xml:space="preserve"> PAGEREF _Toc342900212 \h </w:instrText>
      </w:r>
      <w:r w:rsidRPr="006C3B66">
        <w:fldChar w:fldCharType="separate"/>
      </w:r>
      <w:r>
        <w:t>26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Premium Add-on CAL Suite per Windows Small Business Server 2011</w:t>
      </w:r>
      <w:r w:rsidRPr="006C3B66">
        <w:tab/>
      </w:r>
      <w:r w:rsidRPr="006C3B66">
        <w:fldChar w:fldCharType="begin"/>
      </w:r>
      <w:r w:rsidRPr="006C3B66">
        <w:instrText xml:space="preserve"> PAGEREF _Toc342900213 \h </w:instrText>
      </w:r>
      <w:r w:rsidRPr="006C3B66">
        <w:fldChar w:fldCharType="separate"/>
      </w:r>
      <w:r>
        <w:t>26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Premium Add-on CAL Suite per Windows Small Business Server 2011 (5 client)</w:t>
      </w:r>
      <w:r w:rsidRPr="006C3B66">
        <w:tab/>
      </w:r>
      <w:r w:rsidRPr="006C3B66">
        <w:fldChar w:fldCharType="begin"/>
      </w:r>
      <w:r w:rsidRPr="006C3B66">
        <w:instrText xml:space="preserve"> PAGEREF _Toc342900214 \h </w:instrText>
      </w:r>
      <w:r w:rsidRPr="006C3B66">
        <w:fldChar w:fldCharType="separate"/>
      </w:r>
      <w:r>
        <w:t>26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Premium Add-on CAL Suite per Windows Small Business Server 2011 (20 client)</w:t>
      </w:r>
      <w:r w:rsidRPr="006C3B66">
        <w:tab/>
      </w:r>
      <w:r w:rsidRPr="006C3B66">
        <w:fldChar w:fldCharType="begin"/>
      </w:r>
      <w:r w:rsidRPr="006C3B66">
        <w:instrText xml:space="preserve"> PAGEREF _Toc342900215 \h </w:instrText>
      </w:r>
      <w:r w:rsidRPr="006C3B66">
        <w:fldChar w:fldCharType="separate"/>
      </w:r>
      <w:r>
        <w:t>26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Microsoft Windows Server Essentials 2012</w:t>
      </w:r>
      <w:r w:rsidRPr="006C3B66">
        <w:tab/>
      </w:r>
      <w:r w:rsidRPr="006C3B66">
        <w:fldChar w:fldCharType="begin"/>
      </w:r>
      <w:r w:rsidRPr="006C3B66">
        <w:instrText xml:space="preserve"> PAGEREF _Toc342900216 \h </w:instrText>
      </w:r>
      <w:r w:rsidRPr="006C3B66">
        <w:fldChar w:fldCharType="separate"/>
      </w:r>
      <w:r>
        <w:t>26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Windows Small Business Server 2011 Essentials</w:t>
      </w:r>
      <w:r w:rsidRPr="006C3B66">
        <w:tab/>
      </w:r>
      <w:r w:rsidRPr="006C3B66">
        <w:fldChar w:fldCharType="begin"/>
      </w:r>
      <w:r w:rsidRPr="006C3B66">
        <w:instrText xml:space="preserve"> PAGEREF _Toc342900217 \h </w:instrText>
      </w:r>
      <w:r w:rsidRPr="006C3B66">
        <w:fldChar w:fldCharType="separate"/>
      </w:r>
      <w:r>
        <w:t>26</w:t>
      </w:r>
      <w:r w:rsidRPr="006C3B66">
        <w:fldChar w:fldCharType="end"/>
      </w:r>
    </w:p>
    <w:p w:rsidR="00A92422" w:rsidRPr="006C3B66" w:rsidRDefault="00A92422" w:rsidP="00A92422">
      <w:pPr>
        <w:pStyle w:val="TOC1"/>
        <w:rPr>
          <w:rFonts w:asciiTheme="minorHAnsi" w:eastAsiaTheme="minorEastAsia" w:hAnsiTheme="minorHAnsi" w:cstheme="minorBidi"/>
          <w:b w:val="0"/>
          <w:caps w:val="0"/>
          <w:color w:val="auto"/>
          <w:szCs w:val="22"/>
        </w:rPr>
      </w:pPr>
      <w:r w:rsidRPr="006C3B66">
        <w:rPr>
          <w:color w:val="auto"/>
        </w:rPr>
        <w:t xml:space="preserve">ARTICOLO 1 – MODIFICHE APPORTATE ALLA LISTA DEI PRODOTTI </w:t>
      </w:r>
      <w:r w:rsidRPr="006C3B66">
        <w:rPr>
          <w:color w:val="auto"/>
        </w:rPr>
        <w:br/>
        <w:t>NEGLI ULTIMI 12 MESI</w:t>
      </w:r>
      <w:r w:rsidRPr="006C3B66">
        <w:rPr>
          <w:color w:val="auto"/>
        </w:rPr>
        <w:tab/>
      </w:r>
      <w:r w:rsidRPr="006C3B66">
        <w:rPr>
          <w:color w:val="auto"/>
        </w:rPr>
        <w:fldChar w:fldCharType="begin"/>
      </w:r>
      <w:r w:rsidRPr="006C3B66">
        <w:rPr>
          <w:color w:val="auto"/>
        </w:rPr>
        <w:instrText xml:space="preserve"> PAGEREF _Toc342900218 \h </w:instrText>
      </w:r>
      <w:r w:rsidRPr="006C3B66">
        <w:rPr>
          <w:color w:val="auto"/>
        </w:rPr>
      </w:r>
      <w:r w:rsidRPr="006C3B66">
        <w:rPr>
          <w:color w:val="auto"/>
        </w:rPr>
        <w:fldChar w:fldCharType="separate"/>
      </w:r>
      <w:r>
        <w:rPr>
          <w:color w:val="auto"/>
        </w:rPr>
        <w:t>26</w:t>
      </w:r>
      <w:r w:rsidRPr="006C3B66">
        <w:rPr>
          <w:color w:val="auto"/>
        </w:rPr>
        <w:fldChar w:fldCharType="end"/>
      </w:r>
    </w:p>
    <w:p w:rsidR="00A92422" w:rsidRPr="006C3B66" w:rsidRDefault="00A92422" w:rsidP="00A92422">
      <w:pPr>
        <w:pStyle w:val="TOC2"/>
        <w:rPr>
          <w:rFonts w:cs="Tahoma"/>
        </w:rPr>
      </w:pPr>
      <w:r w:rsidRPr="006C3B66">
        <w:rPr>
          <w:rFonts w:cs="Tahoma"/>
        </w:rPr>
        <w:t>MODIFICHE APPORTATE NEL MESE DI GENNAIO 2013</w:t>
      </w:r>
      <w:r w:rsidRPr="006C3B66">
        <w:rPr>
          <w:rFonts w:cs="Tahoma"/>
        </w:rPr>
        <w:tab/>
      </w:r>
      <w:r w:rsidRPr="006C3B66">
        <w:rPr>
          <w:rFonts w:cs="Tahoma"/>
        </w:rPr>
        <w:fldChar w:fldCharType="begin"/>
      </w:r>
      <w:r w:rsidRPr="006C3B66">
        <w:rPr>
          <w:rFonts w:cs="Tahoma"/>
        </w:rPr>
        <w:instrText xml:space="preserve"> PAGEREF _Toc342900219 \h </w:instrText>
      </w:r>
      <w:r w:rsidRPr="006C3B66">
        <w:rPr>
          <w:rFonts w:cs="Tahoma"/>
        </w:rPr>
      </w:r>
      <w:r w:rsidRPr="006C3B66">
        <w:rPr>
          <w:rFonts w:cs="Tahoma"/>
        </w:rPr>
        <w:fldChar w:fldCharType="separate"/>
      </w:r>
      <w:r>
        <w:rPr>
          <w:rFonts w:cs="Tahoma"/>
        </w:rPr>
        <w:t>27</w:t>
      </w:r>
      <w:r w:rsidRPr="006C3B66">
        <w:rPr>
          <w:rFonts w:cs="Tahoma"/>
        </w:rPr>
        <w:fldChar w:fldCharType="end"/>
      </w:r>
    </w:p>
    <w:p w:rsidR="00A92422" w:rsidRPr="006C3B66" w:rsidRDefault="00A92422" w:rsidP="00A92422">
      <w:pPr>
        <w:pStyle w:val="TOC2"/>
        <w:rPr>
          <w:rFonts w:cs="Tahoma"/>
        </w:rPr>
      </w:pPr>
      <w:r w:rsidRPr="006C3B66">
        <w:rPr>
          <w:rFonts w:cs="Tahoma"/>
        </w:rPr>
        <w:t>MODIFICHE APPORTATE NEL MESE DI DICEMBRE 2012</w:t>
      </w:r>
      <w:r w:rsidRPr="006C3B66">
        <w:rPr>
          <w:rFonts w:cs="Tahoma"/>
        </w:rPr>
        <w:tab/>
      </w:r>
      <w:r w:rsidRPr="006C3B66">
        <w:rPr>
          <w:rFonts w:cs="Tahoma"/>
        </w:rPr>
        <w:fldChar w:fldCharType="begin"/>
      </w:r>
      <w:r w:rsidRPr="006C3B66">
        <w:rPr>
          <w:rFonts w:cs="Tahoma"/>
        </w:rPr>
        <w:instrText xml:space="preserve"> PAGEREF _Toc342900220 \h </w:instrText>
      </w:r>
      <w:r w:rsidRPr="006C3B66">
        <w:rPr>
          <w:rFonts w:cs="Tahoma"/>
        </w:rPr>
      </w:r>
      <w:r w:rsidRPr="006C3B66">
        <w:rPr>
          <w:rFonts w:cs="Tahoma"/>
        </w:rPr>
        <w:fldChar w:fldCharType="separate"/>
      </w:r>
      <w:r>
        <w:rPr>
          <w:rFonts w:cs="Tahoma"/>
        </w:rPr>
        <w:t>27</w:t>
      </w:r>
      <w:r w:rsidRPr="006C3B66">
        <w:rPr>
          <w:rFonts w:cs="Tahoma"/>
        </w:rPr>
        <w:fldChar w:fldCharType="end"/>
      </w:r>
    </w:p>
    <w:p w:rsidR="00A92422" w:rsidRPr="006C3B66" w:rsidRDefault="00A92422" w:rsidP="00A92422">
      <w:pPr>
        <w:pStyle w:val="TOC2"/>
        <w:rPr>
          <w:rFonts w:cs="Tahoma"/>
        </w:rPr>
      </w:pPr>
      <w:r w:rsidRPr="006C3B66">
        <w:rPr>
          <w:rFonts w:cs="Tahoma"/>
        </w:rPr>
        <w:t>MODIFICHE APPORTATE NEL MESE DI NOVEMBRE 2012</w:t>
      </w:r>
      <w:r w:rsidRPr="006C3B66">
        <w:rPr>
          <w:rFonts w:cs="Tahoma"/>
        </w:rPr>
        <w:tab/>
      </w:r>
      <w:r w:rsidRPr="006C3B66">
        <w:rPr>
          <w:rFonts w:cs="Tahoma"/>
        </w:rPr>
        <w:fldChar w:fldCharType="begin"/>
      </w:r>
      <w:r w:rsidRPr="006C3B66">
        <w:rPr>
          <w:rFonts w:cs="Tahoma"/>
        </w:rPr>
        <w:instrText xml:space="preserve"> PAGEREF _Toc342900221 \h </w:instrText>
      </w:r>
      <w:r w:rsidRPr="006C3B66">
        <w:rPr>
          <w:rFonts w:cs="Tahoma"/>
        </w:rPr>
      </w:r>
      <w:r w:rsidRPr="006C3B66">
        <w:rPr>
          <w:rFonts w:cs="Tahoma"/>
        </w:rPr>
        <w:fldChar w:fldCharType="separate"/>
      </w:r>
      <w:r>
        <w:rPr>
          <w:rFonts w:cs="Tahoma"/>
        </w:rPr>
        <w:t>29</w:t>
      </w:r>
      <w:r w:rsidRPr="006C3B66">
        <w:rPr>
          <w:rFonts w:cs="Tahoma"/>
        </w:rPr>
        <w:fldChar w:fldCharType="end"/>
      </w:r>
    </w:p>
    <w:p w:rsidR="00A92422" w:rsidRPr="006C3B66" w:rsidRDefault="00A92422" w:rsidP="00A92422">
      <w:pPr>
        <w:pStyle w:val="TOC2"/>
        <w:rPr>
          <w:rFonts w:cs="Tahoma"/>
        </w:rPr>
      </w:pPr>
      <w:r w:rsidRPr="006C3B66">
        <w:rPr>
          <w:rFonts w:cs="Tahoma"/>
        </w:rPr>
        <w:t>MODIFICHE APPORTATE NEL MESE DI OTTOBRE 2012</w:t>
      </w:r>
      <w:r w:rsidRPr="006C3B66">
        <w:rPr>
          <w:rFonts w:cs="Tahoma"/>
        </w:rPr>
        <w:tab/>
      </w:r>
      <w:r w:rsidRPr="006C3B66">
        <w:rPr>
          <w:rFonts w:cs="Tahoma"/>
        </w:rPr>
        <w:fldChar w:fldCharType="begin"/>
      </w:r>
      <w:r w:rsidRPr="006C3B66">
        <w:rPr>
          <w:rFonts w:cs="Tahoma"/>
        </w:rPr>
        <w:instrText xml:space="preserve"> PAGEREF _Toc342900222 \h </w:instrText>
      </w:r>
      <w:r w:rsidRPr="006C3B66">
        <w:rPr>
          <w:rFonts w:cs="Tahoma"/>
        </w:rPr>
      </w:r>
      <w:r w:rsidRPr="006C3B66">
        <w:rPr>
          <w:rFonts w:cs="Tahoma"/>
        </w:rPr>
        <w:fldChar w:fldCharType="separate"/>
      </w:r>
      <w:r>
        <w:rPr>
          <w:rFonts w:cs="Tahoma"/>
        </w:rPr>
        <w:t>30</w:t>
      </w:r>
      <w:r w:rsidRPr="006C3B66">
        <w:rPr>
          <w:rFonts w:cs="Tahoma"/>
        </w:rPr>
        <w:fldChar w:fldCharType="end"/>
      </w:r>
    </w:p>
    <w:p w:rsidR="00A92422" w:rsidRPr="006C3B66" w:rsidRDefault="00A92422" w:rsidP="00A92422">
      <w:pPr>
        <w:pStyle w:val="TOC2"/>
        <w:rPr>
          <w:rFonts w:cs="Tahoma"/>
        </w:rPr>
      </w:pPr>
      <w:r w:rsidRPr="006C3B66">
        <w:rPr>
          <w:rFonts w:cs="Tahoma"/>
        </w:rPr>
        <w:t>MODIFICHE APPORTATE NEL MESE DI SETTEMBRE 2012</w:t>
      </w:r>
      <w:r w:rsidRPr="006C3B66">
        <w:rPr>
          <w:rFonts w:cs="Tahoma"/>
        </w:rPr>
        <w:tab/>
      </w:r>
      <w:r w:rsidRPr="006C3B66">
        <w:rPr>
          <w:rFonts w:cs="Tahoma"/>
        </w:rPr>
        <w:fldChar w:fldCharType="begin"/>
      </w:r>
      <w:r w:rsidRPr="006C3B66">
        <w:rPr>
          <w:rFonts w:cs="Tahoma"/>
        </w:rPr>
        <w:instrText xml:space="preserve"> PAGEREF _Toc342900223 \h </w:instrText>
      </w:r>
      <w:r w:rsidRPr="006C3B66">
        <w:rPr>
          <w:rFonts w:cs="Tahoma"/>
        </w:rPr>
      </w:r>
      <w:r w:rsidRPr="006C3B66">
        <w:rPr>
          <w:rFonts w:cs="Tahoma"/>
        </w:rPr>
        <w:fldChar w:fldCharType="separate"/>
      </w:r>
      <w:r>
        <w:rPr>
          <w:rFonts w:cs="Tahoma"/>
        </w:rPr>
        <w:t>30</w:t>
      </w:r>
      <w:r w:rsidRPr="006C3B66">
        <w:rPr>
          <w:rFonts w:cs="Tahoma"/>
        </w:rPr>
        <w:fldChar w:fldCharType="end"/>
      </w:r>
    </w:p>
    <w:p w:rsidR="00A92422" w:rsidRPr="006C3B66" w:rsidRDefault="00A92422" w:rsidP="00A92422">
      <w:pPr>
        <w:pStyle w:val="TOC2"/>
        <w:rPr>
          <w:rFonts w:cs="Tahoma"/>
        </w:rPr>
      </w:pPr>
      <w:r w:rsidRPr="006C3B66">
        <w:rPr>
          <w:rFonts w:cs="Tahoma"/>
        </w:rPr>
        <w:t>MODIFICHE APPORTATE NEL MESE DI AGOSTO 2012</w:t>
      </w:r>
      <w:r w:rsidRPr="006C3B66">
        <w:rPr>
          <w:rFonts w:cs="Tahoma"/>
        </w:rPr>
        <w:tab/>
      </w:r>
      <w:r w:rsidRPr="006C3B66">
        <w:rPr>
          <w:rFonts w:cs="Tahoma"/>
        </w:rPr>
        <w:fldChar w:fldCharType="begin"/>
      </w:r>
      <w:r w:rsidRPr="006C3B66">
        <w:rPr>
          <w:rFonts w:cs="Tahoma"/>
        </w:rPr>
        <w:instrText xml:space="preserve"> PAGEREF _Toc342900224 \h </w:instrText>
      </w:r>
      <w:r w:rsidRPr="006C3B66">
        <w:rPr>
          <w:rFonts w:cs="Tahoma"/>
        </w:rPr>
      </w:r>
      <w:r w:rsidRPr="006C3B66">
        <w:rPr>
          <w:rFonts w:cs="Tahoma"/>
        </w:rPr>
        <w:fldChar w:fldCharType="separate"/>
      </w:r>
      <w:r>
        <w:rPr>
          <w:rFonts w:cs="Tahoma"/>
        </w:rPr>
        <w:t>32</w:t>
      </w:r>
      <w:r w:rsidRPr="006C3B66">
        <w:rPr>
          <w:rFonts w:cs="Tahoma"/>
        </w:rPr>
        <w:fldChar w:fldCharType="end"/>
      </w:r>
    </w:p>
    <w:p w:rsidR="00A92422" w:rsidRPr="006C3B66" w:rsidRDefault="00A92422" w:rsidP="00A92422">
      <w:pPr>
        <w:pStyle w:val="TOC2"/>
        <w:rPr>
          <w:rFonts w:cs="Tahoma"/>
        </w:rPr>
      </w:pPr>
      <w:r w:rsidRPr="006C3B66">
        <w:rPr>
          <w:rFonts w:cs="Tahoma"/>
        </w:rPr>
        <w:t>MODIFICHE APPORTATE NEL MESE DI LUGLIO 2012</w:t>
      </w:r>
      <w:r w:rsidRPr="006C3B66">
        <w:rPr>
          <w:rFonts w:cs="Tahoma"/>
        </w:rPr>
        <w:tab/>
      </w:r>
      <w:r w:rsidRPr="006C3B66">
        <w:rPr>
          <w:rFonts w:cs="Tahoma"/>
        </w:rPr>
        <w:fldChar w:fldCharType="begin"/>
      </w:r>
      <w:r w:rsidRPr="006C3B66">
        <w:rPr>
          <w:rFonts w:cs="Tahoma"/>
        </w:rPr>
        <w:instrText xml:space="preserve"> PAGEREF _Toc342900225 \h </w:instrText>
      </w:r>
      <w:r w:rsidRPr="006C3B66">
        <w:rPr>
          <w:rFonts w:cs="Tahoma"/>
        </w:rPr>
      </w:r>
      <w:r w:rsidRPr="006C3B66">
        <w:rPr>
          <w:rFonts w:cs="Tahoma"/>
        </w:rPr>
        <w:fldChar w:fldCharType="separate"/>
      </w:r>
      <w:r>
        <w:rPr>
          <w:rFonts w:cs="Tahoma"/>
        </w:rPr>
        <w:t>32</w:t>
      </w:r>
      <w:r w:rsidRPr="006C3B66">
        <w:rPr>
          <w:rFonts w:cs="Tahoma"/>
        </w:rPr>
        <w:fldChar w:fldCharType="end"/>
      </w:r>
    </w:p>
    <w:p w:rsidR="00A92422" w:rsidRPr="006C3B66" w:rsidRDefault="00A92422" w:rsidP="00A92422">
      <w:pPr>
        <w:pStyle w:val="TOC2"/>
        <w:rPr>
          <w:rFonts w:cs="Tahoma"/>
        </w:rPr>
      </w:pPr>
      <w:r w:rsidRPr="006C3B66">
        <w:rPr>
          <w:rFonts w:cs="Tahoma"/>
        </w:rPr>
        <w:t>MODIFICHE APPORTATE NEL MESE DI GIUGNO 2012</w:t>
      </w:r>
      <w:r w:rsidRPr="006C3B66">
        <w:rPr>
          <w:rFonts w:cs="Tahoma"/>
        </w:rPr>
        <w:tab/>
      </w:r>
      <w:r w:rsidRPr="006C3B66">
        <w:rPr>
          <w:rFonts w:cs="Tahoma"/>
        </w:rPr>
        <w:fldChar w:fldCharType="begin"/>
      </w:r>
      <w:r w:rsidRPr="006C3B66">
        <w:rPr>
          <w:rFonts w:cs="Tahoma"/>
        </w:rPr>
        <w:instrText xml:space="preserve"> PAGEREF _Toc342900226 \h </w:instrText>
      </w:r>
      <w:r w:rsidRPr="006C3B66">
        <w:rPr>
          <w:rFonts w:cs="Tahoma"/>
        </w:rPr>
      </w:r>
      <w:r w:rsidRPr="006C3B66">
        <w:rPr>
          <w:rFonts w:cs="Tahoma"/>
        </w:rPr>
        <w:fldChar w:fldCharType="separate"/>
      </w:r>
      <w:r>
        <w:rPr>
          <w:rFonts w:cs="Tahoma"/>
        </w:rPr>
        <w:t>33</w:t>
      </w:r>
      <w:r w:rsidRPr="006C3B66">
        <w:rPr>
          <w:rFonts w:cs="Tahoma"/>
        </w:rPr>
        <w:fldChar w:fldCharType="end"/>
      </w:r>
    </w:p>
    <w:p w:rsidR="00A92422" w:rsidRPr="006C3B66" w:rsidRDefault="00A92422" w:rsidP="00A92422">
      <w:pPr>
        <w:pStyle w:val="TOC2"/>
        <w:rPr>
          <w:rFonts w:cs="Tahoma"/>
        </w:rPr>
      </w:pPr>
      <w:r w:rsidRPr="006C3B66">
        <w:rPr>
          <w:rFonts w:cs="Tahoma"/>
        </w:rPr>
        <w:t>MODIFICHE APPORTATE NEL MESE DI MAGGIO 2012</w:t>
      </w:r>
      <w:r w:rsidRPr="006C3B66">
        <w:rPr>
          <w:rFonts w:cs="Tahoma"/>
        </w:rPr>
        <w:tab/>
      </w:r>
      <w:r w:rsidRPr="006C3B66">
        <w:rPr>
          <w:rFonts w:cs="Tahoma"/>
        </w:rPr>
        <w:fldChar w:fldCharType="begin"/>
      </w:r>
      <w:r w:rsidRPr="006C3B66">
        <w:rPr>
          <w:rFonts w:cs="Tahoma"/>
        </w:rPr>
        <w:instrText xml:space="preserve"> PAGEREF _Toc342900227 \h </w:instrText>
      </w:r>
      <w:r w:rsidRPr="006C3B66">
        <w:rPr>
          <w:rFonts w:cs="Tahoma"/>
        </w:rPr>
      </w:r>
      <w:r w:rsidRPr="006C3B66">
        <w:rPr>
          <w:rFonts w:cs="Tahoma"/>
        </w:rPr>
        <w:fldChar w:fldCharType="separate"/>
      </w:r>
      <w:r>
        <w:rPr>
          <w:rFonts w:cs="Tahoma"/>
        </w:rPr>
        <w:t>33</w:t>
      </w:r>
      <w:r w:rsidRPr="006C3B66">
        <w:rPr>
          <w:rFonts w:cs="Tahoma"/>
        </w:rPr>
        <w:fldChar w:fldCharType="end"/>
      </w:r>
    </w:p>
    <w:p w:rsidR="00A92422" w:rsidRPr="006C3B66" w:rsidRDefault="00A92422" w:rsidP="00A92422">
      <w:pPr>
        <w:pStyle w:val="TOC2"/>
        <w:rPr>
          <w:rFonts w:cs="Tahoma"/>
        </w:rPr>
      </w:pPr>
      <w:r w:rsidRPr="006C3B66">
        <w:rPr>
          <w:rFonts w:cs="Tahoma"/>
        </w:rPr>
        <w:t>MODIFICHE APPORTATE NEL MESE DI APRILE 2012</w:t>
      </w:r>
      <w:r w:rsidRPr="006C3B66">
        <w:rPr>
          <w:rFonts w:cs="Tahoma"/>
        </w:rPr>
        <w:tab/>
      </w:r>
      <w:r w:rsidRPr="006C3B66">
        <w:rPr>
          <w:rFonts w:cs="Tahoma"/>
        </w:rPr>
        <w:fldChar w:fldCharType="begin"/>
      </w:r>
      <w:r w:rsidRPr="006C3B66">
        <w:rPr>
          <w:rFonts w:cs="Tahoma"/>
        </w:rPr>
        <w:instrText xml:space="preserve"> PAGEREF _Toc342900228 \h </w:instrText>
      </w:r>
      <w:r w:rsidRPr="006C3B66">
        <w:rPr>
          <w:rFonts w:cs="Tahoma"/>
        </w:rPr>
      </w:r>
      <w:r w:rsidRPr="006C3B66">
        <w:rPr>
          <w:rFonts w:cs="Tahoma"/>
        </w:rPr>
        <w:fldChar w:fldCharType="separate"/>
      </w:r>
      <w:r>
        <w:rPr>
          <w:rFonts w:cs="Tahoma"/>
        </w:rPr>
        <w:t>33</w:t>
      </w:r>
      <w:r w:rsidRPr="006C3B66">
        <w:rPr>
          <w:rFonts w:cs="Tahoma"/>
        </w:rPr>
        <w:fldChar w:fldCharType="end"/>
      </w:r>
    </w:p>
    <w:p w:rsidR="00A92422" w:rsidRPr="006C3B66" w:rsidRDefault="00A92422" w:rsidP="00A92422">
      <w:pPr>
        <w:pStyle w:val="TOC2"/>
        <w:rPr>
          <w:rFonts w:cs="Tahoma"/>
        </w:rPr>
      </w:pPr>
      <w:r w:rsidRPr="006C3B66">
        <w:rPr>
          <w:rFonts w:cs="Tahoma"/>
        </w:rPr>
        <w:t>MODIFICHE APPORTATE NEL MESE DI MARZO 2012</w:t>
      </w:r>
      <w:r w:rsidRPr="006C3B66">
        <w:rPr>
          <w:rFonts w:cs="Tahoma"/>
        </w:rPr>
        <w:tab/>
      </w:r>
      <w:r w:rsidRPr="006C3B66">
        <w:rPr>
          <w:rFonts w:cs="Tahoma"/>
        </w:rPr>
        <w:fldChar w:fldCharType="begin"/>
      </w:r>
      <w:r w:rsidRPr="006C3B66">
        <w:rPr>
          <w:rFonts w:cs="Tahoma"/>
        </w:rPr>
        <w:instrText xml:space="preserve"> PAGEREF _Toc342900229 \h </w:instrText>
      </w:r>
      <w:r w:rsidRPr="006C3B66">
        <w:rPr>
          <w:rFonts w:cs="Tahoma"/>
        </w:rPr>
      </w:r>
      <w:r w:rsidRPr="006C3B66">
        <w:rPr>
          <w:rFonts w:cs="Tahoma"/>
        </w:rPr>
        <w:fldChar w:fldCharType="separate"/>
      </w:r>
      <w:r>
        <w:rPr>
          <w:rFonts w:cs="Tahoma"/>
        </w:rPr>
        <w:t>34</w:t>
      </w:r>
      <w:r w:rsidRPr="006C3B66">
        <w:rPr>
          <w:rFonts w:cs="Tahoma"/>
        </w:rPr>
        <w:fldChar w:fldCharType="end"/>
      </w:r>
    </w:p>
    <w:p w:rsidR="00A92422" w:rsidRPr="006C3B66" w:rsidRDefault="00A92422" w:rsidP="00A92422">
      <w:pPr>
        <w:pStyle w:val="TOC2"/>
        <w:rPr>
          <w:rFonts w:cs="Tahoma"/>
        </w:rPr>
      </w:pPr>
      <w:r w:rsidRPr="006C3B66">
        <w:rPr>
          <w:rFonts w:cs="Tahoma"/>
        </w:rPr>
        <w:t>MODIFICHE APPORTATE NEL MESE DI FEBBRAIO 2012</w:t>
      </w:r>
      <w:r w:rsidRPr="006C3B66">
        <w:rPr>
          <w:rFonts w:cs="Tahoma"/>
        </w:rPr>
        <w:tab/>
      </w:r>
      <w:r w:rsidRPr="006C3B66">
        <w:rPr>
          <w:rFonts w:cs="Tahoma"/>
        </w:rPr>
        <w:fldChar w:fldCharType="begin"/>
      </w:r>
      <w:r w:rsidRPr="006C3B66">
        <w:rPr>
          <w:rFonts w:cs="Tahoma"/>
        </w:rPr>
        <w:instrText xml:space="preserve"> PAGEREF _Toc342900230 \h </w:instrText>
      </w:r>
      <w:r w:rsidRPr="006C3B66">
        <w:rPr>
          <w:rFonts w:cs="Tahoma"/>
        </w:rPr>
      </w:r>
      <w:r w:rsidRPr="006C3B66">
        <w:rPr>
          <w:rFonts w:cs="Tahoma"/>
        </w:rPr>
        <w:fldChar w:fldCharType="separate"/>
      </w:r>
      <w:r>
        <w:rPr>
          <w:rFonts w:cs="Tahoma"/>
        </w:rPr>
        <w:t>34</w:t>
      </w:r>
      <w:r w:rsidRPr="006C3B66">
        <w:rPr>
          <w:rFonts w:cs="Tahoma"/>
        </w:rPr>
        <w:fldChar w:fldCharType="end"/>
      </w:r>
    </w:p>
    <w:p w:rsidR="00A92422" w:rsidRPr="006C3B66" w:rsidRDefault="00A92422" w:rsidP="00A92422">
      <w:pPr>
        <w:pStyle w:val="TOC1"/>
        <w:rPr>
          <w:rFonts w:asciiTheme="minorHAnsi" w:eastAsiaTheme="minorEastAsia" w:hAnsiTheme="minorHAnsi" w:cstheme="minorBidi"/>
          <w:b w:val="0"/>
          <w:caps w:val="0"/>
          <w:color w:val="auto"/>
          <w:szCs w:val="22"/>
        </w:rPr>
      </w:pPr>
      <w:r w:rsidRPr="006C3B66">
        <w:rPr>
          <w:color w:val="auto"/>
        </w:rPr>
        <w:t>ARTICOLO 2 – PROMOZIONI DI PRODOTTI</w:t>
      </w:r>
      <w:r w:rsidRPr="006C3B66">
        <w:rPr>
          <w:color w:val="auto"/>
        </w:rPr>
        <w:tab/>
      </w:r>
      <w:r w:rsidRPr="006C3B66">
        <w:rPr>
          <w:color w:val="auto"/>
        </w:rPr>
        <w:fldChar w:fldCharType="begin"/>
      </w:r>
      <w:r w:rsidRPr="006C3B66">
        <w:rPr>
          <w:color w:val="auto"/>
        </w:rPr>
        <w:instrText xml:space="preserve"> PAGEREF _Toc342900231 \h </w:instrText>
      </w:r>
      <w:r w:rsidRPr="006C3B66">
        <w:rPr>
          <w:color w:val="auto"/>
        </w:rPr>
      </w:r>
      <w:r w:rsidRPr="006C3B66">
        <w:rPr>
          <w:color w:val="auto"/>
        </w:rPr>
        <w:fldChar w:fldCharType="separate"/>
      </w:r>
      <w:r>
        <w:rPr>
          <w:color w:val="auto"/>
        </w:rPr>
        <w:t>35</w:t>
      </w:r>
      <w:r w:rsidRPr="006C3B66">
        <w:rPr>
          <w:color w:val="auto"/>
        </w:rPr>
        <w:fldChar w:fldCharType="end"/>
      </w:r>
    </w:p>
    <w:p w:rsidR="00A92422" w:rsidRPr="006C3B66" w:rsidRDefault="00A92422" w:rsidP="00A92422">
      <w:pPr>
        <w:pStyle w:val="TOC2"/>
        <w:rPr>
          <w:rFonts w:cs="Tahoma"/>
        </w:rPr>
      </w:pPr>
      <w:r w:rsidRPr="006C3B66">
        <w:rPr>
          <w:rFonts w:cs="Tahoma"/>
        </w:rPr>
        <w:t>Promozione Exchange Server Standard</w:t>
      </w:r>
      <w:r w:rsidRPr="006C3B66">
        <w:rPr>
          <w:rFonts w:cs="Tahoma"/>
        </w:rPr>
        <w:tab/>
      </w:r>
      <w:r w:rsidRPr="006C3B66">
        <w:rPr>
          <w:rFonts w:cs="Tahoma"/>
        </w:rPr>
        <w:fldChar w:fldCharType="begin"/>
      </w:r>
      <w:r w:rsidRPr="006C3B66">
        <w:rPr>
          <w:rFonts w:cs="Tahoma"/>
        </w:rPr>
        <w:instrText xml:space="preserve"> PAGEREF _Toc342900232 \h </w:instrText>
      </w:r>
      <w:r w:rsidRPr="006C3B66">
        <w:rPr>
          <w:rFonts w:cs="Tahoma"/>
        </w:rPr>
      </w:r>
      <w:r w:rsidRPr="006C3B66">
        <w:rPr>
          <w:rFonts w:cs="Tahoma"/>
        </w:rPr>
        <w:fldChar w:fldCharType="separate"/>
      </w:r>
      <w:r>
        <w:rPr>
          <w:rFonts w:cs="Tahoma"/>
        </w:rPr>
        <w:t>35</w:t>
      </w:r>
      <w:r w:rsidRPr="006C3B66">
        <w:rPr>
          <w:rFonts w:cs="Tahoma"/>
        </w:rPr>
        <w:fldChar w:fldCharType="end"/>
      </w:r>
    </w:p>
    <w:p w:rsidR="00A92422" w:rsidRPr="006C3B66" w:rsidRDefault="00A92422" w:rsidP="00A92422">
      <w:pPr>
        <w:pStyle w:val="TOC2"/>
        <w:rPr>
          <w:rFonts w:cs="Tahoma"/>
        </w:rPr>
      </w:pPr>
      <w:r w:rsidRPr="006C3B66">
        <w:rPr>
          <w:rFonts w:cs="Tahoma"/>
        </w:rPr>
        <w:t>SQL Server Parallel Data Warehouse</w:t>
      </w:r>
      <w:r w:rsidRPr="006C3B66">
        <w:rPr>
          <w:rFonts w:cs="Tahoma"/>
        </w:rPr>
        <w:tab/>
      </w:r>
      <w:r w:rsidRPr="006C3B66">
        <w:rPr>
          <w:rFonts w:cs="Tahoma"/>
        </w:rPr>
        <w:fldChar w:fldCharType="begin"/>
      </w:r>
      <w:r w:rsidRPr="006C3B66">
        <w:rPr>
          <w:rFonts w:cs="Tahoma"/>
        </w:rPr>
        <w:instrText xml:space="preserve"> PAGEREF _Toc342900233 \h </w:instrText>
      </w:r>
      <w:r w:rsidRPr="006C3B66">
        <w:rPr>
          <w:rFonts w:cs="Tahoma"/>
        </w:rPr>
      </w:r>
      <w:r w:rsidRPr="006C3B66">
        <w:rPr>
          <w:rFonts w:cs="Tahoma"/>
        </w:rPr>
        <w:fldChar w:fldCharType="separate"/>
      </w:r>
      <w:r>
        <w:rPr>
          <w:rFonts w:cs="Tahoma"/>
        </w:rPr>
        <w:t>35</w:t>
      </w:r>
      <w:r w:rsidRPr="006C3B66">
        <w:rPr>
          <w:rFonts w:cs="Tahoma"/>
        </w:rPr>
        <w:fldChar w:fldCharType="end"/>
      </w:r>
    </w:p>
    <w:p w:rsidR="00A92422" w:rsidRPr="006C3B66" w:rsidRDefault="00A92422" w:rsidP="00A92422">
      <w:pPr>
        <w:pStyle w:val="TOC2"/>
        <w:rPr>
          <w:rFonts w:cs="Tahoma"/>
        </w:rPr>
      </w:pPr>
      <w:r w:rsidRPr="006C3B66">
        <w:rPr>
          <w:rFonts w:cs="Tahoma"/>
        </w:rPr>
        <w:t>Promozione Step-Up per Windows Server Datacenter</w:t>
      </w:r>
      <w:r w:rsidRPr="006C3B66">
        <w:rPr>
          <w:rFonts w:cs="Tahoma"/>
        </w:rPr>
        <w:tab/>
      </w:r>
      <w:r w:rsidRPr="006C3B66">
        <w:rPr>
          <w:rFonts w:cs="Tahoma"/>
        </w:rPr>
        <w:fldChar w:fldCharType="begin"/>
      </w:r>
      <w:r w:rsidRPr="006C3B66">
        <w:rPr>
          <w:rFonts w:cs="Tahoma"/>
        </w:rPr>
        <w:instrText xml:space="preserve"> PAGEREF _Toc342900234 \h </w:instrText>
      </w:r>
      <w:r w:rsidRPr="006C3B66">
        <w:rPr>
          <w:rFonts w:cs="Tahoma"/>
        </w:rPr>
      </w:r>
      <w:r w:rsidRPr="006C3B66">
        <w:rPr>
          <w:rFonts w:cs="Tahoma"/>
        </w:rPr>
        <w:fldChar w:fldCharType="separate"/>
      </w:r>
      <w:r>
        <w:rPr>
          <w:rFonts w:cs="Tahoma"/>
        </w:rPr>
        <w:t>35</w:t>
      </w:r>
      <w:r w:rsidRPr="006C3B66">
        <w:rPr>
          <w:rFonts w:cs="Tahoma"/>
        </w:rPr>
        <w:fldChar w:fldCharType="end"/>
      </w:r>
    </w:p>
    <w:p w:rsidR="00A92422" w:rsidRPr="006C3B66" w:rsidRDefault="00A92422" w:rsidP="00A92422">
      <w:pPr>
        <w:pStyle w:val="TOC2"/>
        <w:rPr>
          <w:rFonts w:cs="Tahoma"/>
        </w:rPr>
      </w:pPr>
      <w:r w:rsidRPr="006C3B66">
        <w:rPr>
          <w:rFonts w:cs="Tahoma"/>
        </w:rPr>
        <w:t>Forefront Online Protection for Exchange</w:t>
      </w:r>
      <w:r w:rsidRPr="006C3B66">
        <w:rPr>
          <w:rFonts w:cs="Tahoma"/>
        </w:rPr>
        <w:tab/>
      </w:r>
      <w:r w:rsidRPr="006C3B66">
        <w:rPr>
          <w:rFonts w:cs="Tahoma"/>
        </w:rPr>
        <w:fldChar w:fldCharType="begin"/>
      </w:r>
      <w:r w:rsidRPr="006C3B66">
        <w:rPr>
          <w:rFonts w:cs="Tahoma"/>
        </w:rPr>
        <w:instrText xml:space="preserve"> PAGEREF _Toc342900235 \h </w:instrText>
      </w:r>
      <w:r w:rsidRPr="006C3B66">
        <w:rPr>
          <w:rFonts w:cs="Tahoma"/>
        </w:rPr>
      </w:r>
      <w:r w:rsidRPr="006C3B66">
        <w:rPr>
          <w:rFonts w:cs="Tahoma"/>
        </w:rPr>
        <w:fldChar w:fldCharType="separate"/>
      </w:r>
      <w:r>
        <w:rPr>
          <w:rFonts w:cs="Tahoma"/>
        </w:rPr>
        <w:t>35</w:t>
      </w:r>
      <w:r w:rsidRPr="006C3B66">
        <w:rPr>
          <w:rFonts w:cs="Tahoma"/>
        </w:rPr>
        <w:fldChar w:fldCharType="end"/>
      </w:r>
    </w:p>
    <w:p w:rsidR="00A92422" w:rsidRPr="006C3B66" w:rsidRDefault="00A92422" w:rsidP="00A92422">
      <w:pPr>
        <w:pStyle w:val="TOC2"/>
        <w:rPr>
          <w:rFonts w:cs="Tahoma"/>
        </w:rPr>
      </w:pPr>
      <w:r w:rsidRPr="006C3B66">
        <w:rPr>
          <w:rFonts w:cs="Tahoma"/>
        </w:rPr>
        <w:t>Sconto del 30% per l’Aggiornamento a Visual Studio Premium con MSDN</w:t>
      </w:r>
      <w:r w:rsidRPr="006C3B66">
        <w:rPr>
          <w:rFonts w:cs="Tahoma"/>
        </w:rPr>
        <w:tab/>
      </w:r>
      <w:r w:rsidRPr="006C3B66">
        <w:rPr>
          <w:rFonts w:cs="Tahoma"/>
        </w:rPr>
        <w:fldChar w:fldCharType="begin"/>
      </w:r>
      <w:r w:rsidRPr="006C3B66">
        <w:rPr>
          <w:rFonts w:cs="Tahoma"/>
        </w:rPr>
        <w:instrText xml:space="preserve"> PAGEREF _Toc342900236 \h </w:instrText>
      </w:r>
      <w:r w:rsidRPr="006C3B66">
        <w:rPr>
          <w:rFonts w:cs="Tahoma"/>
        </w:rPr>
      </w:r>
      <w:r w:rsidRPr="006C3B66">
        <w:rPr>
          <w:rFonts w:cs="Tahoma"/>
        </w:rPr>
        <w:fldChar w:fldCharType="separate"/>
      </w:r>
      <w:r>
        <w:rPr>
          <w:rFonts w:cs="Tahoma"/>
        </w:rPr>
        <w:t>35</w:t>
      </w:r>
      <w:r w:rsidRPr="006C3B66">
        <w:rPr>
          <w:rFonts w:cs="Tahoma"/>
        </w:rPr>
        <w:fldChar w:fldCharType="end"/>
      </w:r>
    </w:p>
    <w:p w:rsidR="00A92422" w:rsidRPr="006C3B66" w:rsidRDefault="00A92422" w:rsidP="00A92422">
      <w:pPr>
        <w:pStyle w:val="TOC2"/>
        <w:rPr>
          <w:rFonts w:cs="Tahoma"/>
        </w:rPr>
      </w:pPr>
      <w:r w:rsidRPr="006C3B66">
        <w:rPr>
          <w:rFonts w:cs="Tahoma"/>
        </w:rPr>
        <w:t>Step-Up a Windows 8 con SA</w:t>
      </w:r>
      <w:r w:rsidRPr="006C3B66">
        <w:rPr>
          <w:rFonts w:cs="Tahoma"/>
        </w:rPr>
        <w:tab/>
      </w:r>
      <w:r w:rsidRPr="006C3B66">
        <w:rPr>
          <w:rFonts w:cs="Tahoma"/>
        </w:rPr>
        <w:fldChar w:fldCharType="begin"/>
      </w:r>
      <w:r w:rsidRPr="006C3B66">
        <w:rPr>
          <w:rFonts w:cs="Tahoma"/>
        </w:rPr>
        <w:instrText xml:space="preserve"> PAGEREF _Toc342900237 \h </w:instrText>
      </w:r>
      <w:r w:rsidRPr="006C3B66">
        <w:rPr>
          <w:rFonts w:cs="Tahoma"/>
        </w:rPr>
      </w:r>
      <w:r w:rsidRPr="006C3B66">
        <w:rPr>
          <w:rFonts w:cs="Tahoma"/>
        </w:rPr>
        <w:fldChar w:fldCharType="separate"/>
      </w:r>
      <w:r>
        <w:rPr>
          <w:rFonts w:cs="Tahoma"/>
        </w:rPr>
        <w:t>35</w:t>
      </w:r>
      <w:r w:rsidRPr="006C3B66">
        <w:rPr>
          <w:rFonts w:cs="Tahoma"/>
        </w:rPr>
        <w:fldChar w:fldCharType="end"/>
      </w:r>
    </w:p>
    <w:p w:rsidR="00A92422" w:rsidRPr="006C3B66" w:rsidRDefault="00A92422" w:rsidP="00A92422">
      <w:pPr>
        <w:pStyle w:val="TOC2"/>
        <w:rPr>
          <w:rFonts w:cs="Tahoma"/>
        </w:rPr>
      </w:pPr>
      <w:r w:rsidRPr="006C3B66">
        <w:rPr>
          <w:rFonts w:cs="Tahoma"/>
        </w:rPr>
        <w:t>15% di sconto sulle Licenze Step-up per Project/Visio</w:t>
      </w:r>
      <w:r w:rsidRPr="006C3B66">
        <w:rPr>
          <w:rFonts w:cs="Tahoma"/>
        </w:rPr>
        <w:tab/>
      </w:r>
      <w:r w:rsidRPr="006C3B66">
        <w:rPr>
          <w:rFonts w:cs="Tahoma"/>
        </w:rPr>
        <w:fldChar w:fldCharType="begin"/>
      </w:r>
      <w:r w:rsidRPr="006C3B66">
        <w:rPr>
          <w:rFonts w:cs="Tahoma"/>
        </w:rPr>
        <w:instrText xml:space="preserve"> PAGEREF _Toc342900238 \h </w:instrText>
      </w:r>
      <w:r w:rsidRPr="006C3B66">
        <w:rPr>
          <w:rFonts w:cs="Tahoma"/>
        </w:rPr>
      </w:r>
      <w:r w:rsidRPr="006C3B66">
        <w:rPr>
          <w:rFonts w:cs="Tahoma"/>
        </w:rPr>
        <w:fldChar w:fldCharType="separate"/>
      </w:r>
      <w:r>
        <w:rPr>
          <w:rFonts w:cs="Tahoma"/>
        </w:rPr>
        <w:t>36</w:t>
      </w:r>
      <w:r w:rsidRPr="006C3B66">
        <w:rPr>
          <w:rFonts w:cs="Tahoma"/>
        </w:rPr>
        <w:fldChar w:fldCharType="end"/>
      </w:r>
    </w:p>
    <w:p w:rsidR="00A92422" w:rsidRPr="006C3B66" w:rsidRDefault="00A92422" w:rsidP="00A92422">
      <w:pPr>
        <w:pStyle w:val="TOC2"/>
        <w:rPr>
          <w:rFonts w:cs="Tahoma"/>
        </w:rPr>
      </w:pPr>
      <w:r w:rsidRPr="006C3B66">
        <w:rPr>
          <w:rFonts w:cs="Tahoma"/>
        </w:rPr>
        <w:t>55% di sconto sulle CAL per Project Server Acquistate a Livello Aziendale</w:t>
      </w:r>
      <w:r w:rsidRPr="006C3B66">
        <w:rPr>
          <w:rFonts w:cs="Tahoma"/>
        </w:rPr>
        <w:tab/>
      </w:r>
      <w:r w:rsidRPr="006C3B66">
        <w:rPr>
          <w:rFonts w:cs="Tahoma"/>
        </w:rPr>
        <w:fldChar w:fldCharType="begin"/>
      </w:r>
      <w:r w:rsidRPr="006C3B66">
        <w:rPr>
          <w:rFonts w:cs="Tahoma"/>
        </w:rPr>
        <w:instrText xml:space="preserve"> PAGEREF _Toc342900239 \h </w:instrText>
      </w:r>
      <w:r w:rsidRPr="006C3B66">
        <w:rPr>
          <w:rFonts w:cs="Tahoma"/>
        </w:rPr>
      </w:r>
      <w:r w:rsidRPr="006C3B66">
        <w:rPr>
          <w:rFonts w:cs="Tahoma"/>
        </w:rPr>
        <w:fldChar w:fldCharType="separate"/>
      </w:r>
      <w:r>
        <w:rPr>
          <w:rFonts w:cs="Tahoma"/>
        </w:rPr>
        <w:t>36</w:t>
      </w:r>
      <w:r w:rsidRPr="006C3B66">
        <w:rPr>
          <w:rFonts w:cs="Tahoma"/>
        </w:rPr>
        <w:fldChar w:fldCharType="end"/>
      </w:r>
    </w:p>
    <w:p w:rsidR="00A92422" w:rsidRPr="006C3B66" w:rsidRDefault="00A92422" w:rsidP="00A92422">
      <w:pPr>
        <w:pStyle w:val="TOC1"/>
        <w:rPr>
          <w:rFonts w:asciiTheme="minorHAnsi" w:eastAsiaTheme="minorEastAsia" w:hAnsiTheme="minorHAnsi" w:cstheme="minorBidi"/>
          <w:b w:val="0"/>
          <w:caps w:val="0"/>
          <w:color w:val="auto"/>
          <w:szCs w:val="22"/>
        </w:rPr>
      </w:pPr>
      <w:r w:rsidRPr="006C3B66">
        <w:rPr>
          <w:color w:val="auto"/>
        </w:rPr>
        <w:t>ARTICOLO 3 – CONDIZIONI Dei Programmi Multilicenza</w:t>
      </w:r>
      <w:r w:rsidRPr="006C3B66">
        <w:rPr>
          <w:color w:val="auto"/>
        </w:rPr>
        <w:tab/>
      </w:r>
      <w:r w:rsidRPr="006C3B66">
        <w:rPr>
          <w:color w:val="auto"/>
        </w:rPr>
        <w:fldChar w:fldCharType="begin"/>
      </w:r>
      <w:r w:rsidRPr="006C3B66">
        <w:rPr>
          <w:color w:val="auto"/>
        </w:rPr>
        <w:instrText xml:space="preserve"> PAGEREF _Toc342900240 \h </w:instrText>
      </w:r>
      <w:r w:rsidRPr="006C3B66">
        <w:rPr>
          <w:color w:val="auto"/>
        </w:rPr>
      </w:r>
      <w:r w:rsidRPr="006C3B66">
        <w:rPr>
          <w:color w:val="auto"/>
        </w:rPr>
        <w:fldChar w:fldCharType="separate"/>
      </w:r>
      <w:r>
        <w:rPr>
          <w:color w:val="auto"/>
        </w:rPr>
        <w:t>37</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Programmi Multilicenza Applicabili</w:t>
      </w:r>
      <w:r w:rsidRPr="006C3B66">
        <w:rPr>
          <w:color w:val="auto"/>
        </w:rPr>
        <w:tab/>
      </w:r>
      <w:r w:rsidRPr="006C3B66">
        <w:rPr>
          <w:color w:val="auto"/>
        </w:rPr>
        <w:fldChar w:fldCharType="begin"/>
      </w:r>
      <w:r w:rsidRPr="006C3B66">
        <w:rPr>
          <w:color w:val="auto"/>
        </w:rPr>
        <w:instrText xml:space="preserve"> PAGEREF _Toc342900241 \h </w:instrText>
      </w:r>
      <w:r w:rsidRPr="006C3B66">
        <w:rPr>
          <w:color w:val="auto"/>
        </w:rPr>
      </w:r>
      <w:r w:rsidRPr="006C3B66">
        <w:rPr>
          <w:color w:val="auto"/>
        </w:rPr>
        <w:fldChar w:fldCharType="separate"/>
      </w:r>
      <w:r>
        <w:rPr>
          <w:color w:val="auto"/>
        </w:rPr>
        <w:t>37</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Punti e Requisiti Minimi per gli Ordini</w:t>
      </w:r>
      <w:r w:rsidRPr="006C3B66">
        <w:rPr>
          <w:color w:val="auto"/>
        </w:rPr>
        <w:tab/>
      </w:r>
      <w:r w:rsidRPr="006C3B66">
        <w:rPr>
          <w:color w:val="auto"/>
        </w:rPr>
        <w:fldChar w:fldCharType="begin"/>
      </w:r>
      <w:r w:rsidRPr="006C3B66">
        <w:rPr>
          <w:color w:val="auto"/>
        </w:rPr>
        <w:instrText xml:space="preserve"> PAGEREF _Toc342900242 \h </w:instrText>
      </w:r>
      <w:r w:rsidRPr="006C3B66">
        <w:rPr>
          <w:color w:val="auto"/>
        </w:rPr>
      </w:r>
      <w:r w:rsidRPr="006C3B66">
        <w:rPr>
          <w:color w:val="auto"/>
        </w:rPr>
        <w:fldChar w:fldCharType="separate"/>
      </w:r>
      <w:r>
        <w:rPr>
          <w:color w:val="auto"/>
        </w:rPr>
        <w:t>37</w:t>
      </w:r>
      <w:r w:rsidRPr="006C3B66">
        <w:rPr>
          <w:color w:val="auto"/>
        </w:rPr>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Requisiti Minimi dell’Ordine</w:t>
      </w:r>
      <w:r w:rsidRPr="006C3B66">
        <w:tab/>
      </w:r>
      <w:r w:rsidRPr="006C3B66">
        <w:fldChar w:fldCharType="begin"/>
      </w:r>
      <w:r w:rsidRPr="006C3B66">
        <w:instrText xml:space="preserve"> PAGEREF _Toc342900243 \h </w:instrText>
      </w:r>
      <w:r w:rsidRPr="006C3B66">
        <w:fldChar w:fldCharType="separate"/>
      </w:r>
      <w:r>
        <w:t>37</w:t>
      </w:r>
      <w:r w:rsidRPr="006C3B66">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Piattaforme</w:t>
      </w:r>
      <w:r w:rsidRPr="006C3B66">
        <w:rPr>
          <w:color w:val="auto"/>
        </w:rPr>
        <w:tab/>
      </w:r>
      <w:r w:rsidRPr="006C3B66">
        <w:rPr>
          <w:color w:val="auto"/>
        </w:rPr>
        <w:fldChar w:fldCharType="begin"/>
      </w:r>
      <w:r w:rsidRPr="006C3B66">
        <w:rPr>
          <w:color w:val="auto"/>
        </w:rPr>
        <w:instrText xml:space="preserve"> PAGEREF _Toc342900244 \h </w:instrText>
      </w:r>
      <w:r w:rsidRPr="006C3B66">
        <w:rPr>
          <w:color w:val="auto"/>
        </w:rPr>
      </w:r>
      <w:r w:rsidRPr="006C3B66">
        <w:rPr>
          <w:color w:val="auto"/>
        </w:rPr>
        <w:fldChar w:fldCharType="separate"/>
      </w:r>
      <w:r>
        <w:rPr>
          <w:color w:val="auto"/>
        </w:rPr>
        <w:t>40</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Definizione di Gestione per i Dispositivi Qualificanti</w:t>
      </w:r>
      <w:r w:rsidRPr="006C3B66">
        <w:rPr>
          <w:color w:val="auto"/>
        </w:rPr>
        <w:tab/>
      </w:r>
      <w:r w:rsidRPr="006C3B66">
        <w:rPr>
          <w:color w:val="auto"/>
        </w:rPr>
        <w:fldChar w:fldCharType="begin"/>
      </w:r>
      <w:r w:rsidRPr="006C3B66">
        <w:rPr>
          <w:color w:val="auto"/>
        </w:rPr>
        <w:instrText xml:space="preserve"> PAGEREF _Toc342900245 \h </w:instrText>
      </w:r>
      <w:r w:rsidRPr="006C3B66">
        <w:rPr>
          <w:color w:val="auto"/>
        </w:rPr>
      </w:r>
      <w:r w:rsidRPr="006C3B66">
        <w:rPr>
          <w:color w:val="auto"/>
        </w:rPr>
        <w:fldChar w:fldCharType="separate"/>
      </w:r>
      <w:r>
        <w:rPr>
          <w:color w:val="auto"/>
        </w:rPr>
        <w:t>41</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Prodotti Qualificati per lo Sconto Up-to-Date (UTD)</w:t>
      </w:r>
      <w:r w:rsidRPr="006C3B66">
        <w:rPr>
          <w:color w:val="auto"/>
        </w:rPr>
        <w:tab/>
      </w:r>
      <w:r w:rsidRPr="006C3B66">
        <w:rPr>
          <w:color w:val="auto"/>
        </w:rPr>
        <w:fldChar w:fldCharType="begin"/>
      </w:r>
      <w:r w:rsidRPr="006C3B66">
        <w:rPr>
          <w:color w:val="auto"/>
        </w:rPr>
        <w:instrText xml:space="preserve"> PAGEREF _Toc342900246 \h </w:instrText>
      </w:r>
      <w:r w:rsidRPr="006C3B66">
        <w:rPr>
          <w:color w:val="auto"/>
        </w:rPr>
      </w:r>
      <w:r w:rsidRPr="006C3B66">
        <w:rPr>
          <w:color w:val="auto"/>
        </w:rPr>
        <w:fldChar w:fldCharType="separate"/>
      </w:r>
      <w:r>
        <w:rPr>
          <w:color w:val="auto"/>
        </w:rPr>
        <w:t>42</w:t>
      </w:r>
      <w:r w:rsidRPr="006C3B66">
        <w:rPr>
          <w:color w:val="auto"/>
        </w:rPr>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Condizioni Aggiornate per i Programmi Contratto Enterprise e Contratto Subscription</w:t>
      </w:r>
      <w:r w:rsidRPr="006C3B66">
        <w:tab/>
      </w:r>
      <w:r w:rsidRPr="006C3B66">
        <w:fldChar w:fldCharType="begin"/>
      </w:r>
      <w:r w:rsidRPr="006C3B66">
        <w:instrText xml:space="preserve"> PAGEREF _Toc342900247 \h </w:instrText>
      </w:r>
      <w:r w:rsidRPr="006C3B66">
        <w:fldChar w:fldCharType="separate"/>
      </w:r>
      <w:r>
        <w:t>43</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Continuità del Servizio per Proroga del Periodo di Validità</w:t>
      </w:r>
      <w:r w:rsidRPr="006C3B66">
        <w:tab/>
      </w:r>
      <w:r w:rsidRPr="006C3B66">
        <w:fldChar w:fldCharType="begin"/>
      </w:r>
      <w:r w:rsidRPr="006C3B66">
        <w:instrText xml:space="preserve"> PAGEREF _Toc342900248 \h </w:instrText>
      </w:r>
      <w:r w:rsidRPr="006C3B66">
        <w:fldChar w:fldCharType="separate"/>
      </w:r>
      <w:r>
        <w:t>46</w:t>
      </w:r>
      <w:r w:rsidRPr="006C3B66">
        <w:fldChar w:fldCharType="end"/>
      </w:r>
    </w:p>
    <w:p w:rsidR="00A92422" w:rsidRPr="006C3B66" w:rsidRDefault="00A92422" w:rsidP="00A92422">
      <w:pPr>
        <w:pStyle w:val="TOC1"/>
        <w:rPr>
          <w:color w:val="auto"/>
        </w:rPr>
      </w:pPr>
    </w:p>
    <w:p w:rsidR="00A92422" w:rsidRPr="006C3B66" w:rsidRDefault="00A92422" w:rsidP="00A92422">
      <w:pPr>
        <w:pStyle w:val="TOC1"/>
        <w:rPr>
          <w:color w:val="auto"/>
        </w:rPr>
      </w:pPr>
    </w:p>
    <w:p w:rsidR="00A92422" w:rsidRPr="006C3B66" w:rsidRDefault="00A92422" w:rsidP="00A92422">
      <w:pPr>
        <w:pStyle w:val="TOC1"/>
        <w:rPr>
          <w:rFonts w:asciiTheme="minorHAnsi" w:eastAsiaTheme="minorEastAsia" w:hAnsiTheme="minorHAnsi" w:cstheme="minorBidi"/>
          <w:b w:val="0"/>
          <w:caps w:val="0"/>
          <w:color w:val="auto"/>
          <w:szCs w:val="22"/>
        </w:rPr>
      </w:pPr>
      <w:r w:rsidRPr="006C3B66">
        <w:rPr>
          <w:color w:val="auto"/>
        </w:rPr>
        <w:lastRenderedPageBreak/>
        <w:t>ARTICOLO 4 – TIPI DI LIcenZe e CORRISPETTIVI</w:t>
      </w:r>
      <w:r w:rsidRPr="006C3B66">
        <w:rPr>
          <w:color w:val="auto"/>
        </w:rPr>
        <w:tab/>
      </w:r>
      <w:r w:rsidRPr="006C3B66">
        <w:rPr>
          <w:color w:val="auto"/>
        </w:rPr>
        <w:fldChar w:fldCharType="begin"/>
      </w:r>
      <w:r w:rsidRPr="006C3B66">
        <w:rPr>
          <w:color w:val="auto"/>
        </w:rPr>
        <w:instrText xml:space="preserve"> PAGEREF _Toc342900249 \h </w:instrText>
      </w:r>
      <w:r w:rsidRPr="006C3B66">
        <w:rPr>
          <w:color w:val="auto"/>
        </w:rPr>
      </w:r>
      <w:r w:rsidRPr="006C3B66">
        <w:rPr>
          <w:color w:val="auto"/>
        </w:rPr>
        <w:fldChar w:fldCharType="separate"/>
      </w:r>
      <w:r>
        <w:rPr>
          <w:color w:val="auto"/>
        </w:rPr>
        <w:t>47</w:t>
      </w:r>
      <w:r w:rsidRPr="006C3B66">
        <w:rPr>
          <w:color w:val="auto"/>
        </w:rPr>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Corrispettivi</w:t>
      </w:r>
      <w:r w:rsidRPr="006C3B66">
        <w:tab/>
      </w:r>
      <w:r w:rsidRPr="006C3B66">
        <w:fldChar w:fldCharType="begin"/>
      </w:r>
      <w:r w:rsidRPr="006C3B66">
        <w:instrText xml:space="preserve"> PAGEREF _Toc342900250 \h </w:instrText>
      </w:r>
      <w:r w:rsidRPr="006C3B66">
        <w:fldChar w:fldCharType="separate"/>
      </w:r>
      <w:r>
        <w:t>47</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Licenza</w:t>
      </w:r>
      <w:r w:rsidRPr="006C3B66">
        <w:tab/>
      </w:r>
      <w:r w:rsidRPr="006C3B66">
        <w:fldChar w:fldCharType="begin"/>
      </w:r>
      <w:r w:rsidRPr="006C3B66">
        <w:instrText xml:space="preserve"> PAGEREF _Toc342900251 \h </w:instrText>
      </w:r>
      <w:r w:rsidRPr="006C3B66">
        <w:fldChar w:fldCharType="separate"/>
      </w:r>
      <w:r>
        <w:t>47</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Licenza e Software Assurance</w:t>
      </w:r>
      <w:r w:rsidRPr="006C3B66">
        <w:tab/>
      </w:r>
      <w:r w:rsidRPr="006C3B66">
        <w:fldChar w:fldCharType="begin"/>
      </w:r>
      <w:r w:rsidRPr="006C3B66">
        <w:instrText xml:space="preserve"> PAGEREF _Toc342900252 \h </w:instrText>
      </w:r>
      <w:r w:rsidRPr="006C3B66">
        <w:fldChar w:fldCharType="separate"/>
      </w:r>
      <w:r>
        <w:t>47</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Software Assurance</w:t>
      </w:r>
      <w:r w:rsidRPr="006C3B66">
        <w:tab/>
      </w:r>
      <w:r w:rsidRPr="006C3B66">
        <w:fldChar w:fldCharType="begin"/>
      </w:r>
      <w:r w:rsidRPr="006C3B66">
        <w:instrText xml:space="preserve"> PAGEREF _Toc342900253 \h </w:instrText>
      </w:r>
      <w:r w:rsidRPr="006C3B66">
        <w:fldChar w:fldCharType="separate"/>
      </w:r>
      <w:r>
        <w:t>48</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Licenze Step-Up</w:t>
      </w:r>
      <w:r w:rsidRPr="006C3B66">
        <w:tab/>
      </w:r>
      <w:r w:rsidRPr="006C3B66">
        <w:fldChar w:fldCharType="begin"/>
      </w:r>
      <w:r w:rsidRPr="006C3B66">
        <w:instrText xml:space="preserve"> PAGEREF _Toc342900254 \h </w:instrText>
      </w:r>
      <w:r w:rsidRPr="006C3B66">
        <w:fldChar w:fldCharType="separate"/>
      </w:r>
      <w:r>
        <w:t>49</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Licenze “Subscription”</w:t>
      </w:r>
      <w:r w:rsidRPr="006C3B66">
        <w:tab/>
      </w:r>
      <w:r w:rsidRPr="006C3B66">
        <w:fldChar w:fldCharType="begin"/>
      </w:r>
      <w:r w:rsidRPr="006C3B66">
        <w:instrText xml:space="preserve"> PAGEREF _Toc342900255 \h </w:instrText>
      </w:r>
      <w:r w:rsidRPr="006C3B66">
        <w:fldChar w:fldCharType="separate"/>
      </w:r>
      <w:r>
        <w:t>49</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Aggiornamento</w:t>
      </w:r>
      <w:r w:rsidRPr="006C3B66">
        <w:tab/>
      </w:r>
      <w:r w:rsidRPr="006C3B66">
        <w:fldChar w:fldCharType="begin"/>
      </w:r>
      <w:r w:rsidRPr="006C3B66">
        <w:instrText xml:space="preserve"> PAGEREF _Toc342900256 \h </w:instrText>
      </w:r>
      <w:r w:rsidRPr="006C3B66">
        <w:fldChar w:fldCharType="separate"/>
      </w:r>
      <w:r>
        <w:t>50</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Aggiornamento e Software Assurance</w:t>
      </w:r>
      <w:r w:rsidRPr="006C3B66">
        <w:tab/>
      </w:r>
      <w:r w:rsidRPr="006C3B66">
        <w:fldChar w:fldCharType="begin"/>
      </w:r>
      <w:r w:rsidRPr="006C3B66">
        <w:instrText xml:space="preserve"> PAGEREF _Toc342900257 \h </w:instrText>
      </w:r>
      <w:r w:rsidRPr="006C3B66">
        <w:fldChar w:fldCharType="separate"/>
      </w:r>
      <w:r>
        <w:t>50</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Licenze Work at Home</w:t>
      </w:r>
      <w:r w:rsidRPr="006C3B66">
        <w:tab/>
      </w:r>
      <w:r w:rsidRPr="006C3B66">
        <w:fldChar w:fldCharType="begin"/>
      </w:r>
      <w:r w:rsidRPr="006C3B66">
        <w:instrText xml:space="preserve"> PAGEREF _Toc342900258 \h </w:instrText>
      </w:r>
      <w:r w:rsidRPr="006C3B66">
        <w:fldChar w:fldCharType="separate"/>
      </w:r>
      <w:r>
        <w:t>51</w:t>
      </w:r>
      <w:r w:rsidRPr="006C3B66">
        <w:fldChar w:fldCharType="end"/>
      </w:r>
    </w:p>
    <w:p w:rsidR="00A92422" w:rsidRPr="006C3B66" w:rsidRDefault="00A92422" w:rsidP="00A92422">
      <w:pPr>
        <w:pStyle w:val="TOC1"/>
        <w:rPr>
          <w:rFonts w:asciiTheme="minorHAnsi" w:eastAsiaTheme="minorEastAsia" w:hAnsiTheme="minorHAnsi" w:cstheme="minorBidi"/>
          <w:b w:val="0"/>
          <w:caps w:val="0"/>
          <w:color w:val="auto"/>
          <w:szCs w:val="22"/>
        </w:rPr>
      </w:pPr>
      <w:r w:rsidRPr="006C3B66">
        <w:rPr>
          <w:color w:val="auto"/>
        </w:rPr>
        <w:t>ARTICOLO 5 – Prezzi dei Servizi Online e Condizioni di Pagamento</w:t>
      </w:r>
      <w:r w:rsidRPr="006C3B66">
        <w:rPr>
          <w:color w:val="auto"/>
        </w:rPr>
        <w:tab/>
      </w:r>
      <w:r w:rsidRPr="006C3B66">
        <w:rPr>
          <w:color w:val="auto"/>
        </w:rPr>
        <w:fldChar w:fldCharType="begin"/>
      </w:r>
      <w:r w:rsidRPr="006C3B66">
        <w:rPr>
          <w:color w:val="auto"/>
        </w:rPr>
        <w:instrText xml:space="preserve"> PAGEREF _Toc342900259 \h </w:instrText>
      </w:r>
      <w:r w:rsidRPr="006C3B66">
        <w:rPr>
          <w:color w:val="auto"/>
        </w:rPr>
      </w:r>
      <w:r w:rsidRPr="006C3B66">
        <w:rPr>
          <w:color w:val="auto"/>
        </w:rPr>
        <w:fldChar w:fldCharType="separate"/>
      </w:r>
      <w:r>
        <w:rPr>
          <w:color w:val="auto"/>
        </w:rPr>
        <w:t>52</w:t>
      </w:r>
      <w:r w:rsidRPr="006C3B66">
        <w:rPr>
          <w:color w:val="auto"/>
        </w:rPr>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Periodo di Validità dell’Abbonamento ai Servizi Online</w:t>
      </w:r>
      <w:r w:rsidRPr="006C3B66">
        <w:tab/>
      </w:r>
      <w:r w:rsidRPr="006C3B66">
        <w:fldChar w:fldCharType="begin"/>
      </w:r>
      <w:r w:rsidRPr="006C3B66">
        <w:instrText xml:space="preserve"> PAGEREF _Toc342900260 \h </w:instrText>
      </w:r>
      <w:r w:rsidRPr="006C3B66">
        <w:fldChar w:fldCharType="separate"/>
      </w:r>
      <w:r>
        <w:t>52</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Acquisti e Rinnovo Automatico di Servizi Online</w:t>
      </w:r>
      <w:r w:rsidRPr="006C3B66">
        <w:tab/>
      </w:r>
      <w:r w:rsidRPr="006C3B66">
        <w:fldChar w:fldCharType="begin"/>
      </w:r>
      <w:r w:rsidRPr="006C3B66">
        <w:instrText xml:space="preserve"> PAGEREF _Toc342900261 \h </w:instrText>
      </w:r>
      <w:r w:rsidRPr="006C3B66">
        <w:fldChar w:fldCharType="separate"/>
      </w:r>
      <w:r>
        <w:t>53</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Gestione degli Stati di Rinnovo e di Rinnovo Automatico</w:t>
      </w:r>
      <w:r w:rsidRPr="006C3B66">
        <w:tab/>
      </w:r>
      <w:r w:rsidRPr="006C3B66">
        <w:fldChar w:fldCharType="begin"/>
      </w:r>
      <w:r w:rsidRPr="006C3B66">
        <w:instrText xml:space="preserve"> PAGEREF _Toc342900262 \h </w:instrText>
      </w:r>
      <w:r w:rsidRPr="006C3B66">
        <w:fldChar w:fldCharType="separate"/>
      </w:r>
      <w:r>
        <w:t>53</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Annullamento dei Servizi Online</w:t>
      </w:r>
      <w:r w:rsidRPr="006C3B66">
        <w:tab/>
      </w:r>
      <w:r w:rsidRPr="006C3B66">
        <w:fldChar w:fldCharType="begin"/>
      </w:r>
      <w:r w:rsidRPr="006C3B66">
        <w:instrText xml:space="preserve"> PAGEREF _Toc342900263 \h </w:instrText>
      </w:r>
      <w:r w:rsidRPr="006C3B66">
        <w:fldChar w:fldCharType="separate"/>
      </w:r>
      <w:r>
        <w:t>54</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Opzioni relative alle Condizioni di Pagamento dei Servizi Online</w:t>
      </w:r>
      <w:r w:rsidRPr="006C3B66">
        <w:tab/>
      </w:r>
      <w:r w:rsidRPr="006C3B66">
        <w:fldChar w:fldCharType="begin"/>
      </w:r>
      <w:r w:rsidRPr="006C3B66">
        <w:instrText xml:space="preserve"> PAGEREF _Toc342900264 \h </w:instrText>
      </w:r>
      <w:r w:rsidRPr="006C3B66">
        <w:fldChar w:fldCharType="separate"/>
      </w:r>
      <w:r>
        <w:t>54</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Requisiti di Acquisto Minimo per i Servizi Online in Volume Licensing</w:t>
      </w:r>
      <w:r w:rsidRPr="006C3B66">
        <w:tab/>
      </w:r>
      <w:r w:rsidRPr="006C3B66">
        <w:fldChar w:fldCharType="begin"/>
      </w:r>
      <w:r w:rsidRPr="006C3B66">
        <w:instrText xml:space="preserve"> PAGEREF _Toc342900265 \h </w:instrText>
      </w:r>
      <w:r w:rsidRPr="006C3B66">
        <w:fldChar w:fldCharType="separate"/>
      </w:r>
      <w:r>
        <w:t>54</w:t>
      </w:r>
      <w:r w:rsidRPr="006C3B66">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Servizi di Windows Azure</w:t>
      </w:r>
      <w:r w:rsidRPr="006C3B66">
        <w:rPr>
          <w:color w:val="auto"/>
        </w:rPr>
        <w:tab/>
      </w:r>
      <w:r w:rsidRPr="006C3B66">
        <w:rPr>
          <w:color w:val="auto"/>
        </w:rPr>
        <w:fldChar w:fldCharType="begin"/>
      </w:r>
      <w:r w:rsidRPr="006C3B66">
        <w:rPr>
          <w:color w:val="auto"/>
        </w:rPr>
        <w:instrText xml:space="preserve"> PAGEREF _Toc342900266 \h </w:instrText>
      </w:r>
      <w:r w:rsidRPr="006C3B66">
        <w:rPr>
          <w:color w:val="auto"/>
        </w:rPr>
      </w:r>
      <w:r w:rsidRPr="006C3B66">
        <w:rPr>
          <w:color w:val="auto"/>
        </w:rPr>
        <w:fldChar w:fldCharType="separate"/>
      </w:r>
      <w:r>
        <w:rPr>
          <w:color w:val="auto"/>
        </w:rPr>
        <w:t>54</w:t>
      </w:r>
      <w:r w:rsidRPr="006C3B66">
        <w:rPr>
          <w:color w:val="auto"/>
        </w:rPr>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Disponibilità regionale del Servizio Online.</w:t>
      </w:r>
      <w:r w:rsidRPr="006C3B66">
        <w:tab/>
      </w:r>
      <w:r w:rsidRPr="006C3B66">
        <w:fldChar w:fldCharType="begin"/>
      </w:r>
      <w:r w:rsidRPr="006C3B66">
        <w:instrText xml:space="preserve"> PAGEREF _Toc342900267 \h </w:instrText>
      </w:r>
      <w:r w:rsidRPr="006C3B66">
        <w:fldChar w:fldCharType="separate"/>
      </w:r>
      <w:r>
        <w:t>56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Condizioni Aggiuntive per i Servizi Online</w:t>
      </w:r>
      <w:r w:rsidRPr="006C3B66">
        <w:tab/>
      </w:r>
      <w:r w:rsidRPr="006C3B66">
        <w:fldChar w:fldCharType="begin"/>
      </w:r>
      <w:r w:rsidRPr="006C3B66">
        <w:instrText xml:space="preserve"> PAGEREF _Toc342900268 \h </w:instrText>
      </w:r>
      <w:r w:rsidRPr="006C3B66">
        <w:fldChar w:fldCharType="separate"/>
      </w:r>
      <w:r>
        <w:t>56</w:t>
      </w:r>
      <w:r w:rsidRPr="006C3B66">
        <w:fldChar w:fldCharType="end"/>
      </w:r>
    </w:p>
    <w:p w:rsidR="00A92422" w:rsidRPr="006C3B66" w:rsidRDefault="00A92422" w:rsidP="00A92422">
      <w:pPr>
        <w:pStyle w:val="TOC1"/>
        <w:rPr>
          <w:rFonts w:asciiTheme="minorHAnsi" w:eastAsiaTheme="minorEastAsia" w:hAnsiTheme="minorHAnsi" w:cstheme="minorBidi"/>
          <w:b w:val="0"/>
          <w:caps w:val="0"/>
          <w:color w:val="auto"/>
          <w:szCs w:val="22"/>
        </w:rPr>
      </w:pPr>
      <w:r w:rsidRPr="006C3B66">
        <w:rPr>
          <w:color w:val="auto"/>
        </w:rPr>
        <w:t>ARTICOLO 6 – REGOLE PER IL RINNOVO di Software Assurance</w:t>
      </w:r>
      <w:r w:rsidRPr="006C3B66">
        <w:rPr>
          <w:color w:val="auto"/>
        </w:rPr>
        <w:tab/>
      </w:r>
      <w:r w:rsidRPr="006C3B66">
        <w:rPr>
          <w:color w:val="auto"/>
        </w:rPr>
        <w:fldChar w:fldCharType="begin"/>
      </w:r>
      <w:r w:rsidRPr="006C3B66">
        <w:rPr>
          <w:color w:val="auto"/>
        </w:rPr>
        <w:instrText xml:space="preserve"> PAGEREF _Toc342900269 \h </w:instrText>
      </w:r>
      <w:r w:rsidRPr="006C3B66">
        <w:rPr>
          <w:color w:val="auto"/>
        </w:rPr>
      </w:r>
      <w:r w:rsidRPr="006C3B66">
        <w:rPr>
          <w:color w:val="auto"/>
        </w:rPr>
        <w:fldChar w:fldCharType="separate"/>
      </w:r>
      <w:r>
        <w:rPr>
          <w:color w:val="auto"/>
        </w:rPr>
        <w:t>57</w:t>
      </w:r>
      <w:r w:rsidRPr="006C3B66">
        <w:rPr>
          <w:color w:val="auto"/>
        </w:rPr>
        <w:fldChar w:fldCharType="end"/>
      </w:r>
    </w:p>
    <w:p w:rsidR="00A92422" w:rsidRPr="006C3B66" w:rsidRDefault="00A92422" w:rsidP="00A92422">
      <w:pPr>
        <w:pStyle w:val="TOC4"/>
        <w:rPr>
          <w:rFonts w:asciiTheme="minorHAnsi" w:eastAsiaTheme="minorEastAsia" w:hAnsiTheme="minorHAnsi" w:cstheme="minorBidi"/>
          <w:noProof/>
          <w:sz w:val="22"/>
          <w:szCs w:val="22"/>
        </w:rPr>
      </w:pPr>
      <w:r w:rsidRPr="006C3B66">
        <w:rPr>
          <w:rFonts w:cs="Tahoma"/>
          <w:noProof/>
          <w:lang w:val="it-IT"/>
        </w:rPr>
        <w:t>Licenza Open</w:t>
      </w:r>
      <w:r w:rsidRPr="006C3B66">
        <w:rPr>
          <w:noProof/>
        </w:rPr>
        <w:tab/>
      </w:r>
      <w:r w:rsidRPr="006C3B66">
        <w:rPr>
          <w:noProof/>
        </w:rPr>
        <w:fldChar w:fldCharType="begin"/>
      </w:r>
      <w:r w:rsidRPr="006C3B66">
        <w:rPr>
          <w:noProof/>
        </w:rPr>
        <w:instrText xml:space="preserve"> PAGEREF _Toc342900270 \h </w:instrText>
      </w:r>
      <w:r w:rsidRPr="006C3B66">
        <w:rPr>
          <w:noProof/>
        </w:rPr>
      </w:r>
      <w:r w:rsidRPr="006C3B66">
        <w:rPr>
          <w:noProof/>
        </w:rPr>
        <w:fldChar w:fldCharType="separate"/>
      </w:r>
      <w:r>
        <w:rPr>
          <w:noProof/>
        </w:rPr>
        <w:t>57</w:t>
      </w:r>
      <w:r w:rsidRPr="006C3B66">
        <w:rPr>
          <w:noProof/>
        </w:rPr>
        <w:fldChar w:fldCharType="end"/>
      </w:r>
    </w:p>
    <w:p w:rsidR="00A92422" w:rsidRPr="006C3B66" w:rsidRDefault="00A92422" w:rsidP="00A92422">
      <w:pPr>
        <w:pStyle w:val="TOC4"/>
        <w:rPr>
          <w:rFonts w:asciiTheme="minorHAnsi" w:eastAsiaTheme="minorEastAsia" w:hAnsiTheme="minorHAnsi" w:cstheme="minorBidi"/>
          <w:noProof/>
          <w:sz w:val="22"/>
          <w:szCs w:val="22"/>
        </w:rPr>
      </w:pPr>
      <w:r w:rsidRPr="006C3B66">
        <w:rPr>
          <w:rFonts w:cs="Tahoma"/>
          <w:noProof/>
          <w:lang w:val="it-IT"/>
        </w:rPr>
        <w:t>Open Value 20xx</w:t>
      </w:r>
      <w:r w:rsidRPr="006C3B66">
        <w:rPr>
          <w:noProof/>
        </w:rPr>
        <w:tab/>
      </w:r>
      <w:r w:rsidRPr="006C3B66">
        <w:rPr>
          <w:noProof/>
        </w:rPr>
        <w:fldChar w:fldCharType="begin"/>
      </w:r>
      <w:r w:rsidRPr="006C3B66">
        <w:rPr>
          <w:noProof/>
        </w:rPr>
        <w:instrText xml:space="preserve"> PAGEREF _Toc342900271 \h </w:instrText>
      </w:r>
      <w:r w:rsidRPr="006C3B66">
        <w:rPr>
          <w:noProof/>
        </w:rPr>
      </w:r>
      <w:r w:rsidRPr="006C3B66">
        <w:rPr>
          <w:noProof/>
        </w:rPr>
        <w:fldChar w:fldCharType="separate"/>
      </w:r>
      <w:r>
        <w:rPr>
          <w:noProof/>
        </w:rPr>
        <w:t>57</w:t>
      </w:r>
      <w:r w:rsidRPr="006C3B66">
        <w:rPr>
          <w:noProof/>
        </w:rPr>
        <w:fldChar w:fldCharType="end"/>
      </w:r>
    </w:p>
    <w:p w:rsidR="00A92422" w:rsidRPr="006C3B66" w:rsidRDefault="00A92422" w:rsidP="00A92422">
      <w:pPr>
        <w:pStyle w:val="TOC4"/>
        <w:rPr>
          <w:rFonts w:asciiTheme="minorHAnsi" w:eastAsiaTheme="minorEastAsia" w:hAnsiTheme="minorHAnsi" w:cstheme="minorBidi"/>
          <w:noProof/>
          <w:sz w:val="22"/>
          <w:szCs w:val="22"/>
        </w:rPr>
      </w:pPr>
      <w:r w:rsidRPr="006C3B66">
        <w:rPr>
          <w:rFonts w:cs="Tahoma"/>
          <w:noProof/>
          <w:lang w:val="it-IT"/>
        </w:rPr>
        <w:t>Select 20xx</w:t>
      </w:r>
      <w:r w:rsidRPr="006C3B66">
        <w:rPr>
          <w:noProof/>
        </w:rPr>
        <w:tab/>
      </w:r>
      <w:r w:rsidRPr="006C3B66">
        <w:rPr>
          <w:noProof/>
        </w:rPr>
        <w:fldChar w:fldCharType="begin"/>
      </w:r>
      <w:r w:rsidRPr="006C3B66">
        <w:rPr>
          <w:noProof/>
        </w:rPr>
        <w:instrText xml:space="preserve"> PAGEREF _Toc342900272 \h </w:instrText>
      </w:r>
      <w:r w:rsidRPr="006C3B66">
        <w:rPr>
          <w:noProof/>
        </w:rPr>
      </w:r>
      <w:r w:rsidRPr="006C3B66">
        <w:rPr>
          <w:noProof/>
        </w:rPr>
        <w:fldChar w:fldCharType="separate"/>
      </w:r>
      <w:r>
        <w:rPr>
          <w:noProof/>
        </w:rPr>
        <w:t>57</w:t>
      </w:r>
      <w:r w:rsidRPr="006C3B66">
        <w:rPr>
          <w:noProof/>
        </w:rPr>
        <w:fldChar w:fldCharType="end"/>
      </w:r>
    </w:p>
    <w:p w:rsidR="00A92422" w:rsidRPr="006C3B66" w:rsidRDefault="00A92422" w:rsidP="00A92422">
      <w:pPr>
        <w:pStyle w:val="TOC4"/>
        <w:rPr>
          <w:rFonts w:asciiTheme="minorHAnsi" w:eastAsiaTheme="minorEastAsia" w:hAnsiTheme="minorHAnsi" w:cstheme="minorBidi"/>
          <w:noProof/>
          <w:sz w:val="22"/>
          <w:szCs w:val="22"/>
        </w:rPr>
      </w:pPr>
      <w:r w:rsidRPr="006C3B66">
        <w:rPr>
          <w:rFonts w:cs="Tahoma"/>
          <w:noProof/>
          <w:lang w:val="it-IT"/>
        </w:rPr>
        <w:t>Rinnovo della Copertura ai sensi del Medesimo Contratto</w:t>
      </w:r>
      <w:r w:rsidRPr="006C3B66">
        <w:rPr>
          <w:noProof/>
        </w:rPr>
        <w:tab/>
      </w:r>
      <w:r w:rsidRPr="006C3B66">
        <w:rPr>
          <w:noProof/>
        </w:rPr>
        <w:fldChar w:fldCharType="begin"/>
      </w:r>
      <w:r w:rsidRPr="006C3B66">
        <w:rPr>
          <w:noProof/>
        </w:rPr>
        <w:instrText xml:space="preserve"> PAGEREF _Toc342900273 \h </w:instrText>
      </w:r>
      <w:r w:rsidRPr="006C3B66">
        <w:rPr>
          <w:noProof/>
        </w:rPr>
      </w:r>
      <w:r w:rsidRPr="006C3B66">
        <w:rPr>
          <w:noProof/>
        </w:rPr>
        <w:fldChar w:fldCharType="separate"/>
      </w:r>
      <w:r>
        <w:rPr>
          <w:noProof/>
        </w:rPr>
        <w:t>57</w:t>
      </w:r>
      <w:r w:rsidRPr="006C3B66">
        <w:rPr>
          <w:noProof/>
        </w:rPr>
        <w:fldChar w:fldCharType="end"/>
      </w:r>
    </w:p>
    <w:p w:rsidR="00A92422" w:rsidRPr="006C3B66" w:rsidRDefault="00A92422" w:rsidP="00A92422">
      <w:pPr>
        <w:pStyle w:val="TOC4"/>
        <w:rPr>
          <w:rFonts w:asciiTheme="minorHAnsi" w:eastAsiaTheme="minorEastAsia" w:hAnsiTheme="minorHAnsi" w:cstheme="minorBidi"/>
          <w:noProof/>
          <w:sz w:val="22"/>
          <w:szCs w:val="22"/>
        </w:rPr>
      </w:pPr>
      <w:r w:rsidRPr="006C3B66">
        <w:rPr>
          <w:rFonts w:cs="Tahoma"/>
          <w:noProof/>
          <w:lang w:val="it-IT"/>
        </w:rPr>
        <w:t>Rinnovo della Copertura con un Contratto Separato</w:t>
      </w:r>
      <w:r w:rsidRPr="006C3B66">
        <w:rPr>
          <w:noProof/>
        </w:rPr>
        <w:tab/>
      </w:r>
      <w:r w:rsidRPr="006C3B66">
        <w:rPr>
          <w:noProof/>
        </w:rPr>
        <w:fldChar w:fldCharType="begin"/>
      </w:r>
      <w:r w:rsidRPr="006C3B66">
        <w:rPr>
          <w:noProof/>
        </w:rPr>
        <w:instrText xml:space="preserve"> PAGEREF _Toc342900274 \h </w:instrText>
      </w:r>
      <w:r w:rsidRPr="006C3B66">
        <w:rPr>
          <w:noProof/>
        </w:rPr>
      </w:r>
      <w:r w:rsidRPr="006C3B66">
        <w:rPr>
          <w:noProof/>
        </w:rPr>
        <w:fldChar w:fldCharType="separate"/>
      </w:r>
      <w:r>
        <w:rPr>
          <w:noProof/>
        </w:rPr>
        <w:t>58</w:t>
      </w:r>
      <w:r w:rsidRPr="006C3B66">
        <w:rPr>
          <w:noProof/>
        </w:rPr>
        <w:fldChar w:fldCharType="end"/>
      </w:r>
    </w:p>
    <w:p w:rsidR="00A92422" w:rsidRPr="006C3B66" w:rsidRDefault="00A92422" w:rsidP="00A92422">
      <w:pPr>
        <w:pStyle w:val="TOC4"/>
        <w:rPr>
          <w:rFonts w:asciiTheme="minorHAnsi" w:eastAsiaTheme="minorEastAsia" w:hAnsiTheme="minorHAnsi" w:cstheme="minorBidi"/>
          <w:noProof/>
          <w:sz w:val="22"/>
          <w:szCs w:val="22"/>
        </w:rPr>
      </w:pPr>
      <w:r w:rsidRPr="006C3B66">
        <w:rPr>
          <w:rFonts w:cs="Tahoma"/>
          <w:noProof/>
          <w:lang w:val="it-IT"/>
        </w:rPr>
        <w:t>Select Plus 20xx</w:t>
      </w:r>
      <w:r w:rsidRPr="006C3B66">
        <w:rPr>
          <w:noProof/>
        </w:rPr>
        <w:tab/>
      </w:r>
      <w:r w:rsidRPr="006C3B66">
        <w:rPr>
          <w:noProof/>
        </w:rPr>
        <w:fldChar w:fldCharType="begin"/>
      </w:r>
      <w:r w:rsidRPr="006C3B66">
        <w:rPr>
          <w:noProof/>
        </w:rPr>
        <w:instrText xml:space="preserve"> PAGEREF _Toc342900275 \h </w:instrText>
      </w:r>
      <w:r w:rsidRPr="006C3B66">
        <w:rPr>
          <w:noProof/>
        </w:rPr>
      </w:r>
      <w:r w:rsidRPr="006C3B66">
        <w:rPr>
          <w:noProof/>
        </w:rPr>
        <w:fldChar w:fldCharType="separate"/>
      </w:r>
      <w:r>
        <w:rPr>
          <w:noProof/>
        </w:rPr>
        <w:t>58</w:t>
      </w:r>
      <w:r w:rsidRPr="006C3B66">
        <w:rPr>
          <w:noProof/>
        </w:rPr>
        <w:fldChar w:fldCharType="end"/>
      </w:r>
    </w:p>
    <w:p w:rsidR="00A92422" w:rsidRPr="006C3B66" w:rsidRDefault="00A92422" w:rsidP="00A92422">
      <w:pPr>
        <w:pStyle w:val="TOC4"/>
        <w:rPr>
          <w:rFonts w:asciiTheme="minorHAnsi" w:eastAsiaTheme="minorEastAsia" w:hAnsiTheme="minorHAnsi" w:cstheme="minorBidi"/>
          <w:noProof/>
          <w:sz w:val="22"/>
          <w:szCs w:val="22"/>
        </w:rPr>
      </w:pPr>
      <w:r w:rsidRPr="006C3B66">
        <w:rPr>
          <w:rFonts w:cs="Tahoma"/>
          <w:noProof/>
          <w:lang w:val="it-IT"/>
        </w:rPr>
        <w:t>Contratto Enterprise 2011 e versioni successive</w:t>
      </w:r>
      <w:r w:rsidRPr="006C3B66">
        <w:rPr>
          <w:noProof/>
        </w:rPr>
        <w:tab/>
      </w:r>
      <w:r w:rsidRPr="006C3B66">
        <w:rPr>
          <w:noProof/>
        </w:rPr>
        <w:fldChar w:fldCharType="begin"/>
      </w:r>
      <w:r w:rsidRPr="006C3B66">
        <w:rPr>
          <w:noProof/>
        </w:rPr>
        <w:instrText xml:space="preserve"> PAGEREF _Toc342900276 \h </w:instrText>
      </w:r>
      <w:r w:rsidRPr="006C3B66">
        <w:rPr>
          <w:noProof/>
        </w:rPr>
      </w:r>
      <w:r w:rsidRPr="006C3B66">
        <w:rPr>
          <w:noProof/>
        </w:rPr>
        <w:fldChar w:fldCharType="separate"/>
      </w:r>
      <w:r>
        <w:rPr>
          <w:noProof/>
        </w:rPr>
        <w:t>58</w:t>
      </w:r>
      <w:r w:rsidRPr="006C3B66">
        <w:rPr>
          <w:noProof/>
        </w:rPr>
        <w:fldChar w:fldCharType="end"/>
      </w:r>
    </w:p>
    <w:p w:rsidR="00A92422" w:rsidRPr="006C3B66" w:rsidRDefault="00A92422" w:rsidP="00A92422">
      <w:pPr>
        <w:pStyle w:val="TOC4"/>
        <w:rPr>
          <w:rFonts w:asciiTheme="minorHAnsi" w:eastAsiaTheme="minorEastAsia" w:hAnsiTheme="minorHAnsi" w:cstheme="minorBidi"/>
          <w:noProof/>
          <w:sz w:val="22"/>
          <w:szCs w:val="22"/>
        </w:rPr>
      </w:pPr>
      <w:r w:rsidRPr="006C3B66">
        <w:rPr>
          <w:rFonts w:cs="Tahoma"/>
          <w:noProof/>
          <w:lang w:val="it-IT"/>
        </w:rPr>
        <w:t>Contratto Enterprise Prima del 2011</w:t>
      </w:r>
      <w:r w:rsidRPr="006C3B66">
        <w:rPr>
          <w:noProof/>
        </w:rPr>
        <w:tab/>
      </w:r>
      <w:r w:rsidRPr="006C3B66">
        <w:rPr>
          <w:noProof/>
        </w:rPr>
        <w:fldChar w:fldCharType="begin"/>
      </w:r>
      <w:r w:rsidRPr="006C3B66">
        <w:rPr>
          <w:noProof/>
        </w:rPr>
        <w:instrText xml:space="preserve"> PAGEREF _Toc342900277 \h </w:instrText>
      </w:r>
      <w:r w:rsidRPr="006C3B66">
        <w:rPr>
          <w:noProof/>
        </w:rPr>
      </w:r>
      <w:r w:rsidRPr="006C3B66">
        <w:rPr>
          <w:noProof/>
        </w:rPr>
        <w:fldChar w:fldCharType="separate"/>
      </w:r>
      <w:r>
        <w:rPr>
          <w:noProof/>
        </w:rPr>
        <w:t>59</w:t>
      </w:r>
      <w:r w:rsidRPr="006C3B66">
        <w:rPr>
          <w:noProof/>
        </w:rPr>
        <w:fldChar w:fldCharType="end"/>
      </w:r>
    </w:p>
    <w:p w:rsidR="00A92422" w:rsidRPr="006C3B66" w:rsidRDefault="00A92422" w:rsidP="00A92422">
      <w:pPr>
        <w:pStyle w:val="TOC4"/>
        <w:rPr>
          <w:rFonts w:asciiTheme="minorHAnsi" w:eastAsiaTheme="minorEastAsia" w:hAnsiTheme="minorHAnsi" w:cstheme="minorBidi"/>
          <w:noProof/>
          <w:sz w:val="22"/>
          <w:szCs w:val="22"/>
        </w:rPr>
      </w:pPr>
      <w:r w:rsidRPr="006C3B66">
        <w:rPr>
          <w:rFonts w:cs="Tahoma"/>
          <w:noProof/>
          <w:lang w:val="it-IT"/>
        </w:rPr>
        <w:t>Rinnovo Incrociato dei Programmi</w:t>
      </w:r>
      <w:r w:rsidRPr="006C3B66">
        <w:rPr>
          <w:noProof/>
        </w:rPr>
        <w:tab/>
      </w:r>
      <w:r w:rsidRPr="006C3B66">
        <w:rPr>
          <w:noProof/>
        </w:rPr>
        <w:fldChar w:fldCharType="begin"/>
      </w:r>
      <w:r w:rsidRPr="006C3B66">
        <w:rPr>
          <w:noProof/>
        </w:rPr>
        <w:instrText xml:space="preserve"> PAGEREF _Toc342900278 \h </w:instrText>
      </w:r>
      <w:r w:rsidRPr="006C3B66">
        <w:rPr>
          <w:noProof/>
        </w:rPr>
      </w:r>
      <w:r w:rsidRPr="006C3B66">
        <w:rPr>
          <w:noProof/>
        </w:rPr>
        <w:fldChar w:fldCharType="separate"/>
      </w:r>
      <w:r>
        <w:rPr>
          <w:noProof/>
        </w:rPr>
        <w:t>59</w:t>
      </w:r>
      <w:r w:rsidRPr="006C3B66">
        <w:rPr>
          <w:noProof/>
        </w:rPr>
        <w:fldChar w:fldCharType="end"/>
      </w:r>
    </w:p>
    <w:p w:rsidR="00A92422" w:rsidRPr="006C3B66" w:rsidRDefault="00A92422" w:rsidP="00A92422">
      <w:pPr>
        <w:pStyle w:val="TOC1"/>
        <w:rPr>
          <w:rFonts w:asciiTheme="minorHAnsi" w:eastAsiaTheme="minorEastAsia" w:hAnsiTheme="minorHAnsi" w:cstheme="minorBidi"/>
          <w:b w:val="0"/>
          <w:caps w:val="0"/>
          <w:color w:val="auto"/>
          <w:szCs w:val="22"/>
        </w:rPr>
      </w:pPr>
      <w:r w:rsidRPr="006C3B66">
        <w:rPr>
          <w:color w:val="auto"/>
        </w:rPr>
        <w:t>ARTICOLO 7 – Vantaggi di Software Assurance (SA) e dei servizi online (OLS)</w:t>
      </w:r>
      <w:r w:rsidRPr="006C3B66">
        <w:rPr>
          <w:color w:val="auto"/>
        </w:rPr>
        <w:tab/>
      </w:r>
      <w:r w:rsidRPr="006C3B66">
        <w:rPr>
          <w:color w:val="auto"/>
        </w:rPr>
        <w:fldChar w:fldCharType="begin"/>
      </w:r>
      <w:r w:rsidRPr="006C3B66">
        <w:rPr>
          <w:color w:val="auto"/>
        </w:rPr>
        <w:instrText xml:space="preserve"> PAGEREF _Toc342900279 \h </w:instrText>
      </w:r>
      <w:r w:rsidRPr="006C3B66">
        <w:rPr>
          <w:color w:val="auto"/>
        </w:rPr>
      </w:r>
      <w:r w:rsidRPr="006C3B66">
        <w:rPr>
          <w:color w:val="auto"/>
        </w:rPr>
        <w:fldChar w:fldCharType="separate"/>
      </w:r>
      <w:r>
        <w:rPr>
          <w:color w:val="auto"/>
        </w:rPr>
        <w:t>60</w:t>
      </w:r>
      <w:r w:rsidRPr="006C3B66">
        <w:rPr>
          <w:color w:val="auto"/>
        </w:rPr>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Diritti su Versioni Nuove</w:t>
      </w:r>
      <w:r w:rsidRPr="006C3B66">
        <w:tab/>
      </w:r>
      <w:r w:rsidRPr="006C3B66">
        <w:fldChar w:fldCharType="begin"/>
      </w:r>
      <w:r w:rsidRPr="006C3B66">
        <w:instrText xml:space="preserve"> PAGEREF _Toc342900280 \h </w:instrText>
      </w:r>
      <w:r w:rsidRPr="006C3B66">
        <w:fldChar w:fldCharType="separate"/>
      </w:r>
      <w:r>
        <w:t>62</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Office Multi Language Pack</w:t>
      </w:r>
      <w:r w:rsidRPr="006C3B66">
        <w:tab/>
      </w:r>
      <w:r w:rsidRPr="006C3B66">
        <w:fldChar w:fldCharType="begin"/>
      </w:r>
      <w:r w:rsidRPr="006C3B66">
        <w:instrText xml:space="preserve"> PAGEREF _Toc342900281 \h </w:instrText>
      </w:r>
      <w:r w:rsidRPr="006C3B66">
        <w:fldChar w:fldCharType="separate"/>
      </w:r>
      <w:r>
        <w:t>62</w:t>
      </w:r>
      <w:r w:rsidRPr="006C3B66">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Windows 8 Enterprise</w:t>
      </w:r>
      <w:r w:rsidRPr="006C3B66">
        <w:rPr>
          <w:color w:val="auto"/>
        </w:rPr>
        <w:tab/>
      </w:r>
      <w:r w:rsidRPr="006C3B66">
        <w:rPr>
          <w:color w:val="auto"/>
        </w:rPr>
        <w:fldChar w:fldCharType="begin"/>
      </w:r>
      <w:r w:rsidRPr="006C3B66">
        <w:rPr>
          <w:color w:val="auto"/>
        </w:rPr>
        <w:instrText xml:space="preserve"> PAGEREF _Toc342900282 \h </w:instrText>
      </w:r>
      <w:r w:rsidRPr="006C3B66">
        <w:rPr>
          <w:color w:val="auto"/>
        </w:rPr>
      </w:r>
      <w:r w:rsidRPr="006C3B66">
        <w:rPr>
          <w:color w:val="auto"/>
        </w:rPr>
        <w:fldChar w:fldCharType="separate"/>
      </w:r>
      <w:r>
        <w:rPr>
          <w:color w:val="auto"/>
        </w:rPr>
        <w:t>67</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Windows 8 Enterprise Sideloading</w:t>
      </w:r>
      <w:r w:rsidRPr="006C3B66">
        <w:rPr>
          <w:color w:val="auto"/>
        </w:rPr>
        <w:tab/>
      </w:r>
      <w:r w:rsidRPr="006C3B66">
        <w:rPr>
          <w:color w:val="auto"/>
        </w:rPr>
        <w:fldChar w:fldCharType="begin"/>
      </w:r>
      <w:r w:rsidRPr="006C3B66">
        <w:rPr>
          <w:color w:val="auto"/>
        </w:rPr>
        <w:instrText xml:space="preserve"> PAGEREF _Toc342900283 \h </w:instrText>
      </w:r>
      <w:r w:rsidRPr="006C3B66">
        <w:rPr>
          <w:color w:val="auto"/>
        </w:rPr>
      </w:r>
      <w:r w:rsidRPr="006C3B66">
        <w:rPr>
          <w:color w:val="auto"/>
        </w:rPr>
        <w:fldChar w:fldCharType="separate"/>
      </w:r>
      <w:r>
        <w:rPr>
          <w:color w:val="auto"/>
        </w:rPr>
        <w:t>68</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Licenza “Subscription” per Windows Companion</w:t>
      </w:r>
      <w:r w:rsidRPr="006C3B66">
        <w:rPr>
          <w:color w:val="auto"/>
        </w:rPr>
        <w:tab/>
      </w:r>
      <w:r w:rsidRPr="006C3B66">
        <w:rPr>
          <w:color w:val="auto"/>
        </w:rPr>
        <w:fldChar w:fldCharType="begin"/>
      </w:r>
      <w:r w:rsidRPr="006C3B66">
        <w:rPr>
          <w:color w:val="auto"/>
        </w:rPr>
        <w:instrText xml:space="preserve"> PAGEREF _Toc342900284 \h </w:instrText>
      </w:r>
      <w:r w:rsidRPr="006C3B66">
        <w:rPr>
          <w:color w:val="auto"/>
        </w:rPr>
      </w:r>
      <w:r w:rsidRPr="006C3B66">
        <w:rPr>
          <w:color w:val="auto"/>
        </w:rPr>
        <w:fldChar w:fldCharType="separate"/>
      </w:r>
      <w:r>
        <w:rPr>
          <w:color w:val="auto"/>
        </w:rPr>
        <w:t>68</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Voucher Corsi</w:t>
      </w:r>
      <w:r w:rsidRPr="006C3B66">
        <w:rPr>
          <w:color w:val="auto"/>
        </w:rPr>
        <w:tab/>
      </w:r>
      <w:r w:rsidRPr="006C3B66">
        <w:rPr>
          <w:color w:val="auto"/>
        </w:rPr>
        <w:fldChar w:fldCharType="begin"/>
      </w:r>
      <w:r w:rsidRPr="006C3B66">
        <w:rPr>
          <w:color w:val="auto"/>
        </w:rPr>
        <w:instrText xml:space="preserve"> PAGEREF _Toc342900285 \h </w:instrText>
      </w:r>
      <w:r w:rsidRPr="006C3B66">
        <w:rPr>
          <w:color w:val="auto"/>
        </w:rPr>
      </w:r>
      <w:r w:rsidRPr="006C3B66">
        <w:rPr>
          <w:color w:val="auto"/>
        </w:rPr>
        <w:fldChar w:fldCharType="separate"/>
      </w:r>
      <w:r>
        <w:rPr>
          <w:color w:val="auto"/>
        </w:rPr>
        <w:t>68</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E-Learning</w:t>
      </w:r>
      <w:r w:rsidRPr="006C3B66">
        <w:rPr>
          <w:color w:val="auto"/>
        </w:rPr>
        <w:tab/>
      </w:r>
      <w:r w:rsidRPr="006C3B66">
        <w:rPr>
          <w:color w:val="auto"/>
        </w:rPr>
        <w:fldChar w:fldCharType="begin"/>
      </w:r>
      <w:r w:rsidRPr="006C3B66">
        <w:rPr>
          <w:color w:val="auto"/>
        </w:rPr>
        <w:instrText xml:space="preserve"> PAGEREF _Toc342900286 \h </w:instrText>
      </w:r>
      <w:r w:rsidRPr="006C3B66">
        <w:rPr>
          <w:color w:val="auto"/>
        </w:rPr>
      </w:r>
      <w:r w:rsidRPr="006C3B66">
        <w:rPr>
          <w:color w:val="auto"/>
        </w:rPr>
        <w:fldChar w:fldCharType="separate"/>
      </w:r>
      <w:r>
        <w:rPr>
          <w:color w:val="auto"/>
        </w:rPr>
        <w:t>70</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Home Use Program</w:t>
      </w:r>
      <w:r w:rsidRPr="006C3B66">
        <w:rPr>
          <w:color w:val="auto"/>
        </w:rPr>
        <w:tab/>
      </w:r>
      <w:r w:rsidRPr="006C3B66">
        <w:rPr>
          <w:color w:val="auto"/>
        </w:rPr>
        <w:fldChar w:fldCharType="begin"/>
      </w:r>
      <w:r w:rsidRPr="006C3B66">
        <w:rPr>
          <w:color w:val="auto"/>
        </w:rPr>
        <w:instrText xml:space="preserve"> PAGEREF _Toc342900287 \h </w:instrText>
      </w:r>
      <w:r w:rsidRPr="006C3B66">
        <w:rPr>
          <w:color w:val="auto"/>
        </w:rPr>
      </w:r>
      <w:r w:rsidRPr="006C3B66">
        <w:rPr>
          <w:color w:val="auto"/>
        </w:rPr>
        <w:fldChar w:fldCharType="separate"/>
      </w:r>
      <w:r>
        <w:rPr>
          <w:color w:val="auto"/>
        </w:rPr>
        <w:t>71</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Supporto per la Risoluzione dei Problemi 24x7</w:t>
      </w:r>
      <w:r w:rsidRPr="006C3B66">
        <w:rPr>
          <w:color w:val="auto"/>
        </w:rPr>
        <w:tab/>
      </w:r>
      <w:r w:rsidRPr="006C3B66">
        <w:rPr>
          <w:color w:val="auto"/>
        </w:rPr>
        <w:fldChar w:fldCharType="begin"/>
      </w:r>
      <w:r w:rsidRPr="006C3B66">
        <w:rPr>
          <w:color w:val="auto"/>
        </w:rPr>
        <w:instrText xml:space="preserve"> PAGEREF _Toc342900288 \h </w:instrText>
      </w:r>
      <w:r w:rsidRPr="006C3B66">
        <w:rPr>
          <w:color w:val="auto"/>
        </w:rPr>
      </w:r>
      <w:r w:rsidRPr="006C3B66">
        <w:rPr>
          <w:color w:val="auto"/>
        </w:rPr>
        <w:fldChar w:fldCharType="separate"/>
      </w:r>
      <w:r>
        <w:rPr>
          <w:color w:val="auto"/>
        </w:rPr>
        <w:t>73</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Supporto Illimitato per la Risoluzione dei Problemi 24x7</w:t>
      </w:r>
      <w:r w:rsidRPr="006C3B66">
        <w:rPr>
          <w:color w:val="auto"/>
        </w:rPr>
        <w:tab/>
      </w:r>
      <w:r w:rsidRPr="006C3B66">
        <w:rPr>
          <w:color w:val="auto"/>
        </w:rPr>
        <w:fldChar w:fldCharType="begin"/>
      </w:r>
      <w:r w:rsidRPr="006C3B66">
        <w:rPr>
          <w:color w:val="auto"/>
        </w:rPr>
        <w:instrText xml:space="preserve"> PAGEREF _Toc342900289 \h </w:instrText>
      </w:r>
      <w:r w:rsidRPr="006C3B66">
        <w:rPr>
          <w:color w:val="auto"/>
        </w:rPr>
      </w:r>
      <w:r w:rsidRPr="006C3B66">
        <w:rPr>
          <w:color w:val="auto"/>
        </w:rPr>
        <w:fldChar w:fldCharType="separate"/>
      </w:r>
      <w:r>
        <w:rPr>
          <w:color w:val="auto"/>
        </w:rPr>
        <w:t>78</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System Center Advisor</w:t>
      </w:r>
      <w:r w:rsidRPr="006C3B66">
        <w:rPr>
          <w:color w:val="auto"/>
        </w:rPr>
        <w:tab/>
      </w:r>
      <w:r w:rsidRPr="006C3B66">
        <w:rPr>
          <w:color w:val="auto"/>
        </w:rPr>
        <w:fldChar w:fldCharType="begin"/>
      </w:r>
      <w:r w:rsidRPr="006C3B66">
        <w:rPr>
          <w:color w:val="auto"/>
        </w:rPr>
        <w:instrText xml:space="preserve"> PAGEREF _Toc342900290 \h </w:instrText>
      </w:r>
      <w:r w:rsidRPr="006C3B66">
        <w:rPr>
          <w:color w:val="auto"/>
        </w:rPr>
      </w:r>
      <w:r w:rsidRPr="006C3B66">
        <w:rPr>
          <w:color w:val="auto"/>
        </w:rPr>
        <w:fldChar w:fldCharType="separate"/>
      </w:r>
      <w:r>
        <w:rPr>
          <w:color w:val="auto"/>
        </w:rPr>
        <w:t>80</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Back-up per Ripristino di Emergenza “a Freddo”</w:t>
      </w:r>
      <w:r w:rsidRPr="006C3B66">
        <w:rPr>
          <w:color w:val="auto"/>
        </w:rPr>
        <w:tab/>
      </w:r>
      <w:r w:rsidRPr="006C3B66">
        <w:rPr>
          <w:color w:val="auto"/>
        </w:rPr>
        <w:fldChar w:fldCharType="begin"/>
      </w:r>
      <w:r w:rsidRPr="006C3B66">
        <w:rPr>
          <w:color w:val="auto"/>
        </w:rPr>
        <w:instrText xml:space="preserve"> PAGEREF _Toc342900291 \h </w:instrText>
      </w:r>
      <w:r w:rsidRPr="006C3B66">
        <w:rPr>
          <w:color w:val="auto"/>
        </w:rPr>
      </w:r>
      <w:r w:rsidRPr="006C3B66">
        <w:rPr>
          <w:color w:val="auto"/>
        </w:rPr>
        <w:fldChar w:fldCharType="separate"/>
      </w:r>
      <w:r>
        <w:rPr>
          <w:color w:val="auto"/>
        </w:rPr>
        <w:t>82</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Servizi in Abbonamento TechNet SA</w:t>
      </w:r>
      <w:r w:rsidRPr="006C3B66">
        <w:rPr>
          <w:color w:val="auto"/>
        </w:rPr>
        <w:tab/>
      </w:r>
      <w:r w:rsidRPr="006C3B66">
        <w:rPr>
          <w:color w:val="auto"/>
        </w:rPr>
        <w:fldChar w:fldCharType="begin"/>
      </w:r>
      <w:r w:rsidRPr="006C3B66">
        <w:rPr>
          <w:color w:val="auto"/>
        </w:rPr>
        <w:instrText xml:space="preserve"> PAGEREF _Toc342900292 \h </w:instrText>
      </w:r>
      <w:r w:rsidRPr="006C3B66">
        <w:rPr>
          <w:color w:val="auto"/>
        </w:rPr>
      </w:r>
      <w:r w:rsidRPr="006C3B66">
        <w:rPr>
          <w:color w:val="auto"/>
        </w:rPr>
        <w:fldChar w:fldCharType="separate"/>
      </w:r>
      <w:r>
        <w:rPr>
          <w:color w:val="auto"/>
        </w:rPr>
        <w:t>82</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TechNet Plus Direct</w:t>
      </w:r>
      <w:r w:rsidRPr="006C3B66">
        <w:rPr>
          <w:color w:val="auto"/>
        </w:rPr>
        <w:tab/>
      </w:r>
      <w:r w:rsidRPr="006C3B66">
        <w:rPr>
          <w:color w:val="auto"/>
        </w:rPr>
        <w:fldChar w:fldCharType="begin"/>
      </w:r>
      <w:r w:rsidRPr="006C3B66">
        <w:rPr>
          <w:color w:val="auto"/>
        </w:rPr>
        <w:instrText xml:space="preserve"> PAGEREF _Toc342900293 \h </w:instrText>
      </w:r>
      <w:r w:rsidRPr="006C3B66">
        <w:rPr>
          <w:color w:val="auto"/>
        </w:rPr>
      </w:r>
      <w:r w:rsidRPr="006C3B66">
        <w:rPr>
          <w:color w:val="auto"/>
        </w:rPr>
        <w:fldChar w:fldCharType="separate"/>
      </w:r>
      <w:r>
        <w:rPr>
          <w:color w:val="auto"/>
        </w:rPr>
        <w:t>83</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Mobilità delle Licenze tramite Software Assurance</w:t>
      </w:r>
      <w:r w:rsidRPr="006C3B66">
        <w:rPr>
          <w:color w:val="auto"/>
        </w:rPr>
        <w:tab/>
      </w:r>
      <w:r w:rsidRPr="006C3B66">
        <w:rPr>
          <w:color w:val="auto"/>
        </w:rPr>
        <w:fldChar w:fldCharType="begin"/>
      </w:r>
      <w:r w:rsidRPr="006C3B66">
        <w:rPr>
          <w:color w:val="auto"/>
        </w:rPr>
        <w:instrText xml:space="preserve"> PAGEREF _Toc342900294 \h </w:instrText>
      </w:r>
      <w:r w:rsidRPr="006C3B66">
        <w:rPr>
          <w:color w:val="auto"/>
        </w:rPr>
      </w:r>
      <w:r w:rsidRPr="006C3B66">
        <w:rPr>
          <w:color w:val="auto"/>
        </w:rPr>
        <w:fldChar w:fldCharType="separate"/>
      </w:r>
      <w:r>
        <w:rPr>
          <w:color w:val="auto"/>
        </w:rPr>
        <w:t>83</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Windows Thin PC</w:t>
      </w:r>
      <w:r w:rsidRPr="006C3B66">
        <w:rPr>
          <w:color w:val="auto"/>
        </w:rPr>
        <w:tab/>
      </w:r>
      <w:r w:rsidRPr="006C3B66">
        <w:rPr>
          <w:color w:val="auto"/>
        </w:rPr>
        <w:fldChar w:fldCharType="begin"/>
      </w:r>
      <w:r w:rsidRPr="006C3B66">
        <w:rPr>
          <w:color w:val="auto"/>
        </w:rPr>
        <w:instrText xml:space="preserve"> PAGEREF _Toc342900295 \h </w:instrText>
      </w:r>
      <w:r w:rsidRPr="006C3B66">
        <w:rPr>
          <w:color w:val="auto"/>
        </w:rPr>
      </w:r>
      <w:r w:rsidRPr="006C3B66">
        <w:rPr>
          <w:color w:val="auto"/>
        </w:rPr>
        <w:fldChar w:fldCharType="separate"/>
      </w:r>
      <w:r>
        <w:rPr>
          <w:color w:val="auto"/>
        </w:rPr>
        <w:t>84</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Microsoft Desktop Optimization Pack per Software Assurance</w:t>
      </w:r>
      <w:r w:rsidRPr="006C3B66">
        <w:rPr>
          <w:color w:val="auto"/>
        </w:rPr>
        <w:tab/>
      </w:r>
      <w:r w:rsidRPr="006C3B66">
        <w:rPr>
          <w:color w:val="auto"/>
        </w:rPr>
        <w:fldChar w:fldCharType="begin"/>
      </w:r>
      <w:r w:rsidRPr="006C3B66">
        <w:rPr>
          <w:color w:val="auto"/>
        </w:rPr>
        <w:instrText xml:space="preserve"> PAGEREF _Toc342900296 \h </w:instrText>
      </w:r>
      <w:r w:rsidRPr="006C3B66">
        <w:rPr>
          <w:color w:val="auto"/>
        </w:rPr>
      </w:r>
      <w:r w:rsidRPr="006C3B66">
        <w:rPr>
          <w:color w:val="auto"/>
        </w:rPr>
        <w:fldChar w:fldCharType="separate"/>
      </w:r>
      <w:r>
        <w:rPr>
          <w:color w:val="auto"/>
        </w:rPr>
        <w:t>85</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Diritti per Windows Virtual Desktop Access (VDA)</w:t>
      </w:r>
      <w:r w:rsidRPr="006C3B66">
        <w:rPr>
          <w:color w:val="auto"/>
        </w:rPr>
        <w:tab/>
      </w:r>
      <w:r w:rsidRPr="006C3B66">
        <w:rPr>
          <w:color w:val="auto"/>
        </w:rPr>
        <w:fldChar w:fldCharType="begin"/>
      </w:r>
      <w:r w:rsidRPr="006C3B66">
        <w:rPr>
          <w:color w:val="auto"/>
        </w:rPr>
        <w:instrText xml:space="preserve"> PAGEREF _Toc342900297 \h </w:instrText>
      </w:r>
      <w:r w:rsidRPr="006C3B66">
        <w:rPr>
          <w:color w:val="auto"/>
        </w:rPr>
      </w:r>
      <w:r w:rsidRPr="006C3B66">
        <w:rPr>
          <w:color w:val="auto"/>
        </w:rPr>
        <w:fldChar w:fldCharType="separate"/>
      </w:r>
      <w:r>
        <w:rPr>
          <w:color w:val="auto"/>
        </w:rPr>
        <w:t>85</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D</w:t>
      </w:r>
      <w:r>
        <w:rPr>
          <w:color w:val="auto"/>
          <w:lang w:val="it-IT"/>
        </w:rPr>
        <w:t>isponibilità di Licenze Step-Up</w:t>
      </w:r>
      <w:r w:rsidRPr="006C3B66">
        <w:rPr>
          <w:color w:val="auto"/>
        </w:rPr>
        <w:tab/>
      </w:r>
      <w:r w:rsidRPr="006C3B66">
        <w:rPr>
          <w:color w:val="auto"/>
        </w:rPr>
        <w:fldChar w:fldCharType="begin"/>
      </w:r>
      <w:r w:rsidRPr="006C3B66">
        <w:rPr>
          <w:color w:val="auto"/>
        </w:rPr>
        <w:instrText xml:space="preserve"> PAGEREF _Toc342900298 \h </w:instrText>
      </w:r>
      <w:r w:rsidRPr="006C3B66">
        <w:rPr>
          <w:color w:val="auto"/>
        </w:rPr>
      </w:r>
      <w:r w:rsidRPr="006C3B66">
        <w:rPr>
          <w:color w:val="auto"/>
        </w:rPr>
        <w:fldChar w:fldCharType="separate"/>
      </w:r>
      <w:r>
        <w:rPr>
          <w:color w:val="auto"/>
        </w:rPr>
        <w:t>85</w:t>
      </w:r>
      <w:r w:rsidRPr="006C3B66">
        <w:rPr>
          <w:color w:val="auto"/>
        </w:rPr>
        <w:fldChar w:fldCharType="end"/>
      </w:r>
    </w:p>
    <w:p w:rsidR="00A92422" w:rsidRPr="006C3B66" w:rsidRDefault="00A92422" w:rsidP="00A92422">
      <w:pPr>
        <w:pStyle w:val="TOC1"/>
        <w:rPr>
          <w:rFonts w:asciiTheme="minorHAnsi" w:eastAsiaTheme="minorEastAsia" w:hAnsiTheme="minorHAnsi" w:cstheme="minorBidi"/>
          <w:b w:val="0"/>
          <w:caps w:val="0"/>
          <w:color w:val="auto"/>
          <w:szCs w:val="22"/>
        </w:rPr>
      </w:pPr>
      <w:r w:rsidRPr="006C3B66">
        <w:rPr>
          <w:color w:val="auto"/>
        </w:rPr>
        <w:t>ARTICOLO 8 – Servizi</w:t>
      </w:r>
      <w:r w:rsidRPr="006C3B66">
        <w:rPr>
          <w:color w:val="auto"/>
        </w:rPr>
        <w:tab/>
      </w:r>
      <w:r w:rsidRPr="006C3B66">
        <w:rPr>
          <w:color w:val="auto"/>
        </w:rPr>
        <w:fldChar w:fldCharType="begin"/>
      </w:r>
      <w:r w:rsidRPr="006C3B66">
        <w:rPr>
          <w:color w:val="auto"/>
        </w:rPr>
        <w:instrText xml:space="preserve"> PAGEREF _Toc342900299 \h </w:instrText>
      </w:r>
      <w:r w:rsidRPr="006C3B66">
        <w:rPr>
          <w:color w:val="auto"/>
        </w:rPr>
      </w:r>
      <w:r w:rsidRPr="006C3B66">
        <w:rPr>
          <w:color w:val="auto"/>
        </w:rPr>
        <w:fldChar w:fldCharType="separate"/>
      </w:r>
      <w:r>
        <w:rPr>
          <w:color w:val="auto"/>
        </w:rPr>
        <w:t>87</w:t>
      </w:r>
      <w:r w:rsidRPr="006C3B66">
        <w:rPr>
          <w:color w:val="auto"/>
        </w:rPr>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Diritti sull’utilizzo, di titolarità e di licenza.</w:t>
      </w:r>
      <w:r w:rsidRPr="006C3B66">
        <w:tab/>
      </w:r>
      <w:r w:rsidRPr="006C3B66">
        <w:fldChar w:fldCharType="begin"/>
      </w:r>
      <w:r w:rsidRPr="006C3B66">
        <w:instrText xml:space="preserve"> PAGEREF _Toc342900300 \h </w:instrText>
      </w:r>
      <w:r w:rsidRPr="006C3B66">
        <w:fldChar w:fldCharType="separate"/>
      </w:r>
      <w:r>
        <w:t>94</w:t>
      </w:r>
      <w:r w:rsidRPr="006C3B66">
        <w:fldChar w:fldCharType="end"/>
      </w:r>
    </w:p>
    <w:p w:rsidR="00A92422" w:rsidRPr="006C3B66" w:rsidRDefault="00A92422" w:rsidP="00A92422">
      <w:pPr>
        <w:pStyle w:val="TOC1"/>
        <w:rPr>
          <w:color w:val="auto"/>
        </w:rPr>
      </w:pPr>
    </w:p>
    <w:p w:rsidR="00A92422" w:rsidRPr="006C3B66" w:rsidRDefault="00A92422" w:rsidP="00A92422">
      <w:pPr>
        <w:pStyle w:val="TOC1"/>
        <w:rPr>
          <w:rFonts w:asciiTheme="minorHAnsi" w:eastAsiaTheme="minorEastAsia" w:hAnsiTheme="minorHAnsi" w:cstheme="minorBidi"/>
          <w:b w:val="0"/>
          <w:caps w:val="0"/>
          <w:color w:val="auto"/>
          <w:szCs w:val="22"/>
        </w:rPr>
      </w:pPr>
      <w:r w:rsidRPr="006C3B66">
        <w:rPr>
          <w:color w:val="auto"/>
        </w:rPr>
        <w:lastRenderedPageBreak/>
        <w:t>ARTICOLO 9 – Condizioni Aggiuntive</w:t>
      </w:r>
      <w:r w:rsidRPr="006C3B66">
        <w:rPr>
          <w:color w:val="auto"/>
        </w:rPr>
        <w:tab/>
      </w:r>
      <w:r w:rsidRPr="006C3B66">
        <w:rPr>
          <w:color w:val="auto"/>
        </w:rPr>
        <w:fldChar w:fldCharType="begin"/>
      </w:r>
      <w:r w:rsidRPr="006C3B66">
        <w:rPr>
          <w:color w:val="auto"/>
        </w:rPr>
        <w:instrText xml:space="preserve"> PAGEREF _Toc342900301 \h </w:instrText>
      </w:r>
      <w:r w:rsidRPr="006C3B66">
        <w:rPr>
          <w:color w:val="auto"/>
        </w:rPr>
      </w:r>
      <w:r w:rsidRPr="006C3B66">
        <w:rPr>
          <w:color w:val="auto"/>
        </w:rPr>
        <w:fldChar w:fldCharType="separate"/>
      </w:r>
      <w:r>
        <w:rPr>
          <w:color w:val="auto"/>
        </w:rPr>
        <w:t>97</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Client Access Licenses (CAL) e Licenze di Gestione Client (ML)</w:t>
      </w:r>
      <w:r w:rsidRPr="006C3B66">
        <w:rPr>
          <w:color w:val="auto"/>
        </w:rPr>
        <w:tab/>
      </w:r>
      <w:r w:rsidRPr="006C3B66">
        <w:rPr>
          <w:color w:val="auto"/>
        </w:rPr>
        <w:fldChar w:fldCharType="begin"/>
      </w:r>
      <w:r w:rsidRPr="006C3B66">
        <w:rPr>
          <w:color w:val="auto"/>
        </w:rPr>
        <w:instrText xml:space="preserve"> PAGEREF _Toc342900302 \h </w:instrText>
      </w:r>
      <w:r w:rsidRPr="006C3B66">
        <w:rPr>
          <w:color w:val="auto"/>
        </w:rPr>
      </w:r>
      <w:r w:rsidRPr="006C3B66">
        <w:rPr>
          <w:color w:val="auto"/>
        </w:rPr>
        <w:fldChar w:fldCharType="separate"/>
      </w:r>
      <w:r>
        <w:rPr>
          <w:color w:val="auto"/>
        </w:rPr>
        <w:t>97</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Limitazioni dei Controlli EI</w:t>
      </w:r>
      <w:r w:rsidRPr="006C3B66">
        <w:rPr>
          <w:color w:val="auto"/>
        </w:rPr>
        <w:tab/>
      </w:r>
      <w:r w:rsidRPr="006C3B66">
        <w:rPr>
          <w:color w:val="auto"/>
        </w:rPr>
        <w:fldChar w:fldCharType="begin"/>
      </w:r>
      <w:r w:rsidRPr="006C3B66">
        <w:rPr>
          <w:color w:val="auto"/>
        </w:rPr>
        <w:instrText xml:space="preserve"> PAGEREF _Toc342900303 \h </w:instrText>
      </w:r>
      <w:r w:rsidRPr="006C3B66">
        <w:rPr>
          <w:color w:val="auto"/>
        </w:rPr>
      </w:r>
      <w:r w:rsidRPr="006C3B66">
        <w:rPr>
          <w:color w:val="auto"/>
        </w:rPr>
        <w:fldChar w:fldCharType="separate"/>
      </w:r>
      <w:r>
        <w:rPr>
          <w:color w:val="auto"/>
        </w:rPr>
        <w:t>97</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lang w:val="it-IT"/>
        </w:rPr>
        <w:t>Multilanguage Pack (MLP), Funzionalità Multilanguage User Interface (MUI) e Nuovi Diritti sulle Lingue</w:t>
      </w:r>
      <w:r w:rsidRPr="006C3B66">
        <w:rPr>
          <w:color w:val="auto"/>
        </w:rPr>
        <w:tab/>
      </w:r>
      <w:r w:rsidRPr="006C3B66">
        <w:rPr>
          <w:color w:val="auto"/>
        </w:rPr>
        <w:fldChar w:fldCharType="begin"/>
      </w:r>
      <w:r w:rsidRPr="006C3B66">
        <w:rPr>
          <w:color w:val="auto"/>
        </w:rPr>
        <w:instrText xml:space="preserve"> PAGEREF _Toc342900304 \h </w:instrText>
      </w:r>
      <w:r w:rsidRPr="006C3B66">
        <w:rPr>
          <w:color w:val="auto"/>
        </w:rPr>
      </w:r>
      <w:r w:rsidRPr="006C3B66">
        <w:rPr>
          <w:color w:val="auto"/>
        </w:rPr>
        <w:fldChar w:fldCharType="separate"/>
      </w:r>
      <w:r>
        <w:rPr>
          <w:color w:val="auto"/>
        </w:rPr>
        <w:t>98</w:t>
      </w:r>
      <w:r w:rsidRPr="006C3B66">
        <w:rPr>
          <w:color w:val="auto"/>
        </w:rPr>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Licenze Indipendenti dalla Piattaforma</w:t>
      </w:r>
      <w:r w:rsidRPr="006C3B66">
        <w:tab/>
      </w:r>
      <w:r w:rsidRPr="006C3B66">
        <w:fldChar w:fldCharType="begin"/>
      </w:r>
      <w:r w:rsidRPr="006C3B66">
        <w:instrText xml:space="preserve"> PAGEREF _Toc342900305 \h </w:instrText>
      </w:r>
      <w:r w:rsidRPr="006C3B66">
        <w:fldChar w:fldCharType="separate"/>
      </w:r>
      <w:r>
        <w:t>98</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Codice “Product Key” per Volume Licensing</w:t>
      </w:r>
      <w:r w:rsidRPr="006C3B66">
        <w:tab/>
      </w:r>
      <w:r w:rsidRPr="006C3B66">
        <w:fldChar w:fldCharType="begin"/>
      </w:r>
      <w:r w:rsidRPr="006C3B66">
        <w:instrText xml:space="preserve"> PAGEREF _Toc342900306 \h </w:instrText>
      </w:r>
      <w:r w:rsidRPr="006C3B66">
        <w:fldChar w:fldCharType="separate"/>
      </w:r>
      <w:r>
        <w:t>99</w:t>
      </w:r>
      <w:r w:rsidRPr="006C3B66">
        <w:fldChar w:fldCharType="end"/>
      </w:r>
    </w:p>
    <w:p w:rsidR="00A92422" w:rsidRPr="006C3B66" w:rsidRDefault="00A92422" w:rsidP="00A92422">
      <w:pPr>
        <w:pStyle w:val="TOC1"/>
        <w:rPr>
          <w:rFonts w:asciiTheme="minorHAnsi" w:eastAsiaTheme="minorEastAsia" w:hAnsiTheme="minorHAnsi" w:cstheme="minorBidi"/>
          <w:b w:val="0"/>
          <w:caps w:val="0"/>
          <w:color w:val="auto"/>
          <w:szCs w:val="22"/>
        </w:rPr>
      </w:pPr>
      <w:r w:rsidRPr="006C3B66">
        <w:rPr>
          <w:color w:val="auto"/>
        </w:rPr>
        <w:t>NOTE del Prodotto</w:t>
      </w:r>
      <w:r w:rsidRPr="006C3B66">
        <w:rPr>
          <w:color w:val="auto"/>
        </w:rPr>
        <w:tab/>
      </w:r>
      <w:r w:rsidRPr="006C3B66">
        <w:rPr>
          <w:color w:val="auto"/>
        </w:rPr>
        <w:fldChar w:fldCharType="begin"/>
      </w:r>
      <w:r w:rsidRPr="006C3B66">
        <w:rPr>
          <w:color w:val="auto"/>
        </w:rPr>
        <w:instrText xml:space="preserve"> PAGEREF _Toc342900307 \h </w:instrText>
      </w:r>
      <w:r w:rsidRPr="006C3B66">
        <w:rPr>
          <w:color w:val="auto"/>
        </w:rPr>
      </w:r>
      <w:r w:rsidRPr="006C3B66">
        <w:rPr>
          <w:color w:val="auto"/>
        </w:rPr>
        <w:fldChar w:fldCharType="separate"/>
      </w:r>
      <w:r>
        <w:rPr>
          <w:color w:val="auto"/>
        </w:rPr>
        <w:t>100</w:t>
      </w:r>
      <w:r w:rsidRPr="006C3B66">
        <w:rPr>
          <w:color w:val="auto"/>
        </w:rPr>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Pool di Applicazioni</w:t>
      </w:r>
      <w:r w:rsidRPr="006C3B66">
        <w:tab/>
      </w:r>
      <w:r w:rsidRPr="006C3B66">
        <w:fldChar w:fldCharType="begin"/>
      </w:r>
      <w:r w:rsidRPr="006C3B66">
        <w:instrText xml:space="preserve"> PAGEREF _Toc342900308 \h </w:instrText>
      </w:r>
      <w:r w:rsidRPr="006C3B66">
        <w:fldChar w:fldCharType="separate"/>
      </w:r>
      <w:r>
        <w:t>100</w:t>
      </w:r>
      <w:r w:rsidRPr="006C3B66">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1</w:t>
      </w:r>
      <w:r w:rsidRPr="006C3B66">
        <w:rPr>
          <w:color w:val="auto"/>
          <w:lang w:val="it-IT"/>
        </w:rPr>
        <w:t xml:space="preserve"> Bing Maps Desktop con Enhanced Content Pack</w:t>
      </w:r>
      <w:r w:rsidRPr="006C3B66">
        <w:rPr>
          <w:color w:val="auto"/>
        </w:rPr>
        <w:tab/>
      </w:r>
      <w:r w:rsidRPr="006C3B66">
        <w:rPr>
          <w:color w:val="auto"/>
        </w:rPr>
        <w:fldChar w:fldCharType="begin"/>
      </w:r>
      <w:r w:rsidRPr="006C3B66">
        <w:rPr>
          <w:color w:val="auto"/>
        </w:rPr>
        <w:instrText xml:space="preserve"> PAGEREF _Toc342900309 \h </w:instrText>
      </w:r>
      <w:r w:rsidRPr="006C3B66">
        <w:rPr>
          <w:color w:val="auto"/>
        </w:rPr>
      </w:r>
      <w:r w:rsidRPr="006C3B66">
        <w:rPr>
          <w:color w:val="auto"/>
        </w:rPr>
        <w:fldChar w:fldCharType="separate"/>
      </w:r>
      <w:r>
        <w:rPr>
          <w:color w:val="auto"/>
        </w:rPr>
        <w:t>100</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2</w:t>
      </w:r>
      <w:r w:rsidRPr="006C3B66">
        <w:rPr>
          <w:color w:val="auto"/>
          <w:lang w:val="it-IT"/>
        </w:rPr>
        <w:t xml:space="preserve"> Expression Studio Web Professional 4, Expression Studio Ultimate 4, Expression Encoder Pro 4</w:t>
      </w:r>
      <w:r w:rsidRPr="006C3B66">
        <w:rPr>
          <w:color w:val="auto"/>
        </w:rPr>
        <w:tab/>
      </w:r>
      <w:r w:rsidRPr="006C3B66">
        <w:rPr>
          <w:color w:val="auto"/>
        </w:rPr>
        <w:fldChar w:fldCharType="begin"/>
      </w:r>
      <w:r w:rsidRPr="006C3B66">
        <w:rPr>
          <w:color w:val="auto"/>
        </w:rPr>
        <w:instrText xml:space="preserve"> PAGEREF _Toc342900310 \h </w:instrText>
      </w:r>
      <w:r w:rsidRPr="006C3B66">
        <w:rPr>
          <w:color w:val="auto"/>
        </w:rPr>
      </w:r>
      <w:r w:rsidRPr="006C3B66">
        <w:rPr>
          <w:color w:val="auto"/>
        </w:rPr>
        <w:fldChar w:fldCharType="separate"/>
      </w:r>
      <w:r>
        <w:rPr>
          <w:color w:val="auto"/>
        </w:rPr>
        <w:t>100</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 xml:space="preserve">3 </w:t>
      </w:r>
      <w:r w:rsidRPr="006C3B66">
        <w:rPr>
          <w:color w:val="auto"/>
          <w:lang w:val="it-IT"/>
        </w:rPr>
        <w:t>Lync per Mac 2011</w:t>
      </w:r>
      <w:r w:rsidRPr="006C3B66">
        <w:rPr>
          <w:color w:val="auto"/>
        </w:rPr>
        <w:tab/>
      </w:r>
      <w:r w:rsidRPr="006C3B66">
        <w:rPr>
          <w:color w:val="auto"/>
        </w:rPr>
        <w:fldChar w:fldCharType="begin"/>
      </w:r>
      <w:r w:rsidRPr="006C3B66">
        <w:rPr>
          <w:color w:val="auto"/>
        </w:rPr>
        <w:instrText xml:space="preserve"> PAGEREF _Toc342900311 \h </w:instrText>
      </w:r>
      <w:r w:rsidRPr="006C3B66">
        <w:rPr>
          <w:color w:val="auto"/>
        </w:rPr>
      </w:r>
      <w:r w:rsidRPr="006C3B66">
        <w:rPr>
          <w:color w:val="auto"/>
        </w:rPr>
        <w:fldChar w:fldCharType="separate"/>
      </w:r>
      <w:r>
        <w:rPr>
          <w:color w:val="auto"/>
        </w:rPr>
        <w:t>101</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4</w:t>
      </w:r>
      <w:r w:rsidRPr="006C3B66">
        <w:rPr>
          <w:color w:val="auto"/>
          <w:lang w:val="it-IT"/>
        </w:rPr>
        <w:t xml:space="preserve"> Sistemi Operativi MSDN</w:t>
      </w:r>
      <w:r w:rsidRPr="006C3B66">
        <w:rPr>
          <w:color w:val="auto"/>
        </w:rPr>
        <w:tab/>
      </w:r>
      <w:r w:rsidRPr="006C3B66">
        <w:rPr>
          <w:color w:val="auto"/>
        </w:rPr>
        <w:fldChar w:fldCharType="begin"/>
      </w:r>
      <w:r w:rsidRPr="006C3B66">
        <w:rPr>
          <w:color w:val="auto"/>
        </w:rPr>
        <w:instrText xml:space="preserve"> PAGEREF _Toc342900312 \h </w:instrText>
      </w:r>
      <w:r w:rsidRPr="006C3B66">
        <w:rPr>
          <w:color w:val="auto"/>
        </w:rPr>
      </w:r>
      <w:r w:rsidRPr="006C3B66">
        <w:rPr>
          <w:color w:val="auto"/>
        </w:rPr>
        <w:fldChar w:fldCharType="separate"/>
      </w:r>
      <w:r>
        <w:rPr>
          <w:color w:val="auto"/>
        </w:rPr>
        <w:t>101</w:t>
      </w:r>
      <w:r w:rsidRPr="006C3B66">
        <w:rPr>
          <w:color w:val="auto"/>
        </w:rPr>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caps/>
          <w:vertAlign w:val="superscript"/>
          <w:lang w:val="it-IT"/>
        </w:rPr>
        <w:t>5</w:t>
      </w:r>
      <w:r w:rsidRPr="006C3B66">
        <w:rPr>
          <w:rFonts w:cs="Tahoma"/>
          <w:lang w:val="it-IT"/>
        </w:rPr>
        <w:t xml:space="preserve"> Office 365 Piani A2-A4 (SL per Utente)</w:t>
      </w:r>
      <w:r w:rsidRPr="006C3B66">
        <w:tab/>
      </w:r>
      <w:r w:rsidRPr="006C3B66">
        <w:fldChar w:fldCharType="begin"/>
      </w:r>
      <w:r w:rsidRPr="006C3B66">
        <w:instrText xml:space="preserve"> PAGEREF _Toc342900313 \h </w:instrText>
      </w:r>
      <w:r w:rsidRPr="006C3B66">
        <w:fldChar w:fldCharType="separate"/>
      </w:r>
      <w:r>
        <w:t>102</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caps/>
          <w:vertAlign w:val="superscript"/>
          <w:lang w:val="it-IT"/>
        </w:rPr>
        <w:t>6</w:t>
      </w:r>
      <w:r w:rsidRPr="006C3B66">
        <w:rPr>
          <w:rFonts w:cs="Tahoma"/>
          <w:lang w:val="it-IT"/>
        </w:rPr>
        <w:t xml:space="preserve"> Office 365 Piano E2-E4</w:t>
      </w:r>
      <w:r w:rsidRPr="006C3B66">
        <w:tab/>
      </w:r>
      <w:r w:rsidRPr="006C3B66">
        <w:fldChar w:fldCharType="begin"/>
      </w:r>
      <w:r w:rsidRPr="006C3B66">
        <w:instrText xml:space="preserve"> PAGEREF _Toc342900314 \h </w:instrText>
      </w:r>
      <w:r w:rsidRPr="006C3B66">
        <w:fldChar w:fldCharType="separate"/>
      </w:r>
      <w:r>
        <w:t>103</w:t>
      </w:r>
      <w:r w:rsidRPr="006C3B66">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 xml:space="preserve">7 </w:t>
      </w:r>
      <w:r w:rsidRPr="006C3B66">
        <w:rPr>
          <w:color w:val="auto"/>
          <w:lang w:val="it-IT"/>
        </w:rPr>
        <w:t>Office per Mac Standard 2011</w:t>
      </w:r>
      <w:r w:rsidRPr="006C3B66">
        <w:rPr>
          <w:color w:val="auto"/>
        </w:rPr>
        <w:tab/>
      </w:r>
      <w:r w:rsidRPr="006C3B66">
        <w:rPr>
          <w:color w:val="auto"/>
        </w:rPr>
        <w:fldChar w:fldCharType="begin"/>
      </w:r>
      <w:r w:rsidRPr="006C3B66">
        <w:rPr>
          <w:color w:val="auto"/>
        </w:rPr>
        <w:instrText xml:space="preserve"> PAGEREF _Toc342900315 \h </w:instrText>
      </w:r>
      <w:r w:rsidRPr="006C3B66">
        <w:rPr>
          <w:color w:val="auto"/>
        </w:rPr>
      </w:r>
      <w:r w:rsidRPr="006C3B66">
        <w:rPr>
          <w:color w:val="auto"/>
        </w:rPr>
        <w:fldChar w:fldCharType="separate"/>
      </w:r>
      <w:r>
        <w:rPr>
          <w:color w:val="auto"/>
        </w:rPr>
        <w:t>103</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8</w:t>
      </w:r>
      <w:r w:rsidRPr="006C3B66">
        <w:rPr>
          <w:color w:val="auto"/>
          <w:lang w:val="it-IT"/>
        </w:rPr>
        <w:t xml:space="preserve"> Office Multi-Language Pack 2013</w:t>
      </w:r>
      <w:r w:rsidRPr="006C3B66">
        <w:rPr>
          <w:color w:val="auto"/>
        </w:rPr>
        <w:tab/>
      </w:r>
      <w:r w:rsidRPr="006C3B66">
        <w:rPr>
          <w:color w:val="auto"/>
        </w:rPr>
        <w:fldChar w:fldCharType="begin"/>
      </w:r>
      <w:r w:rsidRPr="006C3B66">
        <w:rPr>
          <w:color w:val="auto"/>
        </w:rPr>
        <w:instrText xml:space="preserve"> PAGEREF _Toc342900316 \h </w:instrText>
      </w:r>
      <w:r w:rsidRPr="006C3B66">
        <w:rPr>
          <w:color w:val="auto"/>
        </w:rPr>
      </w:r>
      <w:r w:rsidRPr="006C3B66">
        <w:rPr>
          <w:color w:val="auto"/>
        </w:rPr>
        <w:fldChar w:fldCharType="separate"/>
      </w:r>
      <w:r>
        <w:rPr>
          <w:color w:val="auto"/>
        </w:rPr>
        <w:t>104</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9</w:t>
      </w:r>
      <w:r w:rsidRPr="006C3B66">
        <w:rPr>
          <w:color w:val="auto"/>
          <w:lang w:val="it-IT"/>
        </w:rPr>
        <w:t xml:space="preserve"> Office Professional Plus 2013</w:t>
      </w:r>
      <w:r w:rsidRPr="006C3B66">
        <w:rPr>
          <w:color w:val="auto"/>
        </w:rPr>
        <w:tab/>
      </w:r>
      <w:r w:rsidRPr="006C3B66">
        <w:rPr>
          <w:color w:val="auto"/>
        </w:rPr>
        <w:fldChar w:fldCharType="begin"/>
      </w:r>
      <w:r w:rsidRPr="006C3B66">
        <w:rPr>
          <w:color w:val="auto"/>
        </w:rPr>
        <w:instrText xml:space="preserve"> PAGEREF _Toc342900317 \h </w:instrText>
      </w:r>
      <w:r w:rsidRPr="006C3B66">
        <w:rPr>
          <w:color w:val="auto"/>
        </w:rPr>
      </w:r>
      <w:r w:rsidRPr="006C3B66">
        <w:rPr>
          <w:color w:val="auto"/>
        </w:rPr>
        <w:fldChar w:fldCharType="separate"/>
      </w:r>
      <w:r>
        <w:rPr>
          <w:color w:val="auto"/>
        </w:rPr>
        <w:t>104</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10</w:t>
      </w:r>
      <w:r w:rsidRPr="006C3B66">
        <w:rPr>
          <w:color w:val="auto"/>
          <w:lang w:val="it-IT"/>
        </w:rPr>
        <w:t xml:space="preserve"> Office Standard 2013</w:t>
      </w:r>
      <w:r w:rsidRPr="006C3B66">
        <w:rPr>
          <w:color w:val="auto"/>
        </w:rPr>
        <w:tab/>
      </w:r>
      <w:r w:rsidRPr="006C3B66">
        <w:rPr>
          <w:color w:val="auto"/>
        </w:rPr>
        <w:fldChar w:fldCharType="begin"/>
      </w:r>
      <w:r w:rsidRPr="006C3B66">
        <w:rPr>
          <w:color w:val="auto"/>
        </w:rPr>
        <w:instrText xml:space="preserve"> PAGEREF _Toc342900318 \h </w:instrText>
      </w:r>
      <w:r w:rsidRPr="006C3B66">
        <w:rPr>
          <w:color w:val="auto"/>
        </w:rPr>
      </w:r>
      <w:r w:rsidRPr="006C3B66">
        <w:rPr>
          <w:color w:val="auto"/>
        </w:rPr>
        <w:fldChar w:fldCharType="separate"/>
      </w:r>
      <w:r>
        <w:rPr>
          <w:color w:val="auto"/>
        </w:rPr>
        <w:t>104</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 xml:space="preserve">11 </w:t>
      </w:r>
      <w:r w:rsidRPr="006C3B66">
        <w:rPr>
          <w:color w:val="auto"/>
          <w:lang w:val="it-IT"/>
        </w:rPr>
        <w:t>Sottoscrizioni a Office Professional Plus (SL per Utente)</w:t>
      </w:r>
      <w:r w:rsidRPr="006C3B66">
        <w:rPr>
          <w:color w:val="auto"/>
        </w:rPr>
        <w:tab/>
      </w:r>
      <w:r w:rsidRPr="006C3B66">
        <w:rPr>
          <w:color w:val="auto"/>
        </w:rPr>
        <w:fldChar w:fldCharType="begin"/>
      </w:r>
      <w:r w:rsidRPr="006C3B66">
        <w:rPr>
          <w:color w:val="auto"/>
        </w:rPr>
        <w:instrText xml:space="preserve"> PAGEREF _Toc342900319 \h </w:instrText>
      </w:r>
      <w:r w:rsidRPr="006C3B66">
        <w:rPr>
          <w:color w:val="auto"/>
        </w:rPr>
      </w:r>
      <w:r w:rsidRPr="006C3B66">
        <w:rPr>
          <w:color w:val="auto"/>
        </w:rPr>
        <w:fldChar w:fldCharType="separate"/>
      </w:r>
      <w:r>
        <w:rPr>
          <w:color w:val="auto"/>
        </w:rPr>
        <w:t>105</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12</w:t>
      </w:r>
      <w:r w:rsidRPr="006C3B66">
        <w:rPr>
          <w:color w:val="auto"/>
          <w:lang w:val="it-IT"/>
        </w:rPr>
        <w:t xml:space="preserve"> Outlook per Mac 2011</w:t>
      </w:r>
      <w:r w:rsidRPr="006C3B66">
        <w:rPr>
          <w:color w:val="auto"/>
        </w:rPr>
        <w:tab/>
      </w:r>
      <w:r w:rsidRPr="006C3B66">
        <w:rPr>
          <w:color w:val="auto"/>
        </w:rPr>
        <w:fldChar w:fldCharType="begin"/>
      </w:r>
      <w:r w:rsidRPr="006C3B66">
        <w:rPr>
          <w:color w:val="auto"/>
        </w:rPr>
        <w:instrText xml:space="preserve"> PAGEREF _Toc342900320 \h </w:instrText>
      </w:r>
      <w:r w:rsidRPr="006C3B66">
        <w:rPr>
          <w:color w:val="auto"/>
        </w:rPr>
      </w:r>
      <w:r w:rsidRPr="006C3B66">
        <w:rPr>
          <w:color w:val="auto"/>
        </w:rPr>
        <w:fldChar w:fldCharType="separate"/>
      </w:r>
      <w:r>
        <w:rPr>
          <w:color w:val="auto"/>
        </w:rPr>
        <w:t>105</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13</w:t>
      </w:r>
      <w:r w:rsidRPr="006C3B66">
        <w:rPr>
          <w:color w:val="auto"/>
          <w:lang w:val="it-IT"/>
        </w:rPr>
        <w:t xml:space="preserve"> Project Professional 2013</w:t>
      </w:r>
      <w:r w:rsidRPr="006C3B66">
        <w:rPr>
          <w:color w:val="auto"/>
        </w:rPr>
        <w:tab/>
      </w:r>
      <w:r w:rsidRPr="006C3B66">
        <w:rPr>
          <w:color w:val="auto"/>
        </w:rPr>
        <w:fldChar w:fldCharType="begin"/>
      </w:r>
      <w:r w:rsidRPr="006C3B66">
        <w:rPr>
          <w:color w:val="auto"/>
        </w:rPr>
        <w:instrText xml:space="preserve"> PAGEREF _Toc342900321 \h </w:instrText>
      </w:r>
      <w:r w:rsidRPr="006C3B66">
        <w:rPr>
          <w:color w:val="auto"/>
        </w:rPr>
      </w:r>
      <w:r w:rsidRPr="006C3B66">
        <w:rPr>
          <w:color w:val="auto"/>
        </w:rPr>
        <w:fldChar w:fldCharType="separate"/>
      </w:r>
      <w:r>
        <w:rPr>
          <w:color w:val="auto"/>
        </w:rPr>
        <w:t>105</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14</w:t>
      </w:r>
      <w:r w:rsidRPr="006C3B66">
        <w:rPr>
          <w:color w:val="auto"/>
          <w:lang w:val="it-IT"/>
        </w:rPr>
        <w:t xml:space="preserve"> Diritti di Noleggio per Office</w:t>
      </w:r>
      <w:r w:rsidRPr="006C3B66">
        <w:rPr>
          <w:color w:val="auto"/>
        </w:rPr>
        <w:tab/>
      </w:r>
      <w:r w:rsidRPr="006C3B66">
        <w:rPr>
          <w:color w:val="auto"/>
        </w:rPr>
        <w:fldChar w:fldCharType="begin"/>
      </w:r>
      <w:r w:rsidRPr="006C3B66">
        <w:rPr>
          <w:color w:val="auto"/>
        </w:rPr>
        <w:instrText xml:space="preserve"> PAGEREF _Toc342900322 \h </w:instrText>
      </w:r>
      <w:r w:rsidRPr="006C3B66">
        <w:rPr>
          <w:color w:val="auto"/>
        </w:rPr>
      </w:r>
      <w:r w:rsidRPr="006C3B66">
        <w:rPr>
          <w:color w:val="auto"/>
        </w:rPr>
        <w:fldChar w:fldCharType="separate"/>
      </w:r>
      <w:r>
        <w:rPr>
          <w:color w:val="auto"/>
        </w:rPr>
        <w:t>106</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15</w:t>
      </w:r>
      <w:r w:rsidRPr="006C3B66">
        <w:rPr>
          <w:color w:val="auto"/>
          <w:lang w:val="it-IT"/>
        </w:rPr>
        <w:t xml:space="preserve"> Visio Professional 2013</w:t>
      </w:r>
      <w:r w:rsidRPr="006C3B66">
        <w:rPr>
          <w:color w:val="auto"/>
        </w:rPr>
        <w:tab/>
      </w:r>
      <w:r w:rsidRPr="006C3B66">
        <w:rPr>
          <w:color w:val="auto"/>
        </w:rPr>
        <w:fldChar w:fldCharType="begin"/>
      </w:r>
      <w:r w:rsidRPr="006C3B66">
        <w:rPr>
          <w:color w:val="auto"/>
        </w:rPr>
        <w:instrText xml:space="preserve"> PAGEREF _Toc342900323 \h </w:instrText>
      </w:r>
      <w:r w:rsidRPr="006C3B66">
        <w:rPr>
          <w:color w:val="auto"/>
        </w:rPr>
      </w:r>
      <w:r w:rsidRPr="006C3B66">
        <w:rPr>
          <w:color w:val="auto"/>
        </w:rPr>
        <w:fldChar w:fldCharType="separate"/>
      </w:r>
      <w:r>
        <w:rPr>
          <w:color w:val="auto"/>
        </w:rPr>
        <w:t>107</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16</w:t>
      </w:r>
      <w:r w:rsidRPr="006C3B66">
        <w:rPr>
          <w:color w:val="auto"/>
          <w:lang w:val="it-IT"/>
        </w:rPr>
        <w:t xml:space="preserve"> Visual Studio Professional 2012</w:t>
      </w:r>
      <w:r w:rsidRPr="006C3B66">
        <w:rPr>
          <w:color w:val="auto"/>
        </w:rPr>
        <w:tab/>
      </w:r>
      <w:r w:rsidRPr="006C3B66">
        <w:rPr>
          <w:color w:val="auto"/>
        </w:rPr>
        <w:fldChar w:fldCharType="begin"/>
      </w:r>
      <w:r w:rsidRPr="006C3B66">
        <w:rPr>
          <w:color w:val="auto"/>
        </w:rPr>
        <w:instrText xml:space="preserve"> PAGEREF _Toc342900324 \h </w:instrText>
      </w:r>
      <w:r w:rsidRPr="006C3B66">
        <w:rPr>
          <w:color w:val="auto"/>
        </w:rPr>
      </w:r>
      <w:r w:rsidRPr="006C3B66">
        <w:rPr>
          <w:color w:val="auto"/>
        </w:rPr>
        <w:fldChar w:fldCharType="separate"/>
      </w:r>
      <w:r>
        <w:rPr>
          <w:color w:val="auto"/>
        </w:rPr>
        <w:t>107</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17</w:t>
      </w:r>
      <w:r w:rsidRPr="006C3B66">
        <w:rPr>
          <w:color w:val="auto"/>
          <w:lang w:val="it-IT"/>
        </w:rPr>
        <w:t xml:space="preserve"> Visual Studio Professional 2012 con MSDN</w:t>
      </w:r>
      <w:r w:rsidRPr="006C3B66">
        <w:rPr>
          <w:color w:val="auto"/>
        </w:rPr>
        <w:tab/>
      </w:r>
      <w:r w:rsidRPr="006C3B66">
        <w:rPr>
          <w:color w:val="auto"/>
        </w:rPr>
        <w:fldChar w:fldCharType="begin"/>
      </w:r>
      <w:r w:rsidRPr="006C3B66">
        <w:rPr>
          <w:color w:val="auto"/>
        </w:rPr>
        <w:instrText xml:space="preserve"> PAGEREF _Toc342900325 \h </w:instrText>
      </w:r>
      <w:r w:rsidRPr="006C3B66">
        <w:rPr>
          <w:color w:val="auto"/>
        </w:rPr>
      </w:r>
      <w:r w:rsidRPr="006C3B66">
        <w:rPr>
          <w:color w:val="auto"/>
        </w:rPr>
        <w:fldChar w:fldCharType="separate"/>
      </w:r>
      <w:r>
        <w:rPr>
          <w:color w:val="auto"/>
        </w:rPr>
        <w:t>107</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18</w:t>
      </w:r>
      <w:r w:rsidRPr="006C3B66">
        <w:rPr>
          <w:color w:val="auto"/>
          <w:lang w:val="it-IT"/>
        </w:rPr>
        <w:t xml:space="preserve"> Visual Studio Premium 2012 con MSDN</w:t>
      </w:r>
      <w:r w:rsidRPr="006C3B66">
        <w:rPr>
          <w:color w:val="auto"/>
        </w:rPr>
        <w:tab/>
      </w:r>
      <w:r w:rsidRPr="006C3B66">
        <w:rPr>
          <w:color w:val="auto"/>
        </w:rPr>
        <w:fldChar w:fldCharType="begin"/>
      </w:r>
      <w:r w:rsidRPr="006C3B66">
        <w:rPr>
          <w:color w:val="auto"/>
        </w:rPr>
        <w:instrText xml:space="preserve"> PAGEREF _Toc342900326 \h </w:instrText>
      </w:r>
      <w:r w:rsidRPr="006C3B66">
        <w:rPr>
          <w:color w:val="auto"/>
        </w:rPr>
      </w:r>
      <w:r w:rsidRPr="006C3B66">
        <w:rPr>
          <w:color w:val="auto"/>
        </w:rPr>
        <w:fldChar w:fldCharType="separate"/>
      </w:r>
      <w:r>
        <w:rPr>
          <w:color w:val="auto"/>
        </w:rPr>
        <w:t>108</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19</w:t>
      </w:r>
      <w:r w:rsidRPr="006C3B66">
        <w:rPr>
          <w:color w:val="auto"/>
          <w:lang w:val="it-IT"/>
        </w:rPr>
        <w:t xml:space="preserve"> Visual Studio Ultimate 2012 con MSDN</w:t>
      </w:r>
      <w:r w:rsidRPr="006C3B66">
        <w:rPr>
          <w:color w:val="auto"/>
        </w:rPr>
        <w:tab/>
      </w:r>
      <w:r w:rsidRPr="006C3B66">
        <w:rPr>
          <w:color w:val="auto"/>
        </w:rPr>
        <w:fldChar w:fldCharType="begin"/>
      </w:r>
      <w:r w:rsidRPr="006C3B66">
        <w:rPr>
          <w:color w:val="auto"/>
        </w:rPr>
        <w:instrText xml:space="preserve"> PAGEREF _Toc342900327 \h </w:instrText>
      </w:r>
      <w:r w:rsidRPr="006C3B66">
        <w:rPr>
          <w:color w:val="auto"/>
        </w:rPr>
      </w:r>
      <w:r w:rsidRPr="006C3B66">
        <w:rPr>
          <w:color w:val="auto"/>
        </w:rPr>
        <w:fldChar w:fldCharType="separate"/>
      </w:r>
      <w:r>
        <w:rPr>
          <w:color w:val="auto"/>
        </w:rPr>
        <w:t>109</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20</w:t>
      </w:r>
      <w:r w:rsidRPr="006C3B66">
        <w:rPr>
          <w:color w:val="auto"/>
          <w:lang w:val="it-IT"/>
        </w:rPr>
        <w:t xml:space="preserve"> Visual Studio Test Professional 2012 con MSDN</w:t>
      </w:r>
      <w:r w:rsidRPr="006C3B66">
        <w:rPr>
          <w:color w:val="auto"/>
        </w:rPr>
        <w:tab/>
      </w:r>
      <w:r w:rsidRPr="006C3B66">
        <w:rPr>
          <w:color w:val="auto"/>
        </w:rPr>
        <w:fldChar w:fldCharType="begin"/>
      </w:r>
      <w:r w:rsidRPr="006C3B66">
        <w:rPr>
          <w:color w:val="auto"/>
        </w:rPr>
        <w:instrText xml:space="preserve"> PAGEREF _Toc342900328 \h </w:instrText>
      </w:r>
      <w:r w:rsidRPr="006C3B66">
        <w:rPr>
          <w:color w:val="auto"/>
        </w:rPr>
      </w:r>
      <w:r w:rsidRPr="006C3B66">
        <w:rPr>
          <w:color w:val="auto"/>
        </w:rPr>
        <w:fldChar w:fldCharType="separate"/>
      </w:r>
      <w:r>
        <w:rPr>
          <w:color w:val="auto"/>
        </w:rPr>
        <w:t>110</w:t>
      </w:r>
      <w:r w:rsidRPr="006C3B66">
        <w:rPr>
          <w:color w:val="auto"/>
        </w:rPr>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Pool di Sistemi</w:t>
      </w:r>
      <w:r w:rsidRPr="006C3B66">
        <w:tab/>
      </w:r>
      <w:r w:rsidRPr="006C3B66">
        <w:fldChar w:fldCharType="begin"/>
      </w:r>
      <w:r w:rsidRPr="006C3B66">
        <w:instrText xml:space="preserve"> PAGEREF _Toc342900329 \h </w:instrText>
      </w:r>
      <w:r w:rsidRPr="006C3B66">
        <w:fldChar w:fldCharType="separate"/>
      </w:r>
      <w:r>
        <w:t>111</w:t>
      </w:r>
      <w:r w:rsidRPr="006C3B66">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 xml:space="preserve">21 </w:t>
      </w:r>
      <w:r w:rsidRPr="006C3B66">
        <w:rPr>
          <w:color w:val="auto"/>
          <w:lang w:val="it-IT"/>
        </w:rPr>
        <w:t>Licenza “Subscription” per Windows</w:t>
      </w:r>
      <w:r w:rsidRPr="003A0F2F">
        <w:rPr>
          <w:color w:val="auto"/>
          <w:vertAlign w:val="superscript"/>
          <w:lang w:val="it-IT"/>
        </w:rPr>
        <w:t>®</w:t>
      </w:r>
      <w:r w:rsidRPr="006C3B66">
        <w:rPr>
          <w:color w:val="auto"/>
          <w:lang w:val="it-IT"/>
        </w:rPr>
        <w:t xml:space="preserve"> Companion</w:t>
      </w:r>
      <w:r w:rsidRPr="006C3B66">
        <w:rPr>
          <w:color w:val="auto"/>
        </w:rPr>
        <w:tab/>
      </w:r>
      <w:r w:rsidRPr="006C3B66">
        <w:rPr>
          <w:color w:val="auto"/>
        </w:rPr>
        <w:fldChar w:fldCharType="begin"/>
      </w:r>
      <w:r w:rsidRPr="006C3B66">
        <w:rPr>
          <w:color w:val="auto"/>
        </w:rPr>
        <w:instrText xml:space="preserve"> PAGEREF _Toc342900330 \h </w:instrText>
      </w:r>
      <w:r w:rsidRPr="006C3B66">
        <w:rPr>
          <w:color w:val="auto"/>
        </w:rPr>
      </w:r>
      <w:r w:rsidRPr="006C3B66">
        <w:rPr>
          <w:color w:val="auto"/>
        </w:rPr>
        <w:fldChar w:fldCharType="separate"/>
      </w:r>
      <w:r>
        <w:rPr>
          <w:color w:val="auto"/>
        </w:rPr>
        <w:t>111</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22</w:t>
      </w:r>
      <w:r w:rsidRPr="006C3B66">
        <w:rPr>
          <w:color w:val="auto"/>
          <w:lang w:val="it-IT"/>
        </w:rPr>
        <w:t xml:space="preserve"> Windows Vista DVD Playback Pack</w:t>
      </w:r>
      <w:r w:rsidRPr="006C3B66">
        <w:rPr>
          <w:color w:val="auto"/>
        </w:rPr>
        <w:tab/>
      </w:r>
      <w:r w:rsidRPr="006C3B66">
        <w:rPr>
          <w:color w:val="auto"/>
        </w:rPr>
        <w:fldChar w:fldCharType="begin"/>
      </w:r>
      <w:r w:rsidRPr="006C3B66">
        <w:rPr>
          <w:color w:val="auto"/>
        </w:rPr>
        <w:instrText xml:space="preserve"> PAGEREF _Toc342900331 \h </w:instrText>
      </w:r>
      <w:r w:rsidRPr="006C3B66">
        <w:rPr>
          <w:color w:val="auto"/>
        </w:rPr>
      </w:r>
      <w:r w:rsidRPr="006C3B66">
        <w:rPr>
          <w:color w:val="auto"/>
        </w:rPr>
        <w:fldChar w:fldCharType="separate"/>
      </w:r>
      <w:r>
        <w:rPr>
          <w:color w:val="auto"/>
        </w:rPr>
        <w:t>111</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23</w:t>
      </w:r>
      <w:r w:rsidRPr="006C3B66">
        <w:rPr>
          <w:color w:val="auto"/>
          <w:lang w:val="it-IT"/>
        </w:rPr>
        <w:t xml:space="preserve"> Microsoft Desktop Optimization Pack per Software Assurance</w:t>
      </w:r>
      <w:r w:rsidRPr="006C3B66">
        <w:rPr>
          <w:color w:val="auto"/>
        </w:rPr>
        <w:tab/>
      </w:r>
      <w:r w:rsidRPr="006C3B66">
        <w:rPr>
          <w:color w:val="auto"/>
        </w:rPr>
        <w:fldChar w:fldCharType="begin"/>
      </w:r>
      <w:r w:rsidRPr="006C3B66">
        <w:rPr>
          <w:color w:val="auto"/>
        </w:rPr>
        <w:instrText xml:space="preserve"> PAGEREF _Toc342900332 \h </w:instrText>
      </w:r>
      <w:r w:rsidRPr="006C3B66">
        <w:rPr>
          <w:color w:val="auto"/>
        </w:rPr>
      </w:r>
      <w:r w:rsidRPr="006C3B66">
        <w:rPr>
          <w:color w:val="auto"/>
        </w:rPr>
        <w:fldChar w:fldCharType="separate"/>
      </w:r>
      <w:r>
        <w:rPr>
          <w:color w:val="auto"/>
        </w:rPr>
        <w:t>111</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24</w:t>
      </w:r>
      <w:r w:rsidRPr="006C3B66">
        <w:rPr>
          <w:color w:val="auto"/>
          <w:lang w:val="it-IT"/>
        </w:rPr>
        <w:t xml:space="preserve"> Windows</w:t>
      </w:r>
      <w:r w:rsidRPr="003A0F2F">
        <w:rPr>
          <w:color w:val="auto"/>
          <w:vertAlign w:val="superscript"/>
          <w:lang w:val="it-IT"/>
        </w:rPr>
        <w:t>®</w:t>
      </w:r>
      <w:r w:rsidRPr="006C3B66">
        <w:rPr>
          <w:color w:val="auto"/>
          <w:lang w:val="it-IT"/>
        </w:rPr>
        <w:t xml:space="preserve"> 8 Enterprise Sideloading</w:t>
      </w:r>
      <w:r w:rsidRPr="006C3B66">
        <w:rPr>
          <w:color w:val="auto"/>
        </w:rPr>
        <w:tab/>
      </w:r>
      <w:r w:rsidRPr="006C3B66">
        <w:rPr>
          <w:color w:val="auto"/>
        </w:rPr>
        <w:fldChar w:fldCharType="begin"/>
      </w:r>
      <w:r w:rsidRPr="006C3B66">
        <w:rPr>
          <w:color w:val="auto"/>
        </w:rPr>
        <w:instrText xml:space="preserve"> PAGEREF _Toc342900333 \h </w:instrText>
      </w:r>
      <w:r w:rsidRPr="006C3B66">
        <w:rPr>
          <w:color w:val="auto"/>
        </w:rPr>
      </w:r>
      <w:r w:rsidRPr="006C3B66">
        <w:rPr>
          <w:color w:val="auto"/>
        </w:rPr>
        <w:fldChar w:fldCharType="separate"/>
      </w:r>
      <w:r>
        <w:rPr>
          <w:color w:val="auto"/>
        </w:rPr>
        <w:t>112</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25</w:t>
      </w:r>
      <w:r w:rsidRPr="006C3B66">
        <w:rPr>
          <w:color w:val="auto"/>
          <w:lang w:val="it-IT"/>
        </w:rPr>
        <w:t xml:space="preserve"> Windows</w:t>
      </w:r>
      <w:r w:rsidRPr="003A0F2F">
        <w:rPr>
          <w:color w:val="auto"/>
          <w:vertAlign w:val="superscript"/>
          <w:lang w:val="it-IT"/>
        </w:rPr>
        <w:t>®</w:t>
      </w:r>
      <w:r w:rsidRPr="006C3B66">
        <w:rPr>
          <w:color w:val="auto"/>
          <w:lang w:val="it-IT"/>
        </w:rPr>
        <w:t xml:space="preserve"> 7 Partners in Learning</w:t>
      </w:r>
      <w:r w:rsidRPr="006C3B66">
        <w:rPr>
          <w:color w:val="auto"/>
        </w:rPr>
        <w:tab/>
      </w:r>
      <w:r w:rsidRPr="006C3B66">
        <w:rPr>
          <w:color w:val="auto"/>
        </w:rPr>
        <w:fldChar w:fldCharType="begin"/>
      </w:r>
      <w:r w:rsidRPr="006C3B66">
        <w:rPr>
          <w:color w:val="auto"/>
        </w:rPr>
        <w:instrText xml:space="preserve"> PAGEREF _Toc342900334 \h </w:instrText>
      </w:r>
      <w:r w:rsidRPr="006C3B66">
        <w:rPr>
          <w:color w:val="auto"/>
        </w:rPr>
      </w:r>
      <w:r w:rsidRPr="006C3B66">
        <w:rPr>
          <w:color w:val="auto"/>
        </w:rPr>
        <w:fldChar w:fldCharType="separate"/>
      </w:r>
      <w:r>
        <w:rPr>
          <w:color w:val="auto"/>
        </w:rPr>
        <w:t>113</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 xml:space="preserve">26 </w:t>
      </w:r>
      <w:r w:rsidRPr="006C3B66">
        <w:rPr>
          <w:color w:val="auto"/>
          <w:lang w:val="it-IT"/>
        </w:rPr>
        <w:t>Aggiornamento per Windows</w:t>
      </w:r>
      <w:r w:rsidRPr="003A0F2F">
        <w:rPr>
          <w:color w:val="auto"/>
          <w:vertAlign w:val="superscript"/>
          <w:lang w:val="it-IT"/>
        </w:rPr>
        <w:t>®</w:t>
      </w:r>
      <w:r w:rsidRPr="006C3B66">
        <w:rPr>
          <w:color w:val="auto"/>
          <w:lang w:val="it-IT"/>
        </w:rPr>
        <w:t xml:space="preserve"> 8 Pro e Windows Intune (Per Dispositivo)</w:t>
      </w:r>
      <w:r w:rsidRPr="006C3B66">
        <w:rPr>
          <w:color w:val="auto"/>
        </w:rPr>
        <w:tab/>
      </w:r>
      <w:r w:rsidRPr="006C3B66">
        <w:rPr>
          <w:color w:val="auto"/>
        </w:rPr>
        <w:fldChar w:fldCharType="begin"/>
      </w:r>
      <w:r w:rsidRPr="006C3B66">
        <w:rPr>
          <w:color w:val="auto"/>
        </w:rPr>
        <w:instrText xml:space="preserve"> PAGEREF _Toc342900335 \h </w:instrText>
      </w:r>
      <w:r w:rsidRPr="006C3B66">
        <w:rPr>
          <w:color w:val="auto"/>
        </w:rPr>
      </w:r>
      <w:r w:rsidRPr="006C3B66">
        <w:rPr>
          <w:color w:val="auto"/>
        </w:rPr>
        <w:fldChar w:fldCharType="separate"/>
      </w:r>
      <w:r>
        <w:rPr>
          <w:color w:val="auto"/>
        </w:rPr>
        <w:t>113</w:t>
      </w:r>
      <w:r w:rsidRPr="006C3B66">
        <w:rPr>
          <w:color w:val="auto"/>
        </w:rPr>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lang w:val="it-IT"/>
        </w:rPr>
        <w:t>Pool di Server</w:t>
      </w:r>
      <w:r w:rsidRPr="006C3B66">
        <w:tab/>
      </w:r>
      <w:r w:rsidRPr="006C3B66">
        <w:fldChar w:fldCharType="begin"/>
      </w:r>
      <w:r w:rsidRPr="006C3B66">
        <w:instrText xml:space="preserve"> PAGEREF _Toc342900336 \h </w:instrText>
      </w:r>
      <w:r w:rsidRPr="006C3B66">
        <w:fldChar w:fldCharType="separate"/>
      </w:r>
      <w:r>
        <w:t>121</w:t>
      </w:r>
      <w:r w:rsidRPr="006C3B66">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27</w:t>
      </w:r>
      <w:r w:rsidRPr="006C3B66">
        <w:rPr>
          <w:color w:val="auto"/>
          <w:lang w:val="it-IT"/>
        </w:rPr>
        <w:t xml:space="preserve"> Bing Maps Server e Bing Maps Server con Enhanced Content Pack</w:t>
      </w:r>
      <w:r w:rsidRPr="006C3B66">
        <w:rPr>
          <w:color w:val="auto"/>
        </w:rPr>
        <w:tab/>
      </w:r>
      <w:r w:rsidRPr="006C3B66">
        <w:rPr>
          <w:color w:val="auto"/>
        </w:rPr>
        <w:fldChar w:fldCharType="begin"/>
      </w:r>
      <w:r w:rsidRPr="006C3B66">
        <w:rPr>
          <w:color w:val="auto"/>
        </w:rPr>
        <w:instrText xml:space="preserve"> PAGEREF _Toc342900337 \h </w:instrText>
      </w:r>
      <w:r w:rsidRPr="006C3B66">
        <w:rPr>
          <w:color w:val="auto"/>
        </w:rPr>
      </w:r>
      <w:r w:rsidRPr="006C3B66">
        <w:rPr>
          <w:color w:val="auto"/>
        </w:rPr>
        <w:fldChar w:fldCharType="separate"/>
      </w:r>
      <w:r>
        <w:rPr>
          <w:color w:val="auto"/>
        </w:rPr>
        <w:t>121</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28</w:t>
      </w:r>
      <w:r w:rsidRPr="006C3B66">
        <w:rPr>
          <w:color w:val="auto"/>
          <w:lang w:val="it-IT"/>
        </w:rPr>
        <w:t xml:space="preserve"> Bing Maps 25KTrx, 250KTrx e Add-On Illimitati (SL Add-on)</w:t>
      </w:r>
      <w:r w:rsidRPr="006C3B66">
        <w:rPr>
          <w:color w:val="auto"/>
        </w:rPr>
        <w:tab/>
      </w:r>
      <w:r w:rsidRPr="006C3B66">
        <w:rPr>
          <w:color w:val="auto"/>
        </w:rPr>
        <w:fldChar w:fldCharType="begin"/>
      </w:r>
      <w:r w:rsidRPr="006C3B66">
        <w:rPr>
          <w:color w:val="auto"/>
        </w:rPr>
        <w:instrText xml:space="preserve"> PAGEREF _Toc342900338 \h </w:instrText>
      </w:r>
      <w:r w:rsidRPr="006C3B66">
        <w:rPr>
          <w:color w:val="auto"/>
        </w:rPr>
      </w:r>
      <w:r w:rsidRPr="006C3B66">
        <w:rPr>
          <w:color w:val="auto"/>
        </w:rPr>
        <w:fldChar w:fldCharType="separate"/>
      </w:r>
      <w:r>
        <w:rPr>
          <w:color w:val="auto"/>
        </w:rPr>
        <w:t>121</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29</w:t>
      </w:r>
      <w:r w:rsidRPr="006C3B66">
        <w:rPr>
          <w:color w:val="auto"/>
          <w:lang w:val="it-IT"/>
        </w:rPr>
        <w:t xml:space="preserve"> BizTalk</w:t>
      </w:r>
      <w:r w:rsidRPr="003A0F2F">
        <w:rPr>
          <w:color w:val="auto"/>
          <w:vertAlign w:val="superscript"/>
          <w:lang w:val="it-IT"/>
        </w:rPr>
        <w:t>®</w:t>
      </w:r>
      <w:r w:rsidRPr="006C3B66">
        <w:rPr>
          <w:color w:val="auto"/>
          <w:lang w:val="it-IT"/>
        </w:rPr>
        <w:t xml:space="preserve"> Server 2010 Branch Edition</w:t>
      </w:r>
      <w:r w:rsidRPr="006C3B66">
        <w:rPr>
          <w:color w:val="auto"/>
        </w:rPr>
        <w:tab/>
      </w:r>
      <w:r w:rsidRPr="006C3B66">
        <w:rPr>
          <w:color w:val="auto"/>
        </w:rPr>
        <w:fldChar w:fldCharType="begin"/>
      </w:r>
      <w:r w:rsidRPr="006C3B66">
        <w:rPr>
          <w:color w:val="auto"/>
        </w:rPr>
        <w:instrText xml:space="preserve"> PAGEREF _Toc342900339 \h </w:instrText>
      </w:r>
      <w:r w:rsidRPr="006C3B66">
        <w:rPr>
          <w:color w:val="auto"/>
        </w:rPr>
      </w:r>
      <w:r w:rsidRPr="006C3B66">
        <w:rPr>
          <w:color w:val="auto"/>
        </w:rPr>
        <w:fldChar w:fldCharType="separate"/>
      </w:r>
      <w:r>
        <w:rPr>
          <w:color w:val="auto"/>
        </w:rPr>
        <w:t>121</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30</w:t>
      </w:r>
      <w:r w:rsidRPr="006C3B66">
        <w:rPr>
          <w:color w:val="auto"/>
          <w:lang w:val="it-IT"/>
        </w:rPr>
        <w:t xml:space="preserve"> BizTalk</w:t>
      </w:r>
      <w:r w:rsidRPr="003A0F2F">
        <w:rPr>
          <w:color w:val="auto"/>
          <w:vertAlign w:val="superscript"/>
          <w:lang w:val="it-IT"/>
        </w:rPr>
        <w:t>®</w:t>
      </w:r>
      <w:r w:rsidRPr="006C3B66">
        <w:rPr>
          <w:color w:val="auto"/>
          <w:lang w:val="it-IT"/>
        </w:rPr>
        <w:t xml:space="preserve"> Server 2010 Enterprise Edition</w:t>
      </w:r>
      <w:r w:rsidRPr="006C3B66">
        <w:rPr>
          <w:color w:val="auto"/>
        </w:rPr>
        <w:tab/>
      </w:r>
      <w:r w:rsidRPr="006C3B66">
        <w:rPr>
          <w:color w:val="auto"/>
        </w:rPr>
        <w:fldChar w:fldCharType="begin"/>
      </w:r>
      <w:r w:rsidRPr="006C3B66">
        <w:rPr>
          <w:color w:val="auto"/>
        </w:rPr>
        <w:instrText xml:space="preserve"> PAGEREF _Toc342900340 \h </w:instrText>
      </w:r>
      <w:r w:rsidRPr="006C3B66">
        <w:rPr>
          <w:color w:val="auto"/>
        </w:rPr>
      </w:r>
      <w:r w:rsidRPr="006C3B66">
        <w:rPr>
          <w:color w:val="auto"/>
        </w:rPr>
        <w:fldChar w:fldCharType="separate"/>
      </w:r>
      <w:r>
        <w:rPr>
          <w:color w:val="auto"/>
        </w:rPr>
        <w:t>122</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31</w:t>
      </w:r>
      <w:r w:rsidRPr="00D179AE">
        <w:rPr>
          <w:caps/>
          <w:color w:val="auto"/>
          <w:lang w:val="it-IT"/>
        </w:rPr>
        <w:t xml:space="preserve"> </w:t>
      </w:r>
      <w:r w:rsidRPr="006C3B66">
        <w:rPr>
          <w:color w:val="auto"/>
          <w:lang w:val="it-IT"/>
        </w:rPr>
        <w:t>BizTalk</w:t>
      </w:r>
      <w:r w:rsidRPr="003A0F2F">
        <w:rPr>
          <w:color w:val="auto"/>
          <w:vertAlign w:val="superscript"/>
          <w:lang w:val="it-IT"/>
        </w:rPr>
        <w:t>®</w:t>
      </w:r>
      <w:r w:rsidRPr="006C3B66">
        <w:rPr>
          <w:color w:val="auto"/>
          <w:lang w:val="it-IT"/>
        </w:rPr>
        <w:t xml:space="preserve"> Server 2010 Standard Edition</w:t>
      </w:r>
      <w:r w:rsidRPr="006C3B66">
        <w:rPr>
          <w:color w:val="auto"/>
        </w:rPr>
        <w:tab/>
      </w:r>
      <w:r w:rsidRPr="006C3B66">
        <w:rPr>
          <w:color w:val="auto"/>
        </w:rPr>
        <w:fldChar w:fldCharType="begin"/>
      </w:r>
      <w:r w:rsidRPr="006C3B66">
        <w:rPr>
          <w:color w:val="auto"/>
        </w:rPr>
        <w:instrText xml:space="preserve"> PAGEREF _Toc342900341 \h </w:instrText>
      </w:r>
      <w:r w:rsidRPr="006C3B66">
        <w:rPr>
          <w:color w:val="auto"/>
        </w:rPr>
      </w:r>
      <w:r w:rsidRPr="006C3B66">
        <w:rPr>
          <w:color w:val="auto"/>
        </w:rPr>
        <w:fldChar w:fldCharType="separate"/>
      </w:r>
      <w:r>
        <w:rPr>
          <w:color w:val="auto"/>
        </w:rPr>
        <w:t>123</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32</w:t>
      </w:r>
      <w:r w:rsidRPr="00D179AE">
        <w:rPr>
          <w:caps/>
          <w:color w:val="auto"/>
          <w:lang w:val="it-IT"/>
        </w:rPr>
        <w:t xml:space="preserve"> </w:t>
      </w:r>
      <w:r w:rsidRPr="006C3B66">
        <w:rPr>
          <w:color w:val="auto"/>
          <w:lang w:val="it-IT"/>
        </w:rPr>
        <w:t>Business Intelligence Appliance 2012</w:t>
      </w:r>
      <w:r w:rsidRPr="006C3B66">
        <w:rPr>
          <w:color w:val="auto"/>
        </w:rPr>
        <w:tab/>
      </w:r>
      <w:r w:rsidRPr="006C3B66">
        <w:rPr>
          <w:color w:val="auto"/>
        </w:rPr>
        <w:fldChar w:fldCharType="begin"/>
      </w:r>
      <w:r w:rsidRPr="006C3B66">
        <w:rPr>
          <w:color w:val="auto"/>
        </w:rPr>
        <w:instrText xml:space="preserve"> PAGEREF _Toc342900342 \h </w:instrText>
      </w:r>
      <w:r w:rsidRPr="006C3B66">
        <w:rPr>
          <w:color w:val="auto"/>
        </w:rPr>
      </w:r>
      <w:r w:rsidRPr="006C3B66">
        <w:rPr>
          <w:color w:val="auto"/>
        </w:rPr>
        <w:fldChar w:fldCharType="separate"/>
      </w:r>
      <w:r>
        <w:rPr>
          <w:color w:val="auto"/>
        </w:rPr>
        <w:t>123</w:t>
      </w:r>
      <w:r w:rsidRPr="006C3B66">
        <w:rPr>
          <w:color w:val="auto"/>
        </w:rPr>
        <w:fldChar w:fldCharType="end"/>
      </w:r>
    </w:p>
    <w:p w:rsidR="00A92422" w:rsidRPr="006C3B66" w:rsidRDefault="00A92422" w:rsidP="00A92422">
      <w:pPr>
        <w:pStyle w:val="TOC3"/>
        <w:ind w:left="187" w:hanging="187"/>
        <w:rPr>
          <w:rFonts w:asciiTheme="minorHAnsi" w:eastAsiaTheme="minorEastAsia" w:hAnsiTheme="minorHAnsi" w:cstheme="minorBidi"/>
          <w:bCs w:val="0"/>
          <w:color w:val="auto"/>
          <w:sz w:val="22"/>
          <w:szCs w:val="22"/>
        </w:rPr>
      </w:pPr>
      <w:r w:rsidRPr="006C3B66">
        <w:rPr>
          <w:caps/>
          <w:color w:val="auto"/>
          <w:vertAlign w:val="superscript"/>
          <w:lang w:val="it-IT"/>
        </w:rPr>
        <w:t>33</w:t>
      </w:r>
      <w:r w:rsidRPr="00D179AE">
        <w:rPr>
          <w:caps/>
          <w:color w:val="auto"/>
          <w:lang w:val="it-IT"/>
        </w:rPr>
        <w:t xml:space="preserve"> </w:t>
      </w:r>
      <w:r w:rsidRPr="006C3B66">
        <w:rPr>
          <w:color w:val="auto"/>
          <w:lang w:val="it-IT"/>
        </w:rPr>
        <w:t>Core CAL Suite Bridge per Office 365, Core CAL Suite Bridge per Office 365 e Windows Intune e Core CAL Suite Bridge per Windows Intune</w:t>
      </w:r>
      <w:r w:rsidRPr="006C3B66">
        <w:rPr>
          <w:color w:val="auto"/>
        </w:rPr>
        <w:tab/>
      </w:r>
      <w:r w:rsidRPr="006C3B66">
        <w:rPr>
          <w:color w:val="auto"/>
        </w:rPr>
        <w:fldChar w:fldCharType="begin"/>
      </w:r>
      <w:r w:rsidRPr="006C3B66">
        <w:rPr>
          <w:color w:val="auto"/>
        </w:rPr>
        <w:instrText xml:space="preserve"> PAGEREF _Toc342900343 \h </w:instrText>
      </w:r>
      <w:r w:rsidRPr="006C3B66">
        <w:rPr>
          <w:color w:val="auto"/>
        </w:rPr>
      </w:r>
      <w:r w:rsidRPr="006C3B66">
        <w:rPr>
          <w:color w:val="auto"/>
        </w:rPr>
        <w:fldChar w:fldCharType="separate"/>
      </w:r>
      <w:r>
        <w:rPr>
          <w:color w:val="auto"/>
        </w:rPr>
        <w:t>123</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34</w:t>
      </w:r>
      <w:r w:rsidRPr="006C3B66">
        <w:rPr>
          <w:color w:val="auto"/>
          <w:lang w:val="it-IT"/>
        </w:rPr>
        <w:t xml:space="preserve"> Core CAL Suite</w:t>
      </w:r>
      <w:r w:rsidRPr="006C3B66">
        <w:rPr>
          <w:color w:val="auto"/>
        </w:rPr>
        <w:tab/>
      </w:r>
      <w:r w:rsidRPr="006C3B66">
        <w:rPr>
          <w:color w:val="auto"/>
        </w:rPr>
        <w:fldChar w:fldCharType="begin"/>
      </w:r>
      <w:r w:rsidRPr="006C3B66">
        <w:rPr>
          <w:color w:val="auto"/>
        </w:rPr>
        <w:instrText xml:space="preserve"> PAGEREF _Toc342900344 \h </w:instrText>
      </w:r>
      <w:r w:rsidRPr="006C3B66">
        <w:rPr>
          <w:color w:val="auto"/>
        </w:rPr>
      </w:r>
      <w:r w:rsidRPr="006C3B66">
        <w:rPr>
          <w:color w:val="auto"/>
        </w:rPr>
        <w:fldChar w:fldCharType="separate"/>
      </w:r>
      <w:r>
        <w:rPr>
          <w:color w:val="auto"/>
        </w:rPr>
        <w:t>125</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35</w:t>
      </w:r>
      <w:r w:rsidRPr="006C3B66">
        <w:rPr>
          <w:color w:val="auto"/>
          <w:lang w:val="it-IT"/>
        </w:rPr>
        <w:t xml:space="preserve"> Core Infrastructure Server Suite Standard</w:t>
      </w:r>
      <w:r w:rsidRPr="006C3B66">
        <w:rPr>
          <w:color w:val="auto"/>
        </w:rPr>
        <w:tab/>
      </w:r>
      <w:r w:rsidRPr="006C3B66">
        <w:rPr>
          <w:color w:val="auto"/>
        </w:rPr>
        <w:fldChar w:fldCharType="begin"/>
      </w:r>
      <w:r w:rsidRPr="006C3B66">
        <w:rPr>
          <w:color w:val="auto"/>
        </w:rPr>
        <w:instrText xml:space="preserve"> PAGEREF _Toc342900345 \h </w:instrText>
      </w:r>
      <w:r w:rsidRPr="006C3B66">
        <w:rPr>
          <w:color w:val="auto"/>
        </w:rPr>
      </w:r>
      <w:r w:rsidRPr="006C3B66">
        <w:rPr>
          <w:color w:val="auto"/>
        </w:rPr>
        <w:fldChar w:fldCharType="separate"/>
      </w:r>
      <w:r>
        <w:rPr>
          <w:color w:val="auto"/>
        </w:rPr>
        <w:t>125</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36</w:t>
      </w:r>
      <w:r w:rsidRPr="006C3B66">
        <w:rPr>
          <w:color w:val="auto"/>
          <w:lang w:val="it-IT"/>
        </w:rPr>
        <w:t xml:space="preserve"> Core Infrastructure Server Suite Enterprise</w:t>
      </w:r>
      <w:r w:rsidRPr="006C3B66">
        <w:rPr>
          <w:color w:val="auto"/>
        </w:rPr>
        <w:tab/>
      </w:r>
      <w:r w:rsidRPr="006C3B66">
        <w:rPr>
          <w:color w:val="auto"/>
        </w:rPr>
        <w:fldChar w:fldCharType="begin"/>
      </w:r>
      <w:r w:rsidRPr="006C3B66">
        <w:rPr>
          <w:color w:val="auto"/>
        </w:rPr>
        <w:instrText xml:space="preserve"> PAGEREF _Toc342900346 \h </w:instrText>
      </w:r>
      <w:r w:rsidRPr="006C3B66">
        <w:rPr>
          <w:color w:val="auto"/>
        </w:rPr>
      </w:r>
      <w:r w:rsidRPr="006C3B66">
        <w:rPr>
          <w:color w:val="auto"/>
        </w:rPr>
        <w:fldChar w:fldCharType="separate"/>
      </w:r>
      <w:r>
        <w:rPr>
          <w:color w:val="auto"/>
        </w:rPr>
        <w:t>126</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 xml:space="preserve">37 </w:t>
      </w:r>
      <w:r w:rsidRPr="006C3B66">
        <w:rPr>
          <w:color w:val="auto"/>
          <w:lang w:val="it-IT"/>
        </w:rPr>
        <w:t>Core Infrastructure Server Suite Datacenter</w:t>
      </w:r>
      <w:r w:rsidRPr="006C3B66">
        <w:rPr>
          <w:color w:val="auto"/>
        </w:rPr>
        <w:tab/>
      </w:r>
      <w:r w:rsidRPr="006C3B66">
        <w:rPr>
          <w:color w:val="auto"/>
        </w:rPr>
        <w:fldChar w:fldCharType="begin"/>
      </w:r>
      <w:r w:rsidRPr="006C3B66">
        <w:rPr>
          <w:color w:val="auto"/>
        </w:rPr>
        <w:instrText xml:space="preserve"> PAGEREF _Toc342900347 \h </w:instrText>
      </w:r>
      <w:r w:rsidRPr="006C3B66">
        <w:rPr>
          <w:color w:val="auto"/>
        </w:rPr>
      </w:r>
      <w:r w:rsidRPr="006C3B66">
        <w:rPr>
          <w:color w:val="auto"/>
        </w:rPr>
        <w:fldChar w:fldCharType="separate"/>
      </w:r>
      <w:r>
        <w:rPr>
          <w:color w:val="auto"/>
        </w:rPr>
        <w:t>127</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38</w:t>
      </w:r>
      <w:r w:rsidRPr="006C3B66">
        <w:rPr>
          <w:color w:val="auto"/>
          <w:lang w:val="it-IT"/>
        </w:rPr>
        <w:t xml:space="preserve"> Data Warehouse Appliance 2012</w:t>
      </w:r>
      <w:r w:rsidRPr="006C3B66">
        <w:rPr>
          <w:color w:val="auto"/>
        </w:rPr>
        <w:tab/>
      </w:r>
      <w:r w:rsidRPr="006C3B66">
        <w:rPr>
          <w:color w:val="auto"/>
        </w:rPr>
        <w:fldChar w:fldCharType="begin"/>
      </w:r>
      <w:r w:rsidRPr="006C3B66">
        <w:rPr>
          <w:color w:val="auto"/>
        </w:rPr>
        <w:instrText xml:space="preserve"> PAGEREF _Toc342900348 \h </w:instrText>
      </w:r>
      <w:r w:rsidRPr="006C3B66">
        <w:rPr>
          <w:color w:val="auto"/>
        </w:rPr>
      </w:r>
      <w:r w:rsidRPr="006C3B66">
        <w:rPr>
          <w:color w:val="auto"/>
        </w:rPr>
        <w:fldChar w:fldCharType="separate"/>
      </w:r>
      <w:r>
        <w:rPr>
          <w:color w:val="auto"/>
        </w:rPr>
        <w:t>128</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39</w:t>
      </w:r>
      <w:r w:rsidRPr="006C3B66">
        <w:rPr>
          <w:color w:val="auto"/>
          <w:lang w:val="it-IT"/>
        </w:rPr>
        <w:t xml:space="preserve"> Dynamics CRM Online</w:t>
      </w:r>
      <w:r w:rsidRPr="006C3B66">
        <w:rPr>
          <w:color w:val="auto"/>
        </w:rPr>
        <w:tab/>
      </w:r>
      <w:r w:rsidRPr="006C3B66">
        <w:rPr>
          <w:color w:val="auto"/>
        </w:rPr>
        <w:fldChar w:fldCharType="begin"/>
      </w:r>
      <w:r w:rsidRPr="006C3B66">
        <w:rPr>
          <w:color w:val="auto"/>
        </w:rPr>
        <w:instrText xml:space="preserve"> PAGEREF _Toc342900349 \h </w:instrText>
      </w:r>
      <w:r w:rsidRPr="006C3B66">
        <w:rPr>
          <w:color w:val="auto"/>
        </w:rPr>
      </w:r>
      <w:r w:rsidRPr="006C3B66">
        <w:rPr>
          <w:color w:val="auto"/>
        </w:rPr>
        <w:fldChar w:fldCharType="separate"/>
      </w:r>
      <w:r>
        <w:rPr>
          <w:color w:val="auto"/>
        </w:rPr>
        <w:t>128</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40</w:t>
      </w:r>
      <w:r w:rsidRPr="006C3B66">
        <w:rPr>
          <w:color w:val="auto"/>
          <w:lang w:val="it-IT"/>
        </w:rPr>
        <w:t xml:space="preserve"> Enterprise CAL Suite Bridge per Office 365, Enterprise CAL Suite Bridge per Office 365 </w:t>
      </w:r>
      <w:r w:rsidRPr="006C3B66">
        <w:rPr>
          <w:color w:val="auto"/>
          <w:lang w:val="it-IT"/>
        </w:rPr>
        <w:br/>
        <w:t>e Windows Intune ed Enterprise CAL Suite Bridge per Windows Intune</w:t>
      </w:r>
      <w:r w:rsidRPr="006C3B66">
        <w:rPr>
          <w:color w:val="auto"/>
        </w:rPr>
        <w:tab/>
      </w:r>
      <w:r w:rsidRPr="006C3B66">
        <w:rPr>
          <w:color w:val="auto"/>
        </w:rPr>
        <w:fldChar w:fldCharType="begin"/>
      </w:r>
      <w:r w:rsidRPr="006C3B66">
        <w:rPr>
          <w:color w:val="auto"/>
        </w:rPr>
        <w:instrText xml:space="preserve"> PAGEREF _Toc342900350 \h </w:instrText>
      </w:r>
      <w:r w:rsidRPr="006C3B66">
        <w:rPr>
          <w:color w:val="auto"/>
        </w:rPr>
      </w:r>
      <w:r w:rsidRPr="006C3B66">
        <w:rPr>
          <w:color w:val="auto"/>
        </w:rPr>
        <w:fldChar w:fldCharType="separate"/>
      </w:r>
      <w:r>
        <w:rPr>
          <w:color w:val="auto"/>
        </w:rPr>
        <w:t>129</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41</w:t>
      </w:r>
      <w:r w:rsidRPr="006C3B66">
        <w:rPr>
          <w:color w:val="auto"/>
          <w:lang w:val="it-IT"/>
        </w:rPr>
        <w:t xml:space="preserve"> Enterprise CAL Suite</w:t>
      </w:r>
      <w:r w:rsidRPr="006C3B66">
        <w:rPr>
          <w:color w:val="auto"/>
        </w:rPr>
        <w:tab/>
      </w:r>
      <w:r w:rsidRPr="006C3B66">
        <w:rPr>
          <w:color w:val="auto"/>
        </w:rPr>
        <w:fldChar w:fldCharType="begin"/>
      </w:r>
      <w:r w:rsidRPr="006C3B66">
        <w:rPr>
          <w:color w:val="auto"/>
        </w:rPr>
        <w:instrText xml:space="preserve"> PAGEREF _Toc342900351 \h </w:instrText>
      </w:r>
      <w:r w:rsidRPr="006C3B66">
        <w:rPr>
          <w:color w:val="auto"/>
        </w:rPr>
      </w:r>
      <w:r w:rsidRPr="006C3B66">
        <w:rPr>
          <w:color w:val="auto"/>
        </w:rPr>
        <w:fldChar w:fldCharType="separate"/>
      </w:r>
      <w:r>
        <w:rPr>
          <w:color w:val="auto"/>
        </w:rPr>
        <w:t>130</w:t>
      </w:r>
      <w:r w:rsidRPr="006C3B66">
        <w:rPr>
          <w:color w:val="auto"/>
        </w:rPr>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vertAlign w:val="superscript"/>
          <w:lang w:val="it-IT"/>
        </w:rPr>
        <w:t>42</w:t>
      </w:r>
      <w:r w:rsidRPr="006C3B66">
        <w:rPr>
          <w:rFonts w:cs="Tahoma"/>
          <w:lang w:val="it-IT"/>
        </w:rPr>
        <w:t xml:space="preserve"> Archiviazione Exchange Online (SL per Utente)</w:t>
      </w:r>
      <w:r w:rsidRPr="006C3B66">
        <w:tab/>
      </w:r>
      <w:r w:rsidRPr="006C3B66">
        <w:fldChar w:fldCharType="begin"/>
      </w:r>
      <w:r w:rsidRPr="006C3B66">
        <w:instrText xml:space="preserve"> PAGEREF _Toc342900352 \h </w:instrText>
      </w:r>
      <w:r w:rsidRPr="006C3B66">
        <w:fldChar w:fldCharType="separate"/>
      </w:r>
      <w:r>
        <w:t>131</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caps/>
          <w:vertAlign w:val="superscript"/>
          <w:lang w:val="it-IT"/>
        </w:rPr>
        <w:t xml:space="preserve">43 </w:t>
      </w:r>
      <w:r w:rsidRPr="006C3B66">
        <w:rPr>
          <w:rFonts w:cs="Tahoma"/>
          <w:lang w:val="it-IT"/>
        </w:rPr>
        <w:t>Exchange Hosted Archive (SL per Utente), Exchange Hosted Archive Extra Storage (SL Add-on)</w:t>
      </w:r>
      <w:r w:rsidRPr="006C3B66">
        <w:tab/>
      </w:r>
      <w:r w:rsidRPr="006C3B66">
        <w:fldChar w:fldCharType="begin"/>
      </w:r>
      <w:r w:rsidRPr="006C3B66">
        <w:instrText xml:space="preserve"> PAGEREF _Toc342900353 \h </w:instrText>
      </w:r>
      <w:r w:rsidRPr="006C3B66">
        <w:fldChar w:fldCharType="separate"/>
      </w:r>
      <w:r>
        <w:t>131</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vertAlign w:val="superscript"/>
          <w:lang w:val="it-IT"/>
        </w:rPr>
        <w:t xml:space="preserve">44 </w:t>
      </w:r>
      <w:r w:rsidRPr="006C3B66">
        <w:rPr>
          <w:rFonts w:cs="Tahoma"/>
          <w:lang w:val="it-IT"/>
        </w:rPr>
        <w:t>Exchange Hosted Encryption (SL per Utente)</w:t>
      </w:r>
      <w:r w:rsidRPr="006C3B66">
        <w:tab/>
      </w:r>
      <w:r w:rsidRPr="006C3B66">
        <w:fldChar w:fldCharType="begin"/>
      </w:r>
      <w:r w:rsidRPr="006C3B66">
        <w:instrText xml:space="preserve"> PAGEREF _Toc342900354 \h </w:instrText>
      </w:r>
      <w:r w:rsidRPr="006C3B66">
        <w:fldChar w:fldCharType="separate"/>
      </w:r>
      <w:r>
        <w:t>132</w:t>
      </w:r>
      <w:r w:rsidRPr="006C3B66">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45</w:t>
      </w:r>
      <w:r w:rsidRPr="006C3B66">
        <w:rPr>
          <w:color w:val="auto"/>
          <w:lang w:val="it-IT"/>
        </w:rPr>
        <w:t xml:space="preserve"> Chiosco Exchange Online (SL per Utente)</w:t>
      </w:r>
      <w:r w:rsidRPr="006C3B66">
        <w:rPr>
          <w:color w:val="auto"/>
        </w:rPr>
        <w:tab/>
      </w:r>
      <w:r w:rsidRPr="006C3B66">
        <w:rPr>
          <w:color w:val="auto"/>
        </w:rPr>
        <w:fldChar w:fldCharType="begin"/>
      </w:r>
      <w:r w:rsidRPr="006C3B66">
        <w:rPr>
          <w:color w:val="auto"/>
        </w:rPr>
        <w:instrText xml:space="preserve"> PAGEREF _Toc342900355 \h </w:instrText>
      </w:r>
      <w:r w:rsidRPr="006C3B66">
        <w:rPr>
          <w:color w:val="auto"/>
        </w:rPr>
      </w:r>
      <w:r w:rsidRPr="006C3B66">
        <w:rPr>
          <w:color w:val="auto"/>
        </w:rPr>
        <w:fldChar w:fldCharType="separate"/>
      </w:r>
      <w:r>
        <w:rPr>
          <w:color w:val="auto"/>
        </w:rPr>
        <w:t>132</w:t>
      </w:r>
      <w:r w:rsidRPr="006C3B66">
        <w:rPr>
          <w:color w:val="auto"/>
        </w:rPr>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caps/>
          <w:vertAlign w:val="superscript"/>
          <w:lang w:val="it-IT"/>
        </w:rPr>
        <w:t>46</w:t>
      </w:r>
      <w:r w:rsidRPr="006C3B66">
        <w:rPr>
          <w:rFonts w:cs="Tahoma"/>
          <w:lang w:val="it-IT"/>
        </w:rPr>
        <w:t xml:space="preserve"> Exchange Online Piano 1</w:t>
      </w:r>
      <w:r w:rsidRPr="006C3B66">
        <w:tab/>
      </w:r>
      <w:r w:rsidRPr="006C3B66">
        <w:fldChar w:fldCharType="begin"/>
      </w:r>
      <w:r w:rsidRPr="006C3B66">
        <w:instrText xml:space="preserve"> PAGEREF _Toc342900356 \h </w:instrText>
      </w:r>
      <w:r w:rsidRPr="006C3B66">
        <w:fldChar w:fldCharType="separate"/>
      </w:r>
      <w:r>
        <w:t>133</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caps/>
          <w:vertAlign w:val="superscript"/>
          <w:lang w:val="it-IT"/>
        </w:rPr>
        <w:lastRenderedPageBreak/>
        <w:t>47</w:t>
      </w:r>
      <w:r w:rsidRPr="006C3B66">
        <w:rPr>
          <w:rFonts w:cs="Tahoma"/>
          <w:lang w:val="it-IT"/>
        </w:rPr>
        <w:t xml:space="preserve"> Exchange Online Piano 2</w:t>
      </w:r>
      <w:r w:rsidRPr="006C3B66">
        <w:tab/>
      </w:r>
      <w:r w:rsidRPr="006C3B66">
        <w:fldChar w:fldCharType="begin"/>
      </w:r>
      <w:r w:rsidRPr="006C3B66">
        <w:instrText xml:space="preserve"> PAGEREF _Toc342900357 \h </w:instrText>
      </w:r>
      <w:r w:rsidRPr="006C3B66">
        <w:fldChar w:fldCharType="separate"/>
      </w:r>
      <w:r>
        <w:t>133</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caps/>
          <w:vertAlign w:val="superscript"/>
          <w:lang w:val="it-IT"/>
        </w:rPr>
        <w:t xml:space="preserve">48 </w:t>
      </w:r>
      <w:r w:rsidRPr="006C3B66">
        <w:rPr>
          <w:rFonts w:cs="Tahoma"/>
          <w:lang w:val="it-IT"/>
        </w:rPr>
        <w:t>Exchange Server 2013, Edizioni Enterprise e Standard</w:t>
      </w:r>
      <w:r w:rsidRPr="006C3B66">
        <w:tab/>
      </w:r>
      <w:r w:rsidRPr="006C3B66">
        <w:fldChar w:fldCharType="begin"/>
      </w:r>
      <w:r w:rsidRPr="006C3B66">
        <w:instrText xml:space="preserve"> PAGEREF _Toc342900358 \h </w:instrText>
      </w:r>
      <w:r w:rsidRPr="006C3B66">
        <w:fldChar w:fldCharType="separate"/>
      </w:r>
      <w:r>
        <w:t>134</w:t>
      </w:r>
      <w:r w:rsidRPr="006C3B66">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49</w:t>
      </w:r>
      <w:r w:rsidRPr="006C3B66">
        <w:rPr>
          <w:color w:val="auto"/>
          <w:lang w:val="it-IT"/>
        </w:rPr>
        <w:t xml:space="preserve"> CAL per Exchange Server 2010 Standard</w:t>
      </w:r>
      <w:r w:rsidRPr="006C3B66">
        <w:rPr>
          <w:color w:val="auto"/>
        </w:rPr>
        <w:tab/>
      </w:r>
      <w:r w:rsidRPr="006C3B66">
        <w:rPr>
          <w:color w:val="auto"/>
        </w:rPr>
        <w:fldChar w:fldCharType="begin"/>
      </w:r>
      <w:r w:rsidRPr="006C3B66">
        <w:rPr>
          <w:color w:val="auto"/>
        </w:rPr>
        <w:instrText xml:space="preserve"> PAGEREF _Toc342900359 \h </w:instrText>
      </w:r>
      <w:r w:rsidRPr="006C3B66">
        <w:rPr>
          <w:color w:val="auto"/>
        </w:rPr>
      </w:r>
      <w:r w:rsidRPr="006C3B66">
        <w:rPr>
          <w:color w:val="auto"/>
        </w:rPr>
        <w:fldChar w:fldCharType="separate"/>
      </w:r>
      <w:r>
        <w:rPr>
          <w:color w:val="auto"/>
        </w:rPr>
        <w:t>135</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50</w:t>
      </w:r>
      <w:r w:rsidRPr="006C3B66">
        <w:rPr>
          <w:color w:val="auto"/>
          <w:lang w:val="it-IT"/>
        </w:rPr>
        <w:t xml:space="preserve"> Forefront Endpoint Protection</w:t>
      </w:r>
      <w:r w:rsidRPr="006C3B66">
        <w:rPr>
          <w:color w:val="auto"/>
        </w:rPr>
        <w:tab/>
      </w:r>
      <w:r w:rsidRPr="006C3B66">
        <w:rPr>
          <w:color w:val="auto"/>
        </w:rPr>
        <w:fldChar w:fldCharType="begin"/>
      </w:r>
      <w:r w:rsidRPr="006C3B66">
        <w:rPr>
          <w:color w:val="auto"/>
        </w:rPr>
        <w:instrText xml:space="preserve"> PAGEREF _Toc342900360 \h </w:instrText>
      </w:r>
      <w:r w:rsidRPr="006C3B66">
        <w:rPr>
          <w:color w:val="auto"/>
        </w:rPr>
      </w:r>
      <w:r w:rsidRPr="006C3B66">
        <w:rPr>
          <w:color w:val="auto"/>
        </w:rPr>
        <w:fldChar w:fldCharType="separate"/>
      </w:r>
      <w:r>
        <w:rPr>
          <w:color w:val="auto"/>
        </w:rPr>
        <w:t>135</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 xml:space="preserve">51 </w:t>
      </w:r>
      <w:r w:rsidRPr="006C3B66">
        <w:rPr>
          <w:color w:val="auto"/>
          <w:lang w:val="it-IT"/>
        </w:rPr>
        <w:t>Forefront Identity Manager 2010 R2</w:t>
      </w:r>
      <w:r w:rsidRPr="006C3B66">
        <w:rPr>
          <w:color w:val="auto"/>
        </w:rPr>
        <w:tab/>
      </w:r>
      <w:r w:rsidRPr="006C3B66">
        <w:rPr>
          <w:color w:val="auto"/>
        </w:rPr>
        <w:fldChar w:fldCharType="begin"/>
      </w:r>
      <w:r w:rsidRPr="006C3B66">
        <w:rPr>
          <w:color w:val="auto"/>
        </w:rPr>
        <w:instrText xml:space="preserve"> PAGEREF _Toc342900361 \h </w:instrText>
      </w:r>
      <w:r w:rsidRPr="006C3B66">
        <w:rPr>
          <w:color w:val="auto"/>
        </w:rPr>
      </w:r>
      <w:r w:rsidRPr="006C3B66">
        <w:rPr>
          <w:color w:val="auto"/>
        </w:rPr>
        <w:fldChar w:fldCharType="separate"/>
      </w:r>
      <w:r>
        <w:rPr>
          <w:color w:val="auto"/>
        </w:rPr>
        <w:t>136</w:t>
      </w:r>
      <w:r w:rsidRPr="006C3B66">
        <w:rPr>
          <w:color w:val="auto"/>
        </w:rPr>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caps/>
          <w:vertAlign w:val="superscript"/>
          <w:lang w:val="it-IT"/>
        </w:rPr>
        <w:t>52</w:t>
      </w:r>
      <w:r w:rsidRPr="006C3B66">
        <w:rPr>
          <w:rFonts w:cs="Tahoma"/>
          <w:lang w:val="it-IT"/>
        </w:rPr>
        <w:t xml:space="preserve"> Forefront Identity Manager 2010 - Windows Live Edition</w:t>
      </w:r>
      <w:r w:rsidRPr="006C3B66">
        <w:tab/>
      </w:r>
      <w:r w:rsidRPr="006C3B66">
        <w:fldChar w:fldCharType="begin"/>
      </w:r>
      <w:r w:rsidRPr="006C3B66">
        <w:instrText xml:space="preserve"> PAGEREF _Toc342900362 \h </w:instrText>
      </w:r>
      <w:r w:rsidRPr="006C3B66">
        <w:fldChar w:fldCharType="separate"/>
      </w:r>
      <w:r>
        <w:t>136</w:t>
      </w:r>
      <w:r w:rsidRPr="006C3B66">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53</w:t>
      </w:r>
      <w:r w:rsidRPr="006C3B66">
        <w:rPr>
          <w:color w:val="auto"/>
          <w:lang w:val="it-IT"/>
        </w:rPr>
        <w:t xml:space="preserve"> Forefront Online Protection for Exchange (SL per Dispositivo e Utente)</w:t>
      </w:r>
      <w:r w:rsidRPr="006C3B66">
        <w:rPr>
          <w:color w:val="auto"/>
        </w:rPr>
        <w:tab/>
      </w:r>
      <w:r w:rsidRPr="006C3B66">
        <w:rPr>
          <w:color w:val="auto"/>
        </w:rPr>
        <w:fldChar w:fldCharType="begin"/>
      </w:r>
      <w:r w:rsidRPr="006C3B66">
        <w:rPr>
          <w:color w:val="auto"/>
        </w:rPr>
        <w:instrText xml:space="preserve"> PAGEREF _Toc342900363 \h </w:instrText>
      </w:r>
      <w:r w:rsidRPr="006C3B66">
        <w:rPr>
          <w:color w:val="auto"/>
        </w:rPr>
      </w:r>
      <w:r w:rsidRPr="006C3B66">
        <w:rPr>
          <w:color w:val="auto"/>
        </w:rPr>
        <w:fldChar w:fldCharType="separate"/>
      </w:r>
      <w:r>
        <w:rPr>
          <w:color w:val="auto"/>
        </w:rPr>
        <w:t>136</w:t>
      </w:r>
      <w:r w:rsidRPr="006C3B66">
        <w:rPr>
          <w:color w:val="auto"/>
        </w:rPr>
        <w:fldChar w:fldCharType="end"/>
      </w:r>
    </w:p>
    <w:p w:rsidR="00A92422" w:rsidRPr="006C3B66" w:rsidRDefault="00A92422" w:rsidP="00A92422">
      <w:pPr>
        <w:pStyle w:val="TOC3"/>
        <w:ind w:left="187" w:hanging="187"/>
        <w:rPr>
          <w:rFonts w:asciiTheme="minorHAnsi" w:eastAsiaTheme="minorEastAsia" w:hAnsiTheme="minorHAnsi" w:cstheme="minorBidi"/>
          <w:bCs w:val="0"/>
          <w:color w:val="auto"/>
          <w:sz w:val="22"/>
          <w:szCs w:val="22"/>
        </w:rPr>
      </w:pPr>
      <w:r w:rsidRPr="006C3B66">
        <w:rPr>
          <w:caps/>
          <w:color w:val="auto"/>
          <w:vertAlign w:val="superscript"/>
          <w:lang w:val="it-IT"/>
        </w:rPr>
        <w:t>54</w:t>
      </w:r>
      <w:r w:rsidRPr="006C3B66">
        <w:rPr>
          <w:color w:val="auto"/>
          <w:lang w:val="it-IT"/>
        </w:rPr>
        <w:t xml:space="preserve"> Forefront Protection 2010 for Exchange Server (SL per Dispositivo e Utente), Forefront Protection 2010 for SharePoint (SL per Dispositivo e Utente) e Forefront Protection 2010 per Siti Internet (SL Add-on)</w:t>
      </w:r>
      <w:r w:rsidRPr="006C3B66">
        <w:rPr>
          <w:color w:val="auto"/>
        </w:rPr>
        <w:tab/>
      </w:r>
      <w:r w:rsidRPr="006C3B66">
        <w:rPr>
          <w:color w:val="auto"/>
        </w:rPr>
        <w:fldChar w:fldCharType="begin"/>
      </w:r>
      <w:r w:rsidRPr="006C3B66">
        <w:rPr>
          <w:color w:val="auto"/>
        </w:rPr>
        <w:instrText xml:space="preserve"> PAGEREF _Toc342900364 \h </w:instrText>
      </w:r>
      <w:r w:rsidRPr="006C3B66">
        <w:rPr>
          <w:color w:val="auto"/>
        </w:rPr>
      </w:r>
      <w:r w:rsidRPr="006C3B66">
        <w:rPr>
          <w:color w:val="auto"/>
        </w:rPr>
        <w:fldChar w:fldCharType="separate"/>
      </w:r>
      <w:r>
        <w:rPr>
          <w:color w:val="auto"/>
        </w:rPr>
        <w:t>136</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55</w:t>
      </w:r>
      <w:r w:rsidRPr="006C3B66">
        <w:rPr>
          <w:color w:val="auto"/>
          <w:lang w:val="it-IT"/>
        </w:rPr>
        <w:t xml:space="preserve"> Forefront Protection Suite (Dispositivo e Utente)</w:t>
      </w:r>
      <w:r w:rsidRPr="006C3B66">
        <w:rPr>
          <w:color w:val="auto"/>
        </w:rPr>
        <w:tab/>
      </w:r>
      <w:r w:rsidRPr="006C3B66">
        <w:rPr>
          <w:color w:val="auto"/>
        </w:rPr>
        <w:fldChar w:fldCharType="begin"/>
      </w:r>
      <w:r w:rsidRPr="006C3B66">
        <w:rPr>
          <w:color w:val="auto"/>
        </w:rPr>
        <w:instrText xml:space="preserve"> PAGEREF _Toc342900365 \h </w:instrText>
      </w:r>
      <w:r w:rsidRPr="006C3B66">
        <w:rPr>
          <w:color w:val="auto"/>
        </w:rPr>
      </w:r>
      <w:r w:rsidRPr="006C3B66">
        <w:rPr>
          <w:color w:val="auto"/>
        </w:rPr>
        <w:fldChar w:fldCharType="separate"/>
      </w:r>
      <w:r>
        <w:rPr>
          <w:color w:val="auto"/>
        </w:rPr>
        <w:t>137</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56</w:t>
      </w:r>
      <w:r w:rsidRPr="006C3B66">
        <w:rPr>
          <w:color w:val="auto"/>
          <w:lang w:val="it-IT"/>
        </w:rPr>
        <w:t xml:space="preserve"> Forefront Security for Office Communications Server (SL per Utente e Dispositivo)</w:t>
      </w:r>
      <w:r w:rsidRPr="006C3B66">
        <w:rPr>
          <w:color w:val="auto"/>
        </w:rPr>
        <w:tab/>
      </w:r>
      <w:r w:rsidRPr="006C3B66">
        <w:rPr>
          <w:color w:val="auto"/>
        </w:rPr>
        <w:fldChar w:fldCharType="begin"/>
      </w:r>
      <w:r w:rsidRPr="006C3B66">
        <w:rPr>
          <w:color w:val="auto"/>
        </w:rPr>
        <w:instrText xml:space="preserve"> PAGEREF _Toc342900366 \h </w:instrText>
      </w:r>
      <w:r w:rsidRPr="006C3B66">
        <w:rPr>
          <w:color w:val="auto"/>
        </w:rPr>
      </w:r>
      <w:r w:rsidRPr="006C3B66">
        <w:rPr>
          <w:color w:val="auto"/>
        </w:rPr>
        <w:fldChar w:fldCharType="separate"/>
      </w:r>
      <w:r>
        <w:rPr>
          <w:color w:val="auto"/>
        </w:rPr>
        <w:t>137</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 xml:space="preserve">57 </w:t>
      </w:r>
      <w:r w:rsidRPr="006C3B66">
        <w:rPr>
          <w:color w:val="auto"/>
          <w:lang w:val="it-IT"/>
        </w:rPr>
        <w:t>Forefront Threat Management Gateway Web Protection Service</w:t>
      </w:r>
      <w:r w:rsidRPr="006C3B66">
        <w:rPr>
          <w:color w:val="auto"/>
        </w:rPr>
        <w:tab/>
      </w:r>
      <w:r w:rsidRPr="006C3B66">
        <w:rPr>
          <w:color w:val="auto"/>
        </w:rPr>
        <w:fldChar w:fldCharType="begin"/>
      </w:r>
      <w:r w:rsidRPr="006C3B66">
        <w:rPr>
          <w:color w:val="auto"/>
        </w:rPr>
        <w:instrText xml:space="preserve"> PAGEREF _Toc342900367 \h </w:instrText>
      </w:r>
      <w:r w:rsidRPr="006C3B66">
        <w:rPr>
          <w:color w:val="auto"/>
        </w:rPr>
      </w:r>
      <w:r w:rsidRPr="006C3B66">
        <w:rPr>
          <w:color w:val="auto"/>
        </w:rPr>
        <w:fldChar w:fldCharType="separate"/>
      </w:r>
      <w:r>
        <w:rPr>
          <w:color w:val="auto"/>
        </w:rPr>
        <w:t>138</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 xml:space="preserve">58 </w:t>
      </w:r>
      <w:r w:rsidRPr="006C3B66">
        <w:rPr>
          <w:color w:val="auto"/>
          <w:lang w:val="it-IT"/>
        </w:rPr>
        <w:t>Forefront Unified Access Gateway 2010</w:t>
      </w:r>
      <w:r w:rsidRPr="006C3B66">
        <w:rPr>
          <w:color w:val="auto"/>
        </w:rPr>
        <w:tab/>
      </w:r>
      <w:r w:rsidRPr="006C3B66">
        <w:rPr>
          <w:color w:val="auto"/>
        </w:rPr>
        <w:fldChar w:fldCharType="begin"/>
      </w:r>
      <w:r w:rsidRPr="006C3B66">
        <w:rPr>
          <w:color w:val="auto"/>
        </w:rPr>
        <w:instrText xml:space="preserve"> PAGEREF _Toc342900368 \h </w:instrText>
      </w:r>
      <w:r w:rsidRPr="006C3B66">
        <w:rPr>
          <w:color w:val="auto"/>
        </w:rPr>
      </w:r>
      <w:r w:rsidRPr="006C3B66">
        <w:rPr>
          <w:color w:val="auto"/>
        </w:rPr>
        <w:fldChar w:fldCharType="separate"/>
      </w:r>
      <w:r>
        <w:rPr>
          <w:color w:val="auto"/>
        </w:rPr>
        <w:t>138</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59</w:t>
      </w:r>
      <w:r w:rsidRPr="006C3B66">
        <w:rPr>
          <w:color w:val="auto"/>
          <w:lang w:val="it-IT"/>
        </w:rPr>
        <w:t xml:space="preserve"> HPC Pack 2008 R2 Enterprise</w:t>
      </w:r>
      <w:r w:rsidRPr="006C3B66">
        <w:rPr>
          <w:color w:val="auto"/>
        </w:rPr>
        <w:tab/>
      </w:r>
      <w:r w:rsidRPr="006C3B66">
        <w:rPr>
          <w:color w:val="auto"/>
        </w:rPr>
        <w:fldChar w:fldCharType="begin"/>
      </w:r>
      <w:r w:rsidRPr="006C3B66">
        <w:rPr>
          <w:color w:val="auto"/>
        </w:rPr>
        <w:instrText xml:space="preserve"> PAGEREF _Toc342900369 \h </w:instrText>
      </w:r>
      <w:r w:rsidRPr="006C3B66">
        <w:rPr>
          <w:color w:val="auto"/>
        </w:rPr>
      </w:r>
      <w:r w:rsidRPr="006C3B66">
        <w:rPr>
          <w:color w:val="auto"/>
        </w:rPr>
        <w:fldChar w:fldCharType="separate"/>
      </w:r>
      <w:r>
        <w:rPr>
          <w:color w:val="auto"/>
        </w:rPr>
        <w:t>138</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60</w:t>
      </w:r>
      <w:r w:rsidRPr="006C3B66">
        <w:rPr>
          <w:color w:val="auto"/>
          <w:lang w:val="it-IT"/>
        </w:rPr>
        <w:t xml:space="preserve"> Learning Solutions MCP Exam Vouchers</w:t>
      </w:r>
      <w:r w:rsidRPr="006C3B66">
        <w:rPr>
          <w:color w:val="auto"/>
        </w:rPr>
        <w:tab/>
      </w:r>
      <w:r w:rsidRPr="006C3B66">
        <w:rPr>
          <w:color w:val="auto"/>
        </w:rPr>
        <w:fldChar w:fldCharType="begin"/>
      </w:r>
      <w:r w:rsidRPr="006C3B66">
        <w:rPr>
          <w:color w:val="auto"/>
        </w:rPr>
        <w:instrText xml:space="preserve"> PAGEREF _Toc342900370 \h </w:instrText>
      </w:r>
      <w:r w:rsidRPr="006C3B66">
        <w:rPr>
          <w:color w:val="auto"/>
        </w:rPr>
      </w:r>
      <w:r w:rsidRPr="006C3B66">
        <w:rPr>
          <w:color w:val="auto"/>
        </w:rPr>
        <w:fldChar w:fldCharType="separate"/>
      </w:r>
      <w:r>
        <w:rPr>
          <w:color w:val="auto"/>
        </w:rPr>
        <w:t>139</w:t>
      </w:r>
      <w:r w:rsidRPr="006C3B66">
        <w:rPr>
          <w:color w:val="auto"/>
        </w:rPr>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caps/>
          <w:vertAlign w:val="superscript"/>
          <w:lang w:val="it-IT"/>
        </w:rPr>
        <w:t>61</w:t>
      </w:r>
      <w:r w:rsidRPr="006C3B66">
        <w:rPr>
          <w:rFonts w:cs="Tahoma"/>
          <w:lang w:val="it-IT"/>
        </w:rPr>
        <w:t xml:space="preserve"> Lync Online Piani 1, 2 e 3</w:t>
      </w:r>
      <w:r w:rsidRPr="006C3B66">
        <w:tab/>
      </w:r>
      <w:r w:rsidRPr="006C3B66">
        <w:fldChar w:fldCharType="begin"/>
      </w:r>
      <w:r w:rsidRPr="006C3B66">
        <w:instrText xml:space="preserve"> PAGEREF _Toc342900371 \h </w:instrText>
      </w:r>
      <w:r w:rsidRPr="006C3B66">
        <w:fldChar w:fldCharType="separate"/>
      </w:r>
      <w:r>
        <w:t>139</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caps/>
          <w:vertAlign w:val="superscript"/>
          <w:lang w:val="it-IT"/>
        </w:rPr>
        <w:t xml:space="preserve">62 </w:t>
      </w:r>
      <w:r w:rsidRPr="006C3B66">
        <w:rPr>
          <w:rFonts w:cs="Tahoma"/>
          <w:lang w:val="it-IT"/>
        </w:rPr>
        <w:t>Lync Server 2013</w:t>
      </w:r>
      <w:r w:rsidRPr="006C3B66">
        <w:tab/>
      </w:r>
      <w:r w:rsidRPr="006C3B66">
        <w:fldChar w:fldCharType="begin"/>
      </w:r>
      <w:r w:rsidRPr="006C3B66">
        <w:instrText xml:space="preserve"> PAGEREF _Toc342900372 \h </w:instrText>
      </w:r>
      <w:r w:rsidRPr="006C3B66">
        <w:fldChar w:fldCharType="separate"/>
      </w:r>
      <w:r>
        <w:t>139</w:t>
      </w:r>
      <w:r w:rsidRPr="006C3B66">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vertAlign w:val="superscript"/>
          <w:lang w:val="it-IT"/>
        </w:rPr>
        <w:t>63</w:t>
      </w:r>
      <w:r w:rsidRPr="006C3B66">
        <w:rPr>
          <w:color w:val="auto"/>
          <w:lang w:val="it-IT"/>
        </w:rPr>
        <w:t xml:space="preserve"> Microsoft Dynamics AX 2012 R2</w:t>
      </w:r>
      <w:r w:rsidRPr="006C3B66">
        <w:rPr>
          <w:color w:val="auto"/>
        </w:rPr>
        <w:tab/>
      </w:r>
      <w:r w:rsidRPr="006C3B66">
        <w:rPr>
          <w:color w:val="auto"/>
        </w:rPr>
        <w:fldChar w:fldCharType="begin"/>
      </w:r>
      <w:r w:rsidRPr="006C3B66">
        <w:rPr>
          <w:color w:val="auto"/>
        </w:rPr>
        <w:instrText xml:space="preserve"> PAGEREF _Toc342900373 \h </w:instrText>
      </w:r>
      <w:r w:rsidRPr="006C3B66">
        <w:rPr>
          <w:color w:val="auto"/>
        </w:rPr>
      </w:r>
      <w:r w:rsidRPr="006C3B66">
        <w:rPr>
          <w:color w:val="auto"/>
        </w:rPr>
        <w:fldChar w:fldCharType="separate"/>
      </w:r>
      <w:r>
        <w:rPr>
          <w:color w:val="auto"/>
        </w:rPr>
        <w:t>141</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vertAlign w:val="superscript"/>
          <w:lang w:val="it-IT"/>
        </w:rPr>
        <w:t>64</w:t>
      </w:r>
      <w:r w:rsidRPr="006C3B66">
        <w:rPr>
          <w:color w:val="auto"/>
          <w:lang w:val="it-IT"/>
        </w:rPr>
        <w:t xml:space="preserve"> Microsoft Dynamics CRM 2011</w:t>
      </w:r>
      <w:r w:rsidRPr="006C3B66">
        <w:rPr>
          <w:color w:val="auto"/>
        </w:rPr>
        <w:tab/>
      </w:r>
      <w:r w:rsidRPr="006C3B66">
        <w:rPr>
          <w:color w:val="auto"/>
        </w:rPr>
        <w:fldChar w:fldCharType="begin"/>
      </w:r>
      <w:r w:rsidRPr="006C3B66">
        <w:rPr>
          <w:color w:val="auto"/>
        </w:rPr>
        <w:instrText xml:space="preserve"> PAGEREF _Toc342900374 \h </w:instrText>
      </w:r>
      <w:r w:rsidRPr="006C3B66">
        <w:rPr>
          <w:color w:val="auto"/>
        </w:rPr>
      </w:r>
      <w:r w:rsidRPr="006C3B66">
        <w:rPr>
          <w:color w:val="auto"/>
        </w:rPr>
        <w:fldChar w:fldCharType="separate"/>
      </w:r>
      <w:r>
        <w:rPr>
          <w:color w:val="auto"/>
        </w:rPr>
        <w:t>142</w:t>
      </w:r>
      <w:r w:rsidRPr="006C3B66">
        <w:rPr>
          <w:color w:val="auto"/>
        </w:rPr>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caps/>
          <w:vertAlign w:val="superscript"/>
          <w:lang w:val="it-IT"/>
        </w:rPr>
        <w:t>65</w:t>
      </w:r>
      <w:r w:rsidRPr="006C3B66">
        <w:rPr>
          <w:rFonts w:cs="Tahoma"/>
          <w:lang w:val="it-IT"/>
        </w:rPr>
        <w:t xml:space="preserve"> Office 365 Piano E1</w:t>
      </w:r>
      <w:r w:rsidRPr="006C3B66">
        <w:tab/>
      </w:r>
      <w:r w:rsidRPr="006C3B66">
        <w:fldChar w:fldCharType="begin"/>
      </w:r>
      <w:r w:rsidRPr="006C3B66">
        <w:instrText xml:space="preserve"> PAGEREF _Toc342900375 \h </w:instrText>
      </w:r>
      <w:r w:rsidRPr="006C3B66">
        <w:fldChar w:fldCharType="separate"/>
      </w:r>
      <w:r>
        <w:t>149</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caps/>
          <w:vertAlign w:val="superscript"/>
          <w:lang w:val="it-IT"/>
        </w:rPr>
        <w:t>66</w:t>
      </w:r>
      <w:r w:rsidRPr="006C3B66">
        <w:rPr>
          <w:rFonts w:cs="Tahoma"/>
          <w:lang w:val="it-IT"/>
        </w:rPr>
        <w:t xml:space="preserve"> Office 365 Piano G1-G4</w:t>
      </w:r>
      <w:r w:rsidRPr="006C3B66">
        <w:tab/>
      </w:r>
      <w:r w:rsidRPr="006C3B66">
        <w:fldChar w:fldCharType="begin"/>
      </w:r>
      <w:r w:rsidRPr="006C3B66">
        <w:instrText xml:space="preserve"> PAGEREF _Toc342900376 \h </w:instrText>
      </w:r>
      <w:r w:rsidRPr="006C3B66">
        <w:fldChar w:fldCharType="separate"/>
      </w:r>
      <w:r>
        <w:t>150</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caps/>
          <w:vertAlign w:val="superscript"/>
          <w:lang w:val="it-IT"/>
        </w:rPr>
        <w:t xml:space="preserve">67 </w:t>
      </w:r>
      <w:r w:rsidRPr="006C3B66">
        <w:rPr>
          <w:rFonts w:cs="Tahoma"/>
          <w:lang w:val="it-IT"/>
        </w:rPr>
        <w:t>Office 365 Piano K1 e K2 (SL per Utente)</w:t>
      </w:r>
      <w:r w:rsidRPr="006C3B66">
        <w:tab/>
      </w:r>
      <w:r w:rsidRPr="006C3B66">
        <w:fldChar w:fldCharType="begin"/>
      </w:r>
      <w:r w:rsidRPr="006C3B66">
        <w:instrText xml:space="preserve"> PAGEREF _Toc342900377 \h </w:instrText>
      </w:r>
      <w:r w:rsidRPr="006C3B66">
        <w:fldChar w:fldCharType="separate"/>
      </w:r>
      <w:r>
        <w:t>151</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caps/>
          <w:vertAlign w:val="superscript"/>
          <w:lang w:val="it-IT"/>
        </w:rPr>
        <w:t>68</w:t>
      </w:r>
      <w:r w:rsidRPr="006C3B66">
        <w:rPr>
          <w:rFonts w:cs="Tahoma"/>
          <w:lang w:val="it-IT"/>
        </w:rPr>
        <w:t xml:space="preserve"> SharePoint Online Piano 1 e Piano 2</w:t>
      </w:r>
      <w:r w:rsidRPr="006C3B66">
        <w:tab/>
      </w:r>
      <w:r w:rsidRPr="006C3B66">
        <w:fldChar w:fldCharType="begin"/>
      </w:r>
      <w:r w:rsidRPr="006C3B66">
        <w:instrText xml:space="preserve"> PAGEREF _Toc342900378 \h </w:instrText>
      </w:r>
      <w:r w:rsidRPr="006C3B66">
        <w:fldChar w:fldCharType="separate"/>
      </w:r>
      <w:r>
        <w:t>151</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caps/>
          <w:vertAlign w:val="superscript"/>
          <w:lang w:val="it-IT"/>
        </w:rPr>
        <w:t xml:space="preserve">69 </w:t>
      </w:r>
      <w:r w:rsidRPr="006C3B66">
        <w:rPr>
          <w:rFonts w:cs="Tahoma"/>
          <w:lang w:val="it-IT"/>
        </w:rPr>
        <w:t>SharePoint Server 2013</w:t>
      </w:r>
      <w:r w:rsidRPr="006C3B66">
        <w:tab/>
      </w:r>
      <w:r w:rsidRPr="006C3B66">
        <w:fldChar w:fldCharType="begin"/>
      </w:r>
      <w:r w:rsidRPr="006C3B66">
        <w:instrText xml:space="preserve"> PAGEREF _Toc342900379 \h </w:instrText>
      </w:r>
      <w:r w:rsidRPr="006C3B66">
        <w:fldChar w:fldCharType="separate"/>
      </w:r>
      <w:r>
        <w:t>152</w:t>
      </w:r>
      <w:r w:rsidRPr="006C3B66">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70</w:t>
      </w:r>
      <w:r w:rsidRPr="006C3B66">
        <w:rPr>
          <w:color w:val="auto"/>
          <w:lang w:val="it-IT"/>
        </w:rPr>
        <w:t xml:space="preserve"> SQL Server</w:t>
      </w:r>
      <w:r w:rsidRPr="003A0F2F">
        <w:rPr>
          <w:color w:val="auto"/>
          <w:vertAlign w:val="superscript"/>
          <w:lang w:val="it-IT"/>
        </w:rPr>
        <w:t>®</w:t>
      </w:r>
      <w:r w:rsidRPr="006C3B66">
        <w:rPr>
          <w:color w:val="auto"/>
          <w:lang w:val="it-IT"/>
        </w:rPr>
        <w:t xml:space="preserve"> 2008 R2 Datacenter</w:t>
      </w:r>
      <w:r w:rsidRPr="006C3B66">
        <w:rPr>
          <w:color w:val="auto"/>
        </w:rPr>
        <w:tab/>
      </w:r>
      <w:r w:rsidRPr="006C3B66">
        <w:rPr>
          <w:color w:val="auto"/>
        </w:rPr>
        <w:fldChar w:fldCharType="begin"/>
      </w:r>
      <w:r w:rsidRPr="006C3B66">
        <w:rPr>
          <w:color w:val="auto"/>
        </w:rPr>
        <w:instrText xml:space="preserve"> PAGEREF _Toc342900380 \h </w:instrText>
      </w:r>
      <w:r w:rsidRPr="006C3B66">
        <w:rPr>
          <w:color w:val="auto"/>
        </w:rPr>
      </w:r>
      <w:r w:rsidRPr="006C3B66">
        <w:rPr>
          <w:color w:val="auto"/>
        </w:rPr>
        <w:fldChar w:fldCharType="separate"/>
      </w:r>
      <w:r>
        <w:rPr>
          <w:color w:val="auto"/>
        </w:rPr>
        <w:t>154</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71</w:t>
      </w:r>
      <w:r w:rsidRPr="006C3B66">
        <w:rPr>
          <w:color w:val="auto"/>
          <w:lang w:val="it-IT"/>
        </w:rPr>
        <w:t xml:space="preserve"> SQL Server</w:t>
      </w:r>
      <w:r w:rsidRPr="003A0F2F">
        <w:rPr>
          <w:color w:val="auto"/>
          <w:vertAlign w:val="superscript"/>
          <w:lang w:val="it-IT"/>
        </w:rPr>
        <w:t>®</w:t>
      </w:r>
      <w:r w:rsidRPr="006C3B66">
        <w:rPr>
          <w:color w:val="auto"/>
          <w:lang w:val="it-IT"/>
        </w:rPr>
        <w:t xml:space="preserve"> 2008 R2 Parallel Data Warehouse</w:t>
      </w:r>
      <w:r w:rsidRPr="006C3B66">
        <w:rPr>
          <w:color w:val="auto"/>
        </w:rPr>
        <w:tab/>
      </w:r>
      <w:r w:rsidRPr="006C3B66">
        <w:rPr>
          <w:color w:val="auto"/>
        </w:rPr>
        <w:fldChar w:fldCharType="begin"/>
      </w:r>
      <w:r w:rsidRPr="006C3B66">
        <w:rPr>
          <w:color w:val="auto"/>
        </w:rPr>
        <w:instrText xml:space="preserve"> PAGEREF _Toc342900381 \h </w:instrText>
      </w:r>
      <w:r w:rsidRPr="006C3B66">
        <w:rPr>
          <w:color w:val="auto"/>
        </w:rPr>
      </w:r>
      <w:r w:rsidRPr="006C3B66">
        <w:rPr>
          <w:color w:val="auto"/>
        </w:rPr>
        <w:fldChar w:fldCharType="separate"/>
      </w:r>
      <w:r>
        <w:rPr>
          <w:color w:val="auto"/>
        </w:rPr>
        <w:t>156</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72</w:t>
      </w:r>
      <w:r w:rsidRPr="006C3B66">
        <w:rPr>
          <w:color w:val="auto"/>
          <w:lang w:val="it-IT"/>
        </w:rPr>
        <w:t xml:space="preserve"> SQL Server</w:t>
      </w:r>
      <w:r w:rsidRPr="003A0F2F">
        <w:rPr>
          <w:color w:val="auto"/>
          <w:vertAlign w:val="superscript"/>
          <w:lang w:val="it-IT"/>
        </w:rPr>
        <w:t>®</w:t>
      </w:r>
      <w:r w:rsidRPr="006C3B66">
        <w:rPr>
          <w:color w:val="auto"/>
          <w:lang w:val="it-IT"/>
        </w:rPr>
        <w:t xml:space="preserve"> 2008 R2 Small Business</w:t>
      </w:r>
      <w:r w:rsidRPr="006C3B66">
        <w:rPr>
          <w:color w:val="auto"/>
        </w:rPr>
        <w:tab/>
      </w:r>
      <w:r w:rsidRPr="006C3B66">
        <w:rPr>
          <w:color w:val="auto"/>
        </w:rPr>
        <w:fldChar w:fldCharType="begin"/>
      </w:r>
      <w:r w:rsidRPr="006C3B66">
        <w:rPr>
          <w:color w:val="auto"/>
        </w:rPr>
        <w:instrText xml:space="preserve"> PAGEREF _Toc342900382 \h </w:instrText>
      </w:r>
      <w:r w:rsidRPr="006C3B66">
        <w:rPr>
          <w:color w:val="auto"/>
        </w:rPr>
      </w:r>
      <w:r w:rsidRPr="006C3B66">
        <w:rPr>
          <w:color w:val="auto"/>
        </w:rPr>
        <w:fldChar w:fldCharType="separate"/>
      </w:r>
      <w:r>
        <w:rPr>
          <w:color w:val="auto"/>
        </w:rPr>
        <w:t>156</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73</w:t>
      </w:r>
      <w:r w:rsidRPr="006C3B66">
        <w:rPr>
          <w:color w:val="auto"/>
          <w:lang w:val="it-IT"/>
        </w:rPr>
        <w:t xml:space="preserve"> Licenza Per Processore per SQL Server</w:t>
      </w:r>
      <w:r w:rsidRPr="003A0F2F">
        <w:rPr>
          <w:color w:val="auto"/>
          <w:vertAlign w:val="superscript"/>
          <w:lang w:val="it-IT"/>
        </w:rPr>
        <w:t>®</w:t>
      </w:r>
      <w:r w:rsidRPr="006C3B66">
        <w:rPr>
          <w:color w:val="auto"/>
          <w:lang w:val="it-IT"/>
        </w:rPr>
        <w:t xml:space="preserve"> 2008 R2 Web</w:t>
      </w:r>
      <w:r w:rsidRPr="006C3B66">
        <w:rPr>
          <w:color w:val="auto"/>
        </w:rPr>
        <w:tab/>
      </w:r>
      <w:r w:rsidRPr="006C3B66">
        <w:rPr>
          <w:color w:val="auto"/>
        </w:rPr>
        <w:fldChar w:fldCharType="begin"/>
      </w:r>
      <w:r w:rsidRPr="006C3B66">
        <w:rPr>
          <w:color w:val="auto"/>
        </w:rPr>
        <w:instrText xml:space="preserve"> PAGEREF _Toc342900383 \h </w:instrText>
      </w:r>
      <w:r w:rsidRPr="006C3B66">
        <w:rPr>
          <w:color w:val="auto"/>
        </w:rPr>
      </w:r>
      <w:r w:rsidRPr="006C3B66">
        <w:rPr>
          <w:color w:val="auto"/>
        </w:rPr>
        <w:fldChar w:fldCharType="separate"/>
      </w:r>
      <w:r>
        <w:rPr>
          <w:color w:val="auto"/>
        </w:rPr>
        <w:t>156</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vertAlign w:val="superscript"/>
          <w:lang w:val="it-IT"/>
        </w:rPr>
        <w:t>74</w:t>
      </w:r>
      <w:r w:rsidRPr="006C3B66">
        <w:rPr>
          <w:color w:val="auto"/>
          <w:lang w:val="it-IT"/>
        </w:rPr>
        <w:t xml:space="preserve"> SQL Server</w:t>
      </w:r>
      <w:r w:rsidRPr="003A0F2F">
        <w:rPr>
          <w:color w:val="auto"/>
          <w:vertAlign w:val="superscript"/>
          <w:lang w:val="it-IT"/>
        </w:rPr>
        <w:t>®</w:t>
      </w:r>
      <w:r w:rsidRPr="006C3B66">
        <w:rPr>
          <w:color w:val="auto"/>
          <w:lang w:val="it-IT"/>
        </w:rPr>
        <w:t xml:space="preserve"> 2008 R2 Workgroup (5 Add On Client)</w:t>
      </w:r>
      <w:r w:rsidRPr="006C3B66">
        <w:rPr>
          <w:color w:val="auto"/>
        </w:rPr>
        <w:tab/>
      </w:r>
      <w:r w:rsidRPr="006C3B66">
        <w:rPr>
          <w:color w:val="auto"/>
        </w:rPr>
        <w:fldChar w:fldCharType="begin"/>
      </w:r>
      <w:r w:rsidRPr="006C3B66">
        <w:rPr>
          <w:color w:val="auto"/>
        </w:rPr>
        <w:instrText xml:space="preserve"> PAGEREF _Toc342900384 \h </w:instrText>
      </w:r>
      <w:r w:rsidRPr="006C3B66">
        <w:rPr>
          <w:color w:val="auto"/>
        </w:rPr>
      </w:r>
      <w:r w:rsidRPr="006C3B66">
        <w:rPr>
          <w:color w:val="auto"/>
        </w:rPr>
        <w:fldChar w:fldCharType="separate"/>
      </w:r>
      <w:r>
        <w:rPr>
          <w:color w:val="auto"/>
        </w:rPr>
        <w:t>159</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vertAlign w:val="superscript"/>
          <w:lang w:val="it-IT"/>
        </w:rPr>
        <w:t>75</w:t>
      </w:r>
      <w:r w:rsidRPr="006C3B66">
        <w:rPr>
          <w:color w:val="auto"/>
          <w:lang w:val="it-IT"/>
        </w:rPr>
        <w:t xml:space="preserve"> Licenza per Processore per SQL Server</w:t>
      </w:r>
      <w:r w:rsidRPr="003A0F2F">
        <w:rPr>
          <w:color w:val="auto"/>
          <w:vertAlign w:val="superscript"/>
          <w:lang w:val="it-IT"/>
        </w:rPr>
        <w:t>®</w:t>
      </w:r>
      <w:r w:rsidRPr="006C3B66">
        <w:rPr>
          <w:color w:val="auto"/>
          <w:lang w:val="it-IT"/>
        </w:rPr>
        <w:t xml:space="preserve"> 2008 R2 Workgroup</w:t>
      </w:r>
      <w:r w:rsidRPr="006C3B66">
        <w:rPr>
          <w:color w:val="auto"/>
        </w:rPr>
        <w:tab/>
      </w:r>
      <w:r w:rsidRPr="006C3B66">
        <w:rPr>
          <w:color w:val="auto"/>
        </w:rPr>
        <w:fldChar w:fldCharType="begin"/>
      </w:r>
      <w:r w:rsidRPr="006C3B66">
        <w:rPr>
          <w:color w:val="auto"/>
        </w:rPr>
        <w:instrText xml:space="preserve"> PAGEREF _Toc342900385 \h </w:instrText>
      </w:r>
      <w:r w:rsidRPr="006C3B66">
        <w:rPr>
          <w:color w:val="auto"/>
        </w:rPr>
      </w:r>
      <w:r w:rsidRPr="006C3B66">
        <w:rPr>
          <w:color w:val="auto"/>
        </w:rPr>
        <w:fldChar w:fldCharType="separate"/>
      </w:r>
      <w:r>
        <w:rPr>
          <w:color w:val="auto"/>
        </w:rPr>
        <w:t>159</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vertAlign w:val="superscript"/>
          <w:lang w:val="it-IT"/>
        </w:rPr>
        <w:t>76</w:t>
      </w:r>
      <w:r w:rsidRPr="006C3B66">
        <w:rPr>
          <w:color w:val="auto"/>
          <w:lang w:val="it-IT"/>
        </w:rPr>
        <w:t xml:space="preserve"> SQL Server</w:t>
      </w:r>
      <w:r w:rsidRPr="003A0F2F">
        <w:rPr>
          <w:color w:val="auto"/>
          <w:vertAlign w:val="superscript"/>
          <w:lang w:val="it-IT"/>
        </w:rPr>
        <w:t>®</w:t>
      </w:r>
      <w:r w:rsidRPr="006C3B66">
        <w:rPr>
          <w:color w:val="auto"/>
          <w:lang w:val="it-IT"/>
        </w:rPr>
        <w:t xml:space="preserve"> 2012 Developer</w:t>
      </w:r>
      <w:r w:rsidRPr="006C3B66">
        <w:rPr>
          <w:color w:val="auto"/>
        </w:rPr>
        <w:tab/>
      </w:r>
      <w:r w:rsidRPr="006C3B66">
        <w:rPr>
          <w:color w:val="auto"/>
        </w:rPr>
        <w:fldChar w:fldCharType="begin"/>
      </w:r>
      <w:r w:rsidRPr="006C3B66">
        <w:rPr>
          <w:color w:val="auto"/>
        </w:rPr>
        <w:instrText xml:space="preserve"> PAGEREF _Toc342900386 \h </w:instrText>
      </w:r>
      <w:r w:rsidRPr="006C3B66">
        <w:rPr>
          <w:color w:val="auto"/>
        </w:rPr>
      </w:r>
      <w:r w:rsidRPr="006C3B66">
        <w:rPr>
          <w:color w:val="auto"/>
        </w:rPr>
        <w:fldChar w:fldCharType="separate"/>
      </w:r>
      <w:r>
        <w:rPr>
          <w:color w:val="auto"/>
        </w:rPr>
        <w:t>161</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vertAlign w:val="superscript"/>
          <w:lang w:val="it-IT"/>
        </w:rPr>
        <w:t>77</w:t>
      </w:r>
      <w:r w:rsidRPr="006C3B66">
        <w:rPr>
          <w:color w:val="auto"/>
          <w:lang w:val="it-IT"/>
        </w:rPr>
        <w:t xml:space="preserve"> SQL Server</w:t>
      </w:r>
      <w:r w:rsidRPr="003A0F2F">
        <w:rPr>
          <w:color w:val="auto"/>
          <w:vertAlign w:val="superscript"/>
          <w:lang w:val="it-IT"/>
        </w:rPr>
        <w:t>®</w:t>
      </w:r>
      <w:r w:rsidRPr="006C3B66">
        <w:rPr>
          <w:color w:val="auto"/>
          <w:lang w:val="it-IT"/>
        </w:rPr>
        <w:t xml:space="preserve"> 2012 Enterprise</w:t>
      </w:r>
      <w:r w:rsidRPr="006C3B66">
        <w:rPr>
          <w:color w:val="auto"/>
        </w:rPr>
        <w:tab/>
      </w:r>
      <w:r w:rsidRPr="006C3B66">
        <w:rPr>
          <w:color w:val="auto"/>
        </w:rPr>
        <w:fldChar w:fldCharType="begin"/>
      </w:r>
      <w:r w:rsidRPr="006C3B66">
        <w:rPr>
          <w:color w:val="auto"/>
        </w:rPr>
        <w:instrText xml:space="preserve"> PAGEREF _Toc342900387 \h </w:instrText>
      </w:r>
      <w:r w:rsidRPr="006C3B66">
        <w:rPr>
          <w:color w:val="auto"/>
        </w:rPr>
      </w:r>
      <w:r w:rsidRPr="006C3B66">
        <w:rPr>
          <w:color w:val="auto"/>
        </w:rPr>
        <w:fldChar w:fldCharType="separate"/>
      </w:r>
      <w:r>
        <w:rPr>
          <w:color w:val="auto"/>
        </w:rPr>
        <w:t>162</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 xml:space="preserve">78 </w:t>
      </w:r>
      <w:r w:rsidRPr="006C3B66">
        <w:rPr>
          <w:color w:val="auto"/>
          <w:lang w:val="it-IT"/>
        </w:rPr>
        <w:t>SQL Server</w:t>
      </w:r>
      <w:r w:rsidRPr="003A0F2F">
        <w:rPr>
          <w:color w:val="auto"/>
          <w:vertAlign w:val="superscript"/>
          <w:lang w:val="it-IT"/>
        </w:rPr>
        <w:t>®</w:t>
      </w:r>
      <w:r w:rsidRPr="006C3B66">
        <w:rPr>
          <w:color w:val="auto"/>
          <w:lang w:val="it-IT"/>
        </w:rPr>
        <w:t xml:space="preserve"> 2012 Enterprise Core</w:t>
      </w:r>
      <w:r w:rsidRPr="006C3B66">
        <w:rPr>
          <w:color w:val="auto"/>
        </w:rPr>
        <w:tab/>
      </w:r>
      <w:r w:rsidRPr="006C3B66">
        <w:rPr>
          <w:color w:val="auto"/>
        </w:rPr>
        <w:fldChar w:fldCharType="begin"/>
      </w:r>
      <w:r w:rsidRPr="006C3B66">
        <w:rPr>
          <w:color w:val="auto"/>
        </w:rPr>
        <w:instrText xml:space="preserve"> PAGEREF _Toc342900388 \h </w:instrText>
      </w:r>
      <w:r w:rsidRPr="006C3B66">
        <w:rPr>
          <w:color w:val="auto"/>
        </w:rPr>
      </w:r>
      <w:r w:rsidRPr="006C3B66">
        <w:rPr>
          <w:color w:val="auto"/>
        </w:rPr>
        <w:fldChar w:fldCharType="separate"/>
      </w:r>
      <w:r>
        <w:rPr>
          <w:color w:val="auto"/>
        </w:rPr>
        <w:t>162</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79</w:t>
      </w:r>
      <w:r w:rsidRPr="006C3B66">
        <w:rPr>
          <w:color w:val="auto"/>
          <w:lang w:val="it-IT"/>
        </w:rPr>
        <w:t xml:space="preserve"> SQL Server</w:t>
      </w:r>
      <w:r w:rsidRPr="003A0F2F">
        <w:rPr>
          <w:color w:val="auto"/>
          <w:vertAlign w:val="superscript"/>
          <w:lang w:val="it-IT"/>
        </w:rPr>
        <w:t>®</w:t>
      </w:r>
      <w:r w:rsidRPr="006C3B66">
        <w:rPr>
          <w:color w:val="auto"/>
          <w:lang w:val="it-IT"/>
        </w:rPr>
        <w:t xml:space="preserve"> 2012 Standard</w:t>
      </w:r>
      <w:r w:rsidRPr="006C3B66">
        <w:rPr>
          <w:color w:val="auto"/>
        </w:rPr>
        <w:tab/>
      </w:r>
      <w:r w:rsidRPr="006C3B66">
        <w:rPr>
          <w:color w:val="auto"/>
        </w:rPr>
        <w:fldChar w:fldCharType="begin"/>
      </w:r>
      <w:r w:rsidRPr="006C3B66">
        <w:rPr>
          <w:color w:val="auto"/>
        </w:rPr>
        <w:instrText xml:space="preserve"> PAGEREF _Toc342900389 \h </w:instrText>
      </w:r>
      <w:r w:rsidRPr="006C3B66">
        <w:rPr>
          <w:color w:val="auto"/>
        </w:rPr>
      </w:r>
      <w:r w:rsidRPr="006C3B66">
        <w:rPr>
          <w:color w:val="auto"/>
        </w:rPr>
        <w:fldChar w:fldCharType="separate"/>
      </w:r>
      <w:r>
        <w:rPr>
          <w:color w:val="auto"/>
        </w:rPr>
        <w:t>165</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80</w:t>
      </w:r>
      <w:r w:rsidRPr="006C3B66">
        <w:rPr>
          <w:color w:val="auto"/>
          <w:lang w:val="it-IT"/>
        </w:rPr>
        <w:t xml:space="preserve"> SQL Server</w:t>
      </w:r>
      <w:r w:rsidRPr="003A0F2F">
        <w:rPr>
          <w:color w:val="auto"/>
          <w:vertAlign w:val="superscript"/>
          <w:lang w:val="it-IT"/>
        </w:rPr>
        <w:t>®</w:t>
      </w:r>
      <w:r w:rsidRPr="006C3B66">
        <w:rPr>
          <w:color w:val="auto"/>
          <w:lang w:val="it-IT"/>
        </w:rPr>
        <w:t xml:space="preserve"> 2012 Standard Core</w:t>
      </w:r>
      <w:r w:rsidRPr="006C3B66">
        <w:rPr>
          <w:color w:val="auto"/>
        </w:rPr>
        <w:tab/>
      </w:r>
      <w:r w:rsidRPr="006C3B66">
        <w:rPr>
          <w:color w:val="auto"/>
        </w:rPr>
        <w:fldChar w:fldCharType="begin"/>
      </w:r>
      <w:r w:rsidRPr="006C3B66">
        <w:rPr>
          <w:color w:val="auto"/>
        </w:rPr>
        <w:instrText xml:space="preserve"> PAGEREF _Toc342900390 \h </w:instrText>
      </w:r>
      <w:r w:rsidRPr="006C3B66">
        <w:rPr>
          <w:color w:val="auto"/>
        </w:rPr>
      </w:r>
      <w:r w:rsidRPr="006C3B66">
        <w:rPr>
          <w:color w:val="auto"/>
        </w:rPr>
        <w:fldChar w:fldCharType="separate"/>
      </w:r>
      <w:r>
        <w:rPr>
          <w:color w:val="auto"/>
        </w:rPr>
        <w:t>165</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81</w:t>
      </w:r>
      <w:r w:rsidRPr="006C3B66">
        <w:rPr>
          <w:color w:val="auto"/>
          <w:lang w:val="it-IT"/>
        </w:rPr>
        <w:t xml:space="preserve"> Licenze di Gestione Server e Server di Gestione per System Center Configuration Manager 2007 R3</w:t>
      </w:r>
      <w:r w:rsidRPr="006C3B66">
        <w:rPr>
          <w:color w:val="auto"/>
        </w:rPr>
        <w:tab/>
      </w:r>
      <w:r w:rsidRPr="006C3B66">
        <w:rPr>
          <w:color w:val="auto"/>
        </w:rPr>
        <w:fldChar w:fldCharType="begin"/>
      </w:r>
      <w:r w:rsidRPr="006C3B66">
        <w:rPr>
          <w:color w:val="auto"/>
        </w:rPr>
        <w:instrText xml:space="preserve"> PAGEREF _Toc342900391 \h </w:instrText>
      </w:r>
      <w:r w:rsidRPr="006C3B66">
        <w:rPr>
          <w:color w:val="auto"/>
        </w:rPr>
      </w:r>
      <w:r w:rsidRPr="006C3B66">
        <w:rPr>
          <w:color w:val="auto"/>
        </w:rPr>
        <w:fldChar w:fldCharType="separate"/>
      </w:r>
      <w:r>
        <w:rPr>
          <w:color w:val="auto"/>
        </w:rPr>
        <w:t>168</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olor w:val="auto"/>
          <w:vertAlign w:val="superscript"/>
        </w:rPr>
        <w:t>82</w:t>
      </w:r>
      <w:r w:rsidRPr="006C3B66">
        <w:rPr>
          <w:color w:val="auto"/>
        </w:rPr>
        <w:t xml:space="preserve"> Licenze di Gestione Server e di Gestione Client per System Center Data Protection Manager 2010</w:t>
      </w:r>
      <w:r w:rsidRPr="006C3B66">
        <w:rPr>
          <w:color w:val="auto"/>
        </w:rPr>
        <w:tab/>
      </w:r>
      <w:r w:rsidRPr="006C3B66">
        <w:rPr>
          <w:color w:val="auto"/>
        </w:rPr>
        <w:fldChar w:fldCharType="begin"/>
      </w:r>
      <w:r w:rsidRPr="006C3B66">
        <w:rPr>
          <w:color w:val="auto"/>
        </w:rPr>
        <w:instrText xml:space="preserve"> PAGEREF _Toc342900392 \h </w:instrText>
      </w:r>
      <w:r w:rsidRPr="006C3B66">
        <w:rPr>
          <w:color w:val="auto"/>
        </w:rPr>
      </w:r>
      <w:r w:rsidRPr="006C3B66">
        <w:rPr>
          <w:color w:val="auto"/>
        </w:rPr>
        <w:fldChar w:fldCharType="separate"/>
      </w:r>
      <w:r>
        <w:rPr>
          <w:color w:val="auto"/>
        </w:rPr>
        <w:t>168</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83</w:t>
      </w:r>
      <w:r w:rsidRPr="001F69CF">
        <w:rPr>
          <w:caps/>
          <w:color w:val="auto"/>
          <w:lang w:val="it-IT"/>
        </w:rPr>
        <w:t xml:space="preserve"> </w:t>
      </w:r>
      <w:r w:rsidRPr="006C3B66">
        <w:rPr>
          <w:color w:val="auto"/>
          <w:lang w:val="it-IT"/>
        </w:rPr>
        <w:t>System Center Essentials 2010</w:t>
      </w:r>
      <w:r w:rsidRPr="006C3B66">
        <w:rPr>
          <w:color w:val="auto"/>
        </w:rPr>
        <w:tab/>
      </w:r>
      <w:r w:rsidRPr="006C3B66">
        <w:rPr>
          <w:color w:val="auto"/>
        </w:rPr>
        <w:fldChar w:fldCharType="begin"/>
      </w:r>
      <w:r w:rsidRPr="006C3B66">
        <w:rPr>
          <w:color w:val="auto"/>
        </w:rPr>
        <w:instrText xml:space="preserve"> PAGEREF _Toc342900393 \h </w:instrText>
      </w:r>
      <w:r w:rsidRPr="006C3B66">
        <w:rPr>
          <w:color w:val="auto"/>
        </w:rPr>
      </w:r>
      <w:r w:rsidRPr="006C3B66">
        <w:rPr>
          <w:color w:val="auto"/>
        </w:rPr>
        <w:fldChar w:fldCharType="separate"/>
      </w:r>
      <w:r>
        <w:rPr>
          <w:color w:val="auto"/>
        </w:rPr>
        <w:t>168</w:t>
      </w:r>
      <w:r w:rsidRPr="006C3B66">
        <w:rPr>
          <w:color w:val="auto"/>
        </w:rPr>
        <w:fldChar w:fldCharType="end"/>
      </w:r>
    </w:p>
    <w:p w:rsidR="00A92422" w:rsidRPr="006C3B66" w:rsidRDefault="00A92422" w:rsidP="00A92422">
      <w:pPr>
        <w:pStyle w:val="TOC3"/>
        <w:ind w:left="187" w:hanging="187"/>
        <w:rPr>
          <w:rFonts w:asciiTheme="minorHAnsi" w:eastAsiaTheme="minorEastAsia" w:hAnsiTheme="minorHAnsi" w:cstheme="minorBidi"/>
          <w:bCs w:val="0"/>
          <w:color w:val="auto"/>
          <w:sz w:val="22"/>
          <w:szCs w:val="22"/>
        </w:rPr>
      </w:pPr>
      <w:r w:rsidRPr="006C3B66">
        <w:rPr>
          <w:caps/>
          <w:color w:val="auto"/>
          <w:vertAlign w:val="superscript"/>
          <w:lang w:val="it-IT"/>
        </w:rPr>
        <w:t>84</w:t>
      </w:r>
      <w:r w:rsidRPr="006C3B66">
        <w:rPr>
          <w:color w:val="auto"/>
          <w:lang w:val="it-IT"/>
        </w:rPr>
        <w:t xml:space="preserve"> Licenze di Gestione Server, Server di Gestione e Gestione Client per </w:t>
      </w:r>
      <w:r w:rsidRPr="006C3B66">
        <w:rPr>
          <w:color w:val="auto"/>
          <w:lang w:val="it-IT"/>
        </w:rPr>
        <w:br/>
        <w:t>System Center Operations Manager 2007 R2</w:t>
      </w:r>
      <w:r w:rsidRPr="006C3B66">
        <w:rPr>
          <w:color w:val="auto"/>
        </w:rPr>
        <w:tab/>
      </w:r>
      <w:r w:rsidRPr="006C3B66">
        <w:rPr>
          <w:color w:val="auto"/>
        </w:rPr>
        <w:fldChar w:fldCharType="begin"/>
      </w:r>
      <w:r w:rsidRPr="006C3B66">
        <w:rPr>
          <w:color w:val="auto"/>
        </w:rPr>
        <w:instrText xml:space="preserve"> PAGEREF _Toc342900394 \h </w:instrText>
      </w:r>
      <w:r w:rsidRPr="006C3B66">
        <w:rPr>
          <w:color w:val="auto"/>
        </w:rPr>
      </w:r>
      <w:r w:rsidRPr="006C3B66">
        <w:rPr>
          <w:color w:val="auto"/>
        </w:rPr>
        <w:fldChar w:fldCharType="separate"/>
      </w:r>
      <w:r>
        <w:rPr>
          <w:color w:val="auto"/>
        </w:rPr>
        <w:t>168</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85</w:t>
      </w:r>
      <w:r w:rsidRPr="006C3B66">
        <w:rPr>
          <w:color w:val="auto"/>
          <w:lang w:val="it-IT"/>
        </w:rPr>
        <w:t xml:space="preserve"> System Center Reporting Manager 2006</w:t>
      </w:r>
      <w:r w:rsidRPr="006C3B66">
        <w:rPr>
          <w:color w:val="auto"/>
        </w:rPr>
        <w:tab/>
      </w:r>
      <w:r w:rsidRPr="006C3B66">
        <w:rPr>
          <w:color w:val="auto"/>
        </w:rPr>
        <w:fldChar w:fldCharType="begin"/>
      </w:r>
      <w:r w:rsidRPr="006C3B66">
        <w:rPr>
          <w:color w:val="auto"/>
        </w:rPr>
        <w:instrText xml:space="preserve"> PAGEREF _Toc342900395 \h </w:instrText>
      </w:r>
      <w:r w:rsidRPr="006C3B66">
        <w:rPr>
          <w:color w:val="auto"/>
        </w:rPr>
      </w:r>
      <w:r w:rsidRPr="006C3B66">
        <w:rPr>
          <w:color w:val="auto"/>
        </w:rPr>
        <w:fldChar w:fldCharType="separate"/>
      </w:r>
      <w:r>
        <w:rPr>
          <w:color w:val="auto"/>
        </w:rPr>
        <w:t>169</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86</w:t>
      </w:r>
      <w:r w:rsidRPr="006C3B66">
        <w:rPr>
          <w:color w:val="auto"/>
          <w:lang w:val="it-IT"/>
        </w:rPr>
        <w:t xml:space="preserve"> System Center Server Management Suite Enterprise</w:t>
      </w:r>
      <w:r w:rsidRPr="006C3B66">
        <w:rPr>
          <w:color w:val="auto"/>
        </w:rPr>
        <w:tab/>
      </w:r>
      <w:r w:rsidRPr="006C3B66">
        <w:rPr>
          <w:color w:val="auto"/>
        </w:rPr>
        <w:fldChar w:fldCharType="begin"/>
      </w:r>
      <w:r w:rsidRPr="006C3B66">
        <w:rPr>
          <w:color w:val="auto"/>
        </w:rPr>
        <w:instrText xml:space="preserve"> PAGEREF _Toc342900396 \h </w:instrText>
      </w:r>
      <w:r w:rsidRPr="006C3B66">
        <w:rPr>
          <w:color w:val="auto"/>
        </w:rPr>
      </w:r>
      <w:r w:rsidRPr="006C3B66">
        <w:rPr>
          <w:color w:val="auto"/>
        </w:rPr>
        <w:fldChar w:fldCharType="separate"/>
      </w:r>
      <w:r>
        <w:rPr>
          <w:color w:val="auto"/>
        </w:rPr>
        <w:t>169</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 xml:space="preserve">87 </w:t>
      </w:r>
      <w:r w:rsidRPr="006C3B66">
        <w:rPr>
          <w:color w:val="auto"/>
          <w:lang w:val="it-IT"/>
        </w:rPr>
        <w:t>System Center Server Management Suite Datacenter</w:t>
      </w:r>
      <w:r w:rsidRPr="006C3B66">
        <w:rPr>
          <w:color w:val="auto"/>
        </w:rPr>
        <w:tab/>
      </w:r>
      <w:r w:rsidRPr="006C3B66">
        <w:rPr>
          <w:color w:val="auto"/>
        </w:rPr>
        <w:fldChar w:fldCharType="begin"/>
      </w:r>
      <w:r w:rsidRPr="006C3B66">
        <w:rPr>
          <w:color w:val="auto"/>
        </w:rPr>
        <w:instrText xml:space="preserve"> PAGEREF _Toc342900397 \h </w:instrText>
      </w:r>
      <w:r w:rsidRPr="006C3B66">
        <w:rPr>
          <w:color w:val="auto"/>
        </w:rPr>
      </w:r>
      <w:r w:rsidRPr="006C3B66">
        <w:rPr>
          <w:color w:val="auto"/>
        </w:rPr>
        <w:fldChar w:fldCharType="separate"/>
      </w:r>
      <w:r>
        <w:rPr>
          <w:color w:val="auto"/>
        </w:rPr>
        <w:t>171</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88</w:t>
      </w:r>
      <w:r w:rsidRPr="006C3B66">
        <w:rPr>
          <w:color w:val="auto"/>
          <w:lang w:val="it-IT"/>
        </w:rPr>
        <w:t xml:space="preserve"> Licenze di Gestione Server, Gestione Client e Server di Gestione per System Center Service Manager 2010</w:t>
      </w:r>
      <w:r w:rsidRPr="006C3B66">
        <w:rPr>
          <w:color w:val="auto"/>
        </w:rPr>
        <w:tab/>
      </w:r>
      <w:r w:rsidRPr="006C3B66">
        <w:rPr>
          <w:color w:val="auto"/>
        </w:rPr>
        <w:fldChar w:fldCharType="begin"/>
      </w:r>
      <w:r w:rsidRPr="006C3B66">
        <w:rPr>
          <w:color w:val="auto"/>
        </w:rPr>
        <w:instrText xml:space="preserve"> PAGEREF _Toc342900398 \h </w:instrText>
      </w:r>
      <w:r w:rsidRPr="006C3B66">
        <w:rPr>
          <w:color w:val="auto"/>
        </w:rPr>
      </w:r>
      <w:r w:rsidRPr="006C3B66">
        <w:rPr>
          <w:color w:val="auto"/>
        </w:rPr>
        <w:fldChar w:fldCharType="separate"/>
      </w:r>
      <w:r>
        <w:rPr>
          <w:color w:val="auto"/>
        </w:rPr>
        <w:t>171</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89</w:t>
      </w:r>
      <w:r w:rsidRPr="006C3B66">
        <w:rPr>
          <w:color w:val="auto"/>
          <w:lang w:val="it-IT"/>
        </w:rPr>
        <w:t xml:space="preserve"> Licenze di Gestione Server e Client per System Center Virtual Machine Manager 2008 R2</w:t>
      </w:r>
      <w:r w:rsidRPr="006C3B66">
        <w:rPr>
          <w:color w:val="auto"/>
        </w:rPr>
        <w:tab/>
      </w:r>
      <w:r w:rsidRPr="006C3B66">
        <w:rPr>
          <w:color w:val="auto"/>
        </w:rPr>
        <w:fldChar w:fldCharType="begin"/>
      </w:r>
      <w:r w:rsidRPr="006C3B66">
        <w:rPr>
          <w:color w:val="auto"/>
        </w:rPr>
        <w:instrText xml:space="preserve"> PAGEREF _Toc342900399 \h </w:instrText>
      </w:r>
      <w:r w:rsidRPr="006C3B66">
        <w:rPr>
          <w:color w:val="auto"/>
        </w:rPr>
      </w:r>
      <w:r w:rsidRPr="006C3B66">
        <w:rPr>
          <w:color w:val="auto"/>
        </w:rPr>
        <w:fldChar w:fldCharType="separate"/>
      </w:r>
      <w:r>
        <w:rPr>
          <w:color w:val="auto"/>
        </w:rPr>
        <w:t>172</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90</w:t>
      </w:r>
      <w:r w:rsidRPr="006C3B66">
        <w:rPr>
          <w:color w:val="auto"/>
          <w:lang w:val="it-IT"/>
        </w:rPr>
        <w:t xml:space="preserve"> System Center 2012</w:t>
      </w:r>
      <w:r w:rsidRPr="006C3B66">
        <w:rPr>
          <w:color w:val="auto"/>
        </w:rPr>
        <w:tab/>
      </w:r>
      <w:r w:rsidRPr="006C3B66">
        <w:rPr>
          <w:color w:val="auto"/>
        </w:rPr>
        <w:fldChar w:fldCharType="begin"/>
      </w:r>
      <w:r w:rsidRPr="006C3B66">
        <w:rPr>
          <w:color w:val="auto"/>
        </w:rPr>
        <w:instrText xml:space="preserve"> PAGEREF _Toc342900400 \h </w:instrText>
      </w:r>
      <w:r w:rsidRPr="006C3B66">
        <w:rPr>
          <w:color w:val="auto"/>
        </w:rPr>
      </w:r>
      <w:r w:rsidRPr="006C3B66">
        <w:rPr>
          <w:color w:val="auto"/>
        </w:rPr>
        <w:fldChar w:fldCharType="separate"/>
      </w:r>
      <w:r>
        <w:rPr>
          <w:color w:val="auto"/>
        </w:rPr>
        <w:t>172</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91</w:t>
      </w:r>
      <w:r w:rsidRPr="006C3B66">
        <w:rPr>
          <w:color w:val="auto"/>
          <w:lang w:val="it-IT"/>
        </w:rPr>
        <w:t xml:space="preserve"> System Center 2012 Endpoint Protection</w:t>
      </w:r>
      <w:r w:rsidRPr="006C3B66">
        <w:rPr>
          <w:color w:val="auto"/>
        </w:rPr>
        <w:tab/>
      </w:r>
      <w:r w:rsidRPr="006C3B66">
        <w:rPr>
          <w:color w:val="auto"/>
        </w:rPr>
        <w:fldChar w:fldCharType="begin"/>
      </w:r>
      <w:r w:rsidRPr="006C3B66">
        <w:rPr>
          <w:color w:val="auto"/>
        </w:rPr>
        <w:instrText xml:space="preserve"> PAGEREF _Toc342900401 \h </w:instrText>
      </w:r>
      <w:r w:rsidRPr="006C3B66">
        <w:rPr>
          <w:color w:val="auto"/>
        </w:rPr>
      </w:r>
      <w:r w:rsidRPr="006C3B66">
        <w:rPr>
          <w:color w:val="auto"/>
        </w:rPr>
        <w:fldChar w:fldCharType="separate"/>
      </w:r>
      <w:r>
        <w:rPr>
          <w:color w:val="auto"/>
        </w:rPr>
        <w:t>175</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92</w:t>
      </w:r>
      <w:r w:rsidRPr="006C3B66">
        <w:rPr>
          <w:color w:val="auto"/>
          <w:lang w:val="it-IT"/>
        </w:rPr>
        <w:t xml:space="preserve"> TechNet Plus Single User</w:t>
      </w:r>
      <w:r w:rsidRPr="006C3B66">
        <w:rPr>
          <w:color w:val="auto"/>
        </w:rPr>
        <w:tab/>
      </w:r>
      <w:r w:rsidRPr="006C3B66">
        <w:rPr>
          <w:color w:val="auto"/>
        </w:rPr>
        <w:fldChar w:fldCharType="begin"/>
      </w:r>
      <w:r w:rsidRPr="006C3B66">
        <w:rPr>
          <w:color w:val="auto"/>
        </w:rPr>
        <w:instrText xml:space="preserve"> PAGEREF _Toc342900402 \h </w:instrText>
      </w:r>
      <w:r w:rsidRPr="006C3B66">
        <w:rPr>
          <w:color w:val="auto"/>
        </w:rPr>
      </w:r>
      <w:r w:rsidRPr="006C3B66">
        <w:rPr>
          <w:color w:val="auto"/>
        </w:rPr>
        <w:fldChar w:fldCharType="separate"/>
      </w:r>
      <w:r>
        <w:rPr>
          <w:color w:val="auto"/>
        </w:rPr>
        <w:t>175</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 xml:space="preserve">93 </w:t>
      </w:r>
      <w:r w:rsidRPr="006C3B66">
        <w:rPr>
          <w:color w:val="auto"/>
          <w:lang w:val="it-IT"/>
        </w:rPr>
        <w:t>VDI Standard e Premium Suite</w:t>
      </w:r>
      <w:r w:rsidRPr="006C3B66">
        <w:rPr>
          <w:color w:val="auto"/>
        </w:rPr>
        <w:tab/>
      </w:r>
      <w:r w:rsidRPr="006C3B66">
        <w:rPr>
          <w:color w:val="auto"/>
        </w:rPr>
        <w:fldChar w:fldCharType="begin"/>
      </w:r>
      <w:r w:rsidRPr="006C3B66">
        <w:rPr>
          <w:color w:val="auto"/>
        </w:rPr>
        <w:instrText xml:space="preserve"> PAGEREF _Toc342900403 \h </w:instrText>
      </w:r>
      <w:r w:rsidRPr="006C3B66">
        <w:rPr>
          <w:color w:val="auto"/>
        </w:rPr>
      </w:r>
      <w:r w:rsidRPr="006C3B66">
        <w:rPr>
          <w:color w:val="auto"/>
        </w:rPr>
        <w:fldChar w:fldCharType="separate"/>
      </w:r>
      <w:r>
        <w:rPr>
          <w:color w:val="auto"/>
        </w:rPr>
        <w:t>176</w:t>
      </w:r>
      <w:r w:rsidRPr="006C3B66">
        <w:rPr>
          <w:color w:val="auto"/>
        </w:rPr>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caps/>
          <w:vertAlign w:val="superscript"/>
          <w:lang w:val="it-IT"/>
        </w:rPr>
        <w:t xml:space="preserve">94 </w:t>
      </w:r>
      <w:r w:rsidRPr="006C3B66">
        <w:rPr>
          <w:rFonts w:cs="Tahoma"/>
          <w:lang w:val="it-IT"/>
        </w:rPr>
        <w:t>Servizi Windows Azure</w:t>
      </w:r>
      <w:r w:rsidRPr="006C3B66">
        <w:tab/>
      </w:r>
      <w:r w:rsidRPr="006C3B66">
        <w:fldChar w:fldCharType="begin"/>
      </w:r>
      <w:r w:rsidRPr="006C3B66">
        <w:instrText xml:space="preserve"> PAGEREF _Toc342900404 \h </w:instrText>
      </w:r>
      <w:r w:rsidRPr="006C3B66">
        <w:fldChar w:fldCharType="separate"/>
      </w:r>
      <w:r>
        <w:t>176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caps/>
          <w:vertAlign w:val="superscript"/>
          <w:lang w:val="it-IT"/>
        </w:rPr>
        <w:t>95</w:t>
      </w:r>
      <w:r w:rsidRPr="006C3B66">
        <w:rPr>
          <w:rFonts w:cs="Tahoma"/>
          <w:lang w:val="it-IT"/>
        </w:rPr>
        <w:t xml:space="preserve"> Licenza di Server di Gestione per Windows Embedded Device Manager 2011</w:t>
      </w:r>
      <w:r w:rsidRPr="006C3B66">
        <w:tab/>
      </w:r>
      <w:r w:rsidRPr="006C3B66">
        <w:fldChar w:fldCharType="begin"/>
      </w:r>
      <w:r w:rsidRPr="006C3B66">
        <w:instrText xml:space="preserve"> PAGEREF _Toc342900405 \h </w:instrText>
      </w:r>
      <w:r w:rsidRPr="006C3B66">
        <w:fldChar w:fldCharType="separate"/>
      </w:r>
      <w:r>
        <w:t>176</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caps/>
          <w:vertAlign w:val="superscript"/>
          <w:lang w:val="it-IT"/>
        </w:rPr>
        <w:t xml:space="preserve">96 </w:t>
      </w:r>
      <w:r w:rsidRPr="006C3B66">
        <w:rPr>
          <w:rFonts w:cs="Tahoma"/>
          <w:lang w:val="it-IT"/>
        </w:rPr>
        <w:t>Licenza di Gestione Client per Windows Embedded Device Manager 2011</w:t>
      </w:r>
      <w:r w:rsidRPr="006C3B66">
        <w:tab/>
      </w:r>
      <w:r w:rsidRPr="006C3B66">
        <w:fldChar w:fldCharType="begin"/>
      </w:r>
      <w:r w:rsidRPr="006C3B66">
        <w:instrText xml:space="preserve"> PAGEREF _Toc342900406 \h </w:instrText>
      </w:r>
      <w:r w:rsidRPr="006C3B66">
        <w:fldChar w:fldCharType="separate"/>
      </w:r>
      <w:r>
        <w:t>177</w:t>
      </w:r>
      <w:r w:rsidRPr="006C3B66">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97</w:t>
      </w:r>
      <w:r w:rsidRPr="006C3B66">
        <w:rPr>
          <w:color w:val="auto"/>
          <w:lang w:val="it-IT"/>
        </w:rPr>
        <w:t xml:space="preserve"> EBS 2008 Standard ed EBS 2008 Premium</w:t>
      </w:r>
      <w:r w:rsidRPr="006C3B66">
        <w:rPr>
          <w:color w:val="auto"/>
        </w:rPr>
        <w:tab/>
      </w:r>
      <w:r w:rsidRPr="006C3B66">
        <w:rPr>
          <w:color w:val="auto"/>
        </w:rPr>
        <w:fldChar w:fldCharType="begin"/>
      </w:r>
      <w:r w:rsidRPr="006C3B66">
        <w:rPr>
          <w:color w:val="auto"/>
        </w:rPr>
        <w:instrText xml:space="preserve"> PAGEREF _Toc342900407 \h </w:instrText>
      </w:r>
      <w:r w:rsidRPr="006C3B66">
        <w:rPr>
          <w:color w:val="auto"/>
        </w:rPr>
      </w:r>
      <w:r w:rsidRPr="006C3B66">
        <w:rPr>
          <w:color w:val="auto"/>
        </w:rPr>
        <w:fldChar w:fldCharType="separate"/>
      </w:r>
      <w:r>
        <w:rPr>
          <w:color w:val="auto"/>
        </w:rPr>
        <w:t>178</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98</w:t>
      </w:r>
      <w:r w:rsidRPr="006C3B66">
        <w:rPr>
          <w:color w:val="auto"/>
          <w:lang w:val="it-IT"/>
        </w:rPr>
        <w:t xml:space="preserve"> Windows HPC Server 2008 R2 Suite</w:t>
      </w:r>
      <w:r w:rsidRPr="006C3B66">
        <w:rPr>
          <w:color w:val="auto"/>
        </w:rPr>
        <w:tab/>
      </w:r>
      <w:r w:rsidRPr="006C3B66">
        <w:rPr>
          <w:color w:val="auto"/>
        </w:rPr>
        <w:fldChar w:fldCharType="begin"/>
      </w:r>
      <w:r w:rsidRPr="006C3B66">
        <w:rPr>
          <w:color w:val="auto"/>
        </w:rPr>
        <w:instrText xml:space="preserve"> PAGEREF _Toc342900408 \h </w:instrText>
      </w:r>
      <w:r w:rsidRPr="006C3B66">
        <w:rPr>
          <w:color w:val="auto"/>
        </w:rPr>
      </w:r>
      <w:r w:rsidRPr="006C3B66">
        <w:rPr>
          <w:color w:val="auto"/>
        </w:rPr>
        <w:fldChar w:fldCharType="separate"/>
      </w:r>
      <w:r>
        <w:rPr>
          <w:color w:val="auto"/>
        </w:rPr>
        <w:t>180</w:t>
      </w:r>
      <w:r w:rsidRPr="006C3B66">
        <w:rPr>
          <w:color w:val="auto"/>
        </w:rPr>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caps/>
          <w:vertAlign w:val="superscript"/>
          <w:lang w:val="it-IT"/>
        </w:rPr>
        <w:t xml:space="preserve">99 </w:t>
      </w:r>
      <w:r w:rsidRPr="006C3B66">
        <w:rPr>
          <w:rFonts w:cs="Tahoma"/>
          <w:lang w:val="it-IT"/>
        </w:rPr>
        <w:t>Componente Aggiuntivo per Windows Intune (Per Dispositivo)</w:t>
      </w:r>
      <w:r w:rsidRPr="006C3B66">
        <w:tab/>
      </w:r>
      <w:r w:rsidRPr="006C3B66">
        <w:fldChar w:fldCharType="begin"/>
      </w:r>
      <w:r w:rsidRPr="006C3B66">
        <w:instrText xml:space="preserve"> PAGEREF _Toc342900409 \h </w:instrText>
      </w:r>
      <w:r w:rsidRPr="006C3B66">
        <w:fldChar w:fldCharType="separate"/>
      </w:r>
      <w:r>
        <w:t>180</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caps/>
          <w:vertAlign w:val="superscript"/>
          <w:lang w:val="it-IT"/>
        </w:rPr>
        <w:t xml:space="preserve">100 </w:t>
      </w:r>
      <w:r w:rsidRPr="006C3B66">
        <w:rPr>
          <w:rFonts w:cs="Tahoma"/>
          <w:lang w:val="it-IT"/>
        </w:rPr>
        <w:t>Windows Multipoint Server 2012 Standard</w:t>
      </w:r>
      <w:r w:rsidRPr="006C3B66">
        <w:tab/>
      </w:r>
      <w:r w:rsidRPr="006C3B66">
        <w:fldChar w:fldCharType="begin"/>
      </w:r>
      <w:r w:rsidRPr="006C3B66">
        <w:instrText xml:space="preserve"> PAGEREF _Toc342900410 \h </w:instrText>
      </w:r>
      <w:r w:rsidRPr="006C3B66">
        <w:fldChar w:fldCharType="separate"/>
      </w:r>
      <w:r>
        <w:t>180</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caps/>
          <w:vertAlign w:val="superscript"/>
          <w:lang w:val="it-IT"/>
        </w:rPr>
        <w:t xml:space="preserve">101 </w:t>
      </w:r>
      <w:r w:rsidRPr="006C3B66">
        <w:rPr>
          <w:rFonts w:cs="Tahoma"/>
          <w:lang w:val="it-IT"/>
        </w:rPr>
        <w:t>Windows Multipoint Server 2012 Premium</w:t>
      </w:r>
      <w:r w:rsidRPr="006C3B66">
        <w:tab/>
      </w:r>
      <w:r w:rsidRPr="006C3B66">
        <w:fldChar w:fldCharType="begin"/>
      </w:r>
      <w:r w:rsidRPr="006C3B66">
        <w:instrText xml:space="preserve"> PAGEREF _Toc342900411 \h </w:instrText>
      </w:r>
      <w:r w:rsidRPr="006C3B66">
        <w:fldChar w:fldCharType="separate"/>
      </w:r>
      <w:r>
        <w:t>181</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caps/>
          <w:vertAlign w:val="superscript"/>
          <w:lang w:val="it-IT"/>
        </w:rPr>
        <w:t>102</w:t>
      </w:r>
      <w:r w:rsidRPr="006C3B66">
        <w:rPr>
          <w:rFonts w:cs="Tahoma"/>
          <w:lang w:val="it-IT"/>
        </w:rPr>
        <w:t xml:space="preserve"> CAL per Windows Multipoint Server 2012</w:t>
      </w:r>
      <w:r w:rsidRPr="006C3B66">
        <w:tab/>
      </w:r>
      <w:r w:rsidRPr="006C3B66">
        <w:fldChar w:fldCharType="begin"/>
      </w:r>
      <w:r w:rsidRPr="006C3B66">
        <w:instrText xml:space="preserve"> PAGEREF _Toc342900412 \h </w:instrText>
      </w:r>
      <w:r w:rsidRPr="006C3B66">
        <w:fldChar w:fldCharType="separate"/>
      </w:r>
      <w:r>
        <w:t>181</w:t>
      </w:r>
      <w:r w:rsidRPr="006C3B66">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103</w:t>
      </w:r>
      <w:r w:rsidRPr="006C3B66">
        <w:rPr>
          <w:color w:val="auto"/>
          <w:lang w:val="it-IT"/>
        </w:rPr>
        <w:t xml:space="preserve"> Windows Server 2008 R2 HPC Edition</w:t>
      </w:r>
      <w:r w:rsidRPr="006C3B66">
        <w:rPr>
          <w:color w:val="auto"/>
        </w:rPr>
        <w:tab/>
      </w:r>
      <w:r w:rsidRPr="006C3B66">
        <w:rPr>
          <w:color w:val="auto"/>
        </w:rPr>
        <w:fldChar w:fldCharType="begin"/>
      </w:r>
      <w:r w:rsidRPr="006C3B66">
        <w:rPr>
          <w:color w:val="auto"/>
        </w:rPr>
        <w:instrText xml:space="preserve"> PAGEREF _Toc342900413 \h </w:instrText>
      </w:r>
      <w:r w:rsidRPr="006C3B66">
        <w:rPr>
          <w:color w:val="auto"/>
        </w:rPr>
      </w:r>
      <w:r w:rsidRPr="006C3B66">
        <w:rPr>
          <w:color w:val="auto"/>
        </w:rPr>
        <w:fldChar w:fldCharType="separate"/>
      </w:r>
      <w:r>
        <w:rPr>
          <w:color w:val="auto"/>
        </w:rPr>
        <w:t>181</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lastRenderedPageBreak/>
        <w:t>104</w:t>
      </w:r>
      <w:r w:rsidRPr="006C3B66">
        <w:rPr>
          <w:color w:val="auto"/>
          <w:lang w:val="it-IT"/>
        </w:rPr>
        <w:t xml:space="preserve"> Windows Server 2008 R2 Enterprise</w:t>
      </w:r>
      <w:r w:rsidRPr="006C3B66">
        <w:rPr>
          <w:color w:val="auto"/>
        </w:rPr>
        <w:tab/>
      </w:r>
      <w:r w:rsidRPr="006C3B66">
        <w:rPr>
          <w:color w:val="auto"/>
        </w:rPr>
        <w:fldChar w:fldCharType="begin"/>
      </w:r>
      <w:r w:rsidRPr="006C3B66">
        <w:rPr>
          <w:color w:val="auto"/>
        </w:rPr>
        <w:instrText xml:space="preserve"> PAGEREF _Toc342900414 \h </w:instrText>
      </w:r>
      <w:r w:rsidRPr="006C3B66">
        <w:rPr>
          <w:color w:val="auto"/>
        </w:rPr>
      </w:r>
      <w:r w:rsidRPr="006C3B66">
        <w:rPr>
          <w:color w:val="auto"/>
        </w:rPr>
        <w:fldChar w:fldCharType="separate"/>
      </w:r>
      <w:r>
        <w:rPr>
          <w:color w:val="auto"/>
        </w:rPr>
        <w:t>182</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105</w:t>
      </w:r>
      <w:r w:rsidRPr="006C3B66">
        <w:rPr>
          <w:color w:val="auto"/>
          <w:lang w:val="it-IT"/>
        </w:rPr>
        <w:t xml:space="preserve"> Windows Server 2008 R2 for Itanium Based Systems</w:t>
      </w:r>
      <w:r w:rsidRPr="006C3B66">
        <w:rPr>
          <w:color w:val="auto"/>
        </w:rPr>
        <w:tab/>
      </w:r>
      <w:r w:rsidRPr="006C3B66">
        <w:rPr>
          <w:color w:val="auto"/>
        </w:rPr>
        <w:fldChar w:fldCharType="begin"/>
      </w:r>
      <w:r w:rsidRPr="006C3B66">
        <w:rPr>
          <w:color w:val="auto"/>
        </w:rPr>
        <w:instrText xml:space="preserve"> PAGEREF _Toc342900415 \h </w:instrText>
      </w:r>
      <w:r w:rsidRPr="006C3B66">
        <w:rPr>
          <w:color w:val="auto"/>
        </w:rPr>
      </w:r>
      <w:r w:rsidRPr="006C3B66">
        <w:rPr>
          <w:color w:val="auto"/>
        </w:rPr>
        <w:fldChar w:fldCharType="separate"/>
      </w:r>
      <w:r>
        <w:rPr>
          <w:color w:val="auto"/>
        </w:rPr>
        <w:t>182</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 xml:space="preserve">106 </w:t>
      </w:r>
      <w:r w:rsidRPr="006C3B66">
        <w:rPr>
          <w:color w:val="auto"/>
          <w:lang w:val="it-IT"/>
        </w:rPr>
        <w:t>CAL per Windows Server 2012</w:t>
      </w:r>
      <w:r w:rsidRPr="006C3B66">
        <w:rPr>
          <w:color w:val="auto"/>
        </w:rPr>
        <w:tab/>
      </w:r>
      <w:r w:rsidRPr="006C3B66">
        <w:rPr>
          <w:color w:val="auto"/>
        </w:rPr>
        <w:fldChar w:fldCharType="begin"/>
      </w:r>
      <w:r w:rsidRPr="006C3B66">
        <w:rPr>
          <w:color w:val="auto"/>
        </w:rPr>
        <w:instrText xml:space="preserve"> PAGEREF _Toc342900416 \h </w:instrText>
      </w:r>
      <w:r w:rsidRPr="006C3B66">
        <w:rPr>
          <w:color w:val="auto"/>
        </w:rPr>
      </w:r>
      <w:r w:rsidRPr="006C3B66">
        <w:rPr>
          <w:color w:val="auto"/>
        </w:rPr>
        <w:fldChar w:fldCharType="separate"/>
      </w:r>
      <w:r>
        <w:rPr>
          <w:color w:val="auto"/>
        </w:rPr>
        <w:t>183</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107</w:t>
      </w:r>
      <w:r w:rsidRPr="006C3B66">
        <w:rPr>
          <w:color w:val="auto"/>
          <w:lang w:val="it-IT"/>
        </w:rPr>
        <w:t xml:space="preserve"> Windows Server 2008 R2 Datacenter</w:t>
      </w:r>
      <w:r w:rsidRPr="006C3B66">
        <w:rPr>
          <w:color w:val="auto"/>
        </w:rPr>
        <w:tab/>
      </w:r>
      <w:r w:rsidRPr="006C3B66">
        <w:rPr>
          <w:color w:val="auto"/>
        </w:rPr>
        <w:fldChar w:fldCharType="begin"/>
      </w:r>
      <w:r w:rsidRPr="006C3B66">
        <w:rPr>
          <w:color w:val="auto"/>
        </w:rPr>
        <w:instrText xml:space="preserve"> PAGEREF _Toc342900417 \h </w:instrText>
      </w:r>
      <w:r w:rsidRPr="006C3B66">
        <w:rPr>
          <w:color w:val="auto"/>
        </w:rPr>
      </w:r>
      <w:r w:rsidRPr="006C3B66">
        <w:rPr>
          <w:color w:val="auto"/>
        </w:rPr>
        <w:fldChar w:fldCharType="separate"/>
      </w:r>
      <w:r>
        <w:rPr>
          <w:color w:val="auto"/>
        </w:rPr>
        <w:t>184</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 xml:space="preserve">108 </w:t>
      </w:r>
      <w:r w:rsidRPr="006C3B66">
        <w:rPr>
          <w:color w:val="auto"/>
          <w:lang w:val="it-IT"/>
        </w:rPr>
        <w:t>Windows Server 2008 R2 Standard</w:t>
      </w:r>
      <w:r w:rsidRPr="006C3B66">
        <w:rPr>
          <w:color w:val="auto"/>
        </w:rPr>
        <w:tab/>
      </w:r>
      <w:r w:rsidRPr="006C3B66">
        <w:rPr>
          <w:color w:val="auto"/>
        </w:rPr>
        <w:fldChar w:fldCharType="begin"/>
      </w:r>
      <w:r w:rsidRPr="006C3B66">
        <w:rPr>
          <w:color w:val="auto"/>
        </w:rPr>
        <w:instrText xml:space="preserve"> PAGEREF _Toc342900418 \h </w:instrText>
      </w:r>
      <w:r w:rsidRPr="006C3B66">
        <w:rPr>
          <w:color w:val="auto"/>
        </w:rPr>
      </w:r>
      <w:r w:rsidRPr="006C3B66">
        <w:rPr>
          <w:color w:val="auto"/>
        </w:rPr>
        <w:fldChar w:fldCharType="separate"/>
      </w:r>
      <w:r>
        <w:rPr>
          <w:color w:val="auto"/>
        </w:rPr>
        <w:t>185</w:t>
      </w:r>
      <w:r w:rsidRPr="006C3B66">
        <w:rPr>
          <w:color w:val="auto"/>
        </w:rPr>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109</w:t>
      </w:r>
      <w:r w:rsidRPr="006C3B66">
        <w:rPr>
          <w:color w:val="auto"/>
          <w:lang w:val="it-IT"/>
        </w:rPr>
        <w:t xml:space="preserve"> Windows Web Server</w:t>
      </w:r>
      <w:r w:rsidRPr="003A0F2F">
        <w:rPr>
          <w:color w:val="auto"/>
          <w:vertAlign w:val="superscript"/>
          <w:lang w:val="it-IT"/>
        </w:rPr>
        <w:t>®</w:t>
      </w:r>
      <w:r w:rsidRPr="006C3B66">
        <w:rPr>
          <w:color w:val="auto"/>
          <w:lang w:val="it-IT"/>
        </w:rPr>
        <w:t xml:space="preserve"> 2008 R2</w:t>
      </w:r>
      <w:r w:rsidRPr="006C3B66">
        <w:rPr>
          <w:color w:val="auto"/>
        </w:rPr>
        <w:tab/>
      </w:r>
      <w:r w:rsidRPr="006C3B66">
        <w:rPr>
          <w:color w:val="auto"/>
        </w:rPr>
        <w:fldChar w:fldCharType="begin"/>
      </w:r>
      <w:r w:rsidRPr="006C3B66">
        <w:rPr>
          <w:color w:val="auto"/>
        </w:rPr>
        <w:instrText xml:space="preserve"> PAGEREF _Toc342900419 \h </w:instrText>
      </w:r>
      <w:r w:rsidRPr="006C3B66">
        <w:rPr>
          <w:color w:val="auto"/>
        </w:rPr>
      </w:r>
      <w:r w:rsidRPr="006C3B66">
        <w:rPr>
          <w:color w:val="auto"/>
        </w:rPr>
        <w:fldChar w:fldCharType="separate"/>
      </w:r>
      <w:r>
        <w:rPr>
          <w:color w:val="auto"/>
        </w:rPr>
        <w:t>185</w:t>
      </w:r>
      <w:r w:rsidRPr="006C3B66">
        <w:rPr>
          <w:color w:val="auto"/>
        </w:rPr>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caps/>
          <w:vertAlign w:val="superscript"/>
          <w:lang w:val="it-IT"/>
        </w:rPr>
        <w:t>110</w:t>
      </w:r>
      <w:r w:rsidRPr="006C3B66">
        <w:rPr>
          <w:rFonts w:cs="Tahoma"/>
          <w:lang w:val="it-IT"/>
        </w:rPr>
        <w:t xml:space="preserve"> Windows Small Business Server (SBS) 2008 Premium</w:t>
      </w:r>
      <w:r w:rsidRPr="006C3B66">
        <w:tab/>
      </w:r>
      <w:r w:rsidRPr="006C3B66">
        <w:fldChar w:fldCharType="begin"/>
      </w:r>
      <w:r w:rsidRPr="006C3B66">
        <w:instrText xml:space="preserve"> PAGEREF _Toc342900420 \h </w:instrText>
      </w:r>
      <w:r w:rsidRPr="006C3B66">
        <w:fldChar w:fldCharType="separate"/>
      </w:r>
      <w:r>
        <w:t>186</w:t>
      </w:r>
      <w:r w:rsidRPr="006C3B66">
        <w:fldChar w:fldCharType="end"/>
      </w:r>
    </w:p>
    <w:p w:rsidR="00A92422" w:rsidRPr="006C3B66" w:rsidRDefault="00A92422" w:rsidP="00A92422">
      <w:pPr>
        <w:pStyle w:val="TOC3"/>
        <w:rPr>
          <w:rFonts w:asciiTheme="minorHAnsi" w:eastAsiaTheme="minorEastAsia" w:hAnsiTheme="minorHAnsi" w:cstheme="minorBidi"/>
          <w:bCs w:val="0"/>
          <w:color w:val="auto"/>
          <w:sz w:val="22"/>
          <w:szCs w:val="22"/>
        </w:rPr>
      </w:pPr>
      <w:r w:rsidRPr="006C3B66">
        <w:rPr>
          <w:caps/>
          <w:color w:val="auto"/>
          <w:vertAlign w:val="superscript"/>
          <w:lang w:val="it-IT"/>
        </w:rPr>
        <w:t>111</w:t>
      </w:r>
      <w:r w:rsidRPr="006C3B66">
        <w:rPr>
          <w:color w:val="auto"/>
          <w:lang w:val="it-IT"/>
        </w:rPr>
        <w:t xml:space="preserve"> Windows Small Business Server (SBS) 2011 Standard</w:t>
      </w:r>
      <w:r w:rsidRPr="006C3B66">
        <w:rPr>
          <w:color w:val="auto"/>
        </w:rPr>
        <w:tab/>
      </w:r>
      <w:r w:rsidRPr="006C3B66">
        <w:rPr>
          <w:color w:val="auto"/>
        </w:rPr>
        <w:fldChar w:fldCharType="begin"/>
      </w:r>
      <w:r w:rsidRPr="006C3B66">
        <w:rPr>
          <w:color w:val="auto"/>
        </w:rPr>
        <w:instrText xml:space="preserve"> PAGEREF _Toc342900421 \h </w:instrText>
      </w:r>
      <w:r w:rsidRPr="006C3B66">
        <w:rPr>
          <w:color w:val="auto"/>
        </w:rPr>
      </w:r>
      <w:r w:rsidRPr="006C3B66">
        <w:rPr>
          <w:color w:val="auto"/>
        </w:rPr>
        <w:fldChar w:fldCharType="separate"/>
      </w:r>
      <w:r>
        <w:rPr>
          <w:color w:val="auto"/>
        </w:rPr>
        <w:t>187</w:t>
      </w:r>
      <w:r w:rsidRPr="006C3B66">
        <w:rPr>
          <w:color w:val="auto"/>
        </w:rPr>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caps/>
          <w:vertAlign w:val="superscript"/>
          <w:lang w:val="it-IT"/>
        </w:rPr>
        <w:t>112</w:t>
      </w:r>
      <w:r w:rsidRPr="006C3B66">
        <w:rPr>
          <w:rFonts w:cs="Tahoma"/>
          <w:lang w:val="it-IT"/>
        </w:rPr>
        <w:t xml:space="preserve"> CAL Suite per Windows Small Business Server (SBS) 2011</w:t>
      </w:r>
      <w:r w:rsidRPr="006C3B66">
        <w:tab/>
      </w:r>
      <w:r w:rsidRPr="006C3B66">
        <w:fldChar w:fldCharType="begin"/>
      </w:r>
      <w:r w:rsidRPr="006C3B66">
        <w:instrText xml:space="preserve"> PAGEREF _Toc342900422 \h </w:instrText>
      </w:r>
      <w:r w:rsidRPr="006C3B66">
        <w:fldChar w:fldCharType="separate"/>
      </w:r>
      <w:r>
        <w:t>187</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caps/>
          <w:vertAlign w:val="superscript"/>
          <w:lang w:val="it-IT"/>
        </w:rPr>
        <w:t>113</w:t>
      </w:r>
      <w:r w:rsidRPr="006C3B66">
        <w:rPr>
          <w:rFonts w:cs="Tahoma"/>
          <w:lang w:val="it-IT"/>
        </w:rPr>
        <w:t xml:space="preserve"> Premium Add-on per Windows Small Business Server (SBS) 2011</w:t>
      </w:r>
      <w:r w:rsidRPr="006C3B66">
        <w:tab/>
      </w:r>
      <w:r w:rsidRPr="006C3B66">
        <w:fldChar w:fldCharType="begin"/>
      </w:r>
      <w:r w:rsidRPr="006C3B66">
        <w:instrText xml:space="preserve"> PAGEREF _Toc342900423 \h </w:instrText>
      </w:r>
      <w:r w:rsidRPr="006C3B66">
        <w:fldChar w:fldCharType="separate"/>
      </w:r>
      <w:r>
        <w:t>188</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caps/>
          <w:vertAlign w:val="superscript"/>
          <w:lang w:val="it-IT"/>
        </w:rPr>
        <w:t>114</w:t>
      </w:r>
      <w:r w:rsidRPr="006C3B66">
        <w:rPr>
          <w:rFonts w:cs="Tahoma"/>
          <w:lang w:val="it-IT"/>
        </w:rPr>
        <w:t xml:space="preserve"> Premium Add-on CAL Suite per Windows Small Business Server (SBS) 2011</w:t>
      </w:r>
      <w:r w:rsidRPr="006C3B66">
        <w:tab/>
      </w:r>
      <w:r w:rsidRPr="006C3B66">
        <w:fldChar w:fldCharType="begin"/>
      </w:r>
      <w:r w:rsidRPr="006C3B66">
        <w:instrText xml:space="preserve"> PAGEREF _Toc342900424 \h </w:instrText>
      </w:r>
      <w:r w:rsidRPr="006C3B66">
        <w:fldChar w:fldCharType="separate"/>
      </w:r>
      <w:r>
        <w:t>189</w:t>
      </w:r>
      <w:r w:rsidRPr="006C3B66">
        <w:fldChar w:fldCharType="end"/>
      </w:r>
    </w:p>
    <w:p w:rsidR="00A92422" w:rsidRPr="006C3B66" w:rsidRDefault="00A92422" w:rsidP="00A92422">
      <w:pPr>
        <w:pStyle w:val="TOC2"/>
        <w:rPr>
          <w:rFonts w:asciiTheme="minorHAnsi" w:eastAsiaTheme="minorEastAsia" w:hAnsiTheme="minorHAnsi" w:cstheme="minorBidi"/>
          <w:sz w:val="22"/>
          <w:szCs w:val="22"/>
        </w:rPr>
      </w:pPr>
      <w:r w:rsidRPr="006C3B66">
        <w:rPr>
          <w:rFonts w:cs="Tahoma"/>
          <w:vertAlign w:val="superscript"/>
          <w:lang w:val="it-IT"/>
        </w:rPr>
        <w:t>115</w:t>
      </w:r>
      <w:r w:rsidRPr="006C3B66">
        <w:rPr>
          <w:rFonts w:cs="Tahoma"/>
          <w:lang w:val="it-IT"/>
        </w:rPr>
        <w:t xml:space="preserve"> Windows Small Business Server 2011 Essentials</w:t>
      </w:r>
      <w:r w:rsidRPr="006C3B66">
        <w:tab/>
      </w:r>
      <w:r w:rsidRPr="006C3B66">
        <w:fldChar w:fldCharType="begin"/>
      </w:r>
      <w:r w:rsidRPr="006C3B66">
        <w:instrText xml:space="preserve"> PAGEREF _Toc342900425 \h </w:instrText>
      </w:r>
      <w:r w:rsidRPr="006C3B66">
        <w:fldChar w:fldCharType="separate"/>
      </w:r>
      <w:r>
        <w:t>190</w:t>
      </w:r>
      <w:r w:rsidRPr="006C3B66">
        <w:fldChar w:fldCharType="end"/>
      </w:r>
    </w:p>
    <w:p w:rsidR="00A92422" w:rsidRPr="00044FED" w:rsidRDefault="00A92422" w:rsidP="00A92422">
      <w:pPr>
        <w:pStyle w:val="TOC4"/>
        <w:tabs>
          <w:tab w:val="clear" w:pos="9360"/>
          <w:tab w:val="center" w:pos="4680"/>
        </w:tabs>
        <w:rPr>
          <w:rFonts w:cs="Tahoma"/>
          <w:szCs w:val="18"/>
        </w:rPr>
      </w:pPr>
      <w:r w:rsidRPr="006C3B66">
        <w:rPr>
          <w:rFonts w:cs="Tahoma"/>
          <w:szCs w:val="18"/>
        </w:rPr>
        <w:fldChar w:fldCharType="end"/>
      </w:r>
    </w:p>
    <w:p w:rsidR="00A92422" w:rsidRDefault="00A92422" w:rsidP="00A92422">
      <w:r>
        <w:br w:type="page"/>
      </w:r>
    </w:p>
    <w:p w:rsidR="00A92422" w:rsidRPr="00D87B79" w:rsidRDefault="00A92422" w:rsidP="00A92422">
      <w:pPr>
        <w:pStyle w:val="Heading2"/>
        <w:rPr>
          <w:rFonts w:ascii="Tahoma" w:hAnsi="Tahoma" w:cs="Tahoma"/>
        </w:rPr>
      </w:pPr>
      <w:bookmarkStart w:id="7" w:name="_Toc246850065"/>
      <w:bookmarkStart w:id="8" w:name="_Toc336337840"/>
      <w:bookmarkStart w:id="9" w:name="_Toc342899912"/>
      <w:bookmarkEnd w:id="7"/>
      <w:bookmarkEnd w:id="8"/>
      <w:r w:rsidRPr="00D87B79">
        <w:rPr>
          <w:rFonts w:ascii="Tahoma" w:hAnsi="Tahoma" w:cs="Tahoma"/>
          <w:sz w:val="36"/>
          <w:lang w:val="it-IT"/>
        </w:rPr>
        <w:lastRenderedPageBreak/>
        <w:t>Codici Tabella</w:t>
      </w:r>
      <w:bookmarkEnd w:id="9"/>
    </w:p>
    <w:p w:rsidR="00A92422" w:rsidRPr="00D87B79" w:rsidRDefault="00A92422" w:rsidP="00A92422">
      <w:pPr>
        <w:pStyle w:val="ChartKeyHeadings"/>
        <w:ind w:right="-180"/>
        <w:rPr>
          <w:rFonts w:ascii="Tahoma" w:hAnsi="Tahoma" w:cs="Tahoma"/>
        </w:rPr>
      </w:pPr>
    </w:p>
    <w:p w:rsidR="00A92422" w:rsidRPr="00D87B79" w:rsidRDefault="00A92422" w:rsidP="00A92422">
      <w:pPr>
        <w:pStyle w:val="ChartKeyHeadings"/>
        <w:ind w:right="-180"/>
        <w:rPr>
          <w:rFonts w:ascii="Tahoma" w:hAnsi="Tahoma" w:cs="Tahoma"/>
        </w:rPr>
      </w:pPr>
      <w:r w:rsidRPr="00D87B79">
        <w:rPr>
          <w:rFonts w:ascii="Tahoma" w:hAnsi="Tahoma" w:cs="Tahoma"/>
          <w:lang w:val="it-IT"/>
        </w:rPr>
        <w:t>Intestazioni Colonne</w:t>
      </w:r>
    </w:p>
    <w:p w:rsidR="00A92422" w:rsidRPr="00D87B79" w:rsidRDefault="00A92422" w:rsidP="00A92422">
      <w:pPr>
        <w:pStyle w:val="ChartKeyHeadings"/>
        <w:ind w:right="-180"/>
        <w:rPr>
          <w:rFonts w:ascii="Tahoma" w:hAnsi="Tahoma" w:cs="Tahoma"/>
        </w:rPr>
      </w:pPr>
    </w:p>
    <w:p w:rsidR="00A92422" w:rsidRPr="00D87B79" w:rsidRDefault="00A92422" w:rsidP="00A92422">
      <w:pPr>
        <w:pStyle w:val="Bodywithspace"/>
        <w:spacing w:before="0" w:after="0" w:line="276" w:lineRule="auto"/>
        <w:ind w:right="-180"/>
        <w:rPr>
          <w:rFonts w:ascii="Tahoma" w:hAnsi="Tahoma" w:cs="Tahoma"/>
        </w:rPr>
      </w:pPr>
      <w:r w:rsidRPr="00D87B79">
        <w:rPr>
          <w:rStyle w:val="BodyChar"/>
          <w:rFonts w:ascii="Tahoma" w:hAnsi="Tahoma" w:cs="Tahoma"/>
          <w:b/>
          <w:color w:val="000000"/>
          <w:sz w:val="18"/>
          <w:lang w:val="it-IT"/>
        </w:rPr>
        <w:t xml:space="preserve">Unità Campus e School = </w:t>
      </w:r>
      <w:r w:rsidRPr="00D87B79">
        <w:rPr>
          <w:rFonts w:ascii="Tahoma" w:hAnsi="Tahoma" w:cs="Tahoma"/>
          <w:color w:val="000000"/>
          <w:sz w:val="18"/>
          <w:lang w:val="it-IT"/>
        </w:rPr>
        <w:t>I numeri visualizzati in questa colonna rappresentano le unità designate quando</w:t>
      </w:r>
      <w:r>
        <w:rPr>
          <w:rFonts w:ascii="Tahoma" w:hAnsi="Tahoma" w:cs="Tahoma"/>
          <w:color w:val="000000"/>
          <w:sz w:val="18"/>
          <w:lang w:val="it-IT"/>
        </w:rPr>
        <w:t> </w:t>
      </w:r>
      <w:r w:rsidRPr="00D87B79">
        <w:rPr>
          <w:rFonts w:ascii="Tahoma" w:hAnsi="Tahoma" w:cs="Tahoma"/>
          <w:color w:val="000000"/>
          <w:sz w:val="18"/>
          <w:lang w:val="it-IT"/>
        </w:rPr>
        <w:t>il</w:t>
      </w:r>
      <w:r>
        <w:rPr>
          <w:rFonts w:ascii="Tahoma" w:hAnsi="Tahoma" w:cs="Tahoma"/>
          <w:color w:val="000000"/>
          <w:sz w:val="18"/>
          <w:lang w:val="it-IT"/>
        </w:rPr>
        <w:t> </w:t>
      </w:r>
      <w:r w:rsidRPr="00D87B79">
        <w:rPr>
          <w:rFonts w:ascii="Tahoma" w:hAnsi="Tahoma" w:cs="Tahoma"/>
          <w:color w:val="000000"/>
          <w:sz w:val="18"/>
          <w:lang w:val="it-IT"/>
        </w:rPr>
        <w:t>software viene offerto attraverso l’Iscrizione School ai sensi del Contratto Campus e School.</w:t>
      </w:r>
      <w:r w:rsidRPr="00D87B79">
        <w:rPr>
          <w:rFonts w:ascii="Tahoma" w:hAnsi="Tahoma" w:cs="Tahoma"/>
        </w:rPr>
        <w:t xml:space="preserve"> </w:t>
      </w:r>
      <w:r w:rsidRPr="00D87B79">
        <w:rPr>
          <w:rFonts w:ascii="Tahoma" w:hAnsi="Tahoma" w:cs="Tahoma"/>
          <w:color w:val="000000"/>
          <w:sz w:val="18"/>
          <w:lang w:val="it-IT"/>
        </w:rPr>
        <w:t>I</w:t>
      </w:r>
      <w:r>
        <w:rPr>
          <w:rFonts w:ascii="Tahoma" w:hAnsi="Tahoma" w:cs="Tahoma"/>
          <w:color w:val="000000"/>
          <w:sz w:val="18"/>
          <w:lang w:val="it-IT"/>
        </w:rPr>
        <w:t> </w:t>
      </w:r>
      <w:r w:rsidRPr="00D87B79">
        <w:rPr>
          <w:rFonts w:ascii="Tahoma" w:hAnsi="Tahoma" w:cs="Tahoma"/>
          <w:color w:val="000000"/>
          <w:sz w:val="18"/>
          <w:lang w:val="it-IT"/>
        </w:rPr>
        <w:t>prodotti non vengono offerti in questi programmi quando la colonna CA/SA è vuota.</w:t>
      </w:r>
    </w:p>
    <w:p w:rsidR="00A92422" w:rsidRPr="00D87B79" w:rsidRDefault="00A92422" w:rsidP="00A92422">
      <w:pPr>
        <w:pStyle w:val="Bodywithspace"/>
        <w:spacing w:before="0" w:after="0" w:line="276" w:lineRule="auto"/>
        <w:ind w:right="-180"/>
        <w:rPr>
          <w:rFonts w:ascii="Tahoma" w:hAnsi="Tahoma" w:cs="Tahoma"/>
        </w:rPr>
      </w:pPr>
      <w:r w:rsidRPr="00D87B79">
        <w:rPr>
          <w:rStyle w:val="BodyChar"/>
          <w:rFonts w:ascii="Tahoma" w:hAnsi="Tahoma" w:cs="Tahoma"/>
          <w:b/>
          <w:sz w:val="18"/>
          <w:lang w:val="it-IT"/>
        </w:rPr>
        <w:t>Data Disponibilità</w:t>
      </w:r>
      <w:r w:rsidRPr="00D87B79">
        <w:rPr>
          <w:rStyle w:val="BodyChar"/>
          <w:rFonts w:ascii="Tahoma" w:hAnsi="Tahoma" w:cs="Tahoma"/>
          <w:sz w:val="18"/>
          <w:lang w:val="it-IT"/>
        </w:rPr>
        <w:t xml:space="preserve"> </w:t>
      </w:r>
      <w:r w:rsidRPr="00D87B79">
        <w:rPr>
          <w:rStyle w:val="BodyChar"/>
          <w:rFonts w:ascii="Tahoma" w:hAnsi="Tahoma" w:cs="Tahoma"/>
          <w:b/>
          <w:sz w:val="18"/>
          <w:lang w:val="it-IT"/>
        </w:rPr>
        <w:t>=</w:t>
      </w:r>
      <w:r w:rsidRPr="00D87B79">
        <w:rPr>
          <w:rStyle w:val="BodyChar"/>
          <w:rFonts w:ascii="Tahoma" w:hAnsi="Tahoma" w:cs="Tahoma"/>
          <w:sz w:val="18"/>
          <w:lang w:val="it-IT"/>
        </w:rPr>
        <w:t xml:space="preserve"> È la data in cui il prodotto è disponibile per la prima volta,</w:t>
      </w:r>
      <w:r w:rsidRPr="00D87B79">
        <w:rPr>
          <w:rStyle w:val="BodyChar"/>
          <w:rFonts w:ascii="Tahoma" w:hAnsi="Tahoma" w:cs="Tahoma"/>
          <w:color w:val="000000"/>
          <w:sz w:val="18"/>
          <w:lang w:val="it-IT"/>
        </w:rPr>
        <w:t xml:space="preserve"> indicata nel formato mese/anno.</w:t>
      </w:r>
      <w:r w:rsidRPr="00D87B79">
        <w:rPr>
          <w:rFonts w:ascii="Tahoma" w:hAnsi="Tahoma" w:cs="Tahoma"/>
        </w:rPr>
        <w:t xml:space="preserve"> </w:t>
      </w:r>
      <w:r w:rsidRPr="00D87B79">
        <w:rPr>
          <w:rStyle w:val="BodyChar"/>
          <w:rFonts w:ascii="Tahoma" w:hAnsi="Tahoma" w:cs="Tahoma"/>
          <w:sz w:val="18"/>
          <w:lang w:val="it-IT"/>
        </w:rPr>
        <w:t>È la prima tra la data in cui Microsoft dà la possibilità di ordinare le licenze per il prodotto e</w:t>
      </w:r>
      <w:r>
        <w:rPr>
          <w:rStyle w:val="BodyChar"/>
          <w:rFonts w:ascii="Tahoma" w:hAnsi="Tahoma" w:cs="Tahoma"/>
          <w:sz w:val="18"/>
          <w:lang w:val="it-IT"/>
        </w:rPr>
        <w:t> </w:t>
      </w:r>
      <w:r w:rsidRPr="00D87B79">
        <w:rPr>
          <w:rStyle w:val="BodyChar"/>
          <w:rFonts w:ascii="Tahoma" w:hAnsi="Tahoma" w:cs="Tahoma"/>
          <w:sz w:val="18"/>
          <w:lang w:val="it-IT"/>
        </w:rPr>
        <w:t>quella</w:t>
      </w:r>
      <w:r>
        <w:rPr>
          <w:rStyle w:val="BodyChar"/>
          <w:rFonts w:ascii="Tahoma" w:hAnsi="Tahoma" w:cs="Tahoma"/>
          <w:sz w:val="18"/>
          <w:lang w:val="it-IT"/>
        </w:rPr>
        <w:t> </w:t>
      </w:r>
      <w:r w:rsidRPr="00D87B79">
        <w:rPr>
          <w:rStyle w:val="BodyChar"/>
          <w:rFonts w:ascii="Tahoma" w:hAnsi="Tahoma" w:cs="Tahoma"/>
          <w:sz w:val="18"/>
          <w:lang w:val="it-IT"/>
        </w:rPr>
        <w:t>in cui consente di scaricare il software per il prodotto dal Volume Licensing Services Center (VLSC).</w:t>
      </w:r>
    </w:p>
    <w:p w:rsidR="00A92422" w:rsidRPr="00D87B79" w:rsidRDefault="00A92422" w:rsidP="00A92422">
      <w:pPr>
        <w:pStyle w:val="Bodywithspace"/>
        <w:spacing w:before="0" w:after="0" w:line="276" w:lineRule="auto"/>
        <w:ind w:right="-180"/>
        <w:rPr>
          <w:rFonts w:ascii="Tahoma" w:hAnsi="Tahoma" w:cs="Tahoma"/>
        </w:rPr>
      </w:pPr>
      <w:r w:rsidRPr="00D87B79">
        <w:rPr>
          <w:rStyle w:val="BodyChar2"/>
          <w:rFonts w:ascii="Tahoma" w:hAnsi="Tahoma" w:cs="Tahoma"/>
          <w:b/>
          <w:sz w:val="18"/>
          <w:lang w:val="it-IT"/>
        </w:rPr>
        <w:t>EA (Contratto Enterprise) =</w:t>
      </w:r>
      <w:r w:rsidRPr="00D87B79">
        <w:rPr>
          <w:rFonts w:ascii="Tahoma" w:hAnsi="Tahoma" w:cs="Tahoma"/>
          <w:sz w:val="18"/>
          <w:lang w:val="it-IT"/>
        </w:rPr>
        <w:t xml:space="preserve"> Contratto Enterprise 20xx.</w:t>
      </w:r>
    </w:p>
    <w:p w:rsidR="00A92422" w:rsidRPr="00D87B79" w:rsidRDefault="00A92422" w:rsidP="00A92422">
      <w:pPr>
        <w:pStyle w:val="Bodywithspace"/>
        <w:spacing w:before="0" w:after="0" w:line="276" w:lineRule="auto"/>
        <w:ind w:right="-180"/>
        <w:rPr>
          <w:rFonts w:ascii="Tahoma" w:hAnsi="Tahoma" w:cs="Tahoma"/>
        </w:rPr>
      </w:pPr>
      <w:r w:rsidRPr="00D87B79">
        <w:rPr>
          <w:rStyle w:val="BodyChar"/>
          <w:rFonts w:ascii="Tahoma" w:hAnsi="Tahoma" w:cs="Tahoma"/>
          <w:b/>
          <w:sz w:val="18"/>
          <w:lang w:val="it-IT"/>
        </w:rPr>
        <w:t xml:space="preserve">EA Sub (Contratto Enterprise Subscription) = </w:t>
      </w:r>
      <w:r w:rsidRPr="00D87B79">
        <w:rPr>
          <w:rFonts w:ascii="Tahoma" w:hAnsi="Tahoma" w:cs="Tahoma"/>
          <w:sz w:val="18"/>
          <w:lang w:val="it-IT"/>
        </w:rPr>
        <w:t>Contratto Enterprise Subscription 200x.</w:t>
      </w:r>
      <w:r w:rsidRPr="00D87B79">
        <w:rPr>
          <w:rFonts w:ascii="Tahoma" w:hAnsi="Tahoma" w:cs="Tahoma"/>
        </w:rPr>
        <w:t xml:space="preserve"> </w:t>
      </w:r>
    </w:p>
    <w:p w:rsidR="00A92422" w:rsidRPr="00D87B79" w:rsidRDefault="00A92422" w:rsidP="00A92422">
      <w:pPr>
        <w:pStyle w:val="Bodywithspace"/>
        <w:spacing w:before="0" w:after="0" w:line="276" w:lineRule="auto"/>
        <w:ind w:right="-180"/>
        <w:rPr>
          <w:rFonts w:ascii="Tahoma" w:hAnsi="Tahoma" w:cs="Tahoma"/>
        </w:rPr>
      </w:pPr>
      <w:r w:rsidRPr="00D87B79">
        <w:rPr>
          <w:rStyle w:val="BodyChar2"/>
          <w:rFonts w:ascii="Tahoma" w:hAnsi="Tahoma" w:cs="Tahoma"/>
          <w:b/>
          <w:sz w:val="18"/>
          <w:lang w:val="it-IT"/>
        </w:rPr>
        <w:t xml:space="preserve">Requisito Minimo per i Programmi Open = </w:t>
      </w:r>
      <w:r w:rsidRPr="00D87B79">
        <w:rPr>
          <w:rFonts w:ascii="Tahoma" w:hAnsi="Tahoma" w:cs="Tahoma"/>
          <w:sz w:val="18"/>
          <w:lang w:val="it-IT"/>
        </w:rPr>
        <w:t>Ogni Licenza conta esclusivamente come 5 Licenze ai fini</w:t>
      </w:r>
      <w:r>
        <w:rPr>
          <w:rFonts w:ascii="Tahoma" w:hAnsi="Tahoma" w:cs="Tahoma"/>
          <w:sz w:val="18"/>
          <w:lang w:val="it-IT"/>
        </w:rPr>
        <w:t> </w:t>
      </w:r>
      <w:r w:rsidRPr="00D87B79">
        <w:rPr>
          <w:rFonts w:ascii="Tahoma" w:hAnsi="Tahoma" w:cs="Tahoma"/>
          <w:sz w:val="18"/>
          <w:lang w:val="it-IT"/>
        </w:rPr>
        <w:t>del</w:t>
      </w:r>
      <w:r>
        <w:rPr>
          <w:rFonts w:ascii="Tahoma" w:hAnsi="Tahoma" w:cs="Tahoma"/>
          <w:sz w:val="18"/>
          <w:lang w:val="it-IT"/>
        </w:rPr>
        <w:t> </w:t>
      </w:r>
      <w:r w:rsidRPr="00D87B79">
        <w:rPr>
          <w:rFonts w:ascii="Tahoma" w:hAnsi="Tahoma" w:cs="Tahoma"/>
          <w:sz w:val="18"/>
          <w:lang w:val="it-IT"/>
        </w:rPr>
        <w:t>requisito minimo per l’ordine iniziale nei programmi Open License e/o Open Value.</w:t>
      </w:r>
      <w:r w:rsidRPr="00D87B79">
        <w:rPr>
          <w:rFonts w:ascii="Tahoma" w:hAnsi="Tahoma" w:cs="Tahoma"/>
        </w:rPr>
        <w:t xml:space="preserve"> </w:t>
      </w:r>
      <w:r w:rsidRPr="00D87B79">
        <w:rPr>
          <w:rFonts w:ascii="Tahoma" w:hAnsi="Tahoma" w:cs="Tahoma"/>
          <w:sz w:val="18"/>
          <w:lang w:val="it-IT"/>
        </w:rPr>
        <w:t>Il valore indica il</w:t>
      </w:r>
      <w:r>
        <w:rPr>
          <w:rFonts w:ascii="Tahoma" w:hAnsi="Tahoma" w:cs="Tahoma"/>
          <w:sz w:val="18"/>
          <w:lang w:val="it-IT"/>
        </w:rPr>
        <w:t> </w:t>
      </w:r>
      <w:r w:rsidRPr="00D87B79">
        <w:rPr>
          <w:rFonts w:ascii="Tahoma" w:hAnsi="Tahoma" w:cs="Tahoma"/>
          <w:sz w:val="18"/>
          <w:lang w:val="it-IT"/>
        </w:rPr>
        <w:t>programma per cui è in vigore.</w:t>
      </w:r>
    </w:p>
    <w:p w:rsidR="00A92422" w:rsidRPr="00D87B79" w:rsidRDefault="00A92422" w:rsidP="00A92422">
      <w:pPr>
        <w:pStyle w:val="Bodywithspace"/>
        <w:spacing w:before="0" w:after="0" w:line="276" w:lineRule="auto"/>
        <w:ind w:right="-180"/>
        <w:rPr>
          <w:rFonts w:ascii="Tahoma" w:hAnsi="Tahoma" w:cs="Tahoma"/>
        </w:rPr>
      </w:pPr>
      <w:r w:rsidRPr="00D87B79">
        <w:rPr>
          <w:rStyle w:val="BodyChar2"/>
          <w:rFonts w:ascii="Tahoma" w:hAnsi="Tahoma" w:cs="Tahoma"/>
          <w:b/>
          <w:sz w:val="18"/>
          <w:lang w:val="it-IT"/>
        </w:rPr>
        <w:t>Open License =</w:t>
      </w:r>
      <w:r w:rsidRPr="00D87B79">
        <w:rPr>
          <w:rFonts w:ascii="Tahoma" w:hAnsi="Tahoma" w:cs="Tahoma"/>
          <w:sz w:val="18"/>
          <w:lang w:val="it-IT"/>
        </w:rPr>
        <w:t xml:space="preserve"> L’unico componente Open License dei Programmi Open.</w:t>
      </w:r>
      <w:r w:rsidRPr="00D87B79">
        <w:rPr>
          <w:rFonts w:ascii="Tahoma" w:hAnsi="Tahoma" w:cs="Tahoma"/>
        </w:rPr>
        <w:t xml:space="preserve"> </w:t>
      </w:r>
      <w:r w:rsidRPr="00D87B79">
        <w:rPr>
          <w:rFonts w:ascii="Tahoma" w:hAnsi="Tahoma" w:cs="Tahoma"/>
          <w:sz w:val="18"/>
          <w:lang w:val="it-IT"/>
        </w:rPr>
        <w:t>Open License include Open</w:t>
      </w:r>
      <w:r>
        <w:rPr>
          <w:rFonts w:ascii="Tahoma" w:hAnsi="Tahoma" w:cs="Tahoma"/>
          <w:sz w:val="18"/>
          <w:lang w:val="it-IT"/>
        </w:rPr>
        <w:t> </w:t>
      </w:r>
      <w:r w:rsidRPr="00D87B79">
        <w:rPr>
          <w:rFonts w:ascii="Tahoma" w:hAnsi="Tahoma" w:cs="Tahoma"/>
          <w:sz w:val="18"/>
          <w:lang w:val="it-IT"/>
        </w:rPr>
        <w:t>License, Open License for Academic, Open License for Government e Open License for Charity, ove</w:t>
      </w:r>
      <w:r>
        <w:rPr>
          <w:rFonts w:ascii="Tahoma" w:hAnsi="Tahoma" w:cs="Tahoma"/>
          <w:sz w:val="18"/>
          <w:lang w:val="it-IT"/>
        </w:rPr>
        <w:t> </w:t>
      </w:r>
      <w:r w:rsidRPr="00D87B79">
        <w:rPr>
          <w:rFonts w:ascii="Tahoma" w:hAnsi="Tahoma" w:cs="Tahoma"/>
          <w:sz w:val="18"/>
          <w:lang w:val="it-IT"/>
        </w:rPr>
        <w:t>disponibili.</w:t>
      </w:r>
    </w:p>
    <w:p w:rsidR="00A92422" w:rsidRPr="00D87B79" w:rsidRDefault="00A92422" w:rsidP="00A92422">
      <w:pPr>
        <w:pStyle w:val="Bodywithspace"/>
        <w:spacing w:before="0" w:after="0" w:line="276" w:lineRule="auto"/>
        <w:ind w:right="-180"/>
        <w:rPr>
          <w:rFonts w:ascii="Tahoma" w:hAnsi="Tahoma" w:cs="Tahoma"/>
        </w:rPr>
      </w:pPr>
      <w:r w:rsidRPr="00D87B79">
        <w:rPr>
          <w:rStyle w:val="BodyChar"/>
          <w:rFonts w:ascii="Tahoma" w:hAnsi="Tahoma" w:cs="Tahoma"/>
          <w:b/>
          <w:sz w:val="18"/>
          <w:lang w:val="it-IT"/>
        </w:rPr>
        <w:t>Open Value (OV)=</w:t>
      </w:r>
      <w:r w:rsidRPr="00D87B79">
        <w:rPr>
          <w:rFonts w:ascii="Tahoma" w:hAnsi="Tahoma" w:cs="Tahoma"/>
          <w:sz w:val="18"/>
          <w:lang w:val="it-IT"/>
        </w:rPr>
        <w:t xml:space="preserve"> Open Value include Open Value e Open Value for Government.</w:t>
      </w:r>
    </w:p>
    <w:p w:rsidR="00A92422" w:rsidRPr="00D87B79" w:rsidRDefault="00A92422" w:rsidP="00A92422">
      <w:pPr>
        <w:pStyle w:val="Bodywithspace"/>
        <w:spacing w:before="0" w:after="0" w:line="276" w:lineRule="auto"/>
        <w:ind w:right="-180"/>
        <w:rPr>
          <w:rFonts w:ascii="Tahoma" w:hAnsi="Tahoma" w:cs="Tahoma"/>
        </w:rPr>
      </w:pPr>
      <w:r w:rsidRPr="00D87B79">
        <w:rPr>
          <w:rStyle w:val="BodyChar"/>
          <w:rFonts w:ascii="Tahoma" w:hAnsi="Tahoma" w:cs="Tahoma"/>
          <w:b/>
          <w:sz w:val="18"/>
          <w:lang w:val="it-IT"/>
        </w:rPr>
        <w:t>Open Value Subscription (OVS) =</w:t>
      </w:r>
      <w:r w:rsidRPr="00D87B79">
        <w:rPr>
          <w:rFonts w:ascii="Tahoma" w:hAnsi="Tahoma" w:cs="Tahoma"/>
          <w:sz w:val="18"/>
          <w:lang w:val="it-IT"/>
        </w:rPr>
        <w:t xml:space="preserve"> Open Value Subscription include Open Value Subscription e Open Value</w:t>
      </w:r>
      <w:r>
        <w:rPr>
          <w:rFonts w:ascii="Tahoma" w:hAnsi="Tahoma" w:cs="Tahoma"/>
          <w:sz w:val="18"/>
          <w:lang w:val="it-IT"/>
        </w:rPr>
        <w:t> </w:t>
      </w:r>
      <w:r w:rsidRPr="00D87B79">
        <w:rPr>
          <w:rFonts w:ascii="Tahoma" w:hAnsi="Tahoma" w:cs="Tahoma"/>
          <w:sz w:val="18"/>
          <w:lang w:val="it-IT"/>
        </w:rPr>
        <w:t>Subscription for Government.</w:t>
      </w:r>
      <w:r w:rsidRPr="00D87B79">
        <w:rPr>
          <w:rFonts w:ascii="Tahoma" w:hAnsi="Tahoma" w:cs="Tahoma"/>
        </w:rPr>
        <w:t xml:space="preserve"> </w:t>
      </w:r>
    </w:p>
    <w:p w:rsidR="00A92422" w:rsidRPr="00D87B79" w:rsidRDefault="00A92422" w:rsidP="00A92422">
      <w:pPr>
        <w:pStyle w:val="Bodywithspace"/>
        <w:spacing w:before="0" w:after="0" w:line="276" w:lineRule="auto"/>
        <w:ind w:right="-180"/>
        <w:rPr>
          <w:rFonts w:ascii="Tahoma" w:hAnsi="Tahoma" w:cs="Tahoma"/>
        </w:rPr>
      </w:pPr>
      <w:r w:rsidRPr="00D87B79">
        <w:rPr>
          <w:rStyle w:val="BodyChar"/>
          <w:rFonts w:ascii="Tahoma" w:hAnsi="Tahoma" w:cs="Tahoma"/>
          <w:b/>
          <w:sz w:val="18"/>
          <w:lang w:val="it-IT"/>
        </w:rPr>
        <w:t xml:space="preserve">EES/OVS-ES = </w:t>
      </w:r>
      <w:r w:rsidRPr="00D87B79">
        <w:rPr>
          <w:rStyle w:val="BodyChar"/>
          <w:rFonts w:ascii="Tahoma" w:hAnsi="Tahoma" w:cs="Tahoma"/>
          <w:sz w:val="18"/>
          <w:lang w:val="it-IT"/>
        </w:rPr>
        <w:t>Enrollment for Education Solutions/Open Value Subscription – Education Solutions</w:t>
      </w:r>
    </w:p>
    <w:p w:rsidR="00A92422" w:rsidRPr="00D87B79" w:rsidRDefault="00A92422" w:rsidP="00A92422">
      <w:pPr>
        <w:pStyle w:val="Bodywithspace"/>
        <w:spacing w:before="0" w:after="0" w:line="276" w:lineRule="auto"/>
        <w:ind w:right="-180"/>
        <w:rPr>
          <w:rFonts w:ascii="Tahoma" w:hAnsi="Tahoma" w:cs="Tahoma"/>
        </w:rPr>
      </w:pPr>
      <w:r w:rsidRPr="00D87B79">
        <w:rPr>
          <w:rStyle w:val="BodyChar"/>
          <w:rFonts w:ascii="Tahoma" w:hAnsi="Tahoma" w:cs="Tahoma"/>
          <w:b/>
          <w:sz w:val="18"/>
          <w:lang w:val="it-IT"/>
        </w:rPr>
        <w:t xml:space="preserve">Promozioni e Migrazioni = </w:t>
      </w:r>
      <w:r w:rsidRPr="00D87B79">
        <w:rPr>
          <w:rFonts w:ascii="Tahoma" w:hAnsi="Tahoma" w:cs="Tahoma"/>
          <w:sz w:val="18"/>
          <w:lang w:val="it-IT"/>
        </w:rPr>
        <w:t>È già in corso una promozione o è disponibile una migrazione di software.</w:t>
      </w:r>
    </w:p>
    <w:p w:rsidR="00A92422" w:rsidRPr="00D87B79" w:rsidRDefault="00A92422" w:rsidP="00A92422">
      <w:pPr>
        <w:pStyle w:val="Bodywithspace"/>
        <w:spacing w:before="0" w:after="0" w:line="276" w:lineRule="auto"/>
        <w:ind w:right="-180"/>
        <w:rPr>
          <w:rFonts w:ascii="Tahoma" w:hAnsi="Tahoma" w:cs="Tahoma"/>
        </w:rPr>
      </w:pPr>
      <w:r w:rsidRPr="00D87B79">
        <w:rPr>
          <w:rStyle w:val="BodyChar"/>
          <w:rFonts w:ascii="Tahoma" w:hAnsi="Tahoma" w:cs="Tahoma"/>
          <w:b/>
          <w:sz w:val="18"/>
          <w:lang w:val="it-IT"/>
        </w:rPr>
        <w:t xml:space="preserve">SAB = </w:t>
      </w:r>
      <w:r w:rsidRPr="00D87B79">
        <w:rPr>
          <w:rFonts w:ascii="Tahoma" w:hAnsi="Tahoma" w:cs="Tahoma"/>
          <w:sz w:val="18"/>
          <w:lang w:val="it-IT"/>
        </w:rPr>
        <w:t>Per le società idonee all’acquisto del software sono disponibili i Vantaggi di Software Assurance (Software Assurance Benefits o SAB).</w:t>
      </w:r>
    </w:p>
    <w:p w:rsidR="00A92422" w:rsidRPr="00D87B79" w:rsidRDefault="00A92422" w:rsidP="00A92422">
      <w:pPr>
        <w:pStyle w:val="Bodywithspace"/>
        <w:spacing w:before="0" w:after="0" w:line="276" w:lineRule="auto"/>
        <w:ind w:right="-180"/>
        <w:rPr>
          <w:rFonts w:ascii="Tahoma" w:hAnsi="Tahoma" w:cs="Tahoma"/>
        </w:rPr>
      </w:pPr>
      <w:r w:rsidRPr="00D87B79">
        <w:rPr>
          <w:rStyle w:val="BodyChar"/>
          <w:rFonts w:ascii="Tahoma" w:hAnsi="Tahoma" w:cs="Tahoma"/>
          <w:b/>
          <w:sz w:val="18"/>
          <w:lang w:val="it-IT"/>
        </w:rPr>
        <w:t>Select =</w:t>
      </w:r>
      <w:r w:rsidRPr="00D87B79">
        <w:rPr>
          <w:rFonts w:ascii="Tahoma" w:hAnsi="Tahoma" w:cs="Tahoma"/>
          <w:sz w:val="18"/>
          <w:lang w:val="it-IT"/>
        </w:rPr>
        <w:t xml:space="preserve"> Select 20xx.</w:t>
      </w:r>
      <w:r w:rsidRPr="00D87B79">
        <w:rPr>
          <w:rFonts w:ascii="Tahoma" w:hAnsi="Tahoma" w:cs="Tahoma"/>
        </w:rPr>
        <w:t xml:space="preserve"> </w:t>
      </w:r>
      <w:r w:rsidRPr="00D87B79">
        <w:rPr>
          <w:rFonts w:ascii="Tahoma" w:hAnsi="Tahoma" w:cs="Tahoma"/>
          <w:sz w:val="18"/>
          <w:lang w:val="it-IT"/>
        </w:rPr>
        <w:t>Sono inclusi anche i Contratti Select for Academic e Select for Government.</w:t>
      </w:r>
    </w:p>
    <w:p w:rsidR="00A92422" w:rsidRPr="00D87B79" w:rsidRDefault="00A92422" w:rsidP="00A92422">
      <w:pPr>
        <w:pStyle w:val="Bodywithspace"/>
        <w:spacing w:before="0" w:after="0" w:line="276" w:lineRule="auto"/>
        <w:ind w:right="-180"/>
        <w:rPr>
          <w:rFonts w:ascii="Tahoma" w:hAnsi="Tahoma" w:cs="Tahoma"/>
        </w:rPr>
      </w:pPr>
      <w:r w:rsidRPr="00D87B79">
        <w:rPr>
          <w:rStyle w:val="BodyChar"/>
          <w:rFonts w:ascii="Tahoma" w:hAnsi="Tahoma" w:cs="Tahoma"/>
          <w:b/>
          <w:sz w:val="18"/>
          <w:lang w:val="it-IT"/>
        </w:rPr>
        <w:t>Select Plus</w:t>
      </w:r>
      <w:r w:rsidRPr="00D87B79">
        <w:rPr>
          <w:rStyle w:val="BodyChar"/>
          <w:rFonts w:ascii="Tahoma" w:hAnsi="Tahoma" w:cs="Tahoma"/>
          <w:sz w:val="18"/>
          <w:lang w:val="it-IT"/>
        </w:rPr>
        <w:t xml:space="preserve"> </w:t>
      </w:r>
      <w:r w:rsidRPr="001C2367">
        <w:rPr>
          <w:rStyle w:val="BodyChar"/>
          <w:rFonts w:ascii="Tahoma" w:hAnsi="Tahoma" w:cs="Tahoma"/>
          <w:b/>
          <w:sz w:val="18"/>
          <w:lang w:val="it-IT"/>
        </w:rPr>
        <w:t xml:space="preserve">= </w:t>
      </w:r>
      <w:r w:rsidRPr="00D87B79">
        <w:rPr>
          <w:rStyle w:val="BodyChar"/>
          <w:rFonts w:ascii="Tahoma" w:hAnsi="Tahoma" w:cs="Tahoma"/>
          <w:sz w:val="18"/>
          <w:lang w:val="it-IT"/>
        </w:rPr>
        <w:t>Select Plus 20xx.</w:t>
      </w:r>
      <w:r w:rsidRPr="00D87B79">
        <w:rPr>
          <w:rFonts w:ascii="Tahoma" w:hAnsi="Tahoma" w:cs="Tahoma"/>
        </w:rPr>
        <w:t xml:space="preserve"> </w:t>
      </w:r>
      <w:r w:rsidRPr="00D87B79">
        <w:rPr>
          <w:rStyle w:val="BodyChar"/>
          <w:rFonts w:ascii="Tahoma" w:hAnsi="Tahoma" w:cs="Tahoma"/>
          <w:sz w:val="18"/>
          <w:lang w:val="it-IT"/>
        </w:rPr>
        <w:t>Sono inclusi anche i Contratti Plus License for Academic e Select Plus for</w:t>
      </w:r>
      <w:r>
        <w:rPr>
          <w:rStyle w:val="BodyChar"/>
          <w:rFonts w:ascii="Tahoma" w:hAnsi="Tahoma" w:cs="Tahoma"/>
          <w:sz w:val="18"/>
          <w:lang w:val="it-IT"/>
        </w:rPr>
        <w:t> </w:t>
      </w:r>
      <w:r w:rsidRPr="00D87B79">
        <w:rPr>
          <w:rStyle w:val="BodyChar"/>
          <w:rFonts w:ascii="Tahoma" w:hAnsi="Tahoma" w:cs="Tahoma"/>
          <w:sz w:val="18"/>
          <w:lang w:val="it-IT"/>
        </w:rPr>
        <w:t>Government.</w:t>
      </w:r>
    </w:p>
    <w:p w:rsidR="00A92422" w:rsidRPr="00D87B79" w:rsidRDefault="00A92422" w:rsidP="00A92422">
      <w:pPr>
        <w:pStyle w:val="Bodywithspace"/>
        <w:spacing w:before="0" w:after="0"/>
        <w:ind w:right="-180"/>
        <w:rPr>
          <w:rFonts w:ascii="Tahoma" w:hAnsi="Tahoma" w:cs="Tahoma"/>
        </w:rPr>
      </w:pPr>
    </w:p>
    <w:p w:rsidR="00A92422" w:rsidRPr="00D87B79" w:rsidRDefault="00A92422" w:rsidP="00A92422">
      <w:pPr>
        <w:pStyle w:val="ChartKeyHeadings"/>
        <w:ind w:right="-180"/>
        <w:rPr>
          <w:rFonts w:ascii="Tahoma" w:hAnsi="Tahoma" w:cs="Tahoma"/>
        </w:rPr>
      </w:pPr>
      <w:r w:rsidRPr="00D87B79">
        <w:rPr>
          <w:rFonts w:ascii="Tahoma" w:hAnsi="Tahoma" w:cs="Tahoma"/>
          <w:lang w:val="it-IT"/>
        </w:rPr>
        <w:t>Valori delle colonne</w:t>
      </w:r>
    </w:p>
    <w:p w:rsidR="00A92422" w:rsidRPr="00D87B79" w:rsidRDefault="00A92422" w:rsidP="00A92422">
      <w:pPr>
        <w:pStyle w:val="ChartKeyHeadings"/>
        <w:ind w:right="-180"/>
        <w:rPr>
          <w:rFonts w:ascii="Tahoma" w:hAnsi="Tahoma" w:cs="Tahoma"/>
        </w:rPr>
      </w:pPr>
    </w:p>
    <w:p w:rsidR="00A92422" w:rsidRPr="00D87B79" w:rsidRDefault="00A92422" w:rsidP="00A92422">
      <w:pPr>
        <w:pStyle w:val="Bodywithspace"/>
        <w:spacing w:before="0" w:after="0" w:line="276" w:lineRule="auto"/>
        <w:ind w:right="-180"/>
        <w:rPr>
          <w:rFonts w:ascii="Tahoma" w:hAnsi="Tahoma" w:cs="Tahoma"/>
        </w:rPr>
      </w:pPr>
      <w:r w:rsidRPr="00D87B79">
        <w:rPr>
          <w:rStyle w:val="BodyChar"/>
          <w:rFonts w:ascii="Tahoma" w:hAnsi="Tahoma" w:cs="Tahoma"/>
          <w:b/>
          <w:sz w:val="18"/>
          <w:lang w:val="it-IT"/>
        </w:rPr>
        <w:t>1 An =</w:t>
      </w:r>
      <w:r w:rsidRPr="00D87B79">
        <w:rPr>
          <w:rFonts w:ascii="Tahoma" w:hAnsi="Tahoma" w:cs="Tahoma"/>
          <w:sz w:val="18"/>
          <w:lang w:val="it-IT"/>
        </w:rPr>
        <w:t xml:space="preserve"> (ancora 1 anno alla scadenza del periodo di validità del contratto).</w:t>
      </w:r>
    </w:p>
    <w:p w:rsidR="00A92422" w:rsidRPr="00D87B79" w:rsidRDefault="00A92422" w:rsidP="00A92422">
      <w:pPr>
        <w:pStyle w:val="Bodywithspace"/>
        <w:spacing w:before="0" w:after="0" w:line="276" w:lineRule="auto"/>
        <w:ind w:right="-180"/>
        <w:rPr>
          <w:rFonts w:ascii="Tahoma" w:hAnsi="Tahoma" w:cs="Tahoma"/>
        </w:rPr>
      </w:pPr>
      <w:r w:rsidRPr="00D87B79">
        <w:rPr>
          <w:rStyle w:val="BodyChar"/>
          <w:rFonts w:ascii="Tahoma" w:hAnsi="Tahoma" w:cs="Tahoma"/>
          <w:b/>
          <w:sz w:val="18"/>
          <w:lang w:val="it-IT"/>
        </w:rPr>
        <w:t xml:space="preserve">2 An = </w:t>
      </w:r>
      <w:r w:rsidRPr="00D87B79">
        <w:rPr>
          <w:rFonts w:ascii="Tahoma" w:hAnsi="Tahoma" w:cs="Tahoma"/>
          <w:sz w:val="18"/>
          <w:lang w:val="it-IT"/>
        </w:rPr>
        <w:t>(ancora 2 anni alla scadenza del periodo di validità del contratto).</w:t>
      </w:r>
    </w:p>
    <w:p w:rsidR="00A92422" w:rsidRPr="00D87B79" w:rsidRDefault="00A92422" w:rsidP="00A92422">
      <w:pPr>
        <w:pStyle w:val="Bodywithspace"/>
        <w:spacing w:before="0" w:after="0" w:line="276" w:lineRule="auto"/>
        <w:ind w:right="-180"/>
        <w:rPr>
          <w:rFonts w:ascii="Tahoma" w:hAnsi="Tahoma" w:cs="Tahoma"/>
        </w:rPr>
      </w:pPr>
      <w:r w:rsidRPr="00D87B79">
        <w:rPr>
          <w:rStyle w:val="BodyChar"/>
          <w:rFonts w:ascii="Tahoma" w:hAnsi="Tahoma" w:cs="Tahoma"/>
          <w:b/>
          <w:sz w:val="18"/>
          <w:lang w:val="it-IT"/>
        </w:rPr>
        <w:t>3 An =</w:t>
      </w:r>
      <w:r w:rsidRPr="00D87B79">
        <w:rPr>
          <w:rFonts w:ascii="Tahoma" w:hAnsi="Tahoma" w:cs="Tahoma"/>
          <w:sz w:val="18"/>
          <w:lang w:val="it-IT"/>
        </w:rPr>
        <w:t xml:space="preserve"> (ancora 3 anni alla scadenza del periodo di validità del contratto).</w:t>
      </w:r>
    </w:p>
    <w:p w:rsidR="00A92422" w:rsidRPr="00D87B79" w:rsidRDefault="00A92422" w:rsidP="00A92422">
      <w:pPr>
        <w:pStyle w:val="Bodywithspace"/>
        <w:spacing w:before="0" w:after="0" w:line="276" w:lineRule="auto"/>
        <w:ind w:right="-180"/>
        <w:rPr>
          <w:rFonts w:ascii="Tahoma" w:hAnsi="Tahoma" w:cs="Tahoma"/>
        </w:rPr>
      </w:pPr>
      <w:r w:rsidRPr="00D87B79">
        <w:rPr>
          <w:rStyle w:val="BodyChar"/>
          <w:rFonts w:ascii="Tahoma" w:hAnsi="Tahoma" w:cs="Tahoma"/>
          <w:b/>
          <w:sz w:val="18"/>
          <w:lang w:val="it-IT"/>
        </w:rPr>
        <w:t xml:space="preserve">A = </w:t>
      </w:r>
      <w:r w:rsidRPr="00D87B79">
        <w:rPr>
          <w:rFonts w:ascii="Tahoma" w:hAnsi="Tahoma" w:cs="Tahoma"/>
          <w:sz w:val="18"/>
          <w:lang w:val="it-IT"/>
        </w:rPr>
        <w:t>Indica che il software è offerto come prodotto aggiuntivo.</w:t>
      </w:r>
    </w:p>
    <w:p w:rsidR="00A92422" w:rsidRPr="00D87B79" w:rsidRDefault="00A92422" w:rsidP="00A92422">
      <w:pPr>
        <w:pStyle w:val="Bodywithspace"/>
        <w:spacing w:before="0" w:after="0" w:line="276" w:lineRule="auto"/>
        <w:ind w:right="-180"/>
        <w:rPr>
          <w:rFonts w:ascii="Tahoma" w:hAnsi="Tahoma" w:cs="Tahoma"/>
        </w:rPr>
      </w:pPr>
      <w:r w:rsidRPr="00D87B79">
        <w:rPr>
          <w:rStyle w:val="BodyChar"/>
          <w:rFonts w:ascii="Tahoma" w:hAnsi="Tahoma" w:cs="Tahoma"/>
          <w:b/>
          <w:sz w:val="18"/>
          <w:lang w:val="it-IT"/>
        </w:rPr>
        <w:t xml:space="preserve">AO = </w:t>
      </w:r>
      <w:r w:rsidRPr="00D87B79">
        <w:rPr>
          <w:rFonts w:ascii="Tahoma" w:hAnsi="Tahoma" w:cs="Tahoma"/>
          <w:sz w:val="18"/>
          <w:lang w:val="it-IT"/>
        </w:rPr>
        <w:t>Indica software offerto come prodotto aggiuntivo ordinabile per l’intera organizzazione.</w:t>
      </w:r>
    </w:p>
    <w:p w:rsidR="00A92422" w:rsidRPr="00D87B79" w:rsidRDefault="00A92422" w:rsidP="00A92422">
      <w:pPr>
        <w:pStyle w:val="Bodywithspace"/>
        <w:spacing w:before="0" w:after="0" w:line="276" w:lineRule="auto"/>
        <w:ind w:right="-180"/>
        <w:rPr>
          <w:rFonts w:ascii="Tahoma" w:hAnsi="Tahoma" w:cs="Tahoma"/>
        </w:rPr>
      </w:pPr>
      <w:r w:rsidRPr="00D87B79">
        <w:rPr>
          <w:rStyle w:val="BodyChar"/>
          <w:rFonts w:ascii="Tahoma" w:hAnsi="Tahoma" w:cs="Tahoma"/>
          <w:b/>
          <w:sz w:val="18"/>
          <w:lang w:val="it-IT"/>
        </w:rPr>
        <w:t xml:space="preserve">C = </w:t>
      </w:r>
      <w:r w:rsidRPr="00D87B79">
        <w:rPr>
          <w:rFonts w:ascii="Tahoma" w:hAnsi="Tahoma" w:cs="Tahoma"/>
          <w:sz w:val="18"/>
          <w:lang w:val="it-IT"/>
        </w:rPr>
        <w:t>Indica che il software è offerto come prodotto per le infrastrutture fondamentali.</w:t>
      </w:r>
    </w:p>
    <w:p w:rsidR="00A92422" w:rsidRPr="00D87B79" w:rsidRDefault="00A92422" w:rsidP="00A92422">
      <w:pPr>
        <w:pStyle w:val="ListParagraph"/>
        <w:rPr>
          <w:rFonts w:ascii="Tahoma" w:hAnsi="Tahoma" w:cs="Tahoma"/>
        </w:rPr>
      </w:pPr>
      <w:r w:rsidRPr="00D87B79">
        <w:rPr>
          <w:rStyle w:val="BodyChar"/>
          <w:rFonts w:ascii="Tahoma" w:hAnsi="Tahoma" w:cs="Tahoma"/>
          <w:b/>
          <w:sz w:val="18"/>
          <w:lang w:val="it-IT"/>
        </w:rPr>
        <w:t xml:space="preserve">D = </w:t>
      </w:r>
      <w:r w:rsidRPr="00D87B79">
        <w:rPr>
          <w:rFonts w:ascii="Tahoma" w:hAnsi="Tahoma" w:cs="Tahoma"/>
          <w:sz w:val="18"/>
          <w:lang w:val="it-IT"/>
        </w:rPr>
        <w:t>Indica che il software è offerto come prodotto del Programma Industry Device.</w:t>
      </w:r>
    </w:p>
    <w:p w:rsidR="00A92422" w:rsidRPr="00D87B79" w:rsidRDefault="00A92422" w:rsidP="00A92422">
      <w:pPr>
        <w:pStyle w:val="Bodywithspace"/>
        <w:spacing w:before="0" w:after="0" w:line="276" w:lineRule="auto"/>
        <w:ind w:right="-180"/>
        <w:rPr>
          <w:rFonts w:ascii="Tahoma" w:hAnsi="Tahoma" w:cs="Tahoma"/>
        </w:rPr>
      </w:pPr>
      <w:r w:rsidRPr="00D87B79">
        <w:rPr>
          <w:rStyle w:val="BodyChar"/>
          <w:rFonts w:ascii="Tahoma" w:hAnsi="Tahoma" w:cs="Tahoma"/>
          <w:b/>
          <w:sz w:val="18"/>
          <w:lang w:val="it-IT"/>
        </w:rPr>
        <w:t xml:space="preserve">DT = </w:t>
      </w:r>
      <w:r w:rsidRPr="00D87B79">
        <w:rPr>
          <w:rFonts w:ascii="Tahoma" w:hAnsi="Tahoma" w:cs="Tahoma"/>
          <w:sz w:val="18"/>
          <w:lang w:val="it-IT"/>
        </w:rPr>
        <w:t>Vantaggi di Software Assurance per le Offerte di Desktop.</w:t>
      </w:r>
      <w:r w:rsidRPr="00D87B79">
        <w:rPr>
          <w:rFonts w:ascii="Tahoma" w:hAnsi="Tahoma" w:cs="Tahoma"/>
        </w:rPr>
        <w:t xml:space="preserve"> </w:t>
      </w:r>
    </w:p>
    <w:p w:rsidR="00A92422" w:rsidRPr="00D87B79" w:rsidRDefault="00A92422" w:rsidP="00A92422">
      <w:pPr>
        <w:pStyle w:val="Bodywithspace"/>
        <w:spacing w:before="0" w:after="0" w:line="276" w:lineRule="auto"/>
        <w:ind w:right="-180"/>
        <w:rPr>
          <w:rFonts w:ascii="Tahoma" w:hAnsi="Tahoma" w:cs="Tahoma"/>
        </w:rPr>
      </w:pPr>
      <w:r w:rsidRPr="00D87B79">
        <w:rPr>
          <w:rFonts w:ascii="Tahoma" w:hAnsi="Tahoma" w:cs="Tahoma"/>
          <w:b/>
          <w:color w:val="000000"/>
          <w:sz w:val="18"/>
          <w:lang w:val="it-IT"/>
        </w:rPr>
        <w:t xml:space="preserve">E = Indica che il prodotto </w:t>
      </w:r>
      <w:r w:rsidRPr="00D87B79">
        <w:rPr>
          <w:rFonts w:ascii="Tahoma" w:hAnsi="Tahoma" w:cs="Tahoma"/>
          <w:color w:val="000000"/>
          <w:sz w:val="18"/>
          <w:lang w:val="it-IT"/>
        </w:rPr>
        <w:t>è offerto come prodotto enterprise o della piattaforma desktop.</w:t>
      </w:r>
    </w:p>
    <w:p w:rsidR="00A92422" w:rsidRPr="00D87B79" w:rsidRDefault="00A92422" w:rsidP="00A92422">
      <w:pPr>
        <w:spacing w:line="276" w:lineRule="auto"/>
        <w:ind w:left="720" w:right="-180"/>
        <w:rPr>
          <w:rFonts w:cs="Tahoma"/>
        </w:rPr>
      </w:pPr>
      <w:r w:rsidRPr="00D87B79">
        <w:rPr>
          <w:rFonts w:cs="Tahoma"/>
          <w:b/>
          <w:color w:val="000000"/>
          <w:lang w:val="it-IT"/>
        </w:rPr>
        <w:t>EOLS</w:t>
      </w:r>
      <w:r w:rsidRPr="00D87B79">
        <w:rPr>
          <w:rFonts w:cs="Tahoma"/>
          <w:color w:val="000000"/>
          <w:lang w:val="it-IT"/>
        </w:rPr>
        <w:t xml:space="preserve"> = Indica che il prodotto è offerto come servizio online enterprise o servizio online della piattaforma.</w:t>
      </w:r>
    </w:p>
    <w:p w:rsidR="00A92422" w:rsidRPr="00D87B79" w:rsidRDefault="00A92422" w:rsidP="00A92422">
      <w:pPr>
        <w:pStyle w:val="Bodywithspace"/>
        <w:spacing w:before="0" w:after="0" w:line="276" w:lineRule="auto"/>
        <w:ind w:right="-180"/>
        <w:rPr>
          <w:rFonts w:ascii="Tahoma" w:hAnsi="Tahoma" w:cs="Tahoma"/>
        </w:rPr>
      </w:pPr>
      <w:r w:rsidRPr="00D87B79">
        <w:rPr>
          <w:rFonts w:ascii="Tahoma" w:hAnsi="Tahoma" w:cs="Tahoma"/>
          <w:b/>
          <w:color w:val="000000"/>
          <w:sz w:val="18"/>
          <w:lang w:val="it-IT"/>
        </w:rPr>
        <w:t xml:space="preserve">ST = </w:t>
      </w:r>
      <w:r w:rsidRPr="00D87B79">
        <w:rPr>
          <w:rFonts w:ascii="Tahoma" w:hAnsi="Tahoma" w:cs="Tahoma"/>
          <w:color w:val="000000"/>
          <w:sz w:val="18"/>
          <w:lang w:val="it-IT"/>
        </w:rPr>
        <w:t>Indica che il software è offerto come Offerta Studente e deve essere ordinato per l’intero Numero degli Studenti.</w:t>
      </w:r>
    </w:p>
    <w:p w:rsidR="00A92422" w:rsidRPr="00D87B79" w:rsidRDefault="00A92422" w:rsidP="00A92422">
      <w:pPr>
        <w:pStyle w:val="Bodywithspace"/>
        <w:spacing w:before="0" w:after="0" w:line="276" w:lineRule="auto"/>
        <w:ind w:right="-180"/>
        <w:rPr>
          <w:rFonts w:ascii="Tahoma" w:hAnsi="Tahoma" w:cs="Tahoma"/>
        </w:rPr>
      </w:pPr>
      <w:r w:rsidRPr="00D87B79">
        <w:rPr>
          <w:rStyle w:val="BodyChar"/>
          <w:rFonts w:ascii="Tahoma" w:hAnsi="Tahoma" w:cs="Tahoma"/>
          <w:b/>
          <w:sz w:val="18"/>
          <w:lang w:val="it-IT"/>
        </w:rPr>
        <w:t xml:space="preserve">L (Licenza) = </w:t>
      </w:r>
      <w:r w:rsidRPr="00D87B79">
        <w:rPr>
          <w:rFonts w:ascii="Tahoma" w:hAnsi="Tahoma" w:cs="Tahoma"/>
          <w:sz w:val="18"/>
          <w:lang w:val="it-IT"/>
        </w:rPr>
        <w:t>Valore di punti attribuito quando per il software indicato viene offerta una Licenza Standard.</w:t>
      </w:r>
    </w:p>
    <w:p w:rsidR="00A92422" w:rsidRPr="00D87B79" w:rsidRDefault="00A92422" w:rsidP="00A92422">
      <w:pPr>
        <w:pStyle w:val="Bodywithspace"/>
        <w:spacing w:before="0" w:after="0" w:line="276" w:lineRule="auto"/>
        <w:ind w:right="-180"/>
        <w:rPr>
          <w:rFonts w:ascii="Tahoma" w:hAnsi="Tahoma" w:cs="Tahoma"/>
        </w:rPr>
      </w:pPr>
      <w:r w:rsidRPr="00D87B79">
        <w:rPr>
          <w:rStyle w:val="BodyChar"/>
          <w:rFonts w:ascii="Tahoma" w:hAnsi="Tahoma" w:cs="Tahoma"/>
          <w:b/>
          <w:sz w:val="18"/>
          <w:lang w:val="it-IT"/>
        </w:rPr>
        <w:t xml:space="preserve">L&amp;SA (Licenza e Software Assurance) = </w:t>
      </w:r>
      <w:r w:rsidRPr="00D87B79">
        <w:rPr>
          <w:rFonts w:ascii="Tahoma" w:hAnsi="Tahoma" w:cs="Tahoma"/>
          <w:sz w:val="18"/>
          <w:lang w:val="it-IT"/>
        </w:rPr>
        <w:t>Valore di punti attribuito quando per il software indicato viene offerta una copertura Licenza e Software Assurance.</w:t>
      </w:r>
    </w:p>
    <w:p w:rsidR="00A92422" w:rsidRDefault="00A92422" w:rsidP="00A92422">
      <w:pPr>
        <w:pStyle w:val="Bodywithspace"/>
        <w:spacing w:before="0" w:after="0" w:line="276" w:lineRule="auto"/>
        <w:rPr>
          <w:rFonts w:ascii="Tahoma" w:hAnsi="Tahoma" w:cs="Tahoma"/>
          <w:color w:val="000000"/>
          <w:sz w:val="18"/>
          <w:lang w:val="it-IT"/>
        </w:rPr>
      </w:pPr>
      <w:r w:rsidRPr="001C2367">
        <w:rPr>
          <w:rFonts w:ascii="Tahoma" w:hAnsi="Tahoma" w:cs="Tahoma"/>
          <w:b/>
          <w:color w:val="000000"/>
          <w:sz w:val="18"/>
          <w:lang w:val="it-IT"/>
        </w:rPr>
        <w:t xml:space="preserve">OL = </w:t>
      </w:r>
      <w:r w:rsidRPr="00D87B79">
        <w:rPr>
          <w:rFonts w:ascii="Tahoma" w:hAnsi="Tahoma" w:cs="Tahoma"/>
          <w:color w:val="000000"/>
          <w:sz w:val="18"/>
          <w:lang w:val="it-IT"/>
        </w:rPr>
        <w:t>Disponibile in Open License.</w:t>
      </w:r>
    </w:p>
    <w:p w:rsidR="00A92422" w:rsidRDefault="00A92422" w:rsidP="00A92422">
      <w:pPr>
        <w:pStyle w:val="Bodywithspace"/>
        <w:spacing w:before="0" w:after="0" w:line="276" w:lineRule="auto"/>
        <w:rPr>
          <w:rFonts w:ascii="Tahoma" w:hAnsi="Tahoma" w:cs="Tahoma"/>
        </w:rPr>
      </w:pPr>
    </w:p>
    <w:p w:rsidR="00A92422" w:rsidRPr="00D87B79" w:rsidRDefault="00A92422" w:rsidP="00A92422">
      <w:pPr>
        <w:pStyle w:val="Bodywithspace"/>
        <w:spacing w:before="0" w:after="0" w:line="276" w:lineRule="auto"/>
        <w:rPr>
          <w:rFonts w:ascii="Tahoma" w:hAnsi="Tahoma" w:cs="Tahoma"/>
        </w:rPr>
      </w:pPr>
    </w:p>
    <w:p w:rsidR="00A92422" w:rsidRPr="00D87B79" w:rsidRDefault="00A92422" w:rsidP="00A92422">
      <w:pPr>
        <w:pStyle w:val="Bodywithspace"/>
        <w:spacing w:before="0" w:after="0" w:line="276" w:lineRule="atLeast"/>
        <w:ind w:right="-187"/>
        <w:rPr>
          <w:rFonts w:ascii="Tahoma" w:hAnsi="Tahoma" w:cs="Tahoma"/>
        </w:rPr>
      </w:pPr>
      <w:r w:rsidRPr="00D87B79">
        <w:rPr>
          <w:rStyle w:val="BodyChar"/>
          <w:rFonts w:ascii="Tahoma" w:hAnsi="Tahoma" w:cs="Tahoma"/>
          <w:b/>
          <w:sz w:val="18"/>
          <w:lang w:val="it-IT"/>
        </w:rPr>
        <w:lastRenderedPageBreak/>
        <w:t xml:space="preserve">OSB = </w:t>
      </w:r>
      <w:r w:rsidRPr="00D87B79">
        <w:rPr>
          <w:rStyle w:val="BodyChar"/>
          <w:rFonts w:ascii="Tahoma" w:hAnsi="Tahoma" w:cs="Tahoma"/>
          <w:sz w:val="18"/>
          <w:lang w:val="it-IT"/>
        </w:rPr>
        <w:t>Vantaggi dei Servizi Online per le società idonee.</w:t>
      </w:r>
      <w:r w:rsidRPr="00D87B79">
        <w:rPr>
          <w:rFonts w:ascii="Tahoma" w:hAnsi="Tahoma" w:cs="Tahoma"/>
        </w:rPr>
        <w:t xml:space="preserve"> </w:t>
      </w:r>
      <w:r w:rsidRPr="00D87B79">
        <w:rPr>
          <w:rFonts w:ascii="Tahoma" w:hAnsi="Tahoma" w:cs="Tahoma"/>
          <w:sz w:val="18"/>
          <w:lang w:val="it-IT"/>
        </w:rPr>
        <w:t>I prodotti idonei per i vantaggi dei Servizi Online possono essere presenti in più di una tabella di pool di prodotti</w:t>
      </w:r>
      <w:r w:rsidRPr="00D87B79">
        <w:rPr>
          <w:rFonts w:ascii="Tahoma" w:hAnsi="Tahoma" w:cs="Tahoma"/>
        </w:rPr>
        <w:t xml:space="preserve"> </w:t>
      </w:r>
      <w:r w:rsidRPr="00D87B79">
        <w:rPr>
          <w:rFonts w:ascii="Tahoma" w:hAnsi="Tahoma" w:cs="Tahoma"/>
          <w:sz w:val="18"/>
          <w:lang w:val="it-IT"/>
        </w:rPr>
        <w:t>al solo scopo di evidenziare che tali offerte possono essere idonee per vantaggi di software assurance associati a più di un pool di prodotti e che non è</w:t>
      </w:r>
      <w:r>
        <w:rPr>
          <w:rFonts w:ascii="Tahoma" w:hAnsi="Tahoma" w:cs="Tahoma"/>
          <w:sz w:val="18"/>
          <w:lang w:val="it-IT"/>
        </w:rPr>
        <w:t> </w:t>
      </w:r>
      <w:r w:rsidRPr="00D87B79">
        <w:rPr>
          <w:rFonts w:ascii="Tahoma" w:hAnsi="Tahoma" w:cs="Tahoma"/>
          <w:sz w:val="18"/>
          <w:lang w:val="it-IT"/>
        </w:rPr>
        <w:t>necessario scegliere tra i vantaggi di diversi pool.</w:t>
      </w:r>
    </w:p>
    <w:p w:rsidR="00A92422" w:rsidRPr="00D87B79" w:rsidRDefault="00A92422" w:rsidP="00A92422">
      <w:pPr>
        <w:pStyle w:val="Bodywithspace"/>
        <w:spacing w:before="0" w:after="0" w:line="276" w:lineRule="auto"/>
        <w:rPr>
          <w:rFonts w:ascii="Tahoma" w:hAnsi="Tahoma" w:cs="Tahoma"/>
        </w:rPr>
      </w:pPr>
      <w:r w:rsidRPr="00D87B79">
        <w:rPr>
          <w:rStyle w:val="BodyChar"/>
          <w:rFonts w:ascii="Tahoma" w:hAnsi="Tahoma" w:cs="Tahoma"/>
          <w:b/>
          <w:color w:val="000000"/>
          <w:sz w:val="18"/>
          <w:lang w:val="it-IT"/>
        </w:rPr>
        <w:t>OL/SA</w:t>
      </w:r>
      <w:r w:rsidRPr="00D87B79">
        <w:rPr>
          <w:rStyle w:val="BodyChar"/>
          <w:rFonts w:ascii="Tahoma" w:hAnsi="Tahoma" w:cs="Tahoma"/>
          <w:color w:val="000000"/>
          <w:sz w:val="18"/>
          <w:lang w:val="it-IT"/>
        </w:rPr>
        <w:t xml:space="preserve"> = Disponibile esclusivamente in Open License per L&amp;SA e SA.</w:t>
      </w:r>
    </w:p>
    <w:p w:rsidR="00A92422" w:rsidRPr="00D87B79" w:rsidRDefault="00A92422" w:rsidP="00A92422">
      <w:pPr>
        <w:pStyle w:val="Bodywithspace"/>
        <w:spacing w:before="0" w:after="0" w:line="276" w:lineRule="auto"/>
        <w:rPr>
          <w:rFonts w:ascii="Tahoma" w:hAnsi="Tahoma" w:cs="Tahoma"/>
        </w:rPr>
      </w:pPr>
      <w:r w:rsidRPr="00D87B79">
        <w:rPr>
          <w:rStyle w:val="BodyChar"/>
          <w:rFonts w:ascii="Tahoma" w:hAnsi="Tahoma" w:cs="Tahoma"/>
          <w:b/>
          <w:color w:val="000000"/>
          <w:sz w:val="18"/>
          <w:lang w:val="it-IT"/>
        </w:rPr>
        <w:t xml:space="preserve">OSP = </w:t>
      </w:r>
      <w:r w:rsidRPr="00D87B79">
        <w:rPr>
          <w:rStyle w:val="BodyChar"/>
          <w:rFonts w:ascii="Tahoma" w:hAnsi="Tahoma" w:cs="Tahoma"/>
          <w:color w:val="000000"/>
          <w:sz w:val="18"/>
          <w:lang w:val="it-IT"/>
        </w:rPr>
        <w:t>Disponibile nel programma Online Subscription.</w:t>
      </w:r>
    </w:p>
    <w:p w:rsidR="00A92422" w:rsidRPr="00D87B79" w:rsidRDefault="00A92422" w:rsidP="00A92422">
      <w:pPr>
        <w:pStyle w:val="Bodywithspace"/>
        <w:spacing w:before="0" w:after="0" w:line="276" w:lineRule="auto"/>
        <w:rPr>
          <w:rFonts w:ascii="Tahoma" w:hAnsi="Tahoma" w:cs="Tahoma"/>
        </w:rPr>
      </w:pPr>
      <w:r w:rsidRPr="00D87B79">
        <w:rPr>
          <w:rStyle w:val="BodyChar"/>
          <w:rFonts w:ascii="Tahoma" w:hAnsi="Tahoma" w:cs="Tahoma"/>
          <w:b/>
          <w:sz w:val="18"/>
          <w:lang w:val="it-IT"/>
        </w:rPr>
        <w:t xml:space="preserve">OV/OVS = </w:t>
      </w:r>
      <w:r w:rsidRPr="00D87B79">
        <w:rPr>
          <w:rFonts w:ascii="Tahoma" w:hAnsi="Tahoma" w:cs="Tahoma"/>
          <w:color w:val="000000"/>
          <w:sz w:val="18"/>
          <w:lang w:val="it-IT"/>
        </w:rPr>
        <w:t>Disponibile nei programmi Open Value e Open Value Subscription.</w:t>
      </w:r>
    </w:p>
    <w:p w:rsidR="00A92422" w:rsidRPr="00D87B79" w:rsidRDefault="00A92422" w:rsidP="00A92422">
      <w:pPr>
        <w:pStyle w:val="Bodywithspace"/>
        <w:spacing w:before="0" w:after="0" w:line="276" w:lineRule="auto"/>
        <w:ind w:right="-180"/>
        <w:rPr>
          <w:rFonts w:ascii="Tahoma" w:hAnsi="Tahoma" w:cs="Tahoma"/>
        </w:rPr>
      </w:pPr>
      <w:r w:rsidRPr="00D87B79">
        <w:rPr>
          <w:rStyle w:val="BodyChar"/>
          <w:rFonts w:ascii="Tahoma" w:hAnsi="Tahoma" w:cs="Tahoma"/>
          <w:b/>
          <w:sz w:val="18"/>
          <w:lang w:val="it-IT"/>
        </w:rPr>
        <w:t xml:space="preserve">P = </w:t>
      </w:r>
      <w:r w:rsidRPr="00D87B79">
        <w:rPr>
          <w:rFonts w:ascii="Tahoma" w:hAnsi="Tahoma" w:cs="Tahoma"/>
          <w:sz w:val="18"/>
          <w:lang w:val="it-IT"/>
        </w:rPr>
        <w:t>Indica il software offerto in un programma Open Value non a livello aziendale.</w:t>
      </w:r>
      <w:r w:rsidRPr="00D87B79">
        <w:rPr>
          <w:rFonts w:ascii="Tahoma" w:hAnsi="Tahoma" w:cs="Tahoma"/>
        </w:rPr>
        <w:t xml:space="preserve"> </w:t>
      </w:r>
    </w:p>
    <w:p w:rsidR="00A92422" w:rsidRPr="00D87B79" w:rsidRDefault="00A92422" w:rsidP="00A92422">
      <w:pPr>
        <w:pStyle w:val="Bodywithspace"/>
        <w:spacing w:before="0" w:after="0" w:line="276" w:lineRule="auto"/>
        <w:rPr>
          <w:rFonts w:ascii="Tahoma" w:hAnsi="Tahoma" w:cs="Tahoma"/>
        </w:rPr>
      </w:pPr>
      <w:r w:rsidRPr="00D87B79">
        <w:rPr>
          <w:rStyle w:val="BodyChar"/>
          <w:rFonts w:ascii="Tahoma" w:hAnsi="Tahoma" w:cs="Tahoma"/>
          <w:b/>
          <w:sz w:val="18"/>
          <w:lang w:val="it-IT"/>
        </w:rPr>
        <w:t xml:space="preserve">S = </w:t>
      </w:r>
      <w:r w:rsidRPr="00D87B79">
        <w:rPr>
          <w:rFonts w:ascii="Tahoma" w:hAnsi="Tahoma" w:cs="Tahoma"/>
          <w:sz w:val="18"/>
          <w:lang w:val="it-IT"/>
        </w:rPr>
        <w:t>Indica che il software è offerto come prodotto della piattaforma applicativa.</w:t>
      </w:r>
    </w:p>
    <w:p w:rsidR="00A92422" w:rsidRPr="00D87B79" w:rsidRDefault="00A92422" w:rsidP="00A92422">
      <w:pPr>
        <w:pStyle w:val="Bodywithspace"/>
        <w:spacing w:before="0" w:after="0" w:line="276" w:lineRule="auto"/>
        <w:rPr>
          <w:rFonts w:ascii="Tahoma" w:hAnsi="Tahoma" w:cs="Tahoma"/>
        </w:rPr>
      </w:pPr>
      <w:r w:rsidRPr="00D87B79">
        <w:rPr>
          <w:rStyle w:val="BodyChar"/>
          <w:rFonts w:ascii="Tahoma" w:hAnsi="Tahoma" w:cs="Tahoma"/>
          <w:b/>
          <w:sz w:val="18"/>
          <w:lang w:val="it-IT"/>
        </w:rPr>
        <w:t xml:space="preserve">SA (Software Assurance) = </w:t>
      </w:r>
      <w:r w:rsidRPr="00D87B79">
        <w:rPr>
          <w:rFonts w:ascii="Tahoma" w:hAnsi="Tahoma" w:cs="Tahoma"/>
          <w:sz w:val="18"/>
          <w:lang w:val="it-IT"/>
        </w:rPr>
        <w:t>Valore di punti attribuito quando per il software indicato viene offerta la</w:t>
      </w:r>
      <w:r>
        <w:rPr>
          <w:rFonts w:ascii="Tahoma" w:hAnsi="Tahoma" w:cs="Tahoma"/>
          <w:sz w:val="18"/>
          <w:lang w:val="it-IT"/>
        </w:rPr>
        <w:t> </w:t>
      </w:r>
      <w:r w:rsidRPr="00D87B79">
        <w:rPr>
          <w:rFonts w:ascii="Tahoma" w:hAnsi="Tahoma" w:cs="Tahoma"/>
          <w:sz w:val="18"/>
          <w:lang w:val="it-IT"/>
        </w:rPr>
        <w:t>copertura Software Assurance.</w:t>
      </w:r>
      <w:r w:rsidRPr="00D87B79">
        <w:rPr>
          <w:rFonts w:ascii="Tahoma" w:hAnsi="Tahoma" w:cs="Tahoma"/>
        </w:rPr>
        <w:t xml:space="preserve"> </w:t>
      </w:r>
    </w:p>
    <w:p w:rsidR="00A92422" w:rsidRPr="00D87B79" w:rsidRDefault="00A92422" w:rsidP="00A92422">
      <w:pPr>
        <w:pStyle w:val="Bodywithspace"/>
        <w:spacing w:before="0" w:after="0" w:line="276" w:lineRule="auto"/>
        <w:ind w:right="-180"/>
        <w:rPr>
          <w:rFonts w:ascii="Tahoma" w:hAnsi="Tahoma" w:cs="Tahoma"/>
        </w:rPr>
      </w:pPr>
      <w:r w:rsidRPr="00D87B79">
        <w:rPr>
          <w:rStyle w:val="BodyChar"/>
          <w:rFonts w:ascii="Tahoma" w:hAnsi="Tahoma" w:cs="Tahoma"/>
          <w:b/>
          <w:sz w:val="18"/>
          <w:lang w:val="it-IT"/>
        </w:rPr>
        <w:t xml:space="preserve">SRV = </w:t>
      </w:r>
      <w:r w:rsidRPr="00D87B79">
        <w:rPr>
          <w:rFonts w:ascii="Tahoma" w:hAnsi="Tahoma" w:cs="Tahoma"/>
          <w:sz w:val="18"/>
          <w:lang w:val="it-IT"/>
        </w:rPr>
        <w:t>Vantaggi di Software Assurance per le Offerte di Pool di Server.</w:t>
      </w:r>
      <w:r w:rsidRPr="00D87B79">
        <w:rPr>
          <w:rFonts w:ascii="Tahoma" w:hAnsi="Tahoma" w:cs="Tahoma"/>
        </w:rPr>
        <w:t xml:space="preserve"> </w:t>
      </w:r>
    </w:p>
    <w:p w:rsidR="00A92422" w:rsidRPr="00D87B79" w:rsidRDefault="00A92422" w:rsidP="00A92422">
      <w:pPr>
        <w:pStyle w:val="Bodywithspace"/>
        <w:tabs>
          <w:tab w:val="left" w:pos="9360"/>
        </w:tabs>
        <w:spacing w:before="0" w:after="0" w:line="276" w:lineRule="auto"/>
        <w:ind w:right="-180"/>
        <w:rPr>
          <w:rFonts w:ascii="Tahoma" w:hAnsi="Tahoma" w:cs="Tahoma"/>
        </w:rPr>
      </w:pPr>
      <w:r w:rsidRPr="00D87B79">
        <w:rPr>
          <w:rStyle w:val="BodyChar"/>
          <w:rFonts w:ascii="Tahoma" w:hAnsi="Tahoma" w:cs="Tahoma"/>
          <w:b/>
          <w:sz w:val="18"/>
          <w:lang w:val="it-IT"/>
        </w:rPr>
        <w:t xml:space="preserve">U (Licenza di Aggiornamento) = </w:t>
      </w:r>
      <w:r w:rsidRPr="00D87B79">
        <w:rPr>
          <w:rFonts w:ascii="Tahoma" w:hAnsi="Tahoma" w:cs="Tahoma"/>
          <w:sz w:val="18"/>
          <w:lang w:val="it-IT"/>
        </w:rPr>
        <w:t>Valore di punti attribuito quando per il software indicato viene offerto un</w:t>
      </w:r>
      <w:r>
        <w:rPr>
          <w:rFonts w:ascii="Tahoma" w:hAnsi="Tahoma" w:cs="Tahoma"/>
          <w:sz w:val="18"/>
          <w:lang w:val="it-IT"/>
        </w:rPr>
        <w:t> </w:t>
      </w:r>
      <w:r w:rsidRPr="00D87B79">
        <w:rPr>
          <w:rFonts w:ascii="Tahoma" w:hAnsi="Tahoma" w:cs="Tahoma"/>
          <w:sz w:val="18"/>
          <w:lang w:val="it-IT"/>
        </w:rPr>
        <w:t>aggiornamento.</w:t>
      </w:r>
    </w:p>
    <w:p w:rsidR="00A92422" w:rsidRPr="00D87B79" w:rsidRDefault="00A92422" w:rsidP="00A92422">
      <w:pPr>
        <w:pStyle w:val="Bodywithspace"/>
        <w:spacing w:before="0" w:after="0" w:line="276" w:lineRule="auto"/>
        <w:ind w:right="-180"/>
        <w:rPr>
          <w:rFonts w:ascii="Tahoma" w:hAnsi="Tahoma" w:cs="Tahoma"/>
        </w:rPr>
      </w:pPr>
      <w:r w:rsidRPr="00D87B79">
        <w:rPr>
          <w:rStyle w:val="BodyChar"/>
          <w:rFonts w:ascii="Tahoma" w:hAnsi="Tahoma" w:cs="Tahoma"/>
          <w:b/>
          <w:sz w:val="18"/>
          <w:lang w:val="it-IT"/>
        </w:rPr>
        <w:t xml:space="preserve">U &amp; SA (Aggiornamento e Software Assurance) = </w:t>
      </w:r>
      <w:r w:rsidRPr="00D87B79">
        <w:rPr>
          <w:rFonts w:ascii="Tahoma" w:hAnsi="Tahoma" w:cs="Tahoma"/>
          <w:sz w:val="18"/>
          <w:lang w:val="it-IT"/>
        </w:rPr>
        <w:t>Valore di punti attribuito quando per il software indicato viene offerto il programma Aggiornamento e Software Assurance.</w:t>
      </w:r>
    </w:p>
    <w:p w:rsidR="00A92422" w:rsidRPr="00D87B79" w:rsidRDefault="00A92422" w:rsidP="00A92422">
      <w:pPr>
        <w:pStyle w:val="Heading1"/>
      </w:pPr>
      <w:r w:rsidRPr="00D87B79">
        <w:br w:type="page"/>
      </w:r>
      <w:bookmarkStart w:id="10" w:name="_Toc336337841"/>
      <w:bookmarkStart w:id="11" w:name="_Toc342899913"/>
      <w:bookmarkEnd w:id="10"/>
      <w:r w:rsidRPr="00D87B79">
        <w:lastRenderedPageBreak/>
        <w:t>LISTA DEI ProdottI</w:t>
      </w:r>
      <w:bookmarkEnd w:id="11"/>
    </w:p>
    <w:p w:rsidR="00A92422" w:rsidRPr="00D87B79" w:rsidRDefault="00A92422" w:rsidP="00A92422">
      <w:pPr>
        <w:pStyle w:val="Heading3"/>
        <w:rPr>
          <w:rFonts w:ascii="Tahoma" w:hAnsi="Tahoma" w:cs="Tahoma"/>
        </w:rPr>
      </w:pPr>
      <w:bookmarkStart w:id="12" w:name="_Toc300391149"/>
      <w:bookmarkStart w:id="13" w:name="_Toc312398873"/>
      <w:bookmarkStart w:id="14" w:name="_Toc336337842"/>
    </w:p>
    <w:p w:rsidR="00A92422" w:rsidRPr="00D87B79" w:rsidRDefault="00A92422" w:rsidP="00A92422">
      <w:pPr>
        <w:rPr>
          <w:rFonts w:cs="Tahoma"/>
        </w:rPr>
      </w:pPr>
    </w:p>
    <w:p w:rsidR="00A92422" w:rsidRPr="00D87B79" w:rsidRDefault="00A92422" w:rsidP="00A92422">
      <w:pPr>
        <w:pStyle w:val="Heading3"/>
        <w:rPr>
          <w:rFonts w:ascii="Tahoma" w:hAnsi="Tahoma" w:cs="Tahoma"/>
        </w:rPr>
      </w:pPr>
      <w:bookmarkStart w:id="15" w:name="_Toc342899914"/>
      <w:bookmarkEnd w:id="12"/>
      <w:bookmarkEnd w:id="13"/>
      <w:bookmarkEnd w:id="14"/>
      <w:r w:rsidRPr="00D87B79">
        <w:rPr>
          <w:rFonts w:ascii="Tahoma" w:hAnsi="Tahoma" w:cs="Tahoma"/>
          <w:sz w:val="22"/>
          <w:lang w:val="it-IT"/>
        </w:rPr>
        <w:t>POOL DI APPLICAZIONI</w:t>
      </w:r>
      <w:bookmarkEnd w:id="15"/>
    </w:p>
    <w:p w:rsidR="00A92422" w:rsidRPr="00D87B79" w:rsidRDefault="00A92422" w:rsidP="00A92422">
      <w:pPr>
        <w:rPr>
          <w:rFonts w:cs="Tahoma"/>
        </w:rPr>
      </w:pPr>
    </w:p>
    <w:tbl>
      <w:tblPr>
        <w:tblW w:w="10530"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29"/>
        <w:gridCol w:w="461"/>
        <w:gridCol w:w="567"/>
      </w:tblGrid>
      <w:tr w:rsidR="00A92422" w:rsidRPr="00D87B79" w:rsidTr="00EA30FC">
        <w:trPr>
          <w:cantSplit/>
          <w:trHeight w:val="1308"/>
          <w:tblHeader/>
        </w:trPr>
        <w:tc>
          <w:tcPr>
            <w:tcW w:w="2638" w:type="dxa"/>
            <w:tcBorders>
              <w:top w:val="single" w:sz="4" w:space="0" w:color="FFFFFF"/>
              <w:left w:val="nil"/>
              <w:bottom w:val="nil"/>
            </w:tcBorders>
          </w:tcPr>
          <w:p w:rsidR="00A92422" w:rsidRPr="00D87B79" w:rsidRDefault="00A92422" w:rsidP="00EA30FC">
            <w:pPr>
              <w:widowControl w:val="0"/>
              <w:ind w:left="-360"/>
              <w:rPr>
                <w:rFonts w:cs="Tahoma"/>
              </w:rPr>
            </w:pPr>
          </w:p>
        </w:tc>
        <w:tc>
          <w:tcPr>
            <w:tcW w:w="429" w:type="dxa"/>
            <w:textDirection w:val="btLr"/>
            <w:vAlign w:val="center"/>
          </w:tcPr>
          <w:p w:rsidR="00A92422" w:rsidRPr="00BA1C75" w:rsidRDefault="00A92422" w:rsidP="00EA30FC">
            <w:pPr>
              <w:pStyle w:val="TableVerticalText"/>
              <w:widowControl w:val="0"/>
              <w:rPr>
                <w:rFonts w:ascii="Tahoma" w:hAnsi="Tahoma" w:cs="Tahoma"/>
                <w:szCs w:val="11"/>
              </w:rPr>
            </w:pPr>
            <w:r w:rsidRPr="00BA1C75">
              <w:rPr>
                <w:rFonts w:ascii="Tahoma" w:hAnsi="Tahoma" w:cs="Tahoma"/>
                <w:szCs w:val="11"/>
                <w:lang w:val="it-IT"/>
              </w:rPr>
              <w:t>Note del Prodotto</w:t>
            </w:r>
          </w:p>
        </w:tc>
        <w:tc>
          <w:tcPr>
            <w:tcW w:w="429" w:type="dxa"/>
            <w:textDirection w:val="btLr"/>
          </w:tcPr>
          <w:p w:rsidR="00A92422" w:rsidRPr="00BA1C75" w:rsidRDefault="00A92422" w:rsidP="00EA30FC">
            <w:pPr>
              <w:pStyle w:val="TableVerticalText"/>
              <w:widowControl w:val="0"/>
              <w:rPr>
                <w:rFonts w:ascii="Tahoma" w:hAnsi="Tahoma" w:cs="Tahoma"/>
                <w:szCs w:val="11"/>
              </w:rPr>
            </w:pPr>
            <w:r w:rsidRPr="00BA1C75">
              <w:rPr>
                <w:rFonts w:ascii="Tahoma" w:hAnsi="Tahoma" w:cs="Tahoma"/>
                <w:szCs w:val="11"/>
                <w:lang w:val="it-IT"/>
              </w:rPr>
              <w:t>Data Disponibilità</w:t>
            </w:r>
          </w:p>
        </w:tc>
        <w:tc>
          <w:tcPr>
            <w:tcW w:w="429" w:type="dxa"/>
            <w:tcBorders>
              <w:right w:val="single" w:sz="18" w:space="0" w:color="auto"/>
            </w:tcBorders>
            <w:textDirection w:val="btLr"/>
            <w:vAlign w:val="center"/>
          </w:tcPr>
          <w:p w:rsidR="00A92422" w:rsidRPr="00BA1C75" w:rsidRDefault="00A92422" w:rsidP="00EA30FC">
            <w:pPr>
              <w:pStyle w:val="TableVerticalText"/>
              <w:widowControl w:val="0"/>
              <w:rPr>
                <w:rFonts w:ascii="Tahoma" w:hAnsi="Tahoma" w:cs="Tahoma"/>
                <w:szCs w:val="11"/>
              </w:rPr>
            </w:pPr>
            <w:r w:rsidRPr="00BA1C75">
              <w:rPr>
                <w:rFonts w:ascii="Tahoma" w:hAnsi="Tahoma" w:cs="Tahoma"/>
                <w:szCs w:val="11"/>
                <w:lang w:val="it-IT"/>
              </w:rPr>
              <w:t>SAB</w:t>
            </w:r>
          </w:p>
        </w:tc>
        <w:tc>
          <w:tcPr>
            <w:tcW w:w="3003" w:type="dxa"/>
            <w:gridSpan w:val="7"/>
            <w:tcBorders>
              <w:left w:val="single" w:sz="18" w:space="0" w:color="auto"/>
              <w:right w:val="single" w:sz="18" w:space="0" w:color="auto"/>
            </w:tcBorders>
            <w:vAlign w:val="center"/>
          </w:tcPr>
          <w:p w:rsidR="00A92422" w:rsidRPr="00BA1C75" w:rsidRDefault="00A92422" w:rsidP="00EA30FC">
            <w:pPr>
              <w:pStyle w:val="TableHeadingsBlack"/>
              <w:widowControl w:val="0"/>
              <w:rPr>
                <w:rFonts w:ascii="Tahoma" w:hAnsi="Tahoma" w:cs="Tahoma"/>
                <w:szCs w:val="11"/>
              </w:rPr>
            </w:pPr>
            <w:r w:rsidRPr="00BA1C75">
              <w:rPr>
                <w:rFonts w:ascii="Tahoma" w:hAnsi="Tahoma" w:cs="Tahoma"/>
                <w:szCs w:val="11"/>
                <w:lang w:val="it-IT"/>
              </w:rPr>
              <w:t>Select / Select Plus*</w:t>
            </w:r>
          </w:p>
        </w:tc>
        <w:tc>
          <w:tcPr>
            <w:tcW w:w="1287" w:type="dxa"/>
            <w:gridSpan w:val="3"/>
            <w:tcBorders>
              <w:left w:val="single" w:sz="18" w:space="0" w:color="auto"/>
              <w:right w:val="single" w:sz="18" w:space="0" w:color="auto"/>
            </w:tcBorders>
            <w:vAlign w:val="center"/>
          </w:tcPr>
          <w:p w:rsidR="00A92422" w:rsidRPr="00BA1C75" w:rsidRDefault="00A92422" w:rsidP="00EA30FC">
            <w:pPr>
              <w:pStyle w:val="TableHeadingsBlack"/>
              <w:widowControl w:val="0"/>
              <w:rPr>
                <w:rFonts w:ascii="Tahoma" w:hAnsi="Tahoma" w:cs="Tahoma"/>
                <w:szCs w:val="11"/>
              </w:rPr>
            </w:pPr>
            <w:r w:rsidRPr="00BA1C75">
              <w:rPr>
                <w:rFonts w:ascii="Tahoma" w:hAnsi="Tahoma" w:cs="Tahoma"/>
                <w:szCs w:val="11"/>
                <w:lang w:val="it-IT"/>
              </w:rPr>
              <w:t>Licenza Open</w:t>
            </w:r>
          </w:p>
        </w:tc>
        <w:tc>
          <w:tcPr>
            <w:tcW w:w="429" w:type="dxa"/>
            <w:tcBorders>
              <w:left w:val="single" w:sz="18" w:space="0" w:color="auto"/>
            </w:tcBorders>
            <w:textDirection w:val="btLr"/>
            <w:vAlign w:val="center"/>
          </w:tcPr>
          <w:p w:rsidR="00A92422" w:rsidRPr="00BA1C75" w:rsidRDefault="00A92422" w:rsidP="00EA30FC">
            <w:pPr>
              <w:pStyle w:val="TableVerticalText"/>
              <w:widowControl w:val="0"/>
              <w:rPr>
                <w:rFonts w:ascii="Tahoma" w:hAnsi="Tahoma" w:cs="Tahoma"/>
                <w:szCs w:val="11"/>
              </w:rPr>
            </w:pPr>
            <w:r w:rsidRPr="00BA1C75">
              <w:rPr>
                <w:rFonts w:ascii="Tahoma" w:hAnsi="Tahoma" w:cs="Tahoma"/>
                <w:szCs w:val="11"/>
                <w:lang w:val="it-IT"/>
              </w:rPr>
              <w:t>Unità Campus/School</w:t>
            </w:r>
          </w:p>
        </w:tc>
        <w:tc>
          <w:tcPr>
            <w:tcW w:w="429" w:type="dxa"/>
            <w:tcBorders>
              <w:right w:val="single" w:sz="18" w:space="0" w:color="auto"/>
            </w:tcBorders>
            <w:textDirection w:val="btLr"/>
            <w:vAlign w:val="center"/>
          </w:tcPr>
          <w:p w:rsidR="00A92422" w:rsidRPr="00BA1C75" w:rsidRDefault="00A92422" w:rsidP="00EA30FC">
            <w:pPr>
              <w:pStyle w:val="TableVerticalText"/>
              <w:widowControl w:val="0"/>
              <w:rPr>
                <w:rFonts w:ascii="Tahoma" w:hAnsi="Tahoma" w:cs="Tahoma"/>
                <w:szCs w:val="11"/>
              </w:rPr>
            </w:pPr>
            <w:r w:rsidRPr="00BA1C75">
              <w:rPr>
                <w:rFonts w:ascii="Tahoma" w:hAnsi="Tahoma" w:cs="Tahoma"/>
                <w:szCs w:val="11"/>
                <w:lang w:val="it-IT"/>
              </w:rPr>
              <w:t>EA ed EA Sub</w:t>
            </w:r>
          </w:p>
        </w:tc>
        <w:tc>
          <w:tcPr>
            <w:tcW w:w="429" w:type="dxa"/>
            <w:tcBorders>
              <w:left w:val="single" w:sz="18" w:space="0" w:color="auto"/>
              <w:right w:val="single" w:sz="18" w:space="0" w:color="auto"/>
            </w:tcBorders>
            <w:textDirection w:val="btLr"/>
            <w:vAlign w:val="center"/>
          </w:tcPr>
          <w:p w:rsidR="00A92422" w:rsidRPr="00BA1C75" w:rsidRDefault="00A92422" w:rsidP="00EA30FC">
            <w:pPr>
              <w:pStyle w:val="TableVerticalText"/>
              <w:widowControl w:val="0"/>
              <w:rPr>
                <w:rFonts w:ascii="Tahoma" w:hAnsi="Tahoma" w:cs="Tahoma"/>
                <w:szCs w:val="11"/>
              </w:rPr>
            </w:pPr>
            <w:r w:rsidRPr="00BA1C75">
              <w:rPr>
                <w:rFonts w:ascii="Tahoma" w:hAnsi="Tahoma" w:cs="Tahoma"/>
                <w:szCs w:val="11"/>
                <w:lang w:val="it-IT"/>
              </w:rPr>
              <w:t>OV / OVS</w:t>
            </w:r>
          </w:p>
        </w:tc>
        <w:tc>
          <w:tcPr>
            <w:tcW w:w="461" w:type="dxa"/>
            <w:textDirection w:val="btLr"/>
          </w:tcPr>
          <w:p w:rsidR="00A92422" w:rsidRPr="00BA1C75" w:rsidRDefault="00A92422" w:rsidP="00EA30FC">
            <w:pPr>
              <w:pStyle w:val="TableVerticalText"/>
              <w:widowControl w:val="0"/>
              <w:spacing w:before="120"/>
              <w:rPr>
                <w:rFonts w:ascii="Tahoma" w:hAnsi="Tahoma" w:cs="Tahoma"/>
                <w:szCs w:val="11"/>
              </w:rPr>
            </w:pPr>
            <w:r w:rsidRPr="00BA1C75">
              <w:rPr>
                <w:rFonts w:ascii="Tahoma" w:hAnsi="Tahoma" w:cs="Tahoma"/>
                <w:szCs w:val="11"/>
                <w:lang w:val="it-IT"/>
              </w:rPr>
              <w:t>ES</w:t>
            </w:r>
          </w:p>
        </w:tc>
        <w:tc>
          <w:tcPr>
            <w:tcW w:w="567" w:type="dxa"/>
            <w:textDirection w:val="btLr"/>
            <w:vAlign w:val="center"/>
          </w:tcPr>
          <w:p w:rsidR="00A92422" w:rsidRPr="00BA1C75" w:rsidRDefault="00A92422" w:rsidP="00EA30FC">
            <w:pPr>
              <w:pStyle w:val="TableVerticalText"/>
              <w:widowControl w:val="0"/>
              <w:rPr>
                <w:rFonts w:ascii="Tahoma" w:hAnsi="Tahoma" w:cs="Tahoma"/>
                <w:szCs w:val="11"/>
              </w:rPr>
            </w:pPr>
            <w:r w:rsidRPr="00BA1C75">
              <w:rPr>
                <w:rFonts w:ascii="Tahoma" w:hAnsi="Tahoma" w:cs="Tahoma"/>
                <w:szCs w:val="11"/>
                <w:lang w:val="it-IT"/>
              </w:rPr>
              <w:t>Requisito minimo per i Programmi Open</w:t>
            </w:r>
          </w:p>
        </w:tc>
      </w:tr>
      <w:tr w:rsidR="00A92422" w:rsidRPr="00D87B79" w:rsidTr="00EA30FC">
        <w:trPr>
          <w:cantSplit/>
          <w:trHeight w:val="271"/>
          <w:tblHeader/>
        </w:trPr>
        <w:tc>
          <w:tcPr>
            <w:tcW w:w="2638" w:type="dxa"/>
            <w:vMerge w:val="restart"/>
            <w:tcBorders>
              <w:top w:val="nil"/>
              <w:left w:val="nil"/>
            </w:tcBorders>
          </w:tcPr>
          <w:p w:rsidR="00A92422" w:rsidRPr="00D87B79" w:rsidRDefault="00A92422" w:rsidP="00EA30FC">
            <w:pPr>
              <w:widowControl w:val="0"/>
              <w:rPr>
                <w:rFonts w:cs="Tahoma"/>
                <w:b/>
              </w:rPr>
            </w:pPr>
          </w:p>
        </w:tc>
        <w:tc>
          <w:tcPr>
            <w:tcW w:w="429" w:type="dxa"/>
            <w:vMerge w:val="restart"/>
          </w:tcPr>
          <w:p w:rsidR="00A92422" w:rsidRPr="00D87B79" w:rsidRDefault="00A92422" w:rsidP="00EA30FC">
            <w:pPr>
              <w:keepNext/>
              <w:widowControl w:val="0"/>
              <w:spacing w:before="200" w:after="120"/>
              <w:jc w:val="center"/>
              <w:outlineLvl w:val="0"/>
              <w:rPr>
                <w:rFonts w:cs="Tahoma"/>
                <w:b/>
                <w:color w:val="0000FF"/>
                <w:sz w:val="10"/>
              </w:rPr>
            </w:pPr>
            <w:r w:rsidRPr="00D87B79">
              <w:rPr>
                <w:rFonts w:cs="Tahoma"/>
                <w:b/>
                <w:color w:val="0000FF"/>
                <w:sz w:val="10"/>
                <w:lang w:val="it-IT"/>
              </w:rPr>
              <w:t>(Ctrl + Clic)</w:t>
            </w:r>
          </w:p>
        </w:tc>
        <w:tc>
          <w:tcPr>
            <w:tcW w:w="429" w:type="dxa"/>
            <w:vMerge w:val="restart"/>
          </w:tcPr>
          <w:p w:rsidR="00A92422" w:rsidRPr="00D87B79" w:rsidRDefault="00A92422" w:rsidP="00EA30FC">
            <w:pPr>
              <w:widowControl w:val="0"/>
              <w:rPr>
                <w:rFonts w:cs="Tahoma"/>
              </w:rPr>
            </w:pPr>
          </w:p>
        </w:tc>
        <w:tc>
          <w:tcPr>
            <w:tcW w:w="429" w:type="dxa"/>
            <w:vMerge w:val="restart"/>
            <w:tcBorders>
              <w:right w:val="single" w:sz="18" w:space="0" w:color="auto"/>
            </w:tcBorders>
          </w:tcPr>
          <w:p w:rsidR="00A92422" w:rsidRPr="00D87B79" w:rsidRDefault="00A92422" w:rsidP="00EA30FC">
            <w:pPr>
              <w:widowControl w:val="0"/>
              <w:rPr>
                <w:rFonts w:cs="Tahoma"/>
              </w:rPr>
            </w:pPr>
          </w:p>
        </w:tc>
        <w:tc>
          <w:tcPr>
            <w:tcW w:w="429" w:type="dxa"/>
            <w:vMerge w:val="restart"/>
            <w:tcBorders>
              <w:left w:val="single" w:sz="18" w:space="0" w:color="auto"/>
            </w:tcBorders>
            <w:vAlign w:val="center"/>
          </w:tcPr>
          <w:p w:rsidR="00A92422" w:rsidRPr="00D87B79" w:rsidRDefault="00A92422" w:rsidP="00EA30FC">
            <w:pPr>
              <w:pStyle w:val="TableHeadingsRed"/>
              <w:widowControl w:val="0"/>
              <w:rPr>
                <w:rFonts w:ascii="Tahoma" w:hAnsi="Tahoma" w:cs="Tahoma"/>
              </w:rPr>
            </w:pPr>
            <w:r w:rsidRPr="00D87B79">
              <w:rPr>
                <w:rFonts w:ascii="Tahoma" w:hAnsi="Tahoma" w:cs="Tahoma"/>
                <w:lang w:val="it-IT"/>
              </w:rPr>
              <w:t>L</w:t>
            </w:r>
          </w:p>
        </w:tc>
        <w:tc>
          <w:tcPr>
            <w:tcW w:w="1287" w:type="dxa"/>
            <w:gridSpan w:val="3"/>
            <w:vAlign w:val="center"/>
          </w:tcPr>
          <w:p w:rsidR="00A92422" w:rsidRPr="00D87B79" w:rsidRDefault="00A92422" w:rsidP="00EA30FC">
            <w:pPr>
              <w:pStyle w:val="TableHeadingsGreen"/>
              <w:widowControl w:val="0"/>
              <w:rPr>
                <w:rFonts w:ascii="Tahoma" w:hAnsi="Tahoma" w:cs="Tahoma"/>
              </w:rPr>
            </w:pPr>
            <w:r w:rsidRPr="00D87B79">
              <w:rPr>
                <w:rFonts w:ascii="Tahoma" w:hAnsi="Tahoma" w:cs="Tahoma"/>
                <w:lang w:val="it-IT"/>
              </w:rPr>
              <w:t>L&amp;SA</w:t>
            </w:r>
          </w:p>
        </w:tc>
        <w:tc>
          <w:tcPr>
            <w:tcW w:w="1287" w:type="dxa"/>
            <w:gridSpan w:val="3"/>
            <w:tcBorders>
              <w:right w:val="single" w:sz="18" w:space="0" w:color="auto"/>
            </w:tcBorders>
            <w:vAlign w:val="center"/>
          </w:tcPr>
          <w:p w:rsidR="00A92422" w:rsidRPr="00D87B79" w:rsidRDefault="00A92422" w:rsidP="00EA30FC">
            <w:pPr>
              <w:pStyle w:val="TableHeadingsBlue"/>
              <w:widowControl w:val="0"/>
              <w:rPr>
                <w:rFonts w:ascii="Tahoma" w:hAnsi="Tahoma" w:cs="Tahoma"/>
              </w:rPr>
            </w:pPr>
            <w:r w:rsidRPr="00D87B79">
              <w:rPr>
                <w:rFonts w:ascii="Tahoma" w:hAnsi="Tahoma" w:cs="Tahoma"/>
                <w:lang w:val="it-IT"/>
              </w:rPr>
              <w:t>SA</w:t>
            </w:r>
          </w:p>
        </w:tc>
        <w:tc>
          <w:tcPr>
            <w:tcW w:w="429" w:type="dxa"/>
            <w:vMerge w:val="restart"/>
            <w:tcBorders>
              <w:left w:val="single" w:sz="18" w:space="0" w:color="auto"/>
            </w:tcBorders>
            <w:vAlign w:val="center"/>
          </w:tcPr>
          <w:p w:rsidR="00A92422" w:rsidRPr="00D87B79" w:rsidRDefault="00A92422" w:rsidP="00EA30FC">
            <w:pPr>
              <w:pStyle w:val="TableHeadingsRed"/>
              <w:widowControl w:val="0"/>
              <w:rPr>
                <w:rFonts w:ascii="Tahoma" w:hAnsi="Tahoma" w:cs="Tahoma"/>
              </w:rPr>
            </w:pPr>
            <w:r w:rsidRPr="00D87B79">
              <w:rPr>
                <w:rFonts w:ascii="Tahoma" w:hAnsi="Tahoma" w:cs="Tahoma"/>
                <w:lang w:val="it-IT"/>
              </w:rPr>
              <w:t>L</w:t>
            </w:r>
          </w:p>
        </w:tc>
        <w:tc>
          <w:tcPr>
            <w:tcW w:w="429" w:type="dxa"/>
            <w:vAlign w:val="center"/>
          </w:tcPr>
          <w:p w:rsidR="00A92422" w:rsidRPr="00D87B79" w:rsidRDefault="00A92422" w:rsidP="00EA30FC">
            <w:pPr>
              <w:pStyle w:val="TableHeadingsGreen"/>
              <w:widowControl w:val="0"/>
              <w:rPr>
                <w:rFonts w:ascii="Tahoma" w:hAnsi="Tahoma" w:cs="Tahoma"/>
              </w:rPr>
            </w:pPr>
            <w:r w:rsidRPr="00D87B79">
              <w:rPr>
                <w:rFonts w:ascii="Tahoma" w:hAnsi="Tahoma" w:cs="Tahoma"/>
                <w:lang w:val="it-IT"/>
              </w:rPr>
              <w:t>L&amp;SA</w:t>
            </w:r>
          </w:p>
        </w:tc>
        <w:tc>
          <w:tcPr>
            <w:tcW w:w="429" w:type="dxa"/>
            <w:vMerge w:val="restart"/>
            <w:tcBorders>
              <w:right w:val="single" w:sz="18" w:space="0" w:color="auto"/>
            </w:tcBorders>
            <w:vAlign w:val="center"/>
          </w:tcPr>
          <w:p w:rsidR="00A92422" w:rsidRPr="00D87B79" w:rsidRDefault="00A92422" w:rsidP="00EA30FC">
            <w:pPr>
              <w:pStyle w:val="TableHeadingsBlue"/>
              <w:widowControl w:val="0"/>
              <w:rPr>
                <w:rFonts w:ascii="Tahoma" w:hAnsi="Tahoma" w:cs="Tahoma"/>
              </w:rPr>
            </w:pPr>
            <w:r w:rsidRPr="00D87B79">
              <w:rPr>
                <w:rFonts w:ascii="Tahoma" w:hAnsi="Tahoma" w:cs="Tahoma"/>
                <w:lang w:val="it-IT"/>
              </w:rPr>
              <w:t>SA</w:t>
            </w:r>
          </w:p>
        </w:tc>
        <w:tc>
          <w:tcPr>
            <w:tcW w:w="429" w:type="dxa"/>
            <w:vMerge w:val="restart"/>
            <w:tcBorders>
              <w:left w:val="single" w:sz="18" w:space="0" w:color="auto"/>
            </w:tcBorders>
          </w:tcPr>
          <w:p w:rsidR="00A92422" w:rsidRPr="00D87B79" w:rsidRDefault="00A92422" w:rsidP="00EA30FC">
            <w:pPr>
              <w:widowControl w:val="0"/>
              <w:rPr>
                <w:rFonts w:cs="Tahoma"/>
              </w:rPr>
            </w:pPr>
          </w:p>
        </w:tc>
        <w:tc>
          <w:tcPr>
            <w:tcW w:w="429" w:type="dxa"/>
            <w:vMerge w:val="restart"/>
            <w:tcBorders>
              <w:right w:val="single" w:sz="18" w:space="0" w:color="auto"/>
            </w:tcBorders>
          </w:tcPr>
          <w:p w:rsidR="00A92422" w:rsidRPr="00D87B79" w:rsidRDefault="00A92422" w:rsidP="00EA30FC">
            <w:pPr>
              <w:widowControl w:val="0"/>
              <w:rPr>
                <w:rFonts w:cs="Tahoma"/>
              </w:rPr>
            </w:pPr>
          </w:p>
        </w:tc>
        <w:tc>
          <w:tcPr>
            <w:tcW w:w="429" w:type="dxa"/>
            <w:vMerge w:val="restart"/>
            <w:tcBorders>
              <w:left w:val="single" w:sz="18" w:space="0" w:color="auto"/>
              <w:right w:val="single" w:sz="18" w:space="0" w:color="auto"/>
            </w:tcBorders>
          </w:tcPr>
          <w:p w:rsidR="00A92422" w:rsidRPr="00D87B79" w:rsidRDefault="00A92422" w:rsidP="00EA30FC">
            <w:pPr>
              <w:widowControl w:val="0"/>
              <w:rPr>
                <w:rFonts w:cs="Tahoma"/>
              </w:rPr>
            </w:pPr>
          </w:p>
        </w:tc>
        <w:tc>
          <w:tcPr>
            <w:tcW w:w="461" w:type="dxa"/>
            <w:vMerge w:val="restart"/>
          </w:tcPr>
          <w:p w:rsidR="00A92422" w:rsidRPr="00D87B79" w:rsidRDefault="00A92422" w:rsidP="00EA30FC">
            <w:pPr>
              <w:widowControl w:val="0"/>
              <w:rPr>
                <w:rFonts w:cs="Tahoma"/>
              </w:rPr>
            </w:pPr>
          </w:p>
        </w:tc>
        <w:tc>
          <w:tcPr>
            <w:tcW w:w="567" w:type="dxa"/>
            <w:vMerge w:val="restart"/>
          </w:tcPr>
          <w:p w:rsidR="00A92422" w:rsidRPr="00D87B79" w:rsidRDefault="00A92422" w:rsidP="00EA30FC">
            <w:pPr>
              <w:widowControl w:val="0"/>
              <w:rPr>
                <w:rFonts w:cs="Tahoma"/>
              </w:rPr>
            </w:pPr>
          </w:p>
        </w:tc>
      </w:tr>
      <w:tr w:rsidR="00A92422" w:rsidRPr="00D87B79" w:rsidTr="00EA30FC">
        <w:trPr>
          <w:cantSplit/>
          <w:trHeight w:val="262"/>
          <w:tblHeader/>
        </w:trPr>
        <w:tc>
          <w:tcPr>
            <w:tcW w:w="2638" w:type="dxa"/>
            <w:vMerge/>
            <w:tcBorders>
              <w:left w:val="nil"/>
            </w:tcBorders>
          </w:tcPr>
          <w:p w:rsidR="00A92422" w:rsidRPr="00D87B79" w:rsidRDefault="00A92422" w:rsidP="00EA30FC">
            <w:pPr>
              <w:widowControl w:val="0"/>
              <w:rPr>
                <w:rFonts w:cs="Tahoma"/>
              </w:rPr>
            </w:pPr>
          </w:p>
        </w:tc>
        <w:tc>
          <w:tcPr>
            <w:tcW w:w="429" w:type="dxa"/>
            <w:vMerge/>
          </w:tcPr>
          <w:p w:rsidR="00A92422" w:rsidRPr="00D87B79" w:rsidRDefault="00A92422" w:rsidP="00EA30FC">
            <w:pPr>
              <w:keepNext/>
              <w:widowControl w:val="0"/>
              <w:spacing w:before="200" w:after="120"/>
              <w:outlineLvl w:val="0"/>
              <w:rPr>
                <w:rFonts w:cs="Tahoma"/>
                <w:b/>
              </w:rPr>
            </w:pPr>
          </w:p>
        </w:tc>
        <w:tc>
          <w:tcPr>
            <w:tcW w:w="429" w:type="dxa"/>
            <w:vMerge/>
          </w:tcPr>
          <w:p w:rsidR="00A92422" w:rsidRPr="00D87B79" w:rsidRDefault="00A92422" w:rsidP="00EA30FC">
            <w:pPr>
              <w:widowControl w:val="0"/>
              <w:rPr>
                <w:rFonts w:cs="Tahoma"/>
              </w:rPr>
            </w:pPr>
          </w:p>
        </w:tc>
        <w:tc>
          <w:tcPr>
            <w:tcW w:w="429" w:type="dxa"/>
            <w:vMerge/>
            <w:tcBorders>
              <w:right w:val="single" w:sz="18" w:space="0" w:color="auto"/>
            </w:tcBorders>
          </w:tcPr>
          <w:p w:rsidR="00A92422" w:rsidRPr="00D87B79" w:rsidRDefault="00A92422" w:rsidP="00EA30FC">
            <w:pPr>
              <w:widowControl w:val="0"/>
              <w:rPr>
                <w:rFonts w:cs="Tahoma"/>
              </w:rPr>
            </w:pPr>
          </w:p>
        </w:tc>
        <w:tc>
          <w:tcPr>
            <w:tcW w:w="429" w:type="dxa"/>
            <w:vMerge/>
            <w:tcBorders>
              <w:left w:val="single" w:sz="18" w:space="0" w:color="auto"/>
            </w:tcBorders>
            <w:vAlign w:val="center"/>
          </w:tcPr>
          <w:p w:rsidR="00A92422" w:rsidRPr="00D87B79" w:rsidRDefault="00A92422" w:rsidP="00EA30FC">
            <w:pPr>
              <w:widowControl w:val="0"/>
              <w:jc w:val="center"/>
              <w:rPr>
                <w:rFonts w:cs="Tahoma"/>
              </w:rPr>
            </w:pPr>
          </w:p>
        </w:tc>
        <w:tc>
          <w:tcPr>
            <w:tcW w:w="429" w:type="dxa"/>
            <w:vAlign w:val="center"/>
          </w:tcPr>
          <w:p w:rsidR="00A92422" w:rsidRPr="00D87B79" w:rsidRDefault="00A92422" w:rsidP="00EA30FC">
            <w:pPr>
              <w:pStyle w:val="TableHeadingsGreen"/>
              <w:widowControl w:val="0"/>
              <w:rPr>
                <w:rFonts w:ascii="Tahoma" w:hAnsi="Tahoma" w:cs="Tahoma"/>
              </w:rPr>
            </w:pPr>
            <w:r w:rsidRPr="00D87B79">
              <w:rPr>
                <w:rFonts w:ascii="Tahoma" w:hAnsi="Tahoma" w:cs="Tahoma"/>
                <w:lang w:val="it-IT"/>
              </w:rPr>
              <w:t>3An</w:t>
            </w:r>
          </w:p>
        </w:tc>
        <w:tc>
          <w:tcPr>
            <w:tcW w:w="429" w:type="dxa"/>
            <w:vAlign w:val="center"/>
          </w:tcPr>
          <w:p w:rsidR="00A92422" w:rsidRPr="00D87B79" w:rsidRDefault="00A92422" w:rsidP="00EA30FC">
            <w:pPr>
              <w:pStyle w:val="TableHeadingsGreen"/>
              <w:widowControl w:val="0"/>
              <w:rPr>
                <w:rFonts w:ascii="Tahoma" w:hAnsi="Tahoma" w:cs="Tahoma"/>
              </w:rPr>
            </w:pPr>
            <w:r w:rsidRPr="00D87B79">
              <w:rPr>
                <w:rFonts w:ascii="Tahoma" w:hAnsi="Tahoma" w:cs="Tahoma"/>
                <w:lang w:val="it-IT"/>
              </w:rPr>
              <w:t>2An</w:t>
            </w:r>
          </w:p>
        </w:tc>
        <w:tc>
          <w:tcPr>
            <w:tcW w:w="429" w:type="dxa"/>
            <w:vAlign w:val="center"/>
          </w:tcPr>
          <w:p w:rsidR="00A92422" w:rsidRPr="00D87B79" w:rsidRDefault="00A92422" w:rsidP="00EA30FC">
            <w:pPr>
              <w:pStyle w:val="TableHeadingsGreen"/>
              <w:widowControl w:val="0"/>
              <w:rPr>
                <w:rFonts w:ascii="Tahoma" w:hAnsi="Tahoma" w:cs="Tahoma"/>
              </w:rPr>
            </w:pPr>
            <w:r w:rsidRPr="00D87B79">
              <w:rPr>
                <w:rFonts w:ascii="Tahoma" w:hAnsi="Tahoma" w:cs="Tahoma"/>
                <w:lang w:val="it-IT"/>
              </w:rPr>
              <w:t>1An</w:t>
            </w:r>
          </w:p>
        </w:tc>
        <w:tc>
          <w:tcPr>
            <w:tcW w:w="429" w:type="dxa"/>
            <w:vAlign w:val="center"/>
          </w:tcPr>
          <w:p w:rsidR="00A92422" w:rsidRPr="00D87B79" w:rsidRDefault="00A92422" w:rsidP="00EA30FC">
            <w:pPr>
              <w:pStyle w:val="TableHeadingsBlue"/>
              <w:widowControl w:val="0"/>
              <w:rPr>
                <w:rFonts w:ascii="Tahoma" w:hAnsi="Tahoma" w:cs="Tahoma"/>
              </w:rPr>
            </w:pPr>
            <w:r w:rsidRPr="00D87B79">
              <w:rPr>
                <w:rFonts w:ascii="Tahoma" w:hAnsi="Tahoma" w:cs="Tahoma"/>
                <w:lang w:val="it-IT"/>
              </w:rPr>
              <w:t>3An</w:t>
            </w:r>
          </w:p>
        </w:tc>
        <w:tc>
          <w:tcPr>
            <w:tcW w:w="429" w:type="dxa"/>
            <w:vAlign w:val="center"/>
          </w:tcPr>
          <w:p w:rsidR="00A92422" w:rsidRPr="00D87B79" w:rsidRDefault="00A92422" w:rsidP="00EA30FC">
            <w:pPr>
              <w:pStyle w:val="TableHeadingsBlue"/>
              <w:widowControl w:val="0"/>
              <w:rPr>
                <w:rFonts w:ascii="Tahoma" w:hAnsi="Tahoma" w:cs="Tahoma"/>
              </w:rPr>
            </w:pPr>
            <w:r w:rsidRPr="00D87B79">
              <w:rPr>
                <w:rFonts w:ascii="Tahoma" w:hAnsi="Tahoma" w:cs="Tahoma"/>
                <w:lang w:val="it-IT"/>
              </w:rPr>
              <w:t>2An</w:t>
            </w:r>
          </w:p>
        </w:tc>
        <w:tc>
          <w:tcPr>
            <w:tcW w:w="429" w:type="dxa"/>
            <w:tcBorders>
              <w:right w:val="single" w:sz="18" w:space="0" w:color="auto"/>
            </w:tcBorders>
            <w:vAlign w:val="center"/>
          </w:tcPr>
          <w:p w:rsidR="00A92422" w:rsidRPr="00D87B79" w:rsidRDefault="00A92422" w:rsidP="00EA30FC">
            <w:pPr>
              <w:pStyle w:val="TableHeadingsBlue"/>
              <w:widowControl w:val="0"/>
              <w:rPr>
                <w:rFonts w:ascii="Tahoma" w:hAnsi="Tahoma" w:cs="Tahoma"/>
              </w:rPr>
            </w:pPr>
            <w:r w:rsidRPr="00D87B79">
              <w:rPr>
                <w:rFonts w:ascii="Tahoma" w:hAnsi="Tahoma" w:cs="Tahoma"/>
                <w:lang w:val="it-IT"/>
              </w:rPr>
              <w:t>1An</w:t>
            </w:r>
          </w:p>
        </w:tc>
        <w:tc>
          <w:tcPr>
            <w:tcW w:w="429" w:type="dxa"/>
            <w:vMerge/>
            <w:tcBorders>
              <w:left w:val="single" w:sz="18" w:space="0" w:color="auto"/>
            </w:tcBorders>
            <w:vAlign w:val="center"/>
          </w:tcPr>
          <w:p w:rsidR="00A92422" w:rsidRPr="00D87B79" w:rsidRDefault="00A92422" w:rsidP="00EA30FC">
            <w:pPr>
              <w:widowControl w:val="0"/>
              <w:jc w:val="center"/>
              <w:rPr>
                <w:rFonts w:cs="Tahoma"/>
              </w:rPr>
            </w:pPr>
          </w:p>
        </w:tc>
        <w:tc>
          <w:tcPr>
            <w:tcW w:w="429" w:type="dxa"/>
            <w:vAlign w:val="center"/>
          </w:tcPr>
          <w:p w:rsidR="00A92422" w:rsidRPr="00D87B79" w:rsidRDefault="00A92422" w:rsidP="00EA30FC">
            <w:pPr>
              <w:pStyle w:val="TableHeadingsGreen"/>
              <w:widowControl w:val="0"/>
              <w:rPr>
                <w:rFonts w:ascii="Tahoma" w:hAnsi="Tahoma" w:cs="Tahoma"/>
              </w:rPr>
            </w:pPr>
            <w:r w:rsidRPr="00D87B79">
              <w:rPr>
                <w:rFonts w:ascii="Tahoma" w:hAnsi="Tahoma" w:cs="Tahoma"/>
                <w:lang w:val="it-IT"/>
              </w:rPr>
              <w:t>P</w:t>
            </w:r>
          </w:p>
        </w:tc>
        <w:tc>
          <w:tcPr>
            <w:tcW w:w="429" w:type="dxa"/>
            <w:vMerge/>
            <w:tcBorders>
              <w:right w:val="single" w:sz="18" w:space="0" w:color="auto"/>
            </w:tcBorders>
          </w:tcPr>
          <w:p w:rsidR="00A92422" w:rsidRPr="00D87B79" w:rsidRDefault="00A92422" w:rsidP="00EA30FC">
            <w:pPr>
              <w:widowControl w:val="0"/>
              <w:rPr>
                <w:rFonts w:cs="Tahoma"/>
              </w:rPr>
            </w:pPr>
          </w:p>
        </w:tc>
        <w:tc>
          <w:tcPr>
            <w:tcW w:w="429" w:type="dxa"/>
            <w:vMerge/>
            <w:tcBorders>
              <w:left w:val="single" w:sz="18" w:space="0" w:color="auto"/>
            </w:tcBorders>
          </w:tcPr>
          <w:p w:rsidR="00A92422" w:rsidRPr="00D87B79" w:rsidRDefault="00A92422" w:rsidP="00EA30FC">
            <w:pPr>
              <w:widowControl w:val="0"/>
              <w:rPr>
                <w:rFonts w:cs="Tahoma"/>
              </w:rPr>
            </w:pPr>
          </w:p>
        </w:tc>
        <w:tc>
          <w:tcPr>
            <w:tcW w:w="429" w:type="dxa"/>
            <w:vMerge/>
            <w:tcBorders>
              <w:right w:val="single" w:sz="18" w:space="0" w:color="auto"/>
            </w:tcBorders>
          </w:tcPr>
          <w:p w:rsidR="00A92422" w:rsidRPr="00D87B79" w:rsidRDefault="00A92422" w:rsidP="00EA30FC">
            <w:pPr>
              <w:widowControl w:val="0"/>
              <w:rPr>
                <w:rFonts w:cs="Tahoma"/>
              </w:rPr>
            </w:pPr>
          </w:p>
        </w:tc>
        <w:tc>
          <w:tcPr>
            <w:tcW w:w="429" w:type="dxa"/>
            <w:vMerge/>
            <w:tcBorders>
              <w:left w:val="single" w:sz="18" w:space="0" w:color="auto"/>
              <w:right w:val="single" w:sz="18" w:space="0" w:color="auto"/>
            </w:tcBorders>
          </w:tcPr>
          <w:p w:rsidR="00A92422" w:rsidRPr="00D87B79" w:rsidRDefault="00A92422" w:rsidP="00EA30FC">
            <w:pPr>
              <w:widowControl w:val="0"/>
              <w:rPr>
                <w:rFonts w:cs="Tahoma"/>
              </w:rPr>
            </w:pPr>
          </w:p>
        </w:tc>
        <w:tc>
          <w:tcPr>
            <w:tcW w:w="461" w:type="dxa"/>
            <w:vMerge/>
          </w:tcPr>
          <w:p w:rsidR="00A92422" w:rsidRPr="00D87B79" w:rsidRDefault="00A92422" w:rsidP="00EA30FC">
            <w:pPr>
              <w:widowControl w:val="0"/>
              <w:rPr>
                <w:rFonts w:cs="Tahoma"/>
              </w:rPr>
            </w:pPr>
          </w:p>
        </w:tc>
        <w:tc>
          <w:tcPr>
            <w:tcW w:w="567" w:type="dxa"/>
            <w:vMerge/>
          </w:tcPr>
          <w:p w:rsidR="00A92422" w:rsidRPr="00D87B79" w:rsidRDefault="00A92422" w:rsidP="00EA30FC">
            <w:pPr>
              <w:widowControl w:val="0"/>
              <w:rPr>
                <w:rFonts w:cs="Tahoma"/>
              </w:rPr>
            </w:pPr>
          </w:p>
        </w:tc>
      </w:tr>
      <w:tr w:rsidR="00A92422" w:rsidRPr="00D87B79" w:rsidTr="00EA30FC">
        <w:trPr>
          <w:cantSplit/>
          <w:trHeight w:val="287"/>
        </w:trPr>
        <w:tc>
          <w:tcPr>
            <w:tcW w:w="2638" w:type="dxa"/>
            <w:shd w:val="clear" w:color="auto" w:fill="FABF8F"/>
            <w:vAlign w:val="center"/>
          </w:tcPr>
          <w:p w:rsidR="00A92422" w:rsidRPr="00BA1C75" w:rsidRDefault="00A92422" w:rsidP="00EA30FC">
            <w:pPr>
              <w:pStyle w:val="ProductNames"/>
              <w:spacing w:beforeLines="20" w:before="48" w:afterLines="20" w:after="48"/>
              <w:rPr>
                <w:rFonts w:ascii="Tahoma" w:hAnsi="Tahoma" w:cs="Tahoma"/>
                <w:sz w:val="14"/>
                <w:szCs w:val="14"/>
              </w:rPr>
            </w:pPr>
            <w:bookmarkStart w:id="16" w:name="_Toc336337843"/>
            <w:bookmarkStart w:id="17" w:name="_Toc342899915"/>
            <w:bookmarkEnd w:id="16"/>
            <w:r w:rsidRPr="00BA1C75">
              <w:rPr>
                <w:rFonts w:ascii="Tahoma" w:hAnsi="Tahoma" w:cs="Tahoma"/>
                <w:sz w:val="14"/>
                <w:szCs w:val="14"/>
                <w:lang w:val="it-IT"/>
              </w:rPr>
              <w:t>Access 2013</w:t>
            </w:r>
            <w:bookmarkEnd w:id="17"/>
          </w:p>
        </w:tc>
        <w:tc>
          <w:tcPr>
            <w:tcW w:w="429" w:type="dxa"/>
            <w:shd w:val="clear" w:color="auto" w:fill="FABF8F"/>
            <w:vAlign w:val="center"/>
          </w:tcPr>
          <w:p w:rsidR="00A92422" w:rsidRPr="00D87B79" w:rsidRDefault="00A92422" w:rsidP="00EA30FC">
            <w:pPr>
              <w:pStyle w:val="TableText"/>
              <w:widowControl w:val="0"/>
              <w:rPr>
                <w:rStyle w:val="EndnoteReference"/>
                <w:rFonts w:ascii="Tahoma" w:hAnsi="Tahoma" w:cs="Tahoma"/>
                <w:color w:val="0000FF"/>
                <w:sz w:val="13"/>
                <w:szCs w:val="13"/>
                <w:u w:val="single"/>
              </w:rPr>
            </w:pPr>
          </w:p>
        </w:tc>
        <w:tc>
          <w:tcPr>
            <w:tcW w:w="429" w:type="dxa"/>
            <w:shd w:val="clear" w:color="auto" w:fill="FABF8F"/>
            <w:vAlign w:val="center"/>
          </w:tcPr>
          <w:p w:rsidR="00A92422" w:rsidRPr="00D87B79" w:rsidRDefault="00A92422" w:rsidP="00EA30FC">
            <w:pPr>
              <w:pStyle w:val="TableText"/>
              <w:widowControl w:val="0"/>
              <w:spacing w:beforeLines="60" w:before="144"/>
              <w:rPr>
                <w:rFonts w:ascii="Tahoma" w:hAnsi="Tahoma" w:cs="Tahoma"/>
                <w:color w:val="000000"/>
                <w:sz w:val="13"/>
              </w:rPr>
            </w:pPr>
            <w:r w:rsidRPr="00D87B79">
              <w:rPr>
                <w:rFonts w:ascii="Tahoma" w:hAnsi="Tahoma" w:cs="Tahoma"/>
                <w:color w:val="000000"/>
                <w:sz w:val="13"/>
              </w:rPr>
              <w:t>10/12</w:t>
            </w: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DT</w:t>
            </w:r>
          </w:p>
        </w:tc>
        <w:tc>
          <w:tcPr>
            <w:tcW w:w="429"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461" w:type="dxa"/>
            <w:shd w:val="clear" w:color="auto" w:fill="FABF8F"/>
          </w:tcPr>
          <w:p w:rsidR="00A92422" w:rsidRPr="00D87B79" w:rsidRDefault="00A92422" w:rsidP="00EA30FC">
            <w:pPr>
              <w:pStyle w:val="TableText"/>
              <w:widowControl w:val="0"/>
              <w:rPr>
                <w:rFonts w:ascii="Tahoma" w:hAnsi="Tahoma" w:cs="Tahoma"/>
                <w:sz w:val="13"/>
              </w:rPr>
            </w:pPr>
          </w:p>
        </w:tc>
        <w:tc>
          <w:tcPr>
            <w:tcW w:w="567"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cantSplit/>
          <w:trHeight w:val="287"/>
        </w:trPr>
        <w:tc>
          <w:tcPr>
            <w:tcW w:w="2638" w:type="dxa"/>
            <w:shd w:val="clear" w:color="auto" w:fill="FFFFFF"/>
            <w:vAlign w:val="center"/>
          </w:tcPr>
          <w:p w:rsidR="00A92422" w:rsidRPr="00BA1C75" w:rsidRDefault="00A92422" w:rsidP="00EA30FC">
            <w:pPr>
              <w:pStyle w:val="ProductNames"/>
              <w:spacing w:beforeLines="20" w:before="48" w:afterLines="20" w:after="48"/>
              <w:rPr>
                <w:rFonts w:ascii="Tahoma" w:hAnsi="Tahoma" w:cs="Tahoma"/>
                <w:sz w:val="14"/>
                <w:szCs w:val="14"/>
              </w:rPr>
            </w:pPr>
            <w:bookmarkStart w:id="18" w:name="_Toc336337844"/>
            <w:bookmarkStart w:id="19" w:name="_Toc342899916"/>
            <w:bookmarkEnd w:id="18"/>
            <w:r w:rsidRPr="00BA1C75">
              <w:rPr>
                <w:rFonts w:ascii="Tahoma" w:hAnsi="Tahoma" w:cs="Tahoma"/>
                <w:sz w:val="14"/>
                <w:szCs w:val="14"/>
                <w:lang w:val="it-IT"/>
              </w:rPr>
              <w:t>AutoRoute 2013</w:t>
            </w:r>
            <w:bookmarkEnd w:id="19"/>
          </w:p>
        </w:tc>
        <w:tc>
          <w:tcPr>
            <w:tcW w:w="429" w:type="dxa"/>
            <w:shd w:val="clear" w:color="auto" w:fill="FFFFFF"/>
            <w:vAlign w:val="center"/>
          </w:tcPr>
          <w:p w:rsidR="00A92422" w:rsidRPr="00D87B79" w:rsidRDefault="00A92422" w:rsidP="00EA30FC">
            <w:pPr>
              <w:pStyle w:val="TableText"/>
              <w:widowControl w:val="0"/>
              <w:rPr>
                <w:rFonts w:ascii="Tahoma" w:hAnsi="Tahoma" w:cs="Tahoma"/>
                <w:b/>
                <w:color w:val="0000FF"/>
                <w:sz w:val="13"/>
                <w:szCs w:val="13"/>
                <w:u w:val="single"/>
              </w:rPr>
            </w:pPr>
          </w:p>
        </w:tc>
        <w:tc>
          <w:tcPr>
            <w:tcW w:w="429" w:type="dxa"/>
            <w:shd w:val="clear" w:color="auto" w:fill="FFFFFF"/>
            <w:vAlign w:val="center"/>
          </w:tcPr>
          <w:p w:rsidR="00A92422" w:rsidRPr="00D87B79" w:rsidRDefault="00A92422" w:rsidP="00EA30FC">
            <w:pPr>
              <w:pStyle w:val="TableText"/>
              <w:widowControl w:val="0"/>
              <w:spacing w:beforeLines="60" w:before="144"/>
              <w:rPr>
                <w:rFonts w:ascii="Tahoma" w:hAnsi="Tahoma" w:cs="Tahoma"/>
                <w:sz w:val="13"/>
              </w:rPr>
            </w:pPr>
            <w:r>
              <w:rPr>
                <w:rFonts w:ascii="Tahoma" w:hAnsi="Tahoma" w:cs="Tahoma"/>
                <w:sz w:val="13"/>
              </w:rPr>
              <w:t>10</w:t>
            </w:r>
            <w:r w:rsidRPr="00D87B79">
              <w:rPr>
                <w:rFonts w:ascii="Tahoma" w:hAnsi="Tahoma" w:cs="Tahoma"/>
                <w:sz w:val="13"/>
              </w:rPr>
              <w:t>/12</w:t>
            </w:r>
          </w:p>
        </w:tc>
        <w:tc>
          <w:tcPr>
            <w:tcW w:w="429"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w:t>
            </w: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29"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461" w:type="dxa"/>
            <w:shd w:val="clear" w:color="auto" w:fill="FFFFFF"/>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567" w:type="dxa"/>
            <w:shd w:val="clear" w:color="auto" w:fill="FFFFF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cantSplit/>
          <w:trHeight w:val="368"/>
        </w:trPr>
        <w:tc>
          <w:tcPr>
            <w:tcW w:w="2638" w:type="dxa"/>
            <w:shd w:val="clear" w:color="auto" w:fill="FABF8F"/>
          </w:tcPr>
          <w:p w:rsidR="00A92422" w:rsidRPr="00BA1C75" w:rsidRDefault="00A92422" w:rsidP="00EA30FC">
            <w:pPr>
              <w:pStyle w:val="Heading2"/>
              <w:spacing w:beforeLines="20" w:before="48" w:afterLines="20" w:after="48"/>
              <w:ind w:left="0"/>
              <w:rPr>
                <w:rFonts w:ascii="Tahoma" w:hAnsi="Tahoma" w:cs="Tahoma"/>
                <w:b w:val="0"/>
                <w:sz w:val="14"/>
                <w:szCs w:val="14"/>
              </w:rPr>
            </w:pPr>
            <w:bookmarkStart w:id="20" w:name="_Toc336337845"/>
            <w:bookmarkStart w:id="21" w:name="_Toc342899917"/>
            <w:bookmarkEnd w:id="20"/>
            <w:r w:rsidRPr="00BA1C75">
              <w:rPr>
                <w:rFonts w:ascii="Tahoma" w:hAnsi="Tahoma" w:cs="Tahoma"/>
                <w:b w:val="0"/>
                <w:sz w:val="14"/>
                <w:szCs w:val="14"/>
                <w:lang w:val="it-IT"/>
              </w:rPr>
              <w:t>Bing Maps Desktop con Enhanced Content Pack</w:t>
            </w:r>
            <w:bookmarkEnd w:id="21"/>
          </w:p>
        </w:tc>
        <w:tc>
          <w:tcPr>
            <w:tcW w:w="429" w:type="dxa"/>
            <w:shd w:val="clear" w:color="auto" w:fill="FABF8F"/>
            <w:vAlign w:val="center"/>
          </w:tcPr>
          <w:p w:rsidR="00A92422" w:rsidRPr="00D87B79" w:rsidRDefault="00A92422" w:rsidP="00EA30FC">
            <w:pPr>
              <w:pStyle w:val="TableText"/>
              <w:widowControl w:val="0"/>
              <w:rPr>
                <w:rStyle w:val="EndnoteReference"/>
                <w:rFonts w:ascii="Tahoma" w:hAnsi="Tahoma" w:cs="Tahoma"/>
                <w:color w:val="0000FF"/>
                <w:sz w:val="13"/>
                <w:szCs w:val="13"/>
                <w:u w:val="single"/>
              </w:rPr>
            </w:pPr>
            <w:hyperlink w:anchor="Aps_1BingMapsDesktopandContentPack" w:history="1">
              <w:r w:rsidRPr="00D87B79">
                <w:rPr>
                  <w:rStyle w:val="Hyperlink"/>
                  <w:rFonts w:ascii="Tahoma" w:hAnsi="Tahoma" w:cs="Tahoma"/>
                  <w:b/>
                  <w:sz w:val="13"/>
                </w:rPr>
                <w:t>1</w:t>
              </w:r>
            </w:hyperlink>
          </w:p>
        </w:tc>
        <w:tc>
          <w:tcPr>
            <w:tcW w:w="429" w:type="dxa"/>
            <w:shd w:val="clear" w:color="auto" w:fill="FABF8F"/>
            <w:vAlign w:val="center"/>
          </w:tcPr>
          <w:p w:rsidR="00A92422" w:rsidRPr="00D87B79" w:rsidRDefault="00A92422" w:rsidP="00EA30FC">
            <w:pPr>
              <w:pStyle w:val="TableText"/>
              <w:spacing w:before="60" w:after="60"/>
              <w:rPr>
                <w:rFonts w:ascii="Tahoma" w:hAnsi="Tahoma" w:cs="Tahoma"/>
                <w:sz w:val="13"/>
              </w:rPr>
            </w:pPr>
            <w:r w:rsidRPr="00D87B79">
              <w:rPr>
                <w:rFonts w:ascii="Tahoma" w:hAnsi="Tahoma" w:cs="Tahoma"/>
                <w:sz w:val="13"/>
              </w:rPr>
              <w:t>08/09</w:t>
            </w:r>
          </w:p>
        </w:tc>
        <w:tc>
          <w:tcPr>
            <w:tcW w:w="429"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DT</w:t>
            </w:r>
          </w:p>
        </w:tc>
        <w:tc>
          <w:tcPr>
            <w:tcW w:w="3003" w:type="dxa"/>
            <w:gridSpan w:val="7"/>
            <w:tcBorders>
              <w:left w:val="single" w:sz="18" w:space="0" w:color="auto"/>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1 punto</w:t>
            </w:r>
          </w:p>
        </w:tc>
        <w:tc>
          <w:tcPr>
            <w:tcW w:w="429" w:type="dxa"/>
            <w:tcBorders>
              <w:lef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p>
        </w:tc>
        <w:tc>
          <w:tcPr>
            <w:tcW w:w="429" w:type="dxa"/>
            <w:shd w:val="clear" w:color="auto" w:fill="FABF8F"/>
            <w:vAlign w:val="center"/>
          </w:tcPr>
          <w:p w:rsidR="00A92422" w:rsidRPr="00D87B79" w:rsidRDefault="00A92422" w:rsidP="00EA30FC">
            <w:pPr>
              <w:pStyle w:val="TableText"/>
              <w:rPr>
                <w:rFonts w:ascii="Tahoma" w:hAnsi="Tahoma" w:cs="Tahoma"/>
                <w:sz w:val="13"/>
              </w:rPr>
            </w:pPr>
          </w:p>
        </w:tc>
        <w:tc>
          <w:tcPr>
            <w:tcW w:w="429"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p>
        </w:tc>
        <w:tc>
          <w:tcPr>
            <w:tcW w:w="429" w:type="dxa"/>
            <w:tcBorders>
              <w:lef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A</w:t>
            </w:r>
          </w:p>
        </w:tc>
        <w:tc>
          <w:tcPr>
            <w:tcW w:w="429"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P</w:t>
            </w:r>
          </w:p>
        </w:tc>
        <w:tc>
          <w:tcPr>
            <w:tcW w:w="461" w:type="dxa"/>
            <w:shd w:val="clear" w:color="auto" w:fill="FABF8F"/>
          </w:tcPr>
          <w:p w:rsidR="00A92422" w:rsidRPr="00D87B79" w:rsidRDefault="00A92422" w:rsidP="00EA30FC">
            <w:pPr>
              <w:pStyle w:val="TableText"/>
              <w:rPr>
                <w:rFonts w:ascii="Tahoma" w:hAnsi="Tahoma" w:cs="Tahoma"/>
                <w:sz w:val="13"/>
              </w:rPr>
            </w:pPr>
            <w:r w:rsidRPr="00D87B79">
              <w:rPr>
                <w:rFonts w:ascii="Tahoma" w:hAnsi="Tahoma" w:cs="Tahoma"/>
                <w:sz w:val="13"/>
                <w:lang w:val="it-IT"/>
              </w:rPr>
              <w:t>A</w:t>
            </w:r>
          </w:p>
        </w:tc>
        <w:tc>
          <w:tcPr>
            <w:tcW w:w="567" w:type="dxa"/>
            <w:shd w:val="clear" w:color="auto" w:fill="FABF8F"/>
            <w:vAlign w:val="center"/>
          </w:tcPr>
          <w:p w:rsidR="00A92422" w:rsidRPr="00D87B79" w:rsidRDefault="00A92422" w:rsidP="00EA30FC">
            <w:pPr>
              <w:pStyle w:val="TableText"/>
              <w:rPr>
                <w:rFonts w:ascii="Tahoma" w:hAnsi="Tahoma" w:cs="Tahoma"/>
                <w:sz w:val="13"/>
              </w:rPr>
            </w:pPr>
          </w:p>
        </w:tc>
      </w:tr>
      <w:tr w:rsidR="00A92422" w:rsidRPr="00D87B79" w:rsidTr="00EA30FC">
        <w:trPr>
          <w:cantSplit/>
          <w:trHeight w:val="287"/>
        </w:trPr>
        <w:tc>
          <w:tcPr>
            <w:tcW w:w="2638" w:type="dxa"/>
            <w:shd w:val="clear" w:color="auto" w:fill="FFFFFF"/>
            <w:vAlign w:val="center"/>
          </w:tcPr>
          <w:p w:rsidR="00A92422" w:rsidRPr="00BA1C75" w:rsidRDefault="00A92422" w:rsidP="00EA30FC">
            <w:pPr>
              <w:pStyle w:val="ProductNames"/>
              <w:spacing w:beforeLines="20" w:before="48" w:afterLines="20" w:after="48"/>
              <w:rPr>
                <w:rFonts w:ascii="Tahoma" w:hAnsi="Tahoma" w:cs="Tahoma"/>
                <w:sz w:val="14"/>
                <w:szCs w:val="14"/>
              </w:rPr>
            </w:pPr>
            <w:bookmarkStart w:id="22" w:name="_Toc336337846"/>
            <w:bookmarkStart w:id="23" w:name="_Toc342899918"/>
            <w:bookmarkEnd w:id="22"/>
            <w:r w:rsidRPr="00BA1C75">
              <w:rPr>
                <w:rFonts w:ascii="Tahoma" w:hAnsi="Tahoma" w:cs="Tahoma"/>
                <w:sz w:val="14"/>
                <w:szCs w:val="14"/>
                <w:lang w:val="it-IT"/>
              </w:rPr>
              <w:t>Excel 2013</w:t>
            </w:r>
            <w:bookmarkEnd w:id="23"/>
          </w:p>
        </w:tc>
        <w:tc>
          <w:tcPr>
            <w:tcW w:w="429" w:type="dxa"/>
            <w:shd w:val="clear" w:color="auto" w:fill="FFFFFF"/>
            <w:vAlign w:val="center"/>
          </w:tcPr>
          <w:p w:rsidR="00A92422" w:rsidRPr="00D87B79" w:rsidRDefault="00A92422" w:rsidP="00EA30FC">
            <w:pPr>
              <w:pStyle w:val="TableText"/>
              <w:widowControl w:val="0"/>
              <w:rPr>
                <w:rStyle w:val="EndnoteReference"/>
                <w:rFonts w:ascii="Tahoma" w:hAnsi="Tahoma" w:cs="Tahoma"/>
                <w:color w:val="0000FF"/>
                <w:sz w:val="13"/>
                <w:szCs w:val="13"/>
                <w:u w:val="single"/>
              </w:rPr>
            </w:pPr>
          </w:p>
        </w:tc>
        <w:tc>
          <w:tcPr>
            <w:tcW w:w="429" w:type="dxa"/>
            <w:shd w:val="clear" w:color="auto" w:fill="FFFFFF"/>
            <w:vAlign w:val="center"/>
          </w:tcPr>
          <w:p w:rsidR="00A92422" w:rsidRPr="00D87B79" w:rsidRDefault="00A92422" w:rsidP="00EA30FC">
            <w:pPr>
              <w:pStyle w:val="TableText"/>
              <w:widowControl w:val="0"/>
              <w:spacing w:beforeLines="60" w:before="144"/>
              <w:rPr>
                <w:rFonts w:ascii="Tahoma" w:hAnsi="Tahoma" w:cs="Tahoma"/>
                <w:color w:val="000000"/>
                <w:sz w:val="13"/>
              </w:rPr>
            </w:pPr>
            <w:r w:rsidRPr="00D87B79">
              <w:rPr>
                <w:rFonts w:ascii="Tahoma" w:hAnsi="Tahoma" w:cs="Tahoma"/>
                <w:color w:val="000000"/>
                <w:sz w:val="13"/>
              </w:rPr>
              <w:t>10/12</w:t>
            </w:r>
          </w:p>
        </w:tc>
        <w:tc>
          <w:tcPr>
            <w:tcW w:w="429"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DT</w:t>
            </w:r>
          </w:p>
        </w:tc>
        <w:tc>
          <w:tcPr>
            <w:tcW w:w="429"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w:t>
            </w: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461" w:type="dxa"/>
            <w:shd w:val="clear" w:color="auto" w:fill="FFFFFF"/>
          </w:tcPr>
          <w:p w:rsidR="00A92422" w:rsidRPr="00D87B79" w:rsidRDefault="00A92422" w:rsidP="00EA30FC">
            <w:pPr>
              <w:pStyle w:val="TableText"/>
              <w:widowControl w:val="0"/>
              <w:rPr>
                <w:rFonts w:ascii="Tahoma" w:hAnsi="Tahoma" w:cs="Tahoma"/>
                <w:sz w:val="13"/>
              </w:rPr>
            </w:pPr>
          </w:p>
        </w:tc>
        <w:tc>
          <w:tcPr>
            <w:tcW w:w="567" w:type="dxa"/>
            <w:shd w:val="clear" w:color="auto" w:fill="FFFFF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cantSplit/>
          <w:trHeight w:val="278"/>
        </w:trPr>
        <w:tc>
          <w:tcPr>
            <w:tcW w:w="2638" w:type="dxa"/>
            <w:shd w:val="clear" w:color="auto" w:fill="FABF8F"/>
            <w:vAlign w:val="center"/>
          </w:tcPr>
          <w:p w:rsidR="00A92422" w:rsidRPr="00BA1C75" w:rsidRDefault="00A92422" w:rsidP="00EA30FC">
            <w:pPr>
              <w:pStyle w:val="ProductNames"/>
              <w:spacing w:beforeLines="20" w:before="48" w:afterLines="20" w:after="48"/>
              <w:rPr>
                <w:rFonts w:ascii="Tahoma" w:hAnsi="Tahoma" w:cs="Tahoma"/>
                <w:sz w:val="14"/>
                <w:szCs w:val="14"/>
              </w:rPr>
            </w:pPr>
            <w:bookmarkStart w:id="24" w:name="_Toc336337847"/>
            <w:bookmarkStart w:id="25" w:name="_Toc342899919"/>
            <w:bookmarkEnd w:id="24"/>
            <w:r w:rsidRPr="00BA1C75">
              <w:rPr>
                <w:rFonts w:ascii="Tahoma" w:hAnsi="Tahoma" w:cs="Tahoma"/>
                <w:sz w:val="14"/>
                <w:szCs w:val="14"/>
                <w:lang w:val="it-IT"/>
              </w:rPr>
              <w:t>Excel per Mac 2011</w:t>
            </w:r>
            <w:bookmarkEnd w:id="25"/>
          </w:p>
        </w:tc>
        <w:tc>
          <w:tcPr>
            <w:tcW w:w="429" w:type="dxa"/>
            <w:shd w:val="clear" w:color="auto" w:fill="FABF8F"/>
            <w:vAlign w:val="center"/>
          </w:tcPr>
          <w:p w:rsidR="00A92422" w:rsidRPr="00D87B79" w:rsidRDefault="00A92422" w:rsidP="00EA30FC">
            <w:pPr>
              <w:pStyle w:val="TableText"/>
              <w:widowControl w:val="0"/>
              <w:rPr>
                <w:rStyle w:val="EndnoteReference"/>
                <w:rFonts w:ascii="Tahoma" w:hAnsi="Tahoma" w:cs="Tahoma"/>
                <w:color w:val="0000FF"/>
                <w:sz w:val="13"/>
                <w:szCs w:val="13"/>
                <w:u w:val="single"/>
              </w:rPr>
            </w:pPr>
          </w:p>
        </w:tc>
        <w:tc>
          <w:tcPr>
            <w:tcW w:w="429" w:type="dxa"/>
            <w:shd w:val="clear" w:color="auto" w:fill="FABF8F"/>
            <w:vAlign w:val="center"/>
          </w:tcPr>
          <w:p w:rsidR="00A92422" w:rsidRPr="00D87B79" w:rsidRDefault="00A92422" w:rsidP="00EA30FC">
            <w:pPr>
              <w:pStyle w:val="TableText"/>
              <w:widowControl w:val="0"/>
              <w:spacing w:beforeLines="60" w:before="144"/>
              <w:rPr>
                <w:rFonts w:ascii="Tahoma" w:hAnsi="Tahoma" w:cs="Tahoma"/>
                <w:color w:val="000000"/>
                <w:sz w:val="13"/>
              </w:rPr>
            </w:pPr>
            <w:r w:rsidRPr="00D87B79">
              <w:rPr>
                <w:rFonts w:ascii="Tahoma" w:hAnsi="Tahoma" w:cs="Tahoma"/>
                <w:color w:val="000000"/>
                <w:sz w:val="13"/>
              </w:rPr>
              <w:t>09/10</w:t>
            </w: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DT</w:t>
            </w:r>
          </w:p>
        </w:tc>
        <w:tc>
          <w:tcPr>
            <w:tcW w:w="429"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461" w:type="dxa"/>
            <w:shd w:val="clear" w:color="auto" w:fill="FABF8F"/>
          </w:tcPr>
          <w:p w:rsidR="00A92422" w:rsidRPr="00D87B79" w:rsidRDefault="00A92422" w:rsidP="00EA30FC">
            <w:pPr>
              <w:pStyle w:val="TableText"/>
              <w:widowControl w:val="0"/>
              <w:rPr>
                <w:rFonts w:ascii="Tahoma" w:hAnsi="Tahoma" w:cs="Tahoma"/>
                <w:sz w:val="13"/>
              </w:rPr>
            </w:pPr>
          </w:p>
        </w:tc>
        <w:tc>
          <w:tcPr>
            <w:tcW w:w="567"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cantSplit/>
          <w:trHeight w:val="287"/>
        </w:trPr>
        <w:tc>
          <w:tcPr>
            <w:tcW w:w="2638" w:type="dxa"/>
            <w:shd w:val="clear" w:color="auto" w:fill="FFFFFF"/>
            <w:vAlign w:val="center"/>
          </w:tcPr>
          <w:p w:rsidR="00A92422" w:rsidRPr="00BA1C75" w:rsidRDefault="00A92422" w:rsidP="00EA30FC">
            <w:pPr>
              <w:pStyle w:val="Heading2"/>
              <w:spacing w:beforeLines="20" w:before="48" w:afterLines="20" w:after="48"/>
              <w:ind w:left="0"/>
              <w:rPr>
                <w:rFonts w:ascii="Tahoma" w:hAnsi="Tahoma" w:cs="Tahoma"/>
                <w:b w:val="0"/>
                <w:sz w:val="14"/>
                <w:szCs w:val="14"/>
              </w:rPr>
            </w:pPr>
            <w:bookmarkStart w:id="26" w:name="_Toc336337848"/>
            <w:bookmarkStart w:id="27" w:name="_Toc342899920"/>
            <w:bookmarkEnd w:id="26"/>
            <w:r w:rsidRPr="00BA1C75">
              <w:rPr>
                <w:rFonts w:ascii="Tahoma" w:hAnsi="Tahoma" w:cs="Tahoma"/>
                <w:b w:val="0"/>
                <w:sz w:val="14"/>
                <w:szCs w:val="14"/>
                <w:lang w:val="it-IT"/>
              </w:rPr>
              <w:t>Expression Studio Professional 4</w:t>
            </w:r>
            <w:bookmarkEnd w:id="27"/>
          </w:p>
        </w:tc>
        <w:tc>
          <w:tcPr>
            <w:tcW w:w="429" w:type="dxa"/>
            <w:shd w:val="clear" w:color="auto" w:fill="FFFFFF"/>
            <w:vAlign w:val="center"/>
          </w:tcPr>
          <w:p w:rsidR="00A92422" w:rsidRPr="00D87B79" w:rsidRDefault="00A92422" w:rsidP="00EA30FC">
            <w:pPr>
              <w:pStyle w:val="TableText"/>
              <w:widowControl w:val="0"/>
              <w:rPr>
                <w:rStyle w:val="EndnoteReference"/>
                <w:rFonts w:ascii="Tahoma" w:hAnsi="Tahoma" w:cs="Tahoma"/>
                <w:color w:val="0000FF"/>
                <w:sz w:val="13"/>
                <w:szCs w:val="13"/>
                <w:u w:val="single"/>
              </w:rPr>
            </w:pPr>
            <w:hyperlink w:anchor="_2_Expression_Studio" w:history="1">
              <w:r w:rsidRPr="00D87B79">
                <w:rPr>
                  <w:rStyle w:val="Hyperlink"/>
                  <w:rFonts w:ascii="Tahoma" w:hAnsi="Tahoma" w:cs="Tahoma"/>
                  <w:b/>
                  <w:sz w:val="13"/>
                </w:rPr>
                <w:t>2</w:t>
              </w:r>
            </w:hyperlink>
          </w:p>
        </w:tc>
        <w:tc>
          <w:tcPr>
            <w:tcW w:w="429" w:type="dxa"/>
            <w:shd w:val="clear" w:color="auto" w:fill="FFFFFF"/>
            <w:vAlign w:val="center"/>
          </w:tcPr>
          <w:p w:rsidR="00A92422" w:rsidRPr="00D87B79" w:rsidRDefault="00A92422" w:rsidP="00EA30FC">
            <w:pPr>
              <w:pStyle w:val="TableText"/>
              <w:widowControl w:val="0"/>
              <w:spacing w:beforeLines="60" w:before="144"/>
              <w:rPr>
                <w:rFonts w:ascii="Tahoma" w:hAnsi="Tahoma" w:cs="Tahoma"/>
                <w:sz w:val="13"/>
              </w:rPr>
            </w:pPr>
            <w:r w:rsidRPr="00D87B79">
              <w:rPr>
                <w:rFonts w:ascii="Tahoma" w:hAnsi="Tahoma" w:cs="Tahoma"/>
                <w:sz w:val="13"/>
              </w:rPr>
              <w:t>7/10</w:t>
            </w:r>
          </w:p>
        </w:tc>
        <w:tc>
          <w:tcPr>
            <w:tcW w:w="429"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DT</w:t>
            </w:r>
          </w:p>
        </w:tc>
        <w:tc>
          <w:tcPr>
            <w:tcW w:w="429"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w:t>
            </w: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29"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461" w:type="dxa"/>
            <w:shd w:val="clear" w:color="auto" w:fill="FFFFFF"/>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567" w:type="dxa"/>
            <w:shd w:val="clear" w:color="auto" w:fill="FFFFF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cantSplit/>
          <w:trHeight w:val="287"/>
        </w:trPr>
        <w:tc>
          <w:tcPr>
            <w:tcW w:w="2638" w:type="dxa"/>
            <w:shd w:val="clear" w:color="auto" w:fill="FABF8F"/>
            <w:vAlign w:val="center"/>
          </w:tcPr>
          <w:p w:rsidR="00A92422" w:rsidRPr="00BA1C75" w:rsidRDefault="00A92422" w:rsidP="00EA30FC">
            <w:pPr>
              <w:pStyle w:val="Heading2"/>
              <w:spacing w:beforeLines="20" w:before="48" w:afterLines="20" w:after="48"/>
              <w:ind w:left="0"/>
              <w:rPr>
                <w:rFonts w:ascii="Tahoma" w:hAnsi="Tahoma" w:cs="Tahoma"/>
                <w:b w:val="0"/>
                <w:sz w:val="14"/>
                <w:szCs w:val="14"/>
              </w:rPr>
            </w:pPr>
            <w:bookmarkStart w:id="28" w:name="_Toc336337849"/>
            <w:bookmarkStart w:id="29" w:name="_Toc342899921"/>
            <w:bookmarkEnd w:id="28"/>
            <w:r w:rsidRPr="00BA1C75">
              <w:rPr>
                <w:rFonts w:ascii="Tahoma" w:hAnsi="Tahoma" w:cs="Tahoma"/>
                <w:b w:val="0"/>
                <w:sz w:val="14"/>
                <w:szCs w:val="14"/>
                <w:lang w:val="it-IT"/>
              </w:rPr>
              <w:t>Expression Studio Ultimate 4</w:t>
            </w:r>
            <w:bookmarkEnd w:id="29"/>
          </w:p>
        </w:tc>
        <w:tc>
          <w:tcPr>
            <w:tcW w:w="429" w:type="dxa"/>
            <w:shd w:val="clear" w:color="auto" w:fill="FABF8F"/>
            <w:vAlign w:val="center"/>
          </w:tcPr>
          <w:p w:rsidR="00A92422" w:rsidRPr="00D87B79" w:rsidRDefault="00A92422" w:rsidP="00EA30FC">
            <w:pPr>
              <w:pStyle w:val="TableText"/>
              <w:widowControl w:val="0"/>
              <w:rPr>
                <w:rStyle w:val="EndnoteReference"/>
                <w:rFonts w:ascii="Tahoma" w:hAnsi="Tahoma" w:cs="Tahoma"/>
                <w:color w:val="0000FF"/>
                <w:sz w:val="13"/>
                <w:szCs w:val="13"/>
                <w:u w:val="single"/>
              </w:rPr>
            </w:pPr>
            <w:hyperlink w:anchor="_2_Expression_Studio" w:history="1">
              <w:r w:rsidRPr="00D87B79">
                <w:rPr>
                  <w:rStyle w:val="Hyperlink"/>
                  <w:rFonts w:ascii="Tahoma" w:hAnsi="Tahoma" w:cs="Tahoma"/>
                  <w:b/>
                  <w:sz w:val="13"/>
                </w:rPr>
                <w:t>2</w:t>
              </w:r>
            </w:hyperlink>
          </w:p>
        </w:tc>
        <w:tc>
          <w:tcPr>
            <w:tcW w:w="429" w:type="dxa"/>
            <w:shd w:val="clear" w:color="auto" w:fill="FABF8F"/>
            <w:vAlign w:val="center"/>
          </w:tcPr>
          <w:p w:rsidR="00A92422" w:rsidRPr="00D87B79" w:rsidRDefault="00A92422" w:rsidP="00EA30FC">
            <w:pPr>
              <w:pStyle w:val="TableText"/>
              <w:widowControl w:val="0"/>
              <w:spacing w:beforeLines="60" w:before="144"/>
              <w:rPr>
                <w:rFonts w:ascii="Tahoma" w:hAnsi="Tahoma" w:cs="Tahoma"/>
                <w:sz w:val="13"/>
              </w:rPr>
            </w:pPr>
            <w:r w:rsidRPr="00D87B79">
              <w:rPr>
                <w:rFonts w:ascii="Tahoma" w:hAnsi="Tahoma" w:cs="Tahoma"/>
                <w:sz w:val="13"/>
              </w:rPr>
              <w:t>7/10</w:t>
            </w: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DT</w:t>
            </w:r>
          </w:p>
        </w:tc>
        <w:tc>
          <w:tcPr>
            <w:tcW w:w="429"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4</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4</w:t>
            </w: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29"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461" w:type="dxa"/>
            <w:shd w:val="clear" w:color="auto" w:fill="FABF8F"/>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A,AO, ST</w:t>
            </w:r>
          </w:p>
        </w:tc>
        <w:tc>
          <w:tcPr>
            <w:tcW w:w="567"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cantSplit/>
          <w:trHeight w:val="287"/>
        </w:trPr>
        <w:tc>
          <w:tcPr>
            <w:tcW w:w="2638" w:type="dxa"/>
            <w:shd w:val="clear" w:color="auto" w:fill="FFFFFF"/>
            <w:vAlign w:val="center"/>
          </w:tcPr>
          <w:p w:rsidR="00A92422" w:rsidRPr="00BA1C75" w:rsidRDefault="00A92422" w:rsidP="00EA30FC">
            <w:pPr>
              <w:pStyle w:val="Heading2"/>
              <w:spacing w:beforeLines="20" w:before="48" w:afterLines="20" w:after="48"/>
              <w:ind w:left="0"/>
              <w:rPr>
                <w:rFonts w:ascii="Tahoma" w:hAnsi="Tahoma" w:cs="Tahoma"/>
                <w:b w:val="0"/>
                <w:sz w:val="14"/>
                <w:szCs w:val="14"/>
              </w:rPr>
            </w:pPr>
            <w:bookmarkStart w:id="30" w:name="_Toc336337850"/>
            <w:bookmarkStart w:id="31" w:name="_Toc342899922"/>
            <w:bookmarkEnd w:id="30"/>
            <w:r w:rsidRPr="00BA1C75">
              <w:rPr>
                <w:rFonts w:ascii="Tahoma" w:hAnsi="Tahoma" w:cs="Tahoma"/>
                <w:b w:val="0"/>
                <w:sz w:val="14"/>
                <w:szCs w:val="14"/>
                <w:lang w:val="it-IT"/>
              </w:rPr>
              <w:t>Expression Encoder Pro 4</w:t>
            </w:r>
            <w:bookmarkEnd w:id="31"/>
          </w:p>
        </w:tc>
        <w:tc>
          <w:tcPr>
            <w:tcW w:w="429" w:type="dxa"/>
            <w:shd w:val="clear" w:color="auto" w:fill="FFFFFF"/>
            <w:vAlign w:val="center"/>
          </w:tcPr>
          <w:p w:rsidR="00A92422" w:rsidRPr="00D87B79" w:rsidRDefault="00A92422" w:rsidP="00EA30FC">
            <w:pPr>
              <w:pStyle w:val="TableText"/>
              <w:widowControl w:val="0"/>
              <w:rPr>
                <w:rStyle w:val="EndnoteReference"/>
                <w:rFonts w:ascii="Tahoma" w:hAnsi="Tahoma" w:cs="Tahoma"/>
                <w:color w:val="0000FF"/>
                <w:sz w:val="13"/>
                <w:szCs w:val="13"/>
                <w:u w:val="single"/>
              </w:rPr>
            </w:pPr>
            <w:hyperlink w:anchor="_2_Expression_Studio" w:history="1">
              <w:r w:rsidRPr="00D87B79">
                <w:rPr>
                  <w:rStyle w:val="Hyperlink"/>
                  <w:rFonts w:ascii="Tahoma" w:hAnsi="Tahoma" w:cs="Tahoma"/>
                  <w:b/>
                  <w:sz w:val="13"/>
                </w:rPr>
                <w:t>2</w:t>
              </w:r>
            </w:hyperlink>
          </w:p>
        </w:tc>
        <w:tc>
          <w:tcPr>
            <w:tcW w:w="429" w:type="dxa"/>
            <w:shd w:val="clear" w:color="auto" w:fill="FFFFFF"/>
            <w:vAlign w:val="center"/>
          </w:tcPr>
          <w:p w:rsidR="00A92422" w:rsidRPr="00D87B79" w:rsidRDefault="00A92422" w:rsidP="00EA30FC">
            <w:pPr>
              <w:pStyle w:val="TableText"/>
              <w:widowControl w:val="0"/>
              <w:spacing w:beforeLines="60" w:before="144"/>
              <w:rPr>
                <w:rFonts w:ascii="Tahoma" w:hAnsi="Tahoma" w:cs="Tahoma"/>
                <w:sz w:val="13"/>
              </w:rPr>
            </w:pPr>
            <w:r w:rsidRPr="00D87B79">
              <w:rPr>
                <w:rFonts w:ascii="Tahoma" w:hAnsi="Tahoma" w:cs="Tahoma"/>
                <w:sz w:val="13"/>
              </w:rPr>
              <w:t>7/10</w:t>
            </w:r>
          </w:p>
        </w:tc>
        <w:tc>
          <w:tcPr>
            <w:tcW w:w="429"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DT</w:t>
            </w:r>
          </w:p>
        </w:tc>
        <w:tc>
          <w:tcPr>
            <w:tcW w:w="429"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w:t>
            </w: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461" w:type="dxa"/>
            <w:shd w:val="clear" w:color="auto" w:fill="FFFFFF"/>
          </w:tcPr>
          <w:p w:rsidR="00A92422" w:rsidRPr="00D87B79" w:rsidRDefault="00A92422" w:rsidP="00EA30FC">
            <w:pPr>
              <w:pStyle w:val="TableText"/>
              <w:widowControl w:val="0"/>
              <w:rPr>
                <w:rFonts w:ascii="Tahoma" w:hAnsi="Tahoma" w:cs="Tahoma"/>
                <w:sz w:val="13"/>
              </w:rPr>
            </w:pPr>
          </w:p>
        </w:tc>
        <w:tc>
          <w:tcPr>
            <w:tcW w:w="567" w:type="dxa"/>
            <w:shd w:val="clear" w:color="auto" w:fill="FFFFF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cantSplit/>
          <w:trHeight w:val="287"/>
        </w:trPr>
        <w:tc>
          <w:tcPr>
            <w:tcW w:w="2638" w:type="dxa"/>
            <w:shd w:val="clear" w:color="auto" w:fill="FABF8F"/>
            <w:vAlign w:val="center"/>
          </w:tcPr>
          <w:p w:rsidR="00A92422" w:rsidRPr="00BA1C75" w:rsidRDefault="00A92422" w:rsidP="00EA30FC">
            <w:pPr>
              <w:pStyle w:val="Heading2"/>
              <w:spacing w:beforeLines="20" w:before="48" w:afterLines="20" w:after="48"/>
              <w:ind w:left="0"/>
              <w:rPr>
                <w:rFonts w:ascii="Tahoma" w:hAnsi="Tahoma" w:cs="Tahoma"/>
                <w:b w:val="0"/>
                <w:sz w:val="14"/>
                <w:szCs w:val="14"/>
              </w:rPr>
            </w:pPr>
            <w:bookmarkStart w:id="32" w:name="_Toc336337851"/>
            <w:bookmarkStart w:id="33" w:name="_Toc342899923"/>
            <w:bookmarkEnd w:id="32"/>
            <w:r w:rsidRPr="00BA1C75">
              <w:rPr>
                <w:rFonts w:ascii="Tahoma" w:hAnsi="Tahoma" w:cs="Tahoma"/>
                <w:b w:val="0"/>
                <w:sz w:val="14"/>
                <w:szCs w:val="14"/>
                <w:lang w:val="it-IT"/>
              </w:rPr>
              <w:t>GeoSynther 3.0</w:t>
            </w:r>
            <w:bookmarkEnd w:id="33"/>
          </w:p>
        </w:tc>
        <w:tc>
          <w:tcPr>
            <w:tcW w:w="429" w:type="dxa"/>
            <w:shd w:val="clear" w:color="auto" w:fill="FABF8F"/>
            <w:vAlign w:val="center"/>
          </w:tcPr>
          <w:p w:rsidR="00A92422" w:rsidRPr="00D87B79" w:rsidRDefault="00A92422" w:rsidP="00EA30FC">
            <w:pPr>
              <w:pStyle w:val="TableText"/>
              <w:widowControl w:val="0"/>
              <w:rPr>
                <w:rStyle w:val="EndnoteReference"/>
                <w:rFonts w:ascii="Tahoma" w:hAnsi="Tahoma" w:cs="Tahoma"/>
                <w:color w:val="0000FF"/>
                <w:sz w:val="13"/>
                <w:szCs w:val="13"/>
                <w:u w:val="single"/>
              </w:rPr>
            </w:pPr>
          </w:p>
        </w:tc>
        <w:tc>
          <w:tcPr>
            <w:tcW w:w="429" w:type="dxa"/>
            <w:shd w:val="clear" w:color="auto" w:fill="FABF8F"/>
            <w:vAlign w:val="center"/>
          </w:tcPr>
          <w:p w:rsidR="00A92422" w:rsidRPr="00D87B79" w:rsidRDefault="00A92422" w:rsidP="00EA30FC">
            <w:pPr>
              <w:pStyle w:val="TableText"/>
              <w:widowControl w:val="0"/>
              <w:spacing w:beforeLines="60" w:before="144"/>
              <w:rPr>
                <w:rFonts w:ascii="Tahoma" w:hAnsi="Tahoma" w:cs="Tahoma"/>
                <w:sz w:val="13"/>
              </w:rPr>
            </w:pPr>
            <w:r w:rsidRPr="00D87B79">
              <w:rPr>
                <w:rFonts w:ascii="Tahoma" w:hAnsi="Tahoma" w:cs="Tahoma"/>
                <w:sz w:val="13"/>
              </w:rPr>
              <w:t>05/10</w:t>
            </w: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DT</w:t>
            </w:r>
          </w:p>
        </w:tc>
        <w:tc>
          <w:tcPr>
            <w:tcW w:w="429"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61" w:type="dxa"/>
            <w:shd w:val="clear" w:color="auto" w:fill="FABF8F"/>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567"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cantSplit/>
          <w:trHeight w:val="287"/>
        </w:trPr>
        <w:tc>
          <w:tcPr>
            <w:tcW w:w="2638" w:type="dxa"/>
            <w:shd w:val="clear" w:color="auto" w:fill="FFFFFF"/>
            <w:vAlign w:val="center"/>
          </w:tcPr>
          <w:p w:rsidR="00A92422" w:rsidRPr="00BA1C75" w:rsidRDefault="00A92422" w:rsidP="00EA30FC">
            <w:pPr>
              <w:pStyle w:val="Heading2"/>
              <w:spacing w:beforeLines="20" w:before="48" w:afterLines="20" w:after="48"/>
              <w:ind w:left="0"/>
              <w:rPr>
                <w:rFonts w:ascii="Tahoma" w:hAnsi="Tahoma" w:cs="Tahoma"/>
                <w:b w:val="0"/>
                <w:sz w:val="14"/>
                <w:szCs w:val="14"/>
              </w:rPr>
            </w:pPr>
            <w:bookmarkStart w:id="34" w:name="_Toc336337852"/>
            <w:bookmarkStart w:id="35" w:name="_Toc342899924"/>
            <w:bookmarkEnd w:id="34"/>
            <w:r w:rsidRPr="00BA1C75">
              <w:rPr>
                <w:rFonts w:ascii="Tahoma" w:hAnsi="Tahoma" w:cs="Tahoma"/>
                <w:b w:val="0"/>
                <w:sz w:val="14"/>
                <w:szCs w:val="14"/>
                <w:lang w:val="it-IT"/>
              </w:rPr>
              <w:t>GeoSynth Viewer 3.0</w:t>
            </w:r>
            <w:bookmarkEnd w:id="35"/>
          </w:p>
        </w:tc>
        <w:tc>
          <w:tcPr>
            <w:tcW w:w="429" w:type="dxa"/>
            <w:shd w:val="clear" w:color="auto" w:fill="FFFFFF"/>
            <w:vAlign w:val="center"/>
          </w:tcPr>
          <w:p w:rsidR="00A92422" w:rsidRPr="00D87B79" w:rsidRDefault="00A92422" w:rsidP="00EA30FC">
            <w:pPr>
              <w:pStyle w:val="TableText"/>
              <w:widowControl w:val="0"/>
              <w:rPr>
                <w:rStyle w:val="EndnoteReference"/>
                <w:rFonts w:ascii="Tahoma" w:hAnsi="Tahoma" w:cs="Tahoma"/>
                <w:color w:val="0000FF"/>
                <w:sz w:val="13"/>
                <w:szCs w:val="13"/>
                <w:u w:val="single"/>
              </w:rPr>
            </w:pPr>
          </w:p>
        </w:tc>
        <w:tc>
          <w:tcPr>
            <w:tcW w:w="429" w:type="dxa"/>
            <w:shd w:val="clear" w:color="auto" w:fill="FFFFFF"/>
            <w:vAlign w:val="center"/>
          </w:tcPr>
          <w:p w:rsidR="00A92422" w:rsidRPr="00D87B79" w:rsidRDefault="00A92422" w:rsidP="00EA30FC">
            <w:pPr>
              <w:pStyle w:val="TableText"/>
              <w:widowControl w:val="0"/>
              <w:spacing w:beforeLines="60" w:before="144"/>
              <w:rPr>
                <w:rFonts w:ascii="Tahoma" w:hAnsi="Tahoma" w:cs="Tahoma"/>
                <w:sz w:val="13"/>
              </w:rPr>
            </w:pPr>
            <w:r w:rsidRPr="00D87B79">
              <w:rPr>
                <w:rFonts w:ascii="Tahoma" w:hAnsi="Tahoma" w:cs="Tahoma"/>
                <w:sz w:val="13"/>
              </w:rPr>
              <w:t>05/10</w:t>
            </w:r>
          </w:p>
        </w:tc>
        <w:tc>
          <w:tcPr>
            <w:tcW w:w="429"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DT</w:t>
            </w:r>
          </w:p>
        </w:tc>
        <w:tc>
          <w:tcPr>
            <w:tcW w:w="429"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61" w:type="dxa"/>
            <w:shd w:val="clear" w:color="auto" w:fill="FFFFFF"/>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567" w:type="dxa"/>
            <w:shd w:val="clear" w:color="auto" w:fill="FFFFF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cantSplit/>
          <w:trHeight w:val="287"/>
        </w:trPr>
        <w:tc>
          <w:tcPr>
            <w:tcW w:w="2638" w:type="dxa"/>
            <w:shd w:val="clear" w:color="auto" w:fill="FABF8F"/>
            <w:vAlign w:val="center"/>
          </w:tcPr>
          <w:p w:rsidR="00A92422" w:rsidRPr="00BA1C75" w:rsidRDefault="00A92422" w:rsidP="00EA30FC">
            <w:pPr>
              <w:pStyle w:val="Heading2"/>
              <w:spacing w:beforeLines="20" w:before="48" w:afterLines="20" w:after="48"/>
              <w:ind w:left="0"/>
              <w:rPr>
                <w:rFonts w:ascii="Tahoma" w:hAnsi="Tahoma" w:cs="Tahoma"/>
                <w:b w:val="0"/>
                <w:sz w:val="14"/>
                <w:szCs w:val="14"/>
              </w:rPr>
            </w:pPr>
            <w:bookmarkStart w:id="36" w:name="_Toc336337853"/>
            <w:bookmarkStart w:id="37" w:name="_Toc342899925"/>
            <w:bookmarkEnd w:id="36"/>
            <w:r w:rsidRPr="00BA1C75">
              <w:rPr>
                <w:rFonts w:ascii="Tahoma" w:hAnsi="Tahoma" w:cs="Tahoma"/>
                <w:b w:val="0"/>
                <w:sz w:val="14"/>
                <w:szCs w:val="14"/>
                <w:lang w:val="it-IT"/>
              </w:rPr>
              <w:t>InfoPath</w:t>
            </w:r>
            <w:r w:rsidRPr="003A0F2F">
              <w:rPr>
                <w:rFonts w:ascii="Tahoma" w:hAnsi="Tahoma" w:cs="Tahoma"/>
                <w:b w:val="0"/>
                <w:sz w:val="14"/>
                <w:szCs w:val="14"/>
                <w:vertAlign w:val="superscript"/>
                <w:lang w:val="it-IT"/>
              </w:rPr>
              <w:t>®</w:t>
            </w:r>
            <w:r w:rsidRPr="00BA1C75">
              <w:rPr>
                <w:rFonts w:ascii="Tahoma" w:hAnsi="Tahoma" w:cs="Tahoma"/>
                <w:b w:val="0"/>
                <w:sz w:val="14"/>
                <w:szCs w:val="14"/>
                <w:lang w:val="it-IT"/>
              </w:rPr>
              <w:t xml:space="preserve"> 2013</w:t>
            </w:r>
            <w:bookmarkEnd w:id="37"/>
          </w:p>
        </w:tc>
        <w:tc>
          <w:tcPr>
            <w:tcW w:w="429" w:type="dxa"/>
            <w:shd w:val="clear" w:color="auto" w:fill="FABF8F"/>
            <w:vAlign w:val="center"/>
          </w:tcPr>
          <w:p w:rsidR="00A92422" w:rsidRPr="00D87B79" w:rsidRDefault="00A92422" w:rsidP="00EA30FC">
            <w:pPr>
              <w:pStyle w:val="TableText"/>
              <w:widowControl w:val="0"/>
              <w:rPr>
                <w:rStyle w:val="EndnoteReference"/>
                <w:rFonts w:ascii="Tahoma" w:hAnsi="Tahoma" w:cs="Tahoma"/>
                <w:color w:val="0000FF"/>
                <w:sz w:val="13"/>
                <w:szCs w:val="13"/>
                <w:u w:val="single"/>
              </w:rPr>
            </w:pPr>
          </w:p>
        </w:tc>
        <w:tc>
          <w:tcPr>
            <w:tcW w:w="429" w:type="dxa"/>
            <w:shd w:val="clear" w:color="auto" w:fill="FABF8F"/>
            <w:vAlign w:val="center"/>
          </w:tcPr>
          <w:p w:rsidR="00A92422" w:rsidRPr="00D87B79" w:rsidRDefault="00A92422" w:rsidP="00EA30FC">
            <w:pPr>
              <w:pStyle w:val="TableText"/>
              <w:widowControl w:val="0"/>
              <w:spacing w:beforeLines="60" w:before="144"/>
              <w:rPr>
                <w:rFonts w:ascii="Tahoma" w:hAnsi="Tahoma" w:cs="Tahoma"/>
                <w:sz w:val="13"/>
              </w:rPr>
            </w:pPr>
            <w:r>
              <w:rPr>
                <w:rFonts w:ascii="Tahoma" w:hAnsi="Tahoma" w:cs="Tahoma"/>
                <w:sz w:val="13"/>
              </w:rPr>
              <w:t>10/12</w:t>
            </w: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DT</w:t>
            </w:r>
          </w:p>
        </w:tc>
        <w:tc>
          <w:tcPr>
            <w:tcW w:w="429"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461" w:type="dxa"/>
            <w:shd w:val="clear" w:color="auto" w:fill="FABF8F"/>
          </w:tcPr>
          <w:p w:rsidR="00A92422" w:rsidRPr="00D87B79" w:rsidRDefault="00A92422" w:rsidP="00EA30FC">
            <w:pPr>
              <w:pStyle w:val="TableText"/>
              <w:widowControl w:val="0"/>
              <w:rPr>
                <w:rFonts w:ascii="Tahoma" w:hAnsi="Tahoma" w:cs="Tahoma"/>
                <w:sz w:val="13"/>
              </w:rPr>
            </w:pPr>
          </w:p>
        </w:tc>
        <w:tc>
          <w:tcPr>
            <w:tcW w:w="567"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cantSplit/>
          <w:trHeight w:val="287"/>
        </w:trPr>
        <w:tc>
          <w:tcPr>
            <w:tcW w:w="2638" w:type="dxa"/>
            <w:shd w:val="clear" w:color="auto" w:fill="FFFFFF"/>
            <w:vAlign w:val="center"/>
          </w:tcPr>
          <w:p w:rsidR="00A92422" w:rsidRPr="00BA1C75" w:rsidRDefault="00A92422" w:rsidP="00EA30FC">
            <w:pPr>
              <w:pStyle w:val="Heading2"/>
              <w:spacing w:beforeLines="20" w:before="48" w:afterLines="20" w:after="48"/>
              <w:ind w:left="0"/>
              <w:rPr>
                <w:rFonts w:ascii="Tahoma" w:hAnsi="Tahoma" w:cs="Tahoma"/>
                <w:b w:val="0"/>
                <w:sz w:val="14"/>
                <w:szCs w:val="14"/>
              </w:rPr>
            </w:pPr>
            <w:bookmarkStart w:id="38" w:name="_Toc336337854"/>
            <w:bookmarkStart w:id="39" w:name="_Toc342899926"/>
            <w:bookmarkEnd w:id="38"/>
            <w:r w:rsidRPr="00BA1C75">
              <w:rPr>
                <w:rFonts w:ascii="Tahoma" w:hAnsi="Tahoma" w:cs="Tahoma"/>
                <w:b w:val="0"/>
                <w:sz w:val="14"/>
                <w:szCs w:val="14"/>
                <w:lang w:val="it-IT"/>
              </w:rPr>
              <w:t>Lync 2013</w:t>
            </w:r>
            <w:bookmarkEnd w:id="39"/>
          </w:p>
        </w:tc>
        <w:tc>
          <w:tcPr>
            <w:tcW w:w="429" w:type="dxa"/>
            <w:shd w:val="clear" w:color="auto" w:fill="FFFFFF"/>
            <w:vAlign w:val="center"/>
          </w:tcPr>
          <w:p w:rsidR="00A92422" w:rsidRPr="00D87B79" w:rsidRDefault="00A92422" w:rsidP="00EA30FC">
            <w:pPr>
              <w:pStyle w:val="TableText"/>
              <w:widowControl w:val="0"/>
              <w:rPr>
                <w:rStyle w:val="EndnoteReference"/>
                <w:rFonts w:ascii="Tahoma" w:hAnsi="Tahoma" w:cs="Tahoma"/>
                <w:color w:val="0000FF"/>
                <w:sz w:val="13"/>
                <w:szCs w:val="13"/>
                <w:u w:val="single"/>
              </w:rPr>
            </w:pPr>
            <w:bookmarkStart w:id="40" w:name="_Hlt301882262"/>
            <w:bookmarkStart w:id="41" w:name="_Hlt336250688"/>
          </w:p>
        </w:tc>
        <w:bookmarkEnd w:id="40"/>
        <w:bookmarkEnd w:id="41"/>
        <w:tc>
          <w:tcPr>
            <w:tcW w:w="429" w:type="dxa"/>
            <w:shd w:val="clear" w:color="auto" w:fill="FFFFFF"/>
            <w:vAlign w:val="center"/>
          </w:tcPr>
          <w:p w:rsidR="00A92422" w:rsidRPr="00D87B79" w:rsidRDefault="00A92422" w:rsidP="00EA30FC">
            <w:pPr>
              <w:pStyle w:val="TableText"/>
              <w:widowControl w:val="0"/>
              <w:spacing w:beforeLines="60" w:before="144"/>
              <w:rPr>
                <w:rFonts w:ascii="Tahoma" w:hAnsi="Tahoma" w:cs="Tahoma"/>
                <w:sz w:val="13"/>
              </w:rPr>
            </w:pPr>
            <w:r w:rsidRPr="00D87B79">
              <w:rPr>
                <w:rFonts w:ascii="Tahoma" w:hAnsi="Tahoma" w:cs="Tahoma"/>
                <w:sz w:val="13"/>
              </w:rPr>
              <w:t>10/12</w:t>
            </w:r>
          </w:p>
        </w:tc>
        <w:tc>
          <w:tcPr>
            <w:tcW w:w="429"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DT</w:t>
            </w:r>
          </w:p>
        </w:tc>
        <w:tc>
          <w:tcPr>
            <w:tcW w:w="429"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w:t>
            </w: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29"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461" w:type="dxa"/>
            <w:shd w:val="clear" w:color="auto" w:fill="FFFFFF"/>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 ST</w:t>
            </w:r>
          </w:p>
        </w:tc>
        <w:tc>
          <w:tcPr>
            <w:tcW w:w="567" w:type="dxa"/>
            <w:shd w:val="clear" w:color="auto" w:fill="FFFFF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cantSplit/>
          <w:trHeight w:val="287"/>
        </w:trPr>
        <w:tc>
          <w:tcPr>
            <w:tcW w:w="2638" w:type="dxa"/>
            <w:shd w:val="clear" w:color="auto" w:fill="FABF8F"/>
            <w:vAlign w:val="center"/>
          </w:tcPr>
          <w:p w:rsidR="00A92422" w:rsidRPr="00BA1C75" w:rsidRDefault="00A92422" w:rsidP="00EA30FC">
            <w:pPr>
              <w:pStyle w:val="Heading2"/>
              <w:spacing w:beforeLines="20" w:before="48" w:afterLines="20" w:after="48"/>
              <w:ind w:left="0"/>
              <w:rPr>
                <w:rFonts w:ascii="Tahoma" w:hAnsi="Tahoma" w:cs="Tahoma"/>
                <w:b w:val="0"/>
                <w:sz w:val="14"/>
                <w:szCs w:val="14"/>
              </w:rPr>
            </w:pPr>
            <w:bookmarkStart w:id="42" w:name="_Toc336337855"/>
            <w:bookmarkStart w:id="43" w:name="_Toc342899927"/>
            <w:bookmarkEnd w:id="42"/>
            <w:r w:rsidRPr="00BA1C75">
              <w:rPr>
                <w:rFonts w:ascii="Tahoma" w:hAnsi="Tahoma" w:cs="Tahoma"/>
                <w:b w:val="0"/>
                <w:sz w:val="14"/>
                <w:szCs w:val="14"/>
                <w:lang w:val="it-IT"/>
              </w:rPr>
              <w:t>Lync per Mac 2011</w:t>
            </w:r>
            <w:bookmarkEnd w:id="43"/>
          </w:p>
        </w:tc>
        <w:tc>
          <w:tcPr>
            <w:tcW w:w="429" w:type="dxa"/>
            <w:shd w:val="clear" w:color="auto" w:fill="FABF8F"/>
            <w:vAlign w:val="center"/>
          </w:tcPr>
          <w:p w:rsidR="00A92422" w:rsidRPr="00D87B79" w:rsidRDefault="00A92422" w:rsidP="00EA30FC">
            <w:pPr>
              <w:pStyle w:val="TableText"/>
              <w:widowControl w:val="0"/>
              <w:rPr>
                <w:rStyle w:val="EndnoteReference"/>
                <w:rFonts w:ascii="Tahoma" w:hAnsi="Tahoma" w:cs="Tahoma"/>
                <w:color w:val="0000FF"/>
                <w:sz w:val="13"/>
                <w:szCs w:val="13"/>
                <w:u w:val="single"/>
              </w:rPr>
            </w:pPr>
            <w:hyperlink w:anchor="Aps_4LyncforMac2011" w:history="1">
              <w:r w:rsidRPr="00D87B79">
                <w:rPr>
                  <w:rStyle w:val="Hyperlink"/>
                  <w:rFonts w:ascii="Tahoma" w:hAnsi="Tahoma" w:cs="Tahoma"/>
                  <w:b/>
                  <w:sz w:val="13"/>
                </w:rPr>
                <w:t>3</w:t>
              </w:r>
            </w:hyperlink>
          </w:p>
        </w:tc>
        <w:tc>
          <w:tcPr>
            <w:tcW w:w="429" w:type="dxa"/>
            <w:shd w:val="clear" w:color="auto" w:fill="FABF8F"/>
            <w:vAlign w:val="center"/>
          </w:tcPr>
          <w:p w:rsidR="00A92422" w:rsidRPr="00D87B79" w:rsidRDefault="00A92422" w:rsidP="00EA30FC">
            <w:pPr>
              <w:pStyle w:val="TableText"/>
              <w:widowControl w:val="0"/>
              <w:spacing w:beforeLines="60" w:before="144"/>
              <w:rPr>
                <w:rFonts w:ascii="Tahoma" w:hAnsi="Tahoma" w:cs="Tahoma"/>
                <w:sz w:val="13"/>
              </w:rPr>
            </w:pPr>
            <w:r w:rsidRPr="00D87B79">
              <w:rPr>
                <w:rFonts w:ascii="Tahoma" w:hAnsi="Tahoma" w:cs="Tahoma"/>
                <w:sz w:val="13"/>
              </w:rPr>
              <w:t>10/11</w:t>
            </w: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DT</w:t>
            </w:r>
          </w:p>
        </w:tc>
        <w:tc>
          <w:tcPr>
            <w:tcW w:w="429"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461" w:type="dxa"/>
            <w:shd w:val="clear" w:color="auto" w:fill="FABF8F"/>
          </w:tcPr>
          <w:p w:rsidR="00A92422" w:rsidRPr="00D87B79" w:rsidRDefault="00A92422" w:rsidP="00EA30FC">
            <w:pPr>
              <w:pStyle w:val="TableText"/>
              <w:widowControl w:val="0"/>
              <w:rPr>
                <w:rFonts w:ascii="Tahoma" w:hAnsi="Tahoma" w:cs="Tahoma"/>
                <w:sz w:val="13"/>
              </w:rPr>
            </w:pPr>
          </w:p>
        </w:tc>
        <w:tc>
          <w:tcPr>
            <w:tcW w:w="567"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cantSplit/>
          <w:trHeight w:val="287"/>
        </w:trPr>
        <w:tc>
          <w:tcPr>
            <w:tcW w:w="2638" w:type="dxa"/>
            <w:shd w:val="clear" w:color="auto" w:fill="FFFFFF"/>
            <w:vAlign w:val="center"/>
          </w:tcPr>
          <w:p w:rsidR="00A92422" w:rsidRPr="00BA1C75" w:rsidRDefault="00A92422" w:rsidP="00EA30FC">
            <w:pPr>
              <w:pStyle w:val="Heading2"/>
              <w:spacing w:beforeLines="20" w:before="48" w:afterLines="20" w:after="48"/>
              <w:ind w:left="0"/>
              <w:rPr>
                <w:rFonts w:ascii="Tahoma" w:hAnsi="Tahoma" w:cs="Tahoma"/>
                <w:b w:val="0"/>
                <w:sz w:val="14"/>
                <w:szCs w:val="14"/>
              </w:rPr>
            </w:pPr>
            <w:bookmarkStart w:id="44" w:name="_Toc235859737"/>
            <w:bookmarkStart w:id="45" w:name="_Toc336337856"/>
            <w:bookmarkStart w:id="46" w:name="_Toc342899928"/>
            <w:bookmarkEnd w:id="44"/>
            <w:bookmarkEnd w:id="45"/>
            <w:r w:rsidRPr="00BA1C75">
              <w:rPr>
                <w:rFonts w:ascii="Tahoma" w:hAnsi="Tahoma" w:cs="Tahoma"/>
                <w:b w:val="0"/>
                <w:sz w:val="14"/>
                <w:szCs w:val="14"/>
                <w:lang w:val="it-IT"/>
              </w:rPr>
              <w:t>MapPoint</w:t>
            </w:r>
            <w:r w:rsidRPr="003A0F2F">
              <w:rPr>
                <w:rFonts w:ascii="Tahoma" w:hAnsi="Tahoma" w:cs="Tahoma"/>
                <w:b w:val="0"/>
                <w:sz w:val="14"/>
                <w:szCs w:val="14"/>
                <w:vertAlign w:val="superscript"/>
                <w:lang w:val="it-IT"/>
              </w:rPr>
              <w:t>®</w:t>
            </w:r>
            <w:r w:rsidRPr="00BA1C75">
              <w:rPr>
                <w:rFonts w:ascii="Tahoma" w:hAnsi="Tahoma" w:cs="Tahoma"/>
                <w:b w:val="0"/>
                <w:sz w:val="14"/>
                <w:szCs w:val="14"/>
                <w:lang w:val="it-IT"/>
              </w:rPr>
              <w:t xml:space="preserve"> Fleet Edition 2013</w:t>
            </w:r>
            <w:bookmarkEnd w:id="46"/>
          </w:p>
        </w:tc>
        <w:tc>
          <w:tcPr>
            <w:tcW w:w="429" w:type="dxa"/>
            <w:shd w:val="clear" w:color="auto" w:fill="FFFFFF"/>
            <w:vAlign w:val="center"/>
          </w:tcPr>
          <w:p w:rsidR="00A92422" w:rsidRPr="00D87B79" w:rsidRDefault="00A92422" w:rsidP="00EA30FC">
            <w:pPr>
              <w:pStyle w:val="TableText"/>
              <w:widowControl w:val="0"/>
              <w:rPr>
                <w:rStyle w:val="EndnoteReference"/>
                <w:rFonts w:ascii="Tahoma" w:hAnsi="Tahoma" w:cs="Tahoma"/>
                <w:color w:val="0000FF"/>
                <w:sz w:val="13"/>
                <w:szCs w:val="13"/>
                <w:u w:val="single"/>
              </w:rPr>
            </w:pPr>
          </w:p>
        </w:tc>
        <w:tc>
          <w:tcPr>
            <w:tcW w:w="429" w:type="dxa"/>
            <w:shd w:val="clear" w:color="auto" w:fill="FFFFFF"/>
            <w:vAlign w:val="center"/>
          </w:tcPr>
          <w:p w:rsidR="00A92422" w:rsidRPr="00D87B79" w:rsidRDefault="00A92422" w:rsidP="00EA30FC">
            <w:pPr>
              <w:pStyle w:val="TableText"/>
              <w:widowControl w:val="0"/>
              <w:spacing w:beforeLines="60" w:before="144"/>
              <w:rPr>
                <w:rFonts w:ascii="Tahoma" w:hAnsi="Tahoma" w:cs="Tahoma"/>
                <w:sz w:val="13"/>
              </w:rPr>
            </w:pPr>
            <w:r w:rsidRPr="00D87B79">
              <w:rPr>
                <w:rFonts w:ascii="Tahoma" w:hAnsi="Tahoma" w:cs="Tahoma"/>
                <w:sz w:val="13"/>
              </w:rPr>
              <w:t>03/11</w:t>
            </w:r>
          </w:p>
        </w:tc>
        <w:tc>
          <w:tcPr>
            <w:tcW w:w="429"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DT</w:t>
            </w:r>
          </w:p>
        </w:tc>
        <w:tc>
          <w:tcPr>
            <w:tcW w:w="429"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4</w:t>
            </w: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10</w:t>
            </w: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8</w:t>
            </w: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6</w:t>
            </w: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6</w:t>
            </w: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4</w:t>
            </w:r>
          </w:p>
        </w:tc>
        <w:tc>
          <w:tcPr>
            <w:tcW w:w="429"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4</w:t>
            </w: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8</w:t>
            </w:r>
          </w:p>
        </w:tc>
        <w:tc>
          <w:tcPr>
            <w:tcW w:w="429"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4</w:t>
            </w:r>
          </w:p>
        </w:tc>
        <w:tc>
          <w:tcPr>
            <w:tcW w:w="429"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29"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461" w:type="dxa"/>
            <w:shd w:val="clear" w:color="auto" w:fill="FFFFFF"/>
          </w:tcPr>
          <w:p w:rsidR="00A92422" w:rsidRPr="00D87B79" w:rsidRDefault="00A92422" w:rsidP="00EA30FC">
            <w:pPr>
              <w:pStyle w:val="TableText"/>
              <w:widowControl w:val="0"/>
              <w:rPr>
                <w:rFonts w:ascii="Tahoma" w:hAnsi="Tahoma" w:cs="Tahoma"/>
                <w:sz w:val="13"/>
              </w:rPr>
            </w:pPr>
          </w:p>
        </w:tc>
        <w:tc>
          <w:tcPr>
            <w:tcW w:w="567" w:type="dxa"/>
            <w:shd w:val="clear" w:color="auto" w:fill="FFFFF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cantSplit/>
          <w:trHeight w:val="323"/>
        </w:trPr>
        <w:tc>
          <w:tcPr>
            <w:tcW w:w="2638" w:type="dxa"/>
            <w:shd w:val="clear" w:color="auto" w:fill="FABF8F"/>
            <w:vAlign w:val="center"/>
          </w:tcPr>
          <w:p w:rsidR="00A92422" w:rsidRPr="00BA1C75" w:rsidRDefault="00A92422" w:rsidP="00EA30FC">
            <w:pPr>
              <w:pStyle w:val="Heading2"/>
              <w:spacing w:beforeLines="20" w:before="48" w:afterLines="20" w:after="48"/>
              <w:ind w:left="0"/>
              <w:rPr>
                <w:rFonts w:ascii="Tahoma" w:hAnsi="Tahoma" w:cs="Tahoma"/>
                <w:b w:val="0"/>
                <w:sz w:val="14"/>
                <w:szCs w:val="14"/>
              </w:rPr>
            </w:pPr>
            <w:bookmarkStart w:id="47" w:name="_Toc235859738"/>
            <w:bookmarkStart w:id="48" w:name="_Toc336337857"/>
            <w:bookmarkStart w:id="49" w:name="_Toc342899929"/>
            <w:bookmarkEnd w:id="47"/>
            <w:bookmarkEnd w:id="48"/>
            <w:r w:rsidRPr="00BA1C75">
              <w:rPr>
                <w:rFonts w:ascii="Tahoma" w:hAnsi="Tahoma" w:cs="Tahoma"/>
                <w:b w:val="0"/>
                <w:sz w:val="14"/>
                <w:szCs w:val="14"/>
                <w:lang w:val="it-IT"/>
              </w:rPr>
              <w:t>MapPoint</w:t>
            </w:r>
            <w:r w:rsidRPr="003A0F2F">
              <w:rPr>
                <w:rFonts w:ascii="Tahoma" w:hAnsi="Tahoma" w:cs="Tahoma"/>
                <w:b w:val="0"/>
                <w:sz w:val="14"/>
                <w:szCs w:val="14"/>
                <w:vertAlign w:val="superscript"/>
                <w:lang w:val="it-IT"/>
              </w:rPr>
              <w:t>®</w:t>
            </w:r>
            <w:r w:rsidRPr="00BA1C75">
              <w:rPr>
                <w:rFonts w:ascii="Tahoma" w:hAnsi="Tahoma" w:cs="Tahoma"/>
                <w:b w:val="0"/>
                <w:sz w:val="14"/>
                <w:szCs w:val="14"/>
                <w:lang w:val="it-IT"/>
              </w:rPr>
              <w:t xml:space="preserve"> 2013 per Windows</w:t>
            </w:r>
            <w:bookmarkEnd w:id="49"/>
          </w:p>
        </w:tc>
        <w:tc>
          <w:tcPr>
            <w:tcW w:w="429" w:type="dxa"/>
            <w:shd w:val="clear" w:color="auto" w:fill="FABF8F"/>
            <w:vAlign w:val="center"/>
          </w:tcPr>
          <w:p w:rsidR="00A92422" w:rsidRPr="00D87B79" w:rsidRDefault="00A92422" w:rsidP="00EA30FC">
            <w:pPr>
              <w:pStyle w:val="TableText"/>
              <w:widowControl w:val="0"/>
              <w:rPr>
                <w:rStyle w:val="EndnoteReference"/>
                <w:rFonts w:ascii="Tahoma" w:hAnsi="Tahoma" w:cs="Tahoma"/>
                <w:color w:val="0000FF"/>
                <w:sz w:val="13"/>
                <w:szCs w:val="13"/>
                <w:u w:val="single"/>
              </w:rPr>
            </w:pPr>
          </w:p>
        </w:tc>
        <w:tc>
          <w:tcPr>
            <w:tcW w:w="429" w:type="dxa"/>
            <w:shd w:val="clear" w:color="auto" w:fill="FABF8F"/>
            <w:vAlign w:val="center"/>
          </w:tcPr>
          <w:p w:rsidR="00A92422" w:rsidRPr="00D87B79" w:rsidRDefault="00A92422" w:rsidP="00EA30FC">
            <w:pPr>
              <w:pStyle w:val="TableText"/>
              <w:widowControl w:val="0"/>
              <w:spacing w:beforeLines="60" w:before="144"/>
              <w:rPr>
                <w:rFonts w:ascii="Tahoma" w:hAnsi="Tahoma" w:cs="Tahoma"/>
                <w:color w:val="000000"/>
                <w:sz w:val="13"/>
              </w:rPr>
            </w:pPr>
            <w:r w:rsidRPr="00D87B79">
              <w:rPr>
                <w:rFonts w:ascii="Tahoma" w:hAnsi="Tahoma" w:cs="Tahoma"/>
                <w:color w:val="000000"/>
                <w:sz w:val="13"/>
              </w:rPr>
              <w:t>03/11</w:t>
            </w: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DT</w:t>
            </w:r>
          </w:p>
        </w:tc>
        <w:tc>
          <w:tcPr>
            <w:tcW w:w="429"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29"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461" w:type="dxa"/>
            <w:shd w:val="clear" w:color="auto" w:fill="FABF8F"/>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A,AO, ST</w:t>
            </w:r>
          </w:p>
        </w:tc>
        <w:tc>
          <w:tcPr>
            <w:tcW w:w="567"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cantSplit/>
          <w:trHeight w:val="145"/>
        </w:trPr>
        <w:tc>
          <w:tcPr>
            <w:tcW w:w="2638" w:type="dxa"/>
            <w:shd w:val="clear" w:color="auto" w:fill="FFFFFF"/>
            <w:vAlign w:val="center"/>
          </w:tcPr>
          <w:p w:rsidR="00A92422" w:rsidRPr="00BA1C75" w:rsidRDefault="00A92422" w:rsidP="00EA30FC">
            <w:pPr>
              <w:pStyle w:val="Heading2"/>
              <w:spacing w:beforeLines="20" w:before="48" w:afterLines="20" w:after="48"/>
              <w:ind w:left="0"/>
              <w:rPr>
                <w:rFonts w:ascii="Tahoma" w:hAnsi="Tahoma" w:cs="Tahoma"/>
                <w:b w:val="0"/>
                <w:sz w:val="14"/>
                <w:szCs w:val="14"/>
              </w:rPr>
            </w:pPr>
            <w:bookmarkStart w:id="50" w:name="_Toc336337858"/>
            <w:bookmarkStart w:id="51" w:name="_Toc342899930"/>
            <w:bookmarkEnd w:id="50"/>
            <w:r w:rsidRPr="00BA1C75">
              <w:rPr>
                <w:rFonts w:ascii="Tahoma" w:hAnsi="Tahoma" w:cs="Tahoma"/>
                <w:b w:val="0"/>
                <w:sz w:val="14"/>
                <w:szCs w:val="14"/>
                <w:lang w:val="it-IT"/>
              </w:rPr>
              <w:t>Sistemi Operativi MSDN</w:t>
            </w:r>
            <w:bookmarkEnd w:id="51"/>
          </w:p>
        </w:tc>
        <w:tc>
          <w:tcPr>
            <w:tcW w:w="429" w:type="dxa"/>
            <w:shd w:val="clear" w:color="auto" w:fill="FFFFFF"/>
            <w:vAlign w:val="center"/>
          </w:tcPr>
          <w:p w:rsidR="00A92422" w:rsidRPr="00D87B79" w:rsidRDefault="00A92422" w:rsidP="00EA30FC">
            <w:pPr>
              <w:pStyle w:val="TableText"/>
              <w:widowControl w:val="0"/>
              <w:rPr>
                <w:rStyle w:val="EndnoteReference"/>
                <w:rFonts w:ascii="Tahoma" w:hAnsi="Tahoma" w:cs="Tahoma"/>
                <w:color w:val="0000FF"/>
                <w:sz w:val="13"/>
                <w:szCs w:val="13"/>
                <w:u w:val="single"/>
              </w:rPr>
            </w:pPr>
            <w:hyperlink w:anchor="_4_Sistemi_Operativi" w:history="1">
              <w:r w:rsidRPr="00D87B79">
                <w:rPr>
                  <w:rStyle w:val="Hyperlink"/>
                  <w:rFonts w:ascii="Tahoma" w:hAnsi="Tahoma" w:cs="Tahoma"/>
                  <w:b/>
                  <w:sz w:val="13"/>
                </w:rPr>
                <w:t>4</w:t>
              </w:r>
            </w:hyperlink>
          </w:p>
        </w:tc>
        <w:tc>
          <w:tcPr>
            <w:tcW w:w="429" w:type="dxa"/>
            <w:shd w:val="clear" w:color="auto" w:fill="FFFFFF"/>
            <w:vAlign w:val="center"/>
          </w:tcPr>
          <w:p w:rsidR="00A92422" w:rsidRPr="00D87B79" w:rsidRDefault="00A92422" w:rsidP="00EA30FC">
            <w:pPr>
              <w:pStyle w:val="TableText"/>
              <w:spacing w:before="60" w:after="60"/>
              <w:rPr>
                <w:rFonts w:ascii="Tahoma" w:hAnsi="Tahoma" w:cs="Tahoma"/>
                <w:sz w:val="13"/>
              </w:rPr>
            </w:pPr>
            <w:r w:rsidRPr="00D87B79">
              <w:rPr>
                <w:rFonts w:ascii="Tahoma" w:hAnsi="Tahoma" w:cs="Tahoma"/>
                <w:sz w:val="13"/>
              </w:rPr>
              <w:t>01/06</w:t>
            </w:r>
          </w:p>
        </w:tc>
        <w:tc>
          <w:tcPr>
            <w:tcW w:w="429" w:type="dxa"/>
            <w:tcBorders>
              <w:right w:val="single" w:sz="18" w:space="0" w:color="auto"/>
            </w:tcBorders>
            <w:shd w:val="clear" w:color="auto" w:fill="FFFFFF"/>
            <w:vAlign w:val="center"/>
          </w:tcPr>
          <w:p w:rsidR="00A92422" w:rsidRPr="00D87B79" w:rsidRDefault="00A92422" w:rsidP="00EA30FC">
            <w:pPr>
              <w:pStyle w:val="TableText"/>
              <w:rPr>
                <w:rFonts w:ascii="Tahoma" w:hAnsi="Tahoma" w:cs="Tahoma"/>
                <w:sz w:val="13"/>
              </w:rPr>
            </w:pPr>
          </w:p>
        </w:tc>
        <w:tc>
          <w:tcPr>
            <w:tcW w:w="429" w:type="dxa"/>
            <w:tcBorders>
              <w:left w:val="single" w:sz="18" w:space="0" w:color="auto"/>
            </w:tcBorders>
            <w:shd w:val="clear" w:color="auto" w:fill="FFFFFF"/>
            <w:vAlign w:val="center"/>
          </w:tcPr>
          <w:p w:rsidR="00A92422" w:rsidRPr="00D87B79" w:rsidRDefault="00A92422" w:rsidP="00EA30FC">
            <w:pPr>
              <w:pStyle w:val="TableText"/>
              <w:rPr>
                <w:rFonts w:ascii="Tahoma" w:hAnsi="Tahoma" w:cs="Tahoma"/>
                <w:sz w:val="13"/>
              </w:rPr>
            </w:pPr>
          </w:p>
        </w:tc>
        <w:tc>
          <w:tcPr>
            <w:tcW w:w="429" w:type="dxa"/>
            <w:shd w:val="clear" w:color="auto" w:fill="FFFFF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5</w:t>
            </w:r>
          </w:p>
        </w:tc>
        <w:tc>
          <w:tcPr>
            <w:tcW w:w="429" w:type="dxa"/>
            <w:shd w:val="clear" w:color="auto" w:fill="FFFFF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4</w:t>
            </w:r>
          </w:p>
        </w:tc>
        <w:tc>
          <w:tcPr>
            <w:tcW w:w="429" w:type="dxa"/>
            <w:shd w:val="clear" w:color="auto" w:fill="FFFFF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3</w:t>
            </w:r>
          </w:p>
        </w:tc>
        <w:tc>
          <w:tcPr>
            <w:tcW w:w="429" w:type="dxa"/>
            <w:shd w:val="clear" w:color="auto" w:fill="FFFFF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3</w:t>
            </w:r>
          </w:p>
        </w:tc>
        <w:tc>
          <w:tcPr>
            <w:tcW w:w="429" w:type="dxa"/>
            <w:shd w:val="clear" w:color="auto" w:fill="FFFFF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29" w:type="dxa"/>
            <w:tcBorders>
              <w:right w:val="single" w:sz="18" w:space="0" w:color="auto"/>
            </w:tcBorders>
            <w:shd w:val="clear" w:color="auto" w:fill="FFFFF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tcBorders>
              <w:left w:val="single" w:sz="18" w:space="0" w:color="auto"/>
            </w:tcBorders>
            <w:shd w:val="clear" w:color="auto" w:fill="FFFFFF"/>
            <w:vAlign w:val="center"/>
          </w:tcPr>
          <w:p w:rsidR="00A92422" w:rsidRPr="00D87B79" w:rsidRDefault="00A92422" w:rsidP="00EA30FC">
            <w:pPr>
              <w:pStyle w:val="TableText"/>
              <w:rPr>
                <w:rFonts w:ascii="Tahoma" w:hAnsi="Tahoma" w:cs="Tahoma"/>
                <w:sz w:val="13"/>
              </w:rPr>
            </w:pPr>
          </w:p>
        </w:tc>
        <w:tc>
          <w:tcPr>
            <w:tcW w:w="429" w:type="dxa"/>
            <w:shd w:val="clear" w:color="auto" w:fill="FFFFF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4</w:t>
            </w:r>
          </w:p>
        </w:tc>
        <w:tc>
          <w:tcPr>
            <w:tcW w:w="429" w:type="dxa"/>
            <w:tcBorders>
              <w:right w:val="single" w:sz="18" w:space="0" w:color="auto"/>
            </w:tcBorders>
            <w:shd w:val="clear" w:color="auto" w:fill="FFFFF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29" w:type="dxa"/>
            <w:tcBorders>
              <w:left w:val="single" w:sz="18" w:space="0" w:color="auto"/>
            </w:tcBorders>
            <w:shd w:val="clear" w:color="auto" w:fill="FFFFF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tcBorders>
              <w:right w:val="single" w:sz="18" w:space="0" w:color="auto"/>
            </w:tcBorders>
            <w:shd w:val="clear" w:color="auto" w:fill="FFFFFF"/>
            <w:vAlign w:val="center"/>
          </w:tcPr>
          <w:p w:rsidR="00A92422" w:rsidRPr="00D87B79" w:rsidRDefault="00A92422" w:rsidP="00EA30FC">
            <w:pPr>
              <w:pStyle w:val="TableText"/>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P</w:t>
            </w:r>
          </w:p>
        </w:tc>
        <w:tc>
          <w:tcPr>
            <w:tcW w:w="461" w:type="dxa"/>
            <w:shd w:val="clear" w:color="auto" w:fill="FFFFFF"/>
          </w:tcPr>
          <w:p w:rsidR="00A92422" w:rsidRPr="00D87B79" w:rsidRDefault="00A92422" w:rsidP="00EA30FC">
            <w:pPr>
              <w:pStyle w:val="TableText"/>
              <w:rPr>
                <w:rFonts w:ascii="Tahoma" w:hAnsi="Tahoma" w:cs="Tahoma"/>
                <w:sz w:val="13"/>
              </w:rPr>
            </w:pPr>
            <w:r w:rsidRPr="00D87B79">
              <w:rPr>
                <w:rFonts w:ascii="Tahoma" w:hAnsi="Tahoma" w:cs="Tahoma"/>
                <w:sz w:val="13"/>
                <w:lang w:val="it-IT"/>
              </w:rPr>
              <w:t>A</w:t>
            </w:r>
          </w:p>
        </w:tc>
        <w:tc>
          <w:tcPr>
            <w:tcW w:w="567" w:type="dxa"/>
            <w:shd w:val="clear" w:color="auto" w:fill="FFFFFF"/>
            <w:vAlign w:val="center"/>
          </w:tcPr>
          <w:p w:rsidR="00A92422" w:rsidRPr="00D87B79" w:rsidRDefault="00A92422" w:rsidP="00EA30FC">
            <w:pPr>
              <w:pStyle w:val="TableText"/>
              <w:rPr>
                <w:rFonts w:ascii="Tahoma" w:hAnsi="Tahoma" w:cs="Tahoma"/>
              </w:rPr>
            </w:pPr>
            <w:r w:rsidRPr="00D87B79">
              <w:rPr>
                <w:rFonts w:ascii="Tahoma" w:hAnsi="Tahoma" w:cs="Tahoma"/>
                <w:sz w:val="13"/>
                <w:lang w:val="it-IT"/>
              </w:rPr>
              <w:t>OL/SA/</w:t>
            </w:r>
          </w:p>
          <w:p w:rsidR="00A92422" w:rsidRPr="00D87B79" w:rsidRDefault="00A92422" w:rsidP="00EA30FC">
            <w:pPr>
              <w:pStyle w:val="TableText"/>
              <w:rPr>
                <w:rFonts w:ascii="Tahoma" w:hAnsi="Tahoma" w:cs="Tahoma"/>
                <w:sz w:val="13"/>
              </w:rPr>
            </w:pPr>
            <w:r w:rsidRPr="00D87B79">
              <w:rPr>
                <w:rFonts w:ascii="Tahoma" w:hAnsi="Tahoma" w:cs="Tahoma"/>
                <w:sz w:val="13"/>
                <w:lang w:val="it-IT"/>
              </w:rPr>
              <w:t>OV</w:t>
            </w:r>
          </w:p>
        </w:tc>
      </w:tr>
      <w:tr w:rsidR="00A92422" w:rsidRPr="00D87B79" w:rsidTr="00EA30FC">
        <w:trPr>
          <w:cantSplit/>
          <w:trHeight w:val="287"/>
        </w:trPr>
        <w:tc>
          <w:tcPr>
            <w:tcW w:w="2638" w:type="dxa"/>
            <w:shd w:val="clear" w:color="auto" w:fill="FABF8F"/>
            <w:vAlign w:val="center"/>
          </w:tcPr>
          <w:p w:rsidR="00A92422" w:rsidRPr="00BA1C75" w:rsidRDefault="00A92422" w:rsidP="00EA30FC">
            <w:pPr>
              <w:pStyle w:val="Heading2"/>
              <w:spacing w:beforeLines="20" w:before="48" w:afterLines="20" w:after="48"/>
              <w:ind w:left="0"/>
              <w:rPr>
                <w:rFonts w:ascii="Tahoma" w:hAnsi="Tahoma" w:cs="Tahoma"/>
                <w:b w:val="0"/>
                <w:sz w:val="14"/>
                <w:szCs w:val="14"/>
              </w:rPr>
            </w:pPr>
            <w:bookmarkStart w:id="52" w:name="_Toc336337859"/>
            <w:bookmarkStart w:id="53" w:name="_Toc342899931"/>
            <w:bookmarkEnd w:id="52"/>
            <w:r w:rsidRPr="00BA1C75">
              <w:rPr>
                <w:rFonts w:ascii="Tahoma" w:hAnsi="Tahoma" w:cs="Tahoma"/>
                <w:b w:val="0"/>
                <w:sz w:val="14"/>
                <w:szCs w:val="14"/>
                <w:lang w:val="it-IT"/>
              </w:rPr>
              <w:t>Office 365 A2 (SL per Utente)</w:t>
            </w:r>
            <w:bookmarkEnd w:id="53"/>
          </w:p>
        </w:tc>
        <w:tc>
          <w:tcPr>
            <w:tcW w:w="429" w:type="dxa"/>
            <w:shd w:val="clear" w:color="auto" w:fill="FABF8F"/>
            <w:vAlign w:val="center"/>
          </w:tcPr>
          <w:p w:rsidR="00A92422" w:rsidRPr="00D87B79" w:rsidRDefault="00A92422" w:rsidP="00EA30FC">
            <w:pPr>
              <w:pStyle w:val="TableText"/>
              <w:widowControl w:val="0"/>
              <w:rPr>
                <w:rFonts w:ascii="Tahoma" w:hAnsi="Tahoma" w:cs="Tahoma"/>
                <w:b/>
                <w:color w:val="0000FF"/>
                <w:sz w:val="13"/>
                <w:szCs w:val="13"/>
                <w:u w:val="single"/>
              </w:rPr>
            </w:pPr>
            <w:hyperlink w:anchor="_5_Office_365" w:history="1">
              <w:r w:rsidRPr="00D87B79">
                <w:rPr>
                  <w:rStyle w:val="Hyperlink"/>
                  <w:rFonts w:ascii="Tahoma" w:hAnsi="Tahoma" w:cs="Tahoma"/>
                  <w:b/>
                  <w:sz w:val="13"/>
                </w:rPr>
                <w:t>5</w:t>
              </w:r>
            </w:hyperlink>
          </w:p>
        </w:tc>
        <w:tc>
          <w:tcPr>
            <w:tcW w:w="429" w:type="dxa"/>
            <w:shd w:val="clear" w:color="auto" w:fill="FABF8F"/>
            <w:vAlign w:val="center"/>
          </w:tcPr>
          <w:p w:rsidR="00A92422" w:rsidRPr="00D87B79" w:rsidRDefault="00A92422" w:rsidP="00EA30FC">
            <w:pPr>
              <w:pStyle w:val="TableText"/>
              <w:widowControl w:val="0"/>
              <w:spacing w:beforeLines="60" w:before="144"/>
              <w:rPr>
                <w:rFonts w:ascii="Tahoma" w:hAnsi="Tahoma" w:cs="Tahoma"/>
                <w:sz w:val="13"/>
              </w:rPr>
            </w:pPr>
            <w:r w:rsidRPr="00D87B79">
              <w:rPr>
                <w:rFonts w:ascii="Tahoma" w:hAnsi="Tahoma" w:cs="Tahoma"/>
                <w:sz w:val="13"/>
              </w:rPr>
              <w:t>06/12</w:t>
            </w: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OSB</w:t>
            </w:r>
          </w:p>
        </w:tc>
        <w:tc>
          <w:tcPr>
            <w:tcW w:w="429"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A92422" w:rsidRPr="00D87B79" w:rsidDel="000365B0" w:rsidRDefault="00A92422" w:rsidP="00EA30FC">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61"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EOLS</w:t>
            </w:r>
          </w:p>
        </w:tc>
        <w:tc>
          <w:tcPr>
            <w:tcW w:w="567"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cantSplit/>
          <w:trHeight w:val="287"/>
        </w:trPr>
        <w:tc>
          <w:tcPr>
            <w:tcW w:w="2638" w:type="dxa"/>
            <w:shd w:val="clear" w:color="auto" w:fill="FFFFFF"/>
            <w:vAlign w:val="center"/>
          </w:tcPr>
          <w:p w:rsidR="00A92422" w:rsidRPr="00BA1C75" w:rsidRDefault="00A92422" w:rsidP="00EA30FC">
            <w:pPr>
              <w:pStyle w:val="Heading2"/>
              <w:spacing w:beforeLines="20" w:before="48" w:afterLines="20" w:after="48"/>
              <w:ind w:left="0"/>
              <w:rPr>
                <w:rFonts w:ascii="Tahoma" w:hAnsi="Tahoma" w:cs="Tahoma"/>
                <w:b w:val="0"/>
                <w:sz w:val="14"/>
                <w:szCs w:val="14"/>
              </w:rPr>
            </w:pPr>
            <w:bookmarkStart w:id="54" w:name="_Toc336337860"/>
            <w:bookmarkStart w:id="55" w:name="_Toc342899932"/>
            <w:bookmarkEnd w:id="54"/>
            <w:r w:rsidRPr="00BA1C75">
              <w:rPr>
                <w:rFonts w:ascii="Tahoma" w:hAnsi="Tahoma" w:cs="Tahoma"/>
                <w:b w:val="0"/>
                <w:sz w:val="14"/>
                <w:szCs w:val="14"/>
                <w:lang w:val="it-IT"/>
              </w:rPr>
              <w:t>Office 365 A3 (SL per Utente)</w:t>
            </w:r>
            <w:bookmarkEnd w:id="55"/>
          </w:p>
        </w:tc>
        <w:tc>
          <w:tcPr>
            <w:tcW w:w="429" w:type="dxa"/>
            <w:shd w:val="clear" w:color="auto" w:fill="FFFFFF"/>
            <w:vAlign w:val="center"/>
          </w:tcPr>
          <w:p w:rsidR="00A92422" w:rsidRPr="00D87B79" w:rsidRDefault="00A92422" w:rsidP="00EA30FC">
            <w:pPr>
              <w:pStyle w:val="TableText"/>
              <w:widowControl w:val="0"/>
              <w:rPr>
                <w:rFonts w:ascii="Tahoma" w:hAnsi="Tahoma" w:cs="Tahoma"/>
                <w:b/>
                <w:color w:val="0000FF"/>
                <w:sz w:val="13"/>
                <w:szCs w:val="13"/>
                <w:u w:val="single"/>
              </w:rPr>
            </w:pPr>
            <w:hyperlink w:anchor="_5_Office_365" w:history="1">
              <w:r w:rsidRPr="00D87B79">
                <w:rPr>
                  <w:rStyle w:val="Hyperlink"/>
                  <w:rFonts w:ascii="Tahoma" w:hAnsi="Tahoma" w:cs="Tahoma"/>
                  <w:b/>
                  <w:sz w:val="13"/>
                </w:rPr>
                <w:t>5</w:t>
              </w:r>
            </w:hyperlink>
          </w:p>
        </w:tc>
        <w:tc>
          <w:tcPr>
            <w:tcW w:w="429" w:type="dxa"/>
            <w:shd w:val="clear" w:color="auto" w:fill="FFFFFF"/>
            <w:vAlign w:val="center"/>
          </w:tcPr>
          <w:p w:rsidR="00A92422" w:rsidRPr="00D87B79" w:rsidRDefault="00A92422" w:rsidP="00EA30FC">
            <w:pPr>
              <w:pStyle w:val="TableText"/>
              <w:widowControl w:val="0"/>
              <w:spacing w:beforeLines="60" w:before="144"/>
              <w:rPr>
                <w:rFonts w:ascii="Tahoma" w:hAnsi="Tahoma" w:cs="Tahoma"/>
                <w:sz w:val="13"/>
              </w:rPr>
            </w:pPr>
            <w:r w:rsidRPr="00D87B79">
              <w:rPr>
                <w:rFonts w:ascii="Tahoma" w:hAnsi="Tahoma" w:cs="Tahoma"/>
                <w:sz w:val="13"/>
              </w:rPr>
              <w:t>06/12</w:t>
            </w:r>
          </w:p>
        </w:tc>
        <w:tc>
          <w:tcPr>
            <w:tcW w:w="429"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OSB</w:t>
            </w:r>
          </w:p>
        </w:tc>
        <w:tc>
          <w:tcPr>
            <w:tcW w:w="429"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tcBorders>
              <w:right w:val="single" w:sz="18" w:space="0" w:color="auto"/>
            </w:tcBorders>
            <w:shd w:val="clear" w:color="auto" w:fill="FFFFFF"/>
            <w:vAlign w:val="center"/>
          </w:tcPr>
          <w:p w:rsidR="00A92422" w:rsidRPr="00D87B79" w:rsidDel="000365B0" w:rsidRDefault="00A92422" w:rsidP="00EA30FC">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61"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EOLS</w:t>
            </w:r>
          </w:p>
        </w:tc>
        <w:tc>
          <w:tcPr>
            <w:tcW w:w="567" w:type="dxa"/>
            <w:shd w:val="clear" w:color="auto" w:fill="FFFFF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cantSplit/>
          <w:trHeight w:val="287"/>
        </w:trPr>
        <w:tc>
          <w:tcPr>
            <w:tcW w:w="2638" w:type="dxa"/>
            <w:shd w:val="clear" w:color="auto" w:fill="FABF8F"/>
            <w:vAlign w:val="center"/>
          </w:tcPr>
          <w:p w:rsidR="00A92422" w:rsidRPr="00BA1C75" w:rsidRDefault="00A92422" w:rsidP="00EA30FC">
            <w:pPr>
              <w:pStyle w:val="Heading2"/>
              <w:spacing w:beforeLines="20" w:before="48" w:afterLines="20" w:after="48"/>
              <w:ind w:left="0"/>
              <w:rPr>
                <w:rFonts w:ascii="Tahoma" w:hAnsi="Tahoma" w:cs="Tahoma"/>
                <w:b w:val="0"/>
                <w:sz w:val="14"/>
                <w:szCs w:val="14"/>
              </w:rPr>
            </w:pPr>
            <w:bookmarkStart w:id="56" w:name="_Toc336337861"/>
            <w:bookmarkStart w:id="57" w:name="_Toc342899933"/>
            <w:bookmarkEnd w:id="56"/>
            <w:r w:rsidRPr="00BA1C75">
              <w:rPr>
                <w:rFonts w:ascii="Tahoma" w:hAnsi="Tahoma" w:cs="Tahoma"/>
                <w:b w:val="0"/>
                <w:sz w:val="14"/>
                <w:szCs w:val="14"/>
                <w:lang w:val="it-IT"/>
              </w:rPr>
              <w:t>Office 365 A4 (SL per Utente)</w:t>
            </w:r>
            <w:bookmarkEnd w:id="57"/>
          </w:p>
        </w:tc>
        <w:tc>
          <w:tcPr>
            <w:tcW w:w="429" w:type="dxa"/>
            <w:shd w:val="clear" w:color="auto" w:fill="FABF8F"/>
            <w:vAlign w:val="center"/>
          </w:tcPr>
          <w:p w:rsidR="00A92422" w:rsidRPr="00D87B79" w:rsidRDefault="00A92422" w:rsidP="00EA30FC">
            <w:pPr>
              <w:pStyle w:val="TableText"/>
              <w:widowControl w:val="0"/>
              <w:rPr>
                <w:rFonts w:ascii="Tahoma" w:hAnsi="Tahoma" w:cs="Tahoma"/>
                <w:b/>
                <w:color w:val="0000FF"/>
                <w:sz w:val="13"/>
                <w:szCs w:val="13"/>
                <w:u w:val="single"/>
              </w:rPr>
            </w:pPr>
            <w:hyperlink w:anchor="_5_Office_365" w:history="1">
              <w:r w:rsidRPr="00D87B79">
                <w:rPr>
                  <w:rStyle w:val="Hyperlink"/>
                  <w:rFonts w:ascii="Tahoma" w:hAnsi="Tahoma" w:cs="Tahoma"/>
                  <w:b/>
                  <w:sz w:val="13"/>
                </w:rPr>
                <w:t>5</w:t>
              </w:r>
            </w:hyperlink>
          </w:p>
        </w:tc>
        <w:tc>
          <w:tcPr>
            <w:tcW w:w="429" w:type="dxa"/>
            <w:shd w:val="clear" w:color="auto" w:fill="FABF8F"/>
            <w:vAlign w:val="center"/>
          </w:tcPr>
          <w:p w:rsidR="00A92422" w:rsidRPr="00D87B79" w:rsidRDefault="00A92422" w:rsidP="00EA30FC">
            <w:pPr>
              <w:pStyle w:val="TableText"/>
              <w:widowControl w:val="0"/>
              <w:spacing w:beforeLines="60" w:before="144"/>
              <w:rPr>
                <w:rFonts w:ascii="Tahoma" w:hAnsi="Tahoma" w:cs="Tahoma"/>
                <w:sz w:val="13"/>
              </w:rPr>
            </w:pPr>
            <w:r w:rsidRPr="00D87B79">
              <w:rPr>
                <w:rFonts w:ascii="Tahoma" w:hAnsi="Tahoma" w:cs="Tahoma"/>
                <w:sz w:val="13"/>
              </w:rPr>
              <w:t>06/12</w:t>
            </w: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OSB</w:t>
            </w:r>
          </w:p>
        </w:tc>
        <w:tc>
          <w:tcPr>
            <w:tcW w:w="429"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tcBorders>
              <w:right w:val="single" w:sz="18" w:space="0" w:color="auto"/>
            </w:tcBorders>
            <w:shd w:val="clear" w:color="auto" w:fill="FABF8F"/>
            <w:vAlign w:val="center"/>
          </w:tcPr>
          <w:p w:rsidR="00A92422" w:rsidRPr="00D87B79" w:rsidDel="000365B0" w:rsidRDefault="00A92422" w:rsidP="00EA30FC">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61"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EOLS</w:t>
            </w:r>
          </w:p>
        </w:tc>
        <w:tc>
          <w:tcPr>
            <w:tcW w:w="567"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cantSplit/>
          <w:trHeight w:val="287"/>
        </w:trPr>
        <w:tc>
          <w:tcPr>
            <w:tcW w:w="2638" w:type="dxa"/>
            <w:shd w:val="clear" w:color="auto" w:fill="FFFFFF"/>
            <w:vAlign w:val="center"/>
          </w:tcPr>
          <w:p w:rsidR="00A92422" w:rsidRPr="00BA1C75" w:rsidRDefault="00A92422" w:rsidP="00EA30FC">
            <w:pPr>
              <w:pStyle w:val="Heading2"/>
              <w:spacing w:beforeLines="20" w:before="48" w:afterLines="20" w:after="48"/>
              <w:ind w:left="0"/>
              <w:rPr>
                <w:rFonts w:ascii="Tahoma" w:hAnsi="Tahoma" w:cs="Tahoma"/>
                <w:b w:val="0"/>
                <w:sz w:val="14"/>
                <w:szCs w:val="14"/>
              </w:rPr>
            </w:pPr>
            <w:bookmarkStart w:id="58" w:name="_Toc291024473"/>
            <w:bookmarkStart w:id="59" w:name="_Toc336337862"/>
            <w:bookmarkStart w:id="60" w:name="_Toc342899934"/>
            <w:bookmarkEnd w:id="58"/>
            <w:bookmarkEnd w:id="59"/>
            <w:r w:rsidRPr="00BA1C75">
              <w:rPr>
                <w:rFonts w:ascii="Tahoma" w:hAnsi="Tahoma" w:cs="Tahoma"/>
                <w:b w:val="0"/>
                <w:sz w:val="14"/>
                <w:szCs w:val="14"/>
                <w:lang w:val="it-IT"/>
              </w:rPr>
              <w:t>Office 365 Piano E2 (SL per Utente).</w:t>
            </w:r>
            <w:bookmarkEnd w:id="60"/>
          </w:p>
        </w:tc>
        <w:tc>
          <w:tcPr>
            <w:tcW w:w="429" w:type="dxa"/>
            <w:shd w:val="clear" w:color="auto" w:fill="FFFFFF"/>
            <w:vAlign w:val="center"/>
          </w:tcPr>
          <w:p w:rsidR="00A92422" w:rsidRPr="00D87B79" w:rsidRDefault="00A92422" w:rsidP="00EA30FC">
            <w:pPr>
              <w:pStyle w:val="TableText"/>
              <w:widowControl w:val="0"/>
              <w:rPr>
                <w:rFonts w:ascii="Tahoma" w:hAnsi="Tahoma" w:cs="Tahoma"/>
                <w:b/>
                <w:color w:val="0000FF"/>
                <w:sz w:val="13"/>
                <w:szCs w:val="13"/>
                <w:u w:val="single"/>
              </w:rPr>
            </w:pPr>
            <w:hyperlink w:anchor="_7_Office_365" w:history="1">
              <w:r w:rsidRPr="00D87B79">
                <w:rPr>
                  <w:rStyle w:val="Hyperlink"/>
                  <w:rFonts w:ascii="Tahoma" w:hAnsi="Tahoma" w:cs="Tahoma"/>
                  <w:b/>
                  <w:sz w:val="13"/>
                </w:rPr>
                <w:t>6</w:t>
              </w:r>
            </w:hyperlink>
          </w:p>
        </w:tc>
        <w:tc>
          <w:tcPr>
            <w:tcW w:w="429" w:type="dxa"/>
            <w:shd w:val="clear" w:color="auto" w:fill="FFFFFF"/>
            <w:vAlign w:val="center"/>
          </w:tcPr>
          <w:p w:rsidR="00A92422" w:rsidRPr="00D87B79" w:rsidRDefault="00A92422" w:rsidP="00EA30FC">
            <w:pPr>
              <w:pStyle w:val="TableText"/>
              <w:widowControl w:val="0"/>
              <w:spacing w:beforeLines="60" w:before="144"/>
              <w:rPr>
                <w:rFonts w:ascii="Tahoma" w:hAnsi="Tahoma" w:cs="Tahoma"/>
                <w:sz w:val="13"/>
              </w:rPr>
            </w:pPr>
            <w:r w:rsidRPr="00D87B79">
              <w:rPr>
                <w:rFonts w:ascii="Tahoma" w:hAnsi="Tahoma" w:cs="Tahoma"/>
                <w:sz w:val="13"/>
              </w:rPr>
              <w:t>06/11</w:t>
            </w:r>
          </w:p>
        </w:tc>
        <w:tc>
          <w:tcPr>
            <w:tcW w:w="429"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OSB</w:t>
            </w:r>
          </w:p>
        </w:tc>
        <w:tc>
          <w:tcPr>
            <w:tcW w:w="429"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EOLS</w:t>
            </w:r>
          </w:p>
        </w:tc>
        <w:tc>
          <w:tcPr>
            <w:tcW w:w="429"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61" w:type="dxa"/>
            <w:shd w:val="clear" w:color="auto" w:fill="FFFFFF"/>
          </w:tcPr>
          <w:p w:rsidR="00A92422" w:rsidRPr="00D87B79" w:rsidRDefault="00A92422" w:rsidP="00EA30FC">
            <w:pPr>
              <w:pStyle w:val="TableText"/>
              <w:widowControl w:val="0"/>
              <w:rPr>
                <w:rFonts w:ascii="Tahoma" w:hAnsi="Tahoma" w:cs="Tahoma"/>
                <w:sz w:val="13"/>
              </w:rPr>
            </w:pPr>
          </w:p>
        </w:tc>
        <w:tc>
          <w:tcPr>
            <w:tcW w:w="567" w:type="dxa"/>
            <w:shd w:val="clear" w:color="auto" w:fill="FFFFF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cantSplit/>
          <w:trHeight w:val="287"/>
        </w:trPr>
        <w:tc>
          <w:tcPr>
            <w:tcW w:w="2638" w:type="dxa"/>
            <w:shd w:val="clear" w:color="auto" w:fill="FABF8F"/>
            <w:vAlign w:val="center"/>
          </w:tcPr>
          <w:p w:rsidR="00A92422" w:rsidRPr="00BA1C75" w:rsidRDefault="00A92422" w:rsidP="00EA30FC">
            <w:pPr>
              <w:pStyle w:val="Heading2"/>
              <w:spacing w:beforeLines="20" w:before="48" w:afterLines="20" w:after="48"/>
              <w:ind w:left="0"/>
              <w:rPr>
                <w:rFonts w:ascii="Tahoma" w:hAnsi="Tahoma" w:cs="Tahoma"/>
                <w:b w:val="0"/>
                <w:sz w:val="14"/>
                <w:szCs w:val="14"/>
              </w:rPr>
            </w:pPr>
            <w:bookmarkStart w:id="61" w:name="_Toc291024474"/>
            <w:bookmarkStart w:id="62" w:name="_Toc336337863"/>
            <w:bookmarkStart w:id="63" w:name="_Toc342899935"/>
            <w:bookmarkEnd w:id="61"/>
            <w:bookmarkEnd w:id="62"/>
            <w:r w:rsidRPr="00BA1C75">
              <w:rPr>
                <w:rFonts w:ascii="Tahoma" w:hAnsi="Tahoma" w:cs="Tahoma"/>
                <w:b w:val="0"/>
                <w:sz w:val="14"/>
                <w:szCs w:val="14"/>
                <w:lang w:val="it-IT"/>
              </w:rPr>
              <w:t>Office 365 Piano E3 (SL per Utente).</w:t>
            </w:r>
            <w:bookmarkEnd w:id="63"/>
          </w:p>
        </w:tc>
        <w:tc>
          <w:tcPr>
            <w:tcW w:w="429" w:type="dxa"/>
            <w:shd w:val="clear" w:color="auto" w:fill="FABF8F"/>
            <w:vAlign w:val="center"/>
          </w:tcPr>
          <w:p w:rsidR="00A92422" w:rsidRPr="00D87B79" w:rsidRDefault="00A92422" w:rsidP="00EA30FC">
            <w:pPr>
              <w:pStyle w:val="TableText"/>
              <w:widowControl w:val="0"/>
              <w:rPr>
                <w:rFonts w:ascii="Tahoma" w:hAnsi="Tahoma" w:cs="Tahoma"/>
                <w:b/>
                <w:color w:val="0000FF"/>
                <w:sz w:val="13"/>
                <w:szCs w:val="13"/>
                <w:u w:val="single"/>
              </w:rPr>
            </w:pPr>
            <w:hyperlink w:anchor="_7_Office_365" w:history="1">
              <w:r w:rsidRPr="00D87B79">
                <w:rPr>
                  <w:rStyle w:val="Hyperlink"/>
                  <w:rFonts w:ascii="Tahoma" w:hAnsi="Tahoma" w:cs="Tahoma"/>
                  <w:b/>
                  <w:sz w:val="13"/>
                </w:rPr>
                <w:t>6</w:t>
              </w:r>
            </w:hyperlink>
          </w:p>
        </w:tc>
        <w:tc>
          <w:tcPr>
            <w:tcW w:w="429" w:type="dxa"/>
            <w:shd w:val="clear" w:color="auto" w:fill="FABF8F"/>
            <w:vAlign w:val="center"/>
          </w:tcPr>
          <w:p w:rsidR="00A92422" w:rsidRPr="00D87B79" w:rsidRDefault="00A92422" w:rsidP="00EA30FC">
            <w:pPr>
              <w:pStyle w:val="TableText"/>
              <w:widowControl w:val="0"/>
              <w:spacing w:beforeLines="60" w:before="144"/>
              <w:rPr>
                <w:rFonts w:ascii="Tahoma" w:hAnsi="Tahoma" w:cs="Tahoma"/>
                <w:sz w:val="13"/>
              </w:rPr>
            </w:pPr>
            <w:r w:rsidRPr="00D87B79">
              <w:rPr>
                <w:rFonts w:ascii="Tahoma" w:hAnsi="Tahoma" w:cs="Tahoma"/>
                <w:sz w:val="13"/>
              </w:rPr>
              <w:t>06/11</w:t>
            </w: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OSB</w:t>
            </w:r>
          </w:p>
        </w:tc>
        <w:tc>
          <w:tcPr>
            <w:tcW w:w="429"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EOLS</w:t>
            </w:r>
          </w:p>
        </w:tc>
        <w:tc>
          <w:tcPr>
            <w:tcW w:w="429"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61" w:type="dxa"/>
            <w:shd w:val="clear" w:color="auto" w:fill="FABF8F"/>
          </w:tcPr>
          <w:p w:rsidR="00A92422" w:rsidRPr="00D87B79" w:rsidRDefault="00A92422" w:rsidP="00EA30FC">
            <w:pPr>
              <w:pStyle w:val="TableText"/>
              <w:widowControl w:val="0"/>
              <w:rPr>
                <w:rFonts w:ascii="Tahoma" w:hAnsi="Tahoma" w:cs="Tahoma"/>
                <w:sz w:val="13"/>
              </w:rPr>
            </w:pPr>
          </w:p>
        </w:tc>
        <w:tc>
          <w:tcPr>
            <w:tcW w:w="567"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cantSplit/>
          <w:trHeight w:val="287"/>
        </w:trPr>
        <w:tc>
          <w:tcPr>
            <w:tcW w:w="2638" w:type="dxa"/>
            <w:shd w:val="clear" w:color="auto" w:fill="FFFFFF"/>
            <w:vAlign w:val="center"/>
          </w:tcPr>
          <w:p w:rsidR="00A92422" w:rsidRPr="00BA1C75" w:rsidRDefault="00A92422" w:rsidP="00EA30FC">
            <w:pPr>
              <w:pStyle w:val="Heading2"/>
              <w:spacing w:beforeLines="20" w:before="48" w:afterLines="20" w:after="48"/>
              <w:ind w:left="0"/>
              <w:rPr>
                <w:rFonts w:ascii="Tahoma" w:hAnsi="Tahoma" w:cs="Tahoma"/>
                <w:b w:val="0"/>
                <w:sz w:val="14"/>
                <w:szCs w:val="14"/>
              </w:rPr>
            </w:pPr>
            <w:bookmarkStart w:id="64" w:name="_Toc291024475"/>
            <w:bookmarkStart w:id="65" w:name="_Toc336337864"/>
            <w:bookmarkStart w:id="66" w:name="_Toc342899936"/>
            <w:bookmarkEnd w:id="64"/>
            <w:bookmarkEnd w:id="65"/>
            <w:r w:rsidRPr="00BA1C75">
              <w:rPr>
                <w:rFonts w:ascii="Tahoma" w:hAnsi="Tahoma" w:cs="Tahoma"/>
                <w:b w:val="0"/>
                <w:sz w:val="14"/>
                <w:szCs w:val="14"/>
                <w:lang w:val="it-IT"/>
              </w:rPr>
              <w:t>Office 365 Piano E4 (SL per Utente).</w:t>
            </w:r>
            <w:bookmarkEnd w:id="66"/>
          </w:p>
        </w:tc>
        <w:tc>
          <w:tcPr>
            <w:tcW w:w="429" w:type="dxa"/>
            <w:shd w:val="clear" w:color="auto" w:fill="FFFFFF"/>
            <w:vAlign w:val="center"/>
          </w:tcPr>
          <w:p w:rsidR="00A92422" w:rsidRPr="00D87B79" w:rsidRDefault="00A92422" w:rsidP="00EA30FC">
            <w:pPr>
              <w:pStyle w:val="TableText"/>
              <w:widowControl w:val="0"/>
              <w:rPr>
                <w:rFonts w:ascii="Tahoma" w:hAnsi="Tahoma" w:cs="Tahoma"/>
                <w:b/>
                <w:color w:val="0000FF"/>
                <w:sz w:val="13"/>
                <w:szCs w:val="13"/>
                <w:u w:val="single"/>
              </w:rPr>
            </w:pPr>
            <w:hyperlink w:anchor="_7_Office_365" w:history="1">
              <w:r w:rsidRPr="00D87B79">
                <w:rPr>
                  <w:rStyle w:val="Hyperlink"/>
                  <w:rFonts w:ascii="Tahoma" w:hAnsi="Tahoma" w:cs="Tahoma"/>
                  <w:b/>
                  <w:sz w:val="13"/>
                </w:rPr>
                <w:t>6</w:t>
              </w:r>
            </w:hyperlink>
          </w:p>
        </w:tc>
        <w:tc>
          <w:tcPr>
            <w:tcW w:w="429" w:type="dxa"/>
            <w:shd w:val="clear" w:color="auto" w:fill="FFFFFF"/>
            <w:vAlign w:val="center"/>
          </w:tcPr>
          <w:p w:rsidR="00A92422" w:rsidRPr="00D87B79" w:rsidRDefault="00A92422" w:rsidP="00EA30FC">
            <w:pPr>
              <w:pStyle w:val="TableText"/>
              <w:widowControl w:val="0"/>
              <w:spacing w:beforeLines="60" w:before="144"/>
              <w:rPr>
                <w:rFonts w:ascii="Tahoma" w:hAnsi="Tahoma" w:cs="Tahoma"/>
                <w:sz w:val="13"/>
              </w:rPr>
            </w:pPr>
            <w:r w:rsidRPr="00D87B79">
              <w:rPr>
                <w:rFonts w:ascii="Tahoma" w:hAnsi="Tahoma" w:cs="Tahoma"/>
                <w:sz w:val="13"/>
              </w:rPr>
              <w:t>0611</w:t>
            </w:r>
          </w:p>
        </w:tc>
        <w:tc>
          <w:tcPr>
            <w:tcW w:w="429"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OSB</w:t>
            </w:r>
          </w:p>
        </w:tc>
        <w:tc>
          <w:tcPr>
            <w:tcW w:w="429"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EOLS</w:t>
            </w:r>
          </w:p>
        </w:tc>
        <w:tc>
          <w:tcPr>
            <w:tcW w:w="429"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61" w:type="dxa"/>
            <w:shd w:val="clear" w:color="auto" w:fill="FFFFFF"/>
          </w:tcPr>
          <w:p w:rsidR="00A92422" w:rsidRPr="00D87B79" w:rsidRDefault="00A92422" w:rsidP="00EA30FC">
            <w:pPr>
              <w:pStyle w:val="TableText"/>
              <w:widowControl w:val="0"/>
              <w:rPr>
                <w:rFonts w:ascii="Tahoma" w:hAnsi="Tahoma" w:cs="Tahoma"/>
                <w:sz w:val="13"/>
              </w:rPr>
            </w:pPr>
          </w:p>
        </w:tc>
        <w:tc>
          <w:tcPr>
            <w:tcW w:w="567" w:type="dxa"/>
            <w:shd w:val="clear" w:color="auto" w:fill="FFFFF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cantSplit/>
          <w:trHeight w:val="287"/>
        </w:trPr>
        <w:tc>
          <w:tcPr>
            <w:tcW w:w="2638" w:type="dxa"/>
            <w:shd w:val="clear" w:color="auto" w:fill="FABF8F"/>
            <w:vAlign w:val="center"/>
          </w:tcPr>
          <w:p w:rsidR="00A92422" w:rsidRPr="00BA1C75" w:rsidRDefault="00A92422" w:rsidP="00EA30FC">
            <w:pPr>
              <w:pStyle w:val="Heading2"/>
              <w:spacing w:beforeLines="20" w:before="48" w:afterLines="20" w:after="48"/>
              <w:ind w:left="0"/>
              <w:rPr>
                <w:rFonts w:ascii="Tahoma" w:hAnsi="Tahoma" w:cs="Tahoma"/>
                <w:b w:val="0"/>
                <w:sz w:val="14"/>
                <w:szCs w:val="14"/>
              </w:rPr>
            </w:pPr>
            <w:bookmarkStart w:id="67" w:name="_Toc342899937"/>
            <w:r w:rsidRPr="00BA1C75">
              <w:rPr>
                <w:rFonts w:ascii="Tahoma" w:hAnsi="Tahoma" w:cs="Tahoma"/>
                <w:b w:val="0"/>
                <w:sz w:val="14"/>
                <w:szCs w:val="14"/>
                <w:lang w:val="it-IT"/>
              </w:rPr>
              <w:t>Office Home and Student RT 2013</w:t>
            </w:r>
            <w:bookmarkEnd w:id="67"/>
          </w:p>
        </w:tc>
        <w:tc>
          <w:tcPr>
            <w:tcW w:w="429" w:type="dxa"/>
            <w:shd w:val="clear" w:color="auto" w:fill="FABF8F"/>
            <w:vAlign w:val="center"/>
          </w:tcPr>
          <w:p w:rsidR="00A92422" w:rsidRPr="00D87B79" w:rsidRDefault="00A92422" w:rsidP="00EA30FC">
            <w:pPr>
              <w:pStyle w:val="TableText"/>
              <w:widowControl w:val="0"/>
              <w:rPr>
                <w:rFonts w:ascii="Tahoma" w:hAnsi="Tahoma" w:cs="Tahoma"/>
                <w:b/>
                <w:color w:val="0000FF"/>
                <w:sz w:val="13"/>
                <w:szCs w:val="13"/>
                <w:u w:val="single"/>
              </w:rPr>
            </w:pPr>
          </w:p>
        </w:tc>
        <w:tc>
          <w:tcPr>
            <w:tcW w:w="429" w:type="dxa"/>
            <w:shd w:val="clear" w:color="auto" w:fill="FABF8F"/>
            <w:vAlign w:val="center"/>
          </w:tcPr>
          <w:p w:rsidR="00A92422" w:rsidRPr="00D87B79" w:rsidRDefault="00A92422" w:rsidP="00EA30FC">
            <w:pPr>
              <w:pStyle w:val="TableText"/>
              <w:widowControl w:val="0"/>
              <w:spacing w:beforeLines="60" w:before="144"/>
              <w:rPr>
                <w:rFonts w:ascii="Tahoma" w:hAnsi="Tahoma" w:cs="Tahoma"/>
                <w:sz w:val="13"/>
              </w:rPr>
            </w:pPr>
            <w:r w:rsidRPr="00D87B79">
              <w:rPr>
                <w:rFonts w:ascii="Tahoma" w:hAnsi="Tahoma" w:cs="Tahoma"/>
                <w:sz w:val="13"/>
              </w:rPr>
              <w:t>10/12</w:t>
            </w: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61" w:type="dxa"/>
            <w:shd w:val="clear" w:color="auto" w:fill="FABF8F"/>
          </w:tcPr>
          <w:p w:rsidR="00A92422" w:rsidRPr="00D87B79" w:rsidRDefault="00A92422" w:rsidP="00EA30FC">
            <w:pPr>
              <w:pStyle w:val="TableText"/>
              <w:widowControl w:val="0"/>
              <w:rPr>
                <w:rFonts w:ascii="Tahoma" w:hAnsi="Tahoma" w:cs="Tahoma"/>
                <w:sz w:val="13"/>
              </w:rPr>
            </w:pPr>
          </w:p>
        </w:tc>
        <w:tc>
          <w:tcPr>
            <w:tcW w:w="567"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cantSplit/>
          <w:trHeight w:val="287"/>
        </w:trPr>
        <w:tc>
          <w:tcPr>
            <w:tcW w:w="2638" w:type="dxa"/>
            <w:vAlign w:val="center"/>
          </w:tcPr>
          <w:p w:rsidR="00A92422" w:rsidRPr="00BA1C75" w:rsidRDefault="00A92422" w:rsidP="00EA30FC">
            <w:pPr>
              <w:pStyle w:val="Heading2"/>
              <w:spacing w:beforeLines="20" w:before="48" w:afterLines="20" w:after="48"/>
              <w:ind w:left="0"/>
              <w:rPr>
                <w:rFonts w:ascii="Tahoma" w:hAnsi="Tahoma" w:cs="Tahoma"/>
                <w:b w:val="0"/>
                <w:sz w:val="14"/>
                <w:szCs w:val="14"/>
              </w:rPr>
            </w:pPr>
            <w:bookmarkStart w:id="68" w:name="_Toc336337865"/>
            <w:bookmarkStart w:id="69" w:name="_Toc342899938"/>
            <w:bookmarkEnd w:id="68"/>
            <w:r w:rsidRPr="00BA1C75">
              <w:rPr>
                <w:rFonts w:ascii="Tahoma" w:hAnsi="Tahoma" w:cs="Tahoma"/>
                <w:b w:val="0"/>
                <w:sz w:val="14"/>
                <w:szCs w:val="14"/>
                <w:lang w:val="it-IT"/>
              </w:rPr>
              <w:t>Office per Mac Standard 2011</w:t>
            </w:r>
            <w:bookmarkEnd w:id="69"/>
            <w:r w:rsidRPr="00BA1C75">
              <w:rPr>
                <w:rFonts w:ascii="Tahoma" w:hAnsi="Tahoma" w:cs="Tahoma"/>
                <w:sz w:val="14"/>
                <w:szCs w:val="14"/>
              </w:rPr>
              <w:t xml:space="preserve"> </w:t>
            </w:r>
          </w:p>
        </w:tc>
        <w:tc>
          <w:tcPr>
            <w:tcW w:w="429" w:type="dxa"/>
            <w:vAlign w:val="center"/>
          </w:tcPr>
          <w:p w:rsidR="00A92422" w:rsidRPr="00D87B79" w:rsidRDefault="00A92422" w:rsidP="00EA30FC">
            <w:pPr>
              <w:pStyle w:val="TableText"/>
              <w:widowControl w:val="0"/>
              <w:rPr>
                <w:rStyle w:val="EndnoteReference"/>
                <w:rFonts w:ascii="Tahoma" w:hAnsi="Tahoma" w:cs="Tahoma"/>
                <w:color w:val="0000FF"/>
                <w:sz w:val="13"/>
                <w:szCs w:val="13"/>
                <w:u w:val="single"/>
              </w:rPr>
            </w:pPr>
            <w:hyperlink w:anchor="Srv_4OfficeMacStandard2011" w:history="1">
              <w:r w:rsidRPr="00D87B79">
                <w:rPr>
                  <w:rStyle w:val="Hyperlink"/>
                  <w:rFonts w:ascii="Tahoma" w:hAnsi="Tahoma" w:cs="Tahoma"/>
                  <w:b/>
                  <w:sz w:val="13"/>
                </w:rPr>
                <w:t>7</w:t>
              </w:r>
            </w:hyperlink>
          </w:p>
        </w:tc>
        <w:tc>
          <w:tcPr>
            <w:tcW w:w="429" w:type="dxa"/>
            <w:vAlign w:val="center"/>
          </w:tcPr>
          <w:p w:rsidR="00A92422" w:rsidRPr="00D87B79" w:rsidRDefault="00A92422" w:rsidP="00EA30FC">
            <w:pPr>
              <w:pStyle w:val="TableText"/>
              <w:widowControl w:val="0"/>
              <w:spacing w:beforeLines="60" w:before="144"/>
              <w:rPr>
                <w:rFonts w:ascii="Tahoma" w:hAnsi="Tahoma" w:cs="Tahoma"/>
                <w:sz w:val="13"/>
              </w:rPr>
            </w:pPr>
            <w:r w:rsidRPr="00D87B79">
              <w:rPr>
                <w:rFonts w:ascii="Tahoma" w:hAnsi="Tahoma" w:cs="Tahoma"/>
                <w:sz w:val="13"/>
              </w:rPr>
              <w:t>09/10</w:t>
            </w:r>
          </w:p>
        </w:tc>
        <w:tc>
          <w:tcPr>
            <w:tcW w:w="429"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DT</w:t>
            </w:r>
          </w:p>
        </w:tc>
        <w:tc>
          <w:tcPr>
            <w:tcW w:w="429" w:type="dxa"/>
            <w:tcBorders>
              <w:left w:val="single" w:sz="18" w:space="0" w:color="auto"/>
            </w:tcBorders>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w:t>
            </w:r>
          </w:p>
        </w:tc>
        <w:tc>
          <w:tcPr>
            <w:tcW w:w="429" w:type="dxa"/>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4</w:t>
            </w:r>
          </w:p>
        </w:tc>
        <w:tc>
          <w:tcPr>
            <w:tcW w:w="429" w:type="dxa"/>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w:t>
            </w:r>
          </w:p>
        </w:tc>
        <w:tc>
          <w:tcPr>
            <w:tcW w:w="429" w:type="dxa"/>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w:t>
            </w:r>
          </w:p>
        </w:tc>
        <w:tc>
          <w:tcPr>
            <w:tcW w:w="429" w:type="dxa"/>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left w:val="single" w:sz="18" w:space="0" w:color="auto"/>
            </w:tcBorders>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4</w:t>
            </w:r>
          </w:p>
        </w:tc>
        <w:tc>
          <w:tcPr>
            <w:tcW w:w="429"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tcBorders>
              <w:left w:val="single" w:sz="18" w:space="0" w:color="auto"/>
            </w:tcBorders>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429" w:type="dxa"/>
            <w:tcBorders>
              <w:left w:val="single" w:sz="18" w:space="0" w:color="auto"/>
              <w:right w:val="single" w:sz="18" w:space="0" w:color="auto"/>
            </w:tcBorders>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461" w:type="dxa"/>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E</w:t>
            </w:r>
          </w:p>
        </w:tc>
        <w:tc>
          <w:tcPr>
            <w:tcW w:w="567" w:type="dxa"/>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cantSplit/>
          <w:trHeight w:val="287"/>
        </w:trPr>
        <w:tc>
          <w:tcPr>
            <w:tcW w:w="2638" w:type="dxa"/>
            <w:shd w:val="clear" w:color="auto" w:fill="FABF8F"/>
            <w:vAlign w:val="center"/>
          </w:tcPr>
          <w:p w:rsidR="00A92422" w:rsidRPr="00BA1C75" w:rsidRDefault="00A92422" w:rsidP="00EA30FC">
            <w:pPr>
              <w:pStyle w:val="Heading2"/>
              <w:spacing w:beforeLines="20" w:before="48" w:afterLines="20" w:after="48"/>
              <w:ind w:left="0"/>
              <w:rPr>
                <w:rFonts w:ascii="Tahoma" w:hAnsi="Tahoma" w:cs="Tahoma"/>
                <w:b w:val="0"/>
                <w:sz w:val="14"/>
                <w:szCs w:val="14"/>
              </w:rPr>
            </w:pPr>
            <w:bookmarkStart w:id="70" w:name="_Office_Multi-Language_Pack"/>
            <w:bookmarkStart w:id="71" w:name="_Toc336337866"/>
            <w:bookmarkStart w:id="72" w:name="_Toc342899939"/>
            <w:bookmarkEnd w:id="70"/>
            <w:bookmarkEnd w:id="71"/>
            <w:r w:rsidRPr="00BA1C75">
              <w:rPr>
                <w:rFonts w:ascii="Tahoma" w:hAnsi="Tahoma" w:cs="Tahoma"/>
                <w:b w:val="0"/>
                <w:sz w:val="14"/>
                <w:szCs w:val="14"/>
                <w:lang w:val="it-IT"/>
              </w:rPr>
              <w:t>Office Multi-Language Pack 2013</w:t>
            </w:r>
            <w:bookmarkEnd w:id="72"/>
          </w:p>
        </w:tc>
        <w:tc>
          <w:tcPr>
            <w:tcW w:w="429" w:type="dxa"/>
            <w:shd w:val="clear" w:color="auto" w:fill="FABF8F"/>
            <w:vAlign w:val="center"/>
          </w:tcPr>
          <w:p w:rsidR="00A92422" w:rsidRPr="00D87B79" w:rsidRDefault="00A92422" w:rsidP="00EA30FC">
            <w:pPr>
              <w:pStyle w:val="TableText"/>
              <w:widowControl w:val="0"/>
              <w:rPr>
                <w:rStyle w:val="EndnoteReference"/>
                <w:rFonts w:ascii="Tahoma" w:hAnsi="Tahoma" w:cs="Tahoma"/>
                <w:color w:val="0000FF"/>
                <w:sz w:val="13"/>
                <w:szCs w:val="13"/>
                <w:u w:val="single"/>
              </w:rPr>
            </w:pPr>
            <w:hyperlink w:anchor="_7_Office_Multi-Language" w:history="1">
              <w:r w:rsidRPr="00D87B79">
                <w:rPr>
                  <w:rStyle w:val="Hyperlink"/>
                  <w:rFonts w:ascii="Tahoma" w:hAnsi="Tahoma" w:cs="Tahoma"/>
                  <w:b/>
                  <w:sz w:val="13"/>
                </w:rPr>
                <w:t>8</w:t>
              </w:r>
            </w:hyperlink>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10/12</w:t>
            </w: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29"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61" w:type="dxa"/>
            <w:shd w:val="clear" w:color="auto" w:fill="FABF8F"/>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567"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cantSplit/>
          <w:trHeight w:val="332"/>
        </w:trPr>
        <w:tc>
          <w:tcPr>
            <w:tcW w:w="2638" w:type="dxa"/>
            <w:vAlign w:val="center"/>
          </w:tcPr>
          <w:p w:rsidR="00A92422" w:rsidRPr="00BA1C75" w:rsidRDefault="00A92422" w:rsidP="00EA30FC">
            <w:pPr>
              <w:pStyle w:val="ProductNames"/>
              <w:spacing w:beforeLines="20" w:before="48" w:afterLines="20" w:after="48"/>
              <w:rPr>
                <w:rFonts w:ascii="Tahoma" w:hAnsi="Tahoma" w:cs="Tahoma"/>
                <w:sz w:val="14"/>
                <w:szCs w:val="14"/>
              </w:rPr>
            </w:pPr>
            <w:bookmarkStart w:id="73" w:name="_Toc336337867"/>
            <w:bookmarkStart w:id="74" w:name="_Toc342899940"/>
            <w:bookmarkEnd w:id="73"/>
            <w:r w:rsidRPr="00BA1C75">
              <w:rPr>
                <w:rFonts w:ascii="Tahoma" w:hAnsi="Tahoma" w:cs="Tahoma"/>
                <w:sz w:val="14"/>
                <w:szCs w:val="14"/>
                <w:lang w:val="it-IT"/>
              </w:rPr>
              <w:t>Office Professional Plus 2013</w:t>
            </w:r>
            <w:bookmarkEnd w:id="74"/>
          </w:p>
        </w:tc>
        <w:tc>
          <w:tcPr>
            <w:tcW w:w="429" w:type="dxa"/>
            <w:vAlign w:val="center"/>
          </w:tcPr>
          <w:p w:rsidR="00A92422" w:rsidRPr="00D87B79" w:rsidRDefault="00A92422" w:rsidP="00EA30FC">
            <w:pPr>
              <w:pStyle w:val="TableText"/>
              <w:widowControl w:val="0"/>
              <w:rPr>
                <w:rStyle w:val="EndnoteReference"/>
                <w:rFonts w:ascii="Tahoma" w:hAnsi="Tahoma" w:cs="Tahoma"/>
                <w:color w:val="0000FF"/>
                <w:sz w:val="13"/>
                <w:szCs w:val="13"/>
                <w:u w:val="single"/>
              </w:rPr>
            </w:pPr>
            <w:hyperlink w:anchor="_9_Office_Professional" w:history="1">
              <w:r w:rsidRPr="00D87B79">
                <w:rPr>
                  <w:rStyle w:val="Hyperlink"/>
                  <w:rFonts w:ascii="Tahoma" w:hAnsi="Tahoma" w:cs="Tahoma"/>
                  <w:b/>
                  <w:sz w:val="13"/>
                </w:rPr>
                <w:t>9</w:t>
              </w:r>
            </w:hyperlink>
          </w:p>
        </w:tc>
        <w:tc>
          <w:tcPr>
            <w:tcW w:w="429" w:type="dxa"/>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10/12</w:t>
            </w:r>
          </w:p>
        </w:tc>
        <w:tc>
          <w:tcPr>
            <w:tcW w:w="429"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u w:val="single"/>
              </w:rPr>
            </w:pPr>
            <w:r w:rsidRPr="00D87B79">
              <w:rPr>
                <w:rFonts w:ascii="Tahoma" w:hAnsi="Tahoma" w:cs="Tahoma"/>
                <w:sz w:val="13"/>
                <w:u w:val="single"/>
                <w:lang w:val="it-IT"/>
              </w:rPr>
              <w:t>DT</w:t>
            </w:r>
          </w:p>
        </w:tc>
        <w:tc>
          <w:tcPr>
            <w:tcW w:w="429" w:type="dxa"/>
            <w:tcBorders>
              <w:left w:val="single" w:sz="18" w:space="0" w:color="auto"/>
            </w:tcBorders>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w:t>
            </w:r>
          </w:p>
        </w:tc>
        <w:tc>
          <w:tcPr>
            <w:tcW w:w="429" w:type="dxa"/>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4</w:t>
            </w:r>
          </w:p>
        </w:tc>
        <w:tc>
          <w:tcPr>
            <w:tcW w:w="429" w:type="dxa"/>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w:t>
            </w:r>
          </w:p>
        </w:tc>
        <w:tc>
          <w:tcPr>
            <w:tcW w:w="429" w:type="dxa"/>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w:t>
            </w:r>
          </w:p>
        </w:tc>
        <w:tc>
          <w:tcPr>
            <w:tcW w:w="429" w:type="dxa"/>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left w:val="single" w:sz="18" w:space="0" w:color="auto"/>
            </w:tcBorders>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4</w:t>
            </w:r>
          </w:p>
        </w:tc>
        <w:tc>
          <w:tcPr>
            <w:tcW w:w="429"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tcBorders>
              <w:left w:val="single" w:sz="18" w:space="0" w:color="auto"/>
            </w:tcBorders>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E</w:t>
            </w:r>
          </w:p>
        </w:tc>
        <w:tc>
          <w:tcPr>
            <w:tcW w:w="429" w:type="dxa"/>
            <w:tcBorders>
              <w:left w:val="single" w:sz="18" w:space="0" w:color="auto"/>
              <w:right w:val="single" w:sz="18" w:space="0" w:color="auto"/>
            </w:tcBorders>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E, P</w:t>
            </w:r>
          </w:p>
        </w:tc>
        <w:tc>
          <w:tcPr>
            <w:tcW w:w="461" w:type="dxa"/>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E, ST</w:t>
            </w:r>
          </w:p>
        </w:tc>
        <w:tc>
          <w:tcPr>
            <w:tcW w:w="567" w:type="dxa"/>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cantSplit/>
          <w:trHeight w:val="278"/>
        </w:trPr>
        <w:tc>
          <w:tcPr>
            <w:tcW w:w="2638" w:type="dxa"/>
            <w:shd w:val="clear" w:color="auto" w:fill="FABF8F"/>
            <w:vAlign w:val="center"/>
          </w:tcPr>
          <w:p w:rsidR="00A92422" w:rsidRPr="00BA1C75" w:rsidRDefault="00A92422" w:rsidP="00EA30FC">
            <w:pPr>
              <w:pStyle w:val="Heading3"/>
              <w:spacing w:beforeLines="20" w:before="48" w:afterLines="20" w:after="48"/>
              <w:rPr>
                <w:rFonts w:ascii="Tahoma" w:hAnsi="Tahoma" w:cs="Tahoma"/>
                <w:b w:val="0"/>
                <w:sz w:val="14"/>
                <w:szCs w:val="14"/>
              </w:rPr>
            </w:pPr>
            <w:bookmarkStart w:id="75" w:name="_Toc336337868"/>
            <w:bookmarkStart w:id="76" w:name="_Toc342899941"/>
            <w:bookmarkEnd w:id="75"/>
            <w:r w:rsidRPr="00BA1C75">
              <w:rPr>
                <w:rFonts w:ascii="Tahoma" w:hAnsi="Tahoma" w:cs="Tahoma"/>
                <w:b w:val="0"/>
                <w:sz w:val="14"/>
                <w:szCs w:val="14"/>
                <w:lang w:val="it-IT"/>
              </w:rPr>
              <w:t>Office Standard 2013</w:t>
            </w:r>
            <w:bookmarkEnd w:id="76"/>
            <w:r w:rsidRPr="00BA1C75">
              <w:rPr>
                <w:rFonts w:ascii="Tahoma" w:hAnsi="Tahoma" w:cs="Tahoma"/>
                <w:sz w:val="14"/>
                <w:szCs w:val="14"/>
              </w:rPr>
              <w:t xml:space="preserve"> </w:t>
            </w:r>
          </w:p>
        </w:tc>
        <w:tc>
          <w:tcPr>
            <w:tcW w:w="429" w:type="dxa"/>
            <w:shd w:val="clear" w:color="auto" w:fill="FABF8F"/>
            <w:vAlign w:val="center"/>
          </w:tcPr>
          <w:p w:rsidR="00A92422" w:rsidRPr="00D87B79" w:rsidRDefault="00A92422" w:rsidP="00EA30FC">
            <w:pPr>
              <w:pStyle w:val="TableText"/>
              <w:widowControl w:val="0"/>
              <w:rPr>
                <w:rStyle w:val="EndnoteReference"/>
                <w:rFonts w:ascii="Tahoma" w:hAnsi="Tahoma" w:cs="Tahoma"/>
                <w:color w:val="0000FF"/>
                <w:sz w:val="13"/>
                <w:szCs w:val="13"/>
                <w:u w:val="single"/>
              </w:rPr>
            </w:pPr>
            <w:hyperlink w:anchor="Aps_OfficeStandard2010" w:history="1">
              <w:r w:rsidRPr="00D87B79">
                <w:rPr>
                  <w:rStyle w:val="Hyperlink"/>
                  <w:rFonts w:ascii="Tahoma" w:hAnsi="Tahoma" w:cs="Tahoma"/>
                  <w:b/>
                  <w:sz w:val="13"/>
                </w:rPr>
                <w:t>10</w:t>
              </w:r>
            </w:hyperlink>
          </w:p>
        </w:tc>
        <w:tc>
          <w:tcPr>
            <w:tcW w:w="429" w:type="dxa"/>
            <w:shd w:val="clear" w:color="auto" w:fill="FABF8F"/>
            <w:vAlign w:val="center"/>
          </w:tcPr>
          <w:p w:rsidR="00A92422" w:rsidRPr="00D87B79" w:rsidRDefault="00A92422" w:rsidP="00EA30FC">
            <w:pPr>
              <w:pStyle w:val="TableText"/>
              <w:widowControl w:val="0"/>
              <w:spacing w:before="60" w:after="60"/>
              <w:rPr>
                <w:rFonts w:ascii="Tahoma" w:hAnsi="Tahoma" w:cs="Tahoma"/>
                <w:sz w:val="13"/>
              </w:rPr>
            </w:pPr>
            <w:r w:rsidRPr="00D87B79">
              <w:rPr>
                <w:rFonts w:ascii="Tahoma" w:hAnsi="Tahoma" w:cs="Tahoma"/>
                <w:sz w:val="13"/>
              </w:rPr>
              <w:t>10/12</w:t>
            </w: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b/>
                <w:sz w:val="13"/>
              </w:rPr>
            </w:pPr>
            <w:r w:rsidRPr="00D87B79">
              <w:rPr>
                <w:rFonts w:ascii="Tahoma" w:hAnsi="Tahoma" w:cs="Tahoma"/>
                <w:sz w:val="13"/>
                <w:lang w:val="it-IT"/>
              </w:rPr>
              <w:t>DT</w:t>
            </w:r>
          </w:p>
        </w:tc>
        <w:tc>
          <w:tcPr>
            <w:tcW w:w="429"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4</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4</w:t>
            </w: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461" w:type="dxa"/>
            <w:shd w:val="clear" w:color="auto" w:fill="FABF8F"/>
          </w:tcPr>
          <w:p w:rsidR="00A92422" w:rsidRPr="00D87B79" w:rsidRDefault="00A92422" w:rsidP="00EA30FC">
            <w:pPr>
              <w:pStyle w:val="TableText"/>
              <w:widowControl w:val="0"/>
              <w:rPr>
                <w:rFonts w:ascii="Tahoma" w:hAnsi="Tahoma" w:cs="Tahoma"/>
                <w:sz w:val="13"/>
              </w:rPr>
            </w:pPr>
          </w:p>
        </w:tc>
        <w:tc>
          <w:tcPr>
            <w:tcW w:w="567"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cantSplit/>
          <w:trHeight w:val="305"/>
        </w:trPr>
        <w:tc>
          <w:tcPr>
            <w:tcW w:w="2638" w:type="dxa"/>
          </w:tcPr>
          <w:p w:rsidR="00A92422" w:rsidRPr="00BA1C75" w:rsidRDefault="00A92422" w:rsidP="00EA30FC">
            <w:pPr>
              <w:pStyle w:val="Heading2"/>
              <w:spacing w:beforeLines="20" w:before="48" w:afterLines="20" w:after="48"/>
              <w:ind w:left="0"/>
              <w:rPr>
                <w:rFonts w:ascii="Tahoma" w:hAnsi="Tahoma" w:cs="Tahoma"/>
                <w:b w:val="0"/>
                <w:sz w:val="14"/>
                <w:szCs w:val="14"/>
              </w:rPr>
            </w:pPr>
            <w:bookmarkStart w:id="77" w:name="_Toc336337869"/>
            <w:bookmarkStart w:id="78" w:name="_Toc342899942"/>
            <w:bookmarkEnd w:id="77"/>
            <w:r w:rsidRPr="00BA1C75">
              <w:rPr>
                <w:rFonts w:ascii="Tahoma" w:hAnsi="Tahoma" w:cs="Tahoma"/>
                <w:b w:val="0"/>
                <w:sz w:val="14"/>
                <w:szCs w:val="14"/>
                <w:lang w:val="it-IT"/>
              </w:rPr>
              <w:t>Sottoscrizione a Office Professional Plus (SL per Utente)</w:t>
            </w:r>
            <w:bookmarkEnd w:id="78"/>
          </w:p>
        </w:tc>
        <w:tc>
          <w:tcPr>
            <w:tcW w:w="429" w:type="dxa"/>
          </w:tcPr>
          <w:p w:rsidR="00A92422" w:rsidRPr="00D87B79" w:rsidRDefault="00A92422" w:rsidP="00EA30FC">
            <w:pPr>
              <w:pStyle w:val="TableText"/>
              <w:widowControl w:val="0"/>
              <w:spacing w:before="120"/>
              <w:rPr>
                <w:rFonts w:ascii="Tahoma" w:hAnsi="Tahoma" w:cs="Tahoma"/>
                <w:b/>
                <w:color w:val="0000FF"/>
                <w:sz w:val="13"/>
                <w:szCs w:val="13"/>
                <w:u w:val="single"/>
              </w:rPr>
            </w:pPr>
            <w:hyperlink w:anchor="Aps_9OfficeProPlusSubUserSL" w:history="1">
              <w:r w:rsidRPr="00D87B79">
                <w:rPr>
                  <w:rStyle w:val="Hyperlink"/>
                  <w:rFonts w:ascii="Tahoma" w:hAnsi="Tahoma" w:cs="Tahoma"/>
                  <w:b/>
                  <w:sz w:val="13"/>
                </w:rPr>
                <w:t>11</w:t>
              </w:r>
            </w:hyperlink>
          </w:p>
        </w:tc>
        <w:tc>
          <w:tcPr>
            <w:tcW w:w="429" w:type="dxa"/>
          </w:tcPr>
          <w:p w:rsidR="00A92422" w:rsidRPr="00D87B79" w:rsidRDefault="00A92422" w:rsidP="00EA30FC">
            <w:pPr>
              <w:pStyle w:val="TableText"/>
              <w:spacing w:before="60" w:after="60"/>
              <w:rPr>
                <w:rFonts w:ascii="Tahoma" w:hAnsi="Tahoma" w:cs="Tahoma"/>
                <w:sz w:val="13"/>
              </w:rPr>
            </w:pPr>
            <w:r w:rsidRPr="00D87B79">
              <w:rPr>
                <w:rFonts w:ascii="Tahoma" w:hAnsi="Tahoma" w:cs="Tahoma"/>
                <w:sz w:val="13"/>
              </w:rPr>
              <w:t>06/11</w:t>
            </w:r>
          </w:p>
        </w:tc>
        <w:tc>
          <w:tcPr>
            <w:tcW w:w="429" w:type="dxa"/>
            <w:tcBorders>
              <w:right w:val="single" w:sz="18" w:space="0" w:color="auto"/>
            </w:tcBorders>
          </w:tcPr>
          <w:p w:rsidR="00A92422" w:rsidRPr="00D87B79" w:rsidRDefault="00A92422" w:rsidP="00EA30FC">
            <w:pPr>
              <w:pStyle w:val="TableText"/>
              <w:rPr>
                <w:rFonts w:ascii="Tahoma" w:hAnsi="Tahoma" w:cs="Tahoma"/>
                <w:sz w:val="13"/>
              </w:rPr>
            </w:pPr>
          </w:p>
        </w:tc>
        <w:tc>
          <w:tcPr>
            <w:tcW w:w="429" w:type="dxa"/>
            <w:tcBorders>
              <w:left w:val="single" w:sz="18" w:space="0" w:color="auto"/>
            </w:tcBorders>
          </w:tcPr>
          <w:p w:rsidR="00A92422" w:rsidRPr="00D87B79" w:rsidRDefault="00A92422" w:rsidP="00EA30FC">
            <w:pPr>
              <w:pStyle w:val="TableText"/>
              <w:rPr>
                <w:rFonts w:ascii="Tahoma" w:hAnsi="Tahoma" w:cs="Tahoma"/>
                <w:sz w:val="13"/>
              </w:rPr>
            </w:pPr>
          </w:p>
        </w:tc>
        <w:tc>
          <w:tcPr>
            <w:tcW w:w="429" w:type="dxa"/>
          </w:tcPr>
          <w:p w:rsidR="00A92422" w:rsidRPr="00D87B79" w:rsidRDefault="00A92422" w:rsidP="00EA30FC">
            <w:pPr>
              <w:pStyle w:val="TableText"/>
              <w:rPr>
                <w:rFonts w:ascii="Tahoma" w:hAnsi="Tahoma" w:cs="Tahoma"/>
                <w:sz w:val="13"/>
              </w:rPr>
            </w:pPr>
          </w:p>
        </w:tc>
        <w:tc>
          <w:tcPr>
            <w:tcW w:w="429" w:type="dxa"/>
          </w:tcPr>
          <w:p w:rsidR="00A92422" w:rsidRPr="00D87B79" w:rsidRDefault="00A92422" w:rsidP="00EA30FC">
            <w:pPr>
              <w:pStyle w:val="TableText"/>
              <w:rPr>
                <w:rFonts w:ascii="Tahoma" w:hAnsi="Tahoma" w:cs="Tahoma"/>
                <w:sz w:val="13"/>
              </w:rPr>
            </w:pPr>
          </w:p>
        </w:tc>
        <w:tc>
          <w:tcPr>
            <w:tcW w:w="429" w:type="dxa"/>
          </w:tcPr>
          <w:p w:rsidR="00A92422" w:rsidRPr="00D87B79" w:rsidRDefault="00A92422" w:rsidP="00EA30FC">
            <w:pPr>
              <w:pStyle w:val="TableText"/>
              <w:rPr>
                <w:rFonts w:ascii="Tahoma" w:hAnsi="Tahoma" w:cs="Tahoma"/>
                <w:sz w:val="13"/>
              </w:rPr>
            </w:pPr>
          </w:p>
        </w:tc>
        <w:tc>
          <w:tcPr>
            <w:tcW w:w="429" w:type="dxa"/>
          </w:tcPr>
          <w:p w:rsidR="00A92422" w:rsidRPr="00D87B79" w:rsidRDefault="00A92422" w:rsidP="00EA30FC">
            <w:pPr>
              <w:pStyle w:val="TableText"/>
              <w:rPr>
                <w:rFonts w:ascii="Tahoma" w:hAnsi="Tahoma" w:cs="Tahoma"/>
                <w:sz w:val="13"/>
              </w:rPr>
            </w:pPr>
          </w:p>
        </w:tc>
        <w:tc>
          <w:tcPr>
            <w:tcW w:w="429" w:type="dxa"/>
          </w:tcPr>
          <w:p w:rsidR="00A92422" w:rsidRPr="00D87B79" w:rsidRDefault="00A92422" w:rsidP="00EA30FC">
            <w:pPr>
              <w:pStyle w:val="TableText"/>
              <w:rPr>
                <w:rFonts w:ascii="Tahoma" w:hAnsi="Tahoma" w:cs="Tahoma"/>
                <w:sz w:val="13"/>
              </w:rPr>
            </w:pPr>
          </w:p>
        </w:tc>
        <w:tc>
          <w:tcPr>
            <w:tcW w:w="429" w:type="dxa"/>
            <w:tcBorders>
              <w:right w:val="single" w:sz="18" w:space="0" w:color="auto"/>
            </w:tcBorders>
          </w:tcPr>
          <w:p w:rsidR="00A92422" w:rsidRPr="00D87B79" w:rsidRDefault="00A92422" w:rsidP="00EA30FC">
            <w:pPr>
              <w:pStyle w:val="TableText"/>
              <w:rPr>
                <w:rFonts w:ascii="Tahoma" w:hAnsi="Tahoma" w:cs="Tahoma"/>
                <w:sz w:val="13"/>
              </w:rPr>
            </w:pPr>
          </w:p>
        </w:tc>
        <w:tc>
          <w:tcPr>
            <w:tcW w:w="429" w:type="dxa"/>
            <w:tcBorders>
              <w:left w:val="single" w:sz="18" w:space="0" w:color="auto"/>
            </w:tcBorders>
          </w:tcPr>
          <w:p w:rsidR="00A92422" w:rsidRPr="00D87B79" w:rsidRDefault="00A92422" w:rsidP="00EA30FC">
            <w:pPr>
              <w:pStyle w:val="TableText"/>
              <w:rPr>
                <w:rFonts w:ascii="Tahoma" w:hAnsi="Tahoma" w:cs="Tahoma"/>
                <w:sz w:val="13"/>
              </w:rPr>
            </w:pPr>
          </w:p>
        </w:tc>
        <w:tc>
          <w:tcPr>
            <w:tcW w:w="429" w:type="dxa"/>
          </w:tcPr>
          <w:p w:rsidR="00A92422" w:rsidRPr="00D87B79" w:rsidRDefault="00A92422" w:rsidP="00EA30FC">
            <w:pPr>
              <w:pStyle w:val="TableText"/>
              <w:rPr>
                <w:rFonts w:ascii="Tahoma" w:hAnsi="Tahoma" w:cs="Tahoma"/>
                <w:sz w:val="13"/>
              </w:rPr>
            </w:pPr>
          </w:p>
        </w:tc>
        <w:tc>
          <w:tcPr>
            <w:tcW w:w="429" w:type="dxa"/>
            <w:tcBorders>
              <w:right w:val="single" w:sz="18" w:space="0" w:color="auto"/>
            </w:tcBorders>
          </w:tcPr>
          <w:p w:rsidR="00A92422" w:rsidRPr="00D87B79" w:rsidRDefault="00A92422" w:rsidP="00EA30FC">
            <w:pPr>
              <w:pStyle w:val="TableText"/>
              <w:rPr>
                <w:rFonts w:ascii="Tahoma" w:hAnsi="Tahoma" w:cs="Tahoma"/>
                <w:sz w:val="13"/>
              </w:rPr>
            </w:pPr>
          </w:p>
        </w:tc>
        <w:tc>
          <w:tcPr>
            <w:tcW w:w="429" w:type="dxa"/>
            <w:tcBorders>
              <w:left w:val="single" w:sz="18" w:space="0" w:color="auto"/>
            </w:tcBorders>
          </w:tcPr>
          <w:p w:rsidR="00A92422" w:rsidRPr="00D87B79" w:rsidRDefault="00A92422" w:rsidP="00EA30FC">
            <w:pPr>
              <w:pStyle w:val="TableText"/>
              <w:rPr>
                <w:rFonts w:ascii="Tahoma" w:hAnsi="Tahoma" w:cs="Tahoma"/>
                <w:sz w:val="13"/>
              </w:rPr>
            </w:pPr>
          </w:p>
        </w:tc>
        <w:tc>
          <w:tcPr>
            <w:tcW w:w="429" w:type="dxa"/>
            <w:tcBorders>
              <w:right w:val="single" w:sz="18" w:space="0" w:color="auto"/>
            </w:tcBorders>
          </w:tcPr>
          <w:p w:rsidR="00A92422" w:rsidRPr="00D87B79" w:rsidRDefault="00A92422" w:rsidP="00EA30FC">
            <w:pPr>
              <w:pStyle w:val="TableText"/>
              <w:rPr>
                <w:rFonts w:ascii="Tahoma" w:hAnsi="Tahoma" w:cs="Tahoma"/>
                <w:sz w:val="13"/>
              </w:rPr>
            </w:pPr>
            <w:r w:rsidRPr="00D87B79">
              <w:rPr>
                <w:rFonts w:ascii="Tahoma" w:hAnsi="Tahoma" w:cs="Tahoma"/>
                <w:sz w:val="13"/>
                <w:lang w:val="it-IT"/>
              </w:rPr>
              <w:t>E, S</w:t>
            </w:r>
          </w:p>
        </w:tc>
        <w:tc>
          <w:tcPr>
            <w:tcW w:w="429" w:type="dxa"/>
            <w:tcBorders>
              <w:left w:val="single" w:sz="18" w:space="0" w:color="auto"/>
              <w:right w:val="single" w:sz="18" w:space="0" w:color="auto"/>
            </w:tcBorders>
          </w:tcPr>
          <w:p w:rsidR="00A92422" w:rsidRPr="00D87B79" w:rsidRDefault="00A92422" w:rsidP="00EA30FC">
            <w:pPr>
              <w:pStyle w:val="TableText"/>
              <w:rPr>
                <w:rFonts w:ascii="Tahoma" w:hAnsi="Tahoma" w:cs="Tahoma"/>
                <w:sz w:val="13"/>
              </w:rPr>
            </w:pPr>
          </w:p>
        </w:tc>
        <w:tc>
          <w:tcPr>
            <w:tcW w:w="461" w:type="dxa"/>
          </w:tcPr>
          <w:p w:rsidR="00A92422" w:rsidRPr="00D87B79" w:rsidRDefault="00A92422" w:rsidP="00EA30FC">
            <w:pPr>
              <w:pStyle w:val="TableText"/>
              <w:rPr>
                <w:rFonts w:ascii="Tahoma" w:hAnsi="Tahoma" w:cs="Tahoma"/>
                <w:sz w:val="13"/>
              </w:rPr>
            </w:pPr>
          </w:p>
        </w:tc>
        <w:tc>
          <w:tcPr>
            <w:tcW w:w="567" w:type="dxa"/>
          </w:tcPr>
          <w:p w:rsidR="00A92422" w:rsidRPr="00D87B79" w:rsidRDefault="00A92422" w:rsidP="00EA30FC">
            <w:pPr>
              <w:pStyle w:val="TableText"/>
              <w:rPr>
                <w:rFonts w:ascii="Tahoma" w:hAnsi="Tahoma" w:cs="Tahoma"/>
                <w:sz w:val="13"/>
              </w:rPr>
            </w:pPr>
          </w:p>
        </w:tc>
      </w:tr>
      <w:tr w:rsidR="00A92422" w:rsidRPr="00D87B79" w:rsidTr="00EA30FC">
        <w:trPr>
          <w:cantSplit/>
          <w:trHeight w:val="305"/>
        </w:trPr>
        <w:tc>
          <w:tcPr>
            <w:tcW w:w="2638" w:type="dxa"/>
            <w:shd w:val="clear" w:color="auto" w:fill="FABF8F"/>
            <w:vAlign w:val="center"/>
          </w:tcPr>
          <w:p w:rsidR="00A92422" w:rsidRPr="00BA1C75" w:rsidRDefault="00A92422" w:rsidP="00EA30FC">
            <w:pPr>
              <w:pStyle w:val="Heading2"/>
              <w:spacing w:beforeLines="20" w:before="48" w:afterLines="20" w:after="48"/>
              <w:ind w:left="0"/>
              <w:rPr>
                <w:rFonts w:ascii="Tahoma" w:hAnsi="Tahoma" w:cs="Tahoma"/>
                <w:b w:val="0"/>
                <w:sz w:val="14"/>
                <w:szCs w:val="14"/>
              </w:rPr>
            </w:pPr>
            <w:bookmarkStart w:id="79" w:name="_Toc336337870"/>
            <w:bookmarkStart w:id="80" w:name="_Toc342899943"/>
            <w:bookmarkEnd w:id="79"/>
            <w:r w:rsidRPr="00BA1C75">
              <w:rPr>
                <w:rFonts w:ascii="Tahoma" w:hAnsi="Tahoma" w:cs="Tahoma"/>
                <w:b w:val="0"/>
                <w:sz w:val="14"/>
                <w:szCs w:val="14"/>
                <w:lang w:val="it-IT"/>
              </w:rPr>
              <w:t>Sottoscrizione Office Professional Plus A</w:t>
            </w:r>
            <w:r>
              <w:rPr>
                <w:rFonts w:ascii="Tahoma" w:hAnsi="Tahoma" w:cs="Tahoma"/>
                <w:b w:val="0"/>
                <w:sz w:val="14"/>
                <w:szCs w:val="14"/>
                <w:lang w:val="it-IT"/>
              </w:rPr>
              <w:t> </w:t>
            </w:r>
            <w:r w:rsidRPr="00BA1C75">
              <w:rPr>
                <w:rFonts w:ascii="Tahoma" w:hAnsi="Tahoma" w:cs="Tahoma"/>
                <w:b w:val="0"/>
                <w:sz w:val="14"/>
                <w:szCs w:val="14"/>
                <w:lang w:val="it-IT"/>
              </w:rPr>
              <w:t>(SL per Utente)</w:t>
            </w:r>
            <w:bookmarkEnd w:id="80"/>
          </w:p>
        </w:tc>
        <w:tc>
          <w:tcPr>
            <w:tcW w:w="429" w:type="dxa"/>
            <w:shd w:val="clear" w:color="auto" w:fill="FABF8F"/>
            <w:vAlign w:val="center"/>
          </w:tcPr>
          <w:p w:rsidR="00A92422" w:rsidRPr="00D87B79" w:rsidRDefault="00A92422" w:rsidP="00EA30FC">
            <w:pPr>
              <w:pStyle w:val="TableText"/>
              <w:widowControl w:val="0"/>
              <w:rPr>
                <w:rFonts w:ascii="Tahoma" w:hAnsi="Tahoma" w:cs="Tahoma"/>
                <w:b/>
                <w:color w:val="0000FF"/>
                <w:sz w:val="13"/>
                <w:szCs w:val="13"/>
                <w:u w:val="single"/>
              </w:rPr>
            </w:pPr>
          </w:p>
        </w:tc>
        <w:tc>
          <w:tcPr>
            <w:tcW w:w="429" w:type="dxa"/>
            <w:shd w:val="clear" w:color="auto" w:fill="FABF8F"/>
            <w:vAlign w:val="center"/>
          </w:tcPr>
          <w:p w:rsidR="00A92422" w:rsidRPr="00D87B79" w:rsidRDefault="00A92422" w:rsidP="00EA30FC">
            <w:pPr>
              <w:pStyle w:val="TableText"/>
              <w:spacing w:before="60" w:after="60"/>
              <w:rPr>
                <w:rFonts w:ascii="Tahoma" w:hAnsi="Tahoma" w:cs="Tahoma"/>
                <w:sz w:val="13"/>
              </w:rPr>
            </w:pPr>
            <w:r w:rsidRPr="00D87B79">
              <w:rPr>
                <w:rFonts w:ascii="Tahoma" w:hAnsi="Tahoma" w:cs="Tahoma"/>
                <w:sz w:val="13"/>
              </w:rPr>
              <w:t>06/12</w:t>
            </w:r>
          </w:p>
        </w:tc>
        <w:tc>
          <w:tcPr>
            <w:tcW w:w="429"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p>
        </w:tc>
        <w:tc>
          <w:tcPr>
            <w:tcW w:w="429" w:type="dxa"/>
            <w:tcBorders>
              <w:lef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p>
        </w:tc>
        <w:tc>
          <w:tcPr>
            <w:tcW w:w="429" w:type="dxa"/>
            <w:shd w:val="clear" w:color="auto" w:fill="FABF8F"/>
            <w:vAlign w:val="center"/>
          </w:tcPr>
          <w:p w:rsidR="00A92422" w:rsidRPr="00D87B79" w:rsidRDefault="00A92422" w:rsidP="00EA30FC">
            <w:pPr>
              <w:pStyle w:val="TableText"/>
              <w:rPr>
                <w:rFonts w:ascii="Tahoma" w:hAnsi="Tahoma" w:cs="Tahoma"/>
                <w:sz w:val="13"/>
              </w:rPr>
            </w:pPr>
          </w:p>
        </w:tc>
        <w:tc>
          <w:tcPr>
            <w:tcW w:w="429" w:type="dxa"/>
            <w:shd w:val="clear" w:color="auto" w:fill="FABF8F"/>
            <w:vAlign w:val="center"/>
          </w:tcPr>
          <w:p w:rsidR="00A92422" w:rsidRPr="00D87B79" w:rsidRDefault="00A92422" w:rsidP="00EA30FC">
            <w:pPr>
              <w:pStyle w:val="TableText"/>
              <w:rPr>
                <w:rFonts w:ascii="Tahoma" w:hAnsi="Tahoma" w:cs="Tahoma"/>
                <w:sz w:val="13"/>
              </w:rPr>
            </w:pPr>
          </w:p>
        </w:tc>
        <w:tc>
          <w:tcPr>
            <w:tcW w:w="429" w:type="dxa"/>
            <w:shd w:val="clear" w:color="auto" w:fill="FABF8F"/>
            <w:vAlign w:val="center"/>
          </w:tcPr>
          <w:p w:rsidR="00A92422" w:rsidRPr="00D87B79" w:rsidRDefault="00A92422" w:rsidP="00EA30FC">
            <w:pPr>
              <w:pStyle w:val="TableText"/>
              <w:rPr>
                <w:rFonts w:ascii="Tahoma" w:hAnsi="Tahoma" w:cs="Tahoma"/>
                <w:sz w:val="13"/>
              </w:rPr>
            </w:pPr>
          </w:p>
        </w:tc>
        <w:tc>
          <w:tcPr>
            <w:tcW w:w="429" w:type="dxa"/>
            <w:shd w:val="clear" w:color="auto" w:fill="FABF8F"/>
            <w:vAlign w:val="center"/>
          </w:tcPr>
          <w:p w:rsidR="00A92422" w:rsidRPr="00D87B79" w:rsidRDefault="00A92422" w:rsidP="00EA30FC">
            <w:pPr>
              <w:pStyle w:val="TableText"/>
              <w:rPr>
                <w:rFonts w:ascii="Tahoma" w:hAnsi="Tahoma" w:cs="Tahoma"/>
                <w:sz w:val="13"/>
              </w:rPr>
            </w:pPr>
          </w:p>
        </w:tc>
        <w:tc>
          <w:tcPr>
            <w:tcW w:w="429" w:type="dxa"/>
            <w:shd w:val="clear" w:color="auto" w:fill="FABF8F"/>
            <w:vAlign w:val="center"/>
          </w:tcPr>
          <w:p w:rsidR="00A92422" w:rsidRPr="00D87B79" w:rsidRDefault="00A92422" w:rsidP="00EA30FC">
            <w:pPr>
              <w:pStyle w:val="TableText"/>
              <w:rPr>
                <w:rFonts w:ascii="Tahoma" w:hAnsi="Tahoma" w:cs="Tahoma"/>
                <w:sz w:val="13"/>
              </w:rPr>
            </w:pPr>
          </w:p>
        </w:tc>
        <w:tc>
          <w:tcPr>
            <w:tcW w:w="429"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p>
        </w:tc>
        <w:tc>
          <w:tcPr>
            <w:tcW w:w="429" w:type="dxa"/>
            <w:tcBorders>
              <w:lef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p>
        </w:tc>
        <w:tc>
          <w:tcPr>
            <w:tcW w:w="429" w:type="dxa"/>
            <w:shd w:val="clear" w:color="auto" w:fill="FABF8F"/>
            <w:vAlign w:val="center"/>
          </w:tcPr>
          <w:p w:rsidR="00A92422" w:rsidRPr="00D87B79" w:rsidRDefault="00A92422" w:rsidP="00EA30FC">
            <w:pPr>
              <w:pStyle w:val="TableText"/>
              <w:rPr>
                <w:rFonts w:ascii="Tahoma" w:hAnsi="Tahoma" w:cs="Tahoma"/>
                <w:sz w:val="13"/>
              </w:rPr>
            </w:pPr>
          </w:p>
        </w:tc>
        <w:tc>
          <w:tcPr>
            <w:tcW w:w="429"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p>
        </w:tc>
        <w:tc>
          <w:tcPr>
            <w:tcW w:w="429" w:type="dxa"/>
            <w:tcBorders>
              <w:lef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E</w:t>
            </w:r>
          </w:p>
        </w:tc>
        <w:tc>
          <w:tcPr>
            <w:tcW w:w="429"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p>
        </w:tc>
        <w:tc>
          <w:tcPr>
            <w:tcW w:w="461" w:type="dxa"/>
            <w:shd w:val="clear" w:color="auto" w:fill="FABF8F"/>
          </w:tcPr>
          <w:p w:rsidR="00A92422" w:rsidRPr="00D87B79" w:rsidRDefault="00A92422" w:rsidP="00EA30FC">
            <w:pPr>
              <w:pStyle w:val="TableText"/>
              <w:rPr>
                <w:rFonts w:ascii="Tahoma" w:hAnsi="Tahoma" w:cs="Tahoma"/>
                <w:sz w:val="13"/>
              </w:rPr>
            </w:pPr>
            <w:r w:rsidRPr="00D87B79">
              <w:rPr>
                <w:rFonts w:ascii="Tahoma" w:hAnsi="Tahoma" w:cs="Tahoma"/>
                <w:sz w:val="13"/>
                <w:lang w:val="it-IT"/>
              </w:rPr>
              <w:t>E</w:t>
            </w:r>
          </w:p>
        </w:tc>
        <w:tc>
          <w:tcPr>
            <w:tcW w:w="567" w:type="dxa"/>
            <w:shd w:val="clear" w:color="auto" w:fill="FABF8F"/>
            <w:vAlign w:val="center"/>
          </w:tcPr>
          <w:p w:rsidR="00A92422" w:rsidRPr="00D87B79" w:rsidRDefault="00A92422" w:rsidP="00EA30FC">
            <w:pPr>
              <w:pStyle w:val="TableText"/>
              <w:rPr>
                <w:rFonts w:ascii="Tahoma" w:hAnsi="Tahoma" w:cs="Tahoma"/>
                <w:sz w:val="13"/>
              </w:rPr>
            </w:pPr>
          </w:p>
        </w:tc>
      </w:tr>
      <w:tr w:rsidR="00A92422" w:rsidRPr="00D87B79" w:rsidTr="00EA30FC">
        <w:trPr>
          <w:cantSplit/>
          <w:trHeight w:val="305"/>
        </w:trPr>
        <w:tc>
          <w:tcPr>
            <w:tcW w:w="2638" w:type="dxa"/>
            <w:shd w:val="clear" w:color="auto" w:fill="FABF8F"/>
            <w:vAlign w:val="center"/>
          </w:tcPr>
          <w:p w:rsidR="00A92422" w:rsidRPr="00BA1C75" w:rsidRDefault="00A92422" w:rsidP="00EA30FC">
            <w:pPr>
              <w:pStyle w:val="Heading2"/>
              <w:spacing w:beforeLines="20" w:before="48" w:afterLines="20" w:after="48"/>
              <w:ind w:left="0"/>
              <w:rPr>
                <w:rFonts w:ascii="Tahoma" w:hAnsi="Tahoma" w:cs="Tahoma"/>
                <w:b w:val="0"/>
                <w:sz w:val="14"/>
                <w:szCs w:val="14"/>
              </w:rPr>
            </w:pPr>
            <w:bookmarkStart w:id="81" w:name="_Toc336337872"/>
            <w:bookmarkStart w:id="82" w:name="_Toc342899944"/>
            <w:bookmarkEnd w:id="81"/>
            <w:r w:rsidRPr="00BA1C75">
              <w:rPr>
                <w:rFonts w:ascii="Tahoma" w:hAnsi="Tahoma" w:cs="Tahoma"/>
                <w:b w:val="0"/>
                <w:sz w:val="14"/>
                <w:szCs w:val="14"/>
                <w:lang w:val="it-IT"/>
              </w:rPr>
              <w:lastRenderedPageBreak/>
              <w:t xml:space="preserve">Office Web Applications A </w:t>
            </w:r>
            <w:r>
              <w:rPr>
                <w:rFonts w:ascii="Tahoma" w:hAnsi="Tahoma" w:cs="Tahoma"/>
                <w:b w:val="0"/>
                <w:sz w:val="14"/>
                <w:szCs w:val="14"/>
                <w:lang w:val="it-IT"/>
              </w:rPr>
              <w:br/>
            </w:r>
            <w:r w:rsidRPr="00BA1C75">
              <w:rPr>
                <w:rFonts w:ascii="Tahoma" w:hAnsi="Tahoma" w:cs="Tahoma"/>
                <w:b w:val="0"/>
                <w:sz w:val="14"/>
                <w:szCs w:val="14"/>
                <w:lang w:val="it-IT"/>
              </w:rPr>
              <w:t>(SL per Utente)</w:t>
            </w:r>
            <w:bookmarkEnd w:id="82"/>
          </w:p>
        </w:tc>
        <w:tc>
          <w:tcPr>
            <w:tcW w:w="429" w:type="dxa"/>
            <w:shd w:val="clear" w:color="auto" w:fill="FABF8F"/>
            <w:vAlign w:val="center"/>
          </w:tcPr>
          <w:p w:rsidR="00A92422" w:rsidRPr="00D87B79" w:rsidRDefault="00A92422" w:rsidP="00EA30FC">
            <w:pPr>
              <w:pStyle w:val="TableText"/>
              <w:widowControl w:val="0"/>
              <w:rPr>
                <w:rStyle w:val="EndnoteReference"/>
                <w:rFonts w:ascii="Tahoma" w:hAnsi="Tahoma" w:cs="Tahoma"/>
                <w:color w:val="0000FF"/>
                <w:sz w:val="13"/>
                <w:szCs w:val="13"/>
                <w:u w:val="single"/>
              </w:rPr>
            </w:pPr>
          </w:p>
        </w:tc>
        <w:tc>
          <w:tcPr>
            <w:tcW w:w="429" w:type="dxa"/>
            <w:shd w:val="clear" w:color="auto" w:fill="FABF8F"/>
            <w:vAlign w:val="center"/>
          </w:tcPr>
          <w:p w:rsidR="00A92422" w:rsidRPr="00D87B79" w:rsidRDefault="00A92422" w:rsidP="00EA30FC">
            <w:pPr>
              <w:pStyle w:val="TableText"/>
              <w:spacing w:before="60" w:after="60"/>
              <w:rPr>
                <w:rFonts w:ascii="Tahoma" w:hAnsi="Tahoma" w:cs="Tahoma"/>
                <w:sz w:val="13"/>
              </w:rPr>
            </w:pPr>
            <w:r w:rsidRPr="00D87B79">
              <w:rPr>
                <w:rFonts w:ascii="Tahoma" w:hAnsi="Tahoma" w:cs="Tahoma"/>
                <w:sz w:val="13"/>
              </w:rPr>
              <w:t>6/12</w:t>
            </w:r>
          </w:p>
        </w:tc>
        <w:tc>
          <w:tcPr>
            <w:tcW w:w="429"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p>
        </w:tc>
        <w:tc>
          <w:tcPr>
            <w:tcW w:w="429" w:type="dxa"/>
            <w:tcBorders>
              <w:lef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p>
        </w:tc>
        <w:tc>
          <w:tcPr>
            <w:tcW w:w="429" w:type="dxa"/>
            <w:shd w:val="clear" w:color="auto" w:fill="FABF8F"/>
            <w:vAlign w:val="center"/>
          </w:tcPr>
          <w:p w:rsidR="00A92422" w:rsidRPr="00D87B79" w:rsidRDefault="00A92422" w:rsidP="00EA30FC">
            <w:pPr>
              <w:pStyle w:val="TableText"/>
              <w:rPr>
                <w:rFonts w:ascii="Tahoma" w:hAnsi="Tahoma" w:cs="Tahoma"/>
                <w:sz w:val="13"/>
              </w:rPr>
            </w:pPr>
          </w:p>
        </w:tc>
        <w:tc>
          <w:tcPr>
            <w:tcW w:w="429" w:type="dxa"/>
            <w:shd w:val="clear" w:color="auto" w:fill="FABF8F"/>
            <w:vAlign w:val="center"/>
          </w:tcPr>
          <w:p w:rsidR="00A92422" w:rsidRPr="00D87B79" w:rsidRDefault="00A92422" w:rsidP="00EA30FC">
            <w:pPr>
              <w:pStyle w:val="TableText"/>
              <w:rPr>
                <w:rFonts w:ascii="Tahoma" w:hAnsi="Tahoma" w:cs="Tahoma"/>
                <w:sz w:val="13"/>
              </w:rPr>
            </w:pPr>
          </w:p>
        </w:tc>
        <w:tc>
          <w:tcPr>
            <w:tcW w:w="429" w:type="dxa"/>
            <w:shd w:val="clear" w:color="auto" w:fill="FABF8F"/>
            <w:vAlign w:val="center"/>
          </w:tcPr>
          <w:p w:rsidR="00A92422" w:rsidRPr="00D87B79" w:rsidRDefault="00A92422" w:rsidP="00EA30FC">
            <w:pPr>
              <w:pStyle w:val="TableText"/>
              <w:rPr>
                <w:rFonts w:ascii="Tahoma" w:hAnsi="Tahoma" w:cs="Tahoma"/>
                <w:sz w:val="13"/>
              </w:rPr>
            </w:pPr>
          </w:p>
        </w:tc>
        <w:tc>
          <w:tcPr>
            <w:tcW w:w="429" w:type="dxa"/>
            <w:shd w:val="clear" w:color="auto" w:fill="FABF8F"/>
            <w:vAlign w:val="center"/>
          </w:tcPr>
          <w:p w:rsidR="00A92422" w:rsidRPr="00D87B79" w:rsidRDefault="00A92422" w:rsidP="00EA30FC">
            <w:pPr>
              <w:pStyle w:val="TableText"/>
              <w:rPr>
                <w:rFonts w:ascii="Tahoma" w:hAnsi="Tahoma" w:cs="Tahoma"/>
                <w:sz w:val="13"/>
              </w:rPr>
            </w:pPr>
          </w:p>
        </w:tc>
        <w:tc>
          <w:tcPr>
            <w:tcW w:w="429" w:type="dxa"/>
            <w:shd w:val="clear" w:color="auto" w:fill="FABF8F"/>
            <w:vAlign w:val="center"/>
          </w:tcPr>
          <w:p w:rsidR="00A92422" w:rsidRPr="00D87B79" w:rsidRDefault="00A92422" w:rsidP="00EA30FC">
            <w:pPr>
              <w:pStyle w:val="TableText"/>
              <w:rPr>
                <w:rFonts w:ascii="Tahoma" w:hAnsi="Tahoma" w:cs="Tahoma"/>
                <w:sz w:val="13"/>
              </w:rPr>
            </w:pPr>
          </w:p>
        </w:tc>
        <w:tc>
          <w:tcPr>
            <w:tcW w:w="429"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p>
        </w:tc>
        <w:tc>
          <w:tcPr>
            <w:tcW w:w="429" w:type="dxa"/>
            <w:tcBorders>
              <w:lef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p>
        </w:tc>
        <w:tc>
          <w:tcPr>
            <w:tcW w:w="429" w:type="dxa"/>
            <w:shd w:val="clear" w:color="auto" w:fill="FABF8F"/>
            <w:vAlign w:val="center"/>
          </w:tcPr>
          <w:p w:rsidR="00A92422" w:rsidRPr="00D87B79" w:rsidRDefault="00A92422" w:rsidP="00EA30FC">
            <w:pPr>
              <w:pStyle w:val="TableText"/>
              <w:rPr>
                <w:rFonts w:ascii="Tahoma" w:hAnsi="Tahoma" w:cs="Tahoma"/>
                <w:sz w:val="13"/>
              </w:rPr>
            </w:pPr>
          </w:p>
        </w:tc>
        <w:tc>
          <w:tcPr>
            <w:tcW w:w="429"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p>
        </w:tc>
        <w:tc>
          <w:tcPr>
            <w:tcW w:w="429" w:type="dxa"/>
            <w:tcBorders>
              <w:lef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p>
        </w:tc>
        <w:tc>
          <w:tcPr>
            <w:tcW w:w="461" w:type="dxa"/>
            <w:shd w:val="clear" w:color="auto" w:fill="FABF8F"/>
          </w:tcPr>
          <w:p w:rsidR="00A92422" w:rsidRPr="00D87B79" w:rsidRDefault="00A92422" w:rsidP="00EA30FC">
            <w:pPr>
              <w:pStyle w:val="TableText"/>
              <w:rPr>
                <w:rFonts w:ascii="Tahoma" w:hAnsi="Tahoma" w:cs="Tahoma"/>
                <w:sz w:val="13"/>
              </w:rPr>
            </w:pPr>
            <w:r w:rsidRPr="00D87B79">
              <w:rPr>
                <w:rFonts w:ascii="Tahoma" w:hAnsi="Tahoma" w:cs="Tahoma"/>
                <w:sz w:val="13"/>
                <w:lang w:val="it-IT"/>
              </w:rPr>
              <w:t>A</w:t>
            </w:r>
          </w:p>
        </w:tc>
        <w:tc>
          <w:tcPr>
            <w:tcW w:w="567" w:type="dxa"/>
            <w:shd w:val="clear" w:color="auto" w:fill="FABF8F"/>
            <w:vAlign w:val="center"/>
          </w:tcPr>
          <w:p w:rsidR="00A92422" w:rsidRPr="00D87B79" w:rsidRDefault="00A92422" w:rsidP="00EA30FC">
            <w:pPr>
              <w:pStyle w:val="TableText"/>
              <w:rPr>
                <w:rFonts w:ascii="Tahoma" w:hAnsi="Tahoma" w:cs="Tahoma"/>
                <w:sz w:val="13"/>
              </w:rPr>
            </w:pPr>
          </w:p>
        </w:tc>
      </w:tr>
      <w:tr w:rsidR="00A92422" w:rsidRPr="00D87B79" w:rsidTr="00EA30FC">
        <w:trPr>
          <w:cantSplit/>
          <w:trHeight w:val="305"/>
        </w:trPr>
        <w:tc>
          <w:tcPr>
            <w:tcW w:w="2638" w:type="dxa"/>
            <w:shd w:val="clear" w:color="auto" w:fill="auto"/>
            <w:vAlign w:val="center"/>
          </w:tcPr>
          <w:p w:rsidR="00A92422" w:rsidRPr="00BA1C75" w:rsidRDefault="00A92422" w:rsidP="00EA30FC">
            <w:pPr>
              <w:pStyle w:val="Heading2"/>
              <w:spacing w:beforeLines="20" w:before="48" w:afterLines="20" w:after="48"/>
              <w:ind w:left="0"/>
              <w:rPr>
                <w:rFonts w:ascii="Tahoma" w:hAnsi="Tahoma" w:cs="Tahoma"/>
                <w:b w:val="0"/>
                <w:sz w:val="14"/>
                <w:szCs w:val="14"/>
              </w:rPr>
            </w:pPr>
            <w:bookmarkStart w:id="83" w:name="_Toc336337873"/>
            <w:bookmarkStart w:id="84" w:name="_Toc342899945"/>
            <w:bookmarkEnd w:id="83"/>
            <w:r w:rsidRPr="00BA1C75">
              <w:rPr>
                <w:rFonts w:ascii="Tahoma" w:hAnsi="Tahoma" w:cs="Tahoma"/>
                <w:b w:val="0"/>
                <w:sz w:val="14"/>
                <w:szCs w:val="14"/>
                <w:lang w:val="it-IT"/>
              </w:rPr>
              <w:t>OneNote</w:t>
            </w:r>
            <w:r w:rsidRPr="003A0F2F">
              <w:rPr>
                <w:rFonts w:ascii="Tahoma" w:hAnsi="Tahoma" w:cs="Tahoma"/>
                <w:b w:val="0"/>
                <w:sz w:val="14"/>
                <w:szCs w:val="14"/>
                <w:vertAlign w:val="superscript"/>
                <w:lang w:val="it-IT"/>
              </w:rPr>
              <w:t>®</w:t>
            </w:r>
            <w:r w:rsidRPr="00BA1C75">
              <w:rPr>
                <w:rFonts w:ascii="Tahoma" w:hAnsi="Tahoma" w:cs="Tahoma"/>
                <w:b w:val="0"/>
                <w:sz w:val="14"/>
                <w:szCs w:val="14"/>
                <w:lang w:val="it-IT"/>
              </w:rPr>
              <w:t xml:space="preserve"> 2013</w:t>
            </w:r>
            <w:bookmarkEnd w:id="84"/>
          </w:p>
        </w:tc>
        <w:tc>
          <w:tcPr>
            <w:tcW w:w="429" w:type="dxa"/>
            <w:shd w:val="clear" w:color="auto" w:fill="auto"/>
            <w:vAlign w:val="center"/>
          </w:tcPr>
          <w:p w:rsidR="00A92422" w:rsidRPr="000305C5" w:rsidRDefault="00A92422" w:rsidP="00EA30FC">
            <w:pPr>
              <w:pStyle w:val="TableText"/>
              <w:widowControl w:val="0"/>
              <w:rPr>
                <w:rStyle w:val="EndnoteReference"/>
                <w:rFonts w:cs="Tahoma"/>
                <w:color w:val="0000FF"/>
                <w:sz w:val="13"/>
                <w:szCs w:val="13"/>
                <w:u w:val="single"/>
              </w:rPr>
            </w:pPr>
          </w:p>
        </w:tc>
        <w:tc>
          <w:tcPr>
            <w:tcW w:w="429" w:type="dxa"/>
            <w:shd w:val="clear" w:color="auto" w:fill="auto"/>
            <w:vAlign w:val="center"/>
          </w:tcPr>
          <w:p w:rsidR="00A92422" w:rsidRPr="00D87B79" w:rsidRDefault="00A92422" w:rsidP="00EA30FC">
            <w:pPr>
              <w:pStyle w:val="TableText"/>
              <w:spacing w:before="60" w:after="60"/>
              <w:rPr>
                <w:rFonts w:ascii="Tahoma" w:hAnsi="Tahoma" w:cs="Tahoma"/>
                <w:sz w:val="13"/>
              </w:rPr>
            </w:pPr>
            <w:r w:rsidRPr="00D87B79">
              <w:rPr>
                <w:rFonts w:ascii="Tahoma" w:hAnsi="Tahoma" w:cs="Tahoma"/>
                <w:sz w:val="13"/>
              </w:rPr>
              <w:t>10/12</w:t>
            </w:r>
          </w:p>
        </w:tc>
        <w:tc>
          <w:tcPr>
            <w:tcW w:w="429" w:type="dxa"/>
            <w:tcBorders>
              <w:right w:val="single" w:sz="18" w:space="0" w:color="auto"/>
            </w:tcBorders>
            <w:shd w:val="clear" w:color="auto" w:fill="auto"/>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DT</w:t>
            </w:r>
          </w:p>
        </w:tc>
        <w:tc>
          <w:tcPr>
            <w:tcW w:w="429" w:type="dxa"/>
            <w:tcBorders>
              <w:left w:val="single" w:sz="18" w:space="0" w:color="auto"/>
            </w:tcBorders>
            <w:shd w:val="clear" w:color="auto" w:fill="auto"/>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shd w:val="clear" w:color="auto" w:fill="auto"/>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3</w:t>
            </w:r>
          </w:p>
        </w:tc>
        <w:tc>
          <w:tcPr>
            <w:tcW w:w="429" w:type="dxa"/>
            <w:shd w:val="clear" w:color="auto" w:fill="auto"/>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29" w:type="dxa"/>
            <w:shd w:val="clear" w:color="auto" w:fill="auto"/>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29" w:type="dxa"/>
            <w:shd w:val="clear" w:color="auto" w:fill="auto"/>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29" w:type="dxa"/>
            <w:shd w:val="clear" w:color="auto" w:fill="auto"/>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tcBorders>
              <w:right w:val="single" w:sz="18" w:space="0" w:color="auto"/>
            </w:tcBorders>
            <w:shd w:val="clear" w:color="auto" w:fill="auto"/>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tcBorders>
              <w:left w:val="single" w:sz="18" w:space="0" w:color="auto"/>
            </w:tcBorders>
            <w:shd w:val="clear" w:color="auto" w:fill="auto"/>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shd w:val="clear" w:color="auto" w:fill="auto"/>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29" w:type="dxa"/>
            <w:tcBorders>
              <w:right w:val="single" w:sz="18" w:space="0" w:color="auto"/>
            </w:tcBorders>
            <w:shd w:val="clear" w:color="auto" w:fill="auto"/>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tcBorders>
              <w:left w:val="single" w:sz="18" w:space="0" w:color="auto"/>
            </w:tcBorders>
            <w:shd w:val="clear" w:color="auto" w:fill="auto"/>
            <w:vAlign w:val="center"/>
          </w:tcPr>
          <w:p w:rsidR="00A92422" w:rsidRPr="00D87B79" w:rsidRDefault="00A92422" w:rsidP="00EA30FC">
            <w:pPr>
              <w:pStyle w:val="TableText"/>
              <w:rPr>
                <w:rFonts w:ascii="Tahoma" w:hAnsi="Tahoma" w:cs="Tahoma"/>
                <w:sz w:val="13"/>
              </w:rPr>
            </w:pPr>
          </w:p>
        </w:tc>
        <w:tc>
          <w:tcPr>
            <w:tcW w:w="429" w:type="dxa"/>
            <w:tcBorders>
              <w:right w:val="single" w:sz="18" w:space="0" w:color="auto"/>
            </w:tcBorders>
            <w:shd w:val="clear" w:color="auto" w:fill="auto"/>
            <w:vAlign w:val="center"/>
          </w:tcPr>
          <w:p w:rsidR="00A92422" w:rsidRPr="00D87B79" w:rsidRDefault="00A92422" w:rsidP="00EA30FC">
            <w:pPr>
              <w:pStyle w:val="TableText"/>
              <w:rPr>
                <w:rFonts w:ascii="Tahoma" w:hAnsi="Tahoma" w:cs="Tahoma"/>
                <w:sz w:val="13"/>
              </w:rPr>
            </w:pPr>
          </w:p>
        </w:tc>
        <w:tc>
          <w:tcPr>
            <w:tcW w:w="429" w:type="dxa"/>
            <w:tcBorders>
              <w:left w:val="single" w:sz="18" w:space="0" w:color="auto"/>
              <w:right w:val="single" w:sz="18" w:space="0" w:color="auto"/>
            </w:tcBorders>
            <w:shd w:val="clear" w:color="auto" w:fill="auto"/>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P</w:t>
            </w:r>
          </w:p>
        </w:tc>
        <w:tc>
          <w:tcPr>
            <w:tcW w:w="461" w:type="dxa"/>
            <w:shd w:val="clear" w:color="auto" w:fill="auto"/>
          </w:tcPr>
          <w:p w:rsidR="00A92422" w:rsidRPr="00D87B79" w:rsidRDefault="00A92422" w:rsidP="00EA30FC">
            <w:pPr>
              <w:pStyle w:val="TableText"/>
              <w:rPr>
                <w:rFonts w:ascii="Tahoma" w:hAnsi="Tahoma" w:cs="Tahoma"/>
                <w:sz w:val="13"/>
              </w:rPr>
            </w:pPr>
          </w:p>
        </w:tc>
        <w:tc>
          <w:tcPr>
            <w:tcW w:w="567" w:type="dxa"/>
            <w:shd w:val="clear" w:color="auto" w:fill="auto"/>
            <w:vAlign w:val="center"/>
          </w:tcPr>
          <w:p w:rsidR="00A92422" w:rsidRPr="00D87B79" w:rsidRDefault="00A92422" w:rsidP="00EA30FC">
            <w:pPr>
              <w:pStyle w:val="TableText"/>
              <w:rPr>
                <w:rFonts w:ascii="Tahoma" w:hAnsi="Tahoma" w:cs="Tahoma"/>
                <w:sz w:val="13"/>
              </w:rPr>
            </w:pPr>
          </w:p>
        </w:tc>
      </w:tr>
      <w:tr w:rsidR="00A92422" w:rsidRPr="00D87B79" w:rsidTr="00EA30FC">
        <w:trPr>
          <w:cantSplit/>
          <w:trHeight w:val="350"/>
        </w:trPr>
        <w:tc>
          <w:tcPr>
            <w:tcW w:w="2638" w:type="dxa"/>
            <w:shd w:val="clear" w:color="auto" w:fill="FABF8F"/>
            <w:vAlign w:val="center"/>
          </w:tcPr>
          <w:p w:rsidR="00A92422" w:rsidRPr="00BA1C75" w:rsidRDefault="00A92422" w:rsidP="00EA30FC">
            <w:pPr>
              <w:pStyle w:val="Heading2"/>
              <w:spacing w:beforeLines="20" w:before="48" w:afterLines="20" w:after="48"/>
              <w:ind w:left="0"/>
              <w:rPr>
                <w:rFonts w:ascii="Tahoma" w:hAnsi="Tahoma" w:cs="Tahoma"/>
                <w:b w:val="0"/>
                <w:sz w:val="14"/>
                <w:szCs w:val="14"/>
              </w:rPr>
            </w:pPr>
            <w:bookmarkStart w:id="85" w:name="_Toc336337874"/>
            <w:bookmarkStart w:id="86" w:name="_Toc342899946"/>
            <w:bookmarkEnd w:id="85"/>
            <w:r w:rsidRPr="00BA1C75">
              <w:rPr>
                <w:rFonts w:ascii="Tahoma" w:hAnsi="Tahoma" w:cs="Tahoma"/>
                <w:b w:val="0"/>
                <w:sz w:val="14"/>
                <w:szCs w:val="14"/>
                <w:lang w:val="it-IT"/>
              </w:rPr>
              <w:t>Outlook</w:t>
            </w:r>
            <w:r w:rsidRPr="003A0F2F">
              <w:rPr>
                <w:rFonts w:ascii="Tahoma" w:hAnsi="Tahoma" w:cs="Tahoma"/>
                <w:b w:val="0"/>
                <w:sz w:val="14"/>
                <w:szCs w:val="14"/>
                <w:vertAlign w:val="superscript"/>
                <w:lang w:val="it-IT"/>
              </w:rPr>
              <w:t>®</w:t>
            </w:r>
            <w:r w:rsidRPr="00BA1C75">
              <w:rPr>
                <w:rFonts w:ascii="Tahoma" w:hAnsi="Tahoma" w:cs="Tahoma"/>
                <w:b w:val="0"/>
                <w:sz w:val="14"/>
                <w:szCs w:val="14"/>
                <w:lang w:val="it-IT"/>
              </w:rPr>
              <w:t xml:space="preserve"> 2013</w:t>
            </w:r>
            <w:bookmarkEnd w:id="86"/>
          </w:p>
        </w:tc>
        <w:tc>
          <w:tcPr>
            <w:tcW w:w="429" w:type="dxa"/>
            <w:shd w:val="clear" w:color="auto" w:fill="FABF8F"/>
            <w:vAlign w:val="center"/>
          </w:tcPr>
          <w:p w:rsidR="00A92422" w:rsidRPr="000305C5" w:rsidRDefault="00A92422" w:rsidP="00EA30FC">
            <w:pPr>
              <w:pStyle w:val="TableText"/>
              <w:widowControl w:val="0"/>
              <w:rPr>
                <w:rStyle w:val="EndnoteReference"/>
                <w:rFonts w:cs="Tahoma"/>
                <w:color w:val="0000FF"/>
                <w:sz w:val="13"/>
                <w:szCs w:val="13"/>
                <w:u w:val="single"/>
              </w:rPr>
            </w:pPr>
          </w:p>
        </w:tc>
        <w:tc>
          <w:tcPr>
            <w:tcW w:w="429" w:type="dxa"/>
            <w:shd w:val="clear" w:color="auto" w:fill="FABF8F"/>
            <w:vAlign w:val="center"/>
          </w:tcPr>
          <w:p w:rsidR="00A92422" w:rsidRPr="00D87B79" w:rsidRDefault="00A92422" w:rsidP="00EA30FC">
            <w:pPr>
              <w:pStyle w:val="TableText"/>
              <w:spacing w:before="60" w:after="60"/>
              <w:rPr>
                <w:rFonts w:ascii="Tahoma" w:hAnsi="Tahoma" w:cs="Tahoma"/>
                <w:sz w:val="13"/>
              </w:rPr>
            </w:pPr>
            <w:r w:rsidRPr="00D87B79">
              <w:rPr>
                <w:rFonts w:ascii="Tahoma" w:hAnsi="Tahoma" w:cs="Tahoma"/>
                <w:sz w:val="13"/>
              </w:rPr>
              <w:t>10/12</w:t>
            </w:r>
          </w:p>
        </w:tc>
        <w:tc>
          <w:tcPr>
            <w:tcW w:w="429"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DT</w:t>
            </w:r>
          </w:p>
        </w:tc>
        <w:tc>
          <w:tcPr>
            <w:tcW w:w="429" w:type="dxa"/>
            <w:tcBorders>
              <w:lef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3</w:t>
            </w:r>
          </w:p>
        </w:tc>
        <w:tc>
          <w:tcPr>
            <w:tcW w:w="429" w:type="dxa"/>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29" w:type="dxa"/>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29" w:type="dxa"/>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29" w:type="dxa"/>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tcBorders>
              <w:lef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29"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tcBorders>
              <w:lef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p>
        </w:tc>
        <w:tc>
          <w:tcPr>
            <w:tcW w:w="429"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P</w:t>
            </w:r>
          </w:p>
        </w:tc>
        <w:tc>
          <w:tcPr>
            <w:tcW w:w="461" w:type="dxa"/>
            <w:shd w:val="clear" w:color="auto" w:fill="FABF8F"/>
          </w:tcPr>
          <w:p w:rsidR="00A92422" w:rsidRPr="00D87B79" w:rsidRDefault="00A92422" w:rsidP="00EA30FC">
            <w:pPr>
              <w:pStyle w:val="TableText"/>
              <w:rPr>
                <w:rFonts w:ascii="Tahoma" w:hAnsi="Tahoma" w:cs="Tahoma"/>
                <w:sz w:val="13"/>
              </w:rPr>
            </w:pPr>
          </w:p>
        </w:tc>
        <w:tc>
          <w:tcPr>
            <w:tcW w:w="567" w:type="dxa"/>
            <w:shd w:val="clear" w:color="auto" w:fill="FABF8F"/>
            <w:vAlign w:val="center"/>
          </w:tcPr>
          <w:p w:rsidR="00A92422" w:rsidRPr="00D87B79" w:rsidRDefault="00A92422" w:rsidP="00EA30FC">
            <w:pPr>
              <w:pStyle w:val="TableText"/>
              <w:rPr>
                <w:rFonts w:ascii="Tahoma" w:hAnsi="Tahoma" w:cs="Tahoma"/>
                <w:sz w:val="13"/>
              </w:rPr>
            </w:pPr>
          </w:p>
        </w:tc>
      </w:tr>
      <w:tr w:rsidR="00A92422" w:rsidRPr="00D87B79" w:rsidTr="00EA30FC">
        <w:trPr>
          <w:cantSplit/>
          <w:trHeight w:val="305"/>
        </w:trPr>
        <w:tc>
          <w:tcPr>
            <w:tcW w:w="2638" w:type="dxa"/>
            <w:vAlign w:val="center"/>
          </w:tcPr>
          <w:p w:rsidR="00A92422" w:rsidRPr="00BA1C75" w:rsidRDefault="00A92422" w:rsidP="00EA30FC">
            <w:pPr>
              <w:pStyle w:val="Heading2"/>
              <w:spacing w:beforeLines="20" w:before="48" w:afterLines="20" w:after="48"/>
              <w:ind w:left="0"/>
              <w:rPr>
                <w:rFonts w:ascii="Tahoma" w:hAnsi="Tahoma" w:cs="Tahoma"/>
                <w:b w:val="0"/>
                <w:sz w:val="14"/>
                <w:szCs w:val="14"/>
              </w:rPr>
            </w:pPr>
            <w:bookmarkStart w:id="87" w:name="_Toc336337875"/>
            <w:bookmarkStart w:id="88" w:name="_Toc342899947"/>
            <w:bookmarkEnd w:id="87"/>
            <w:r w:rsidRPr="00BA1C75">
              <w:rPr>
                <w:rFonts w:ascii="Tahoma" w:hAnsi="Tahoma" w:cs="Tahoma"/>
                <w:b w:val="0"/>
                <w:sz w:val="14"/>
                <w:szCs w:val="14"/>
                <w:lang w:val="it-IT"/>
              </w:rPr>
              <w:t>Outlook per Mac 2011</w:t>
            </w:r>
            <w:bookmarkEnd w:id="88"/>
          </w:p>
        </w:tc>
        <w:tc>
          <w:tcPr>
            <w:tcW w:w="429" w:type="dxa"/>
            <w:vAlign w:val="center"/>
          </w:tcPr>
          <w:p w:rsidR="00A92422" w:rsidRPr="000305C5" w:rsidRDefault="00A92422" w:rsidP="00EA30FC">
            <w:pPr>
              <w:pStyle w:val="TableText"/>
              <w:widowControl w:val="0"/>
              <w:rPr>
                <w:rStyle w:val="EndnoteReference"/>
                <w:rFonts w:cs="Tahoma"/>
                <w:b w:val="0"/>
                <w:color w:val="0000FF"/>
                <w:sz w:val="13"/>
                <w:szCs w:val="13"/>
                <w:u w:val="single"/>
              </w:rPr>
            </w:pPr>
            <w:hyperlink w:anchor="_12_Outlook_per" w:history="1">
              <w:r w:rsidRPr="000305C5">
                <w:rPr>
                  <w:rStyle w:val="Hyperlink"/>
                  <w:rFonts w:cs="Tahoma"/>
                  <w:b/>
                  <w:sz w:val="13"/>
                  <w:szCs w:val="13"/>
                </w:rPr>
                <w:t>12</w:t>
              </w:r>
            </w:hyperlink>
          </w:p>
        </w:tc>
        <w:tc>
          <w:tcPr>
            <w:tcW w:w="429" w:type="dxa"/>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09/10</w:t>
            </w:r>
          </w:p>
        </w:tc>
        <w:tc>
          <w:tcPr>
            <w:tcW w:w="429"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DT</w:t>
            </w:r>
          </w:p>
        </w:tc>
        <w:tc>
          <w:tcPr>
            <w:tcW w:w="429" w:type="dxa"/>
            <w:tcBorders>
              <w:left w:val="single" w:sz="18" w:space="0" w:color="auto"/>
            </w:tcBorders>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w:t>
            </w:r>
          </w:p>
        </w:tc>
        <w:tc>
          <w:tcPr>
            <w:tcW w:w="429" w:type="dxa"/>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left w:val="single" w:sz="18" w:space="0" w:color="auto"/>
            </w:tcBorders>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lef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429"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429" w:type="dxa"/>
            <w:tcBorders>
              <w:left w:val="single" w:sz="18" w:space="0" w:color="auto"/>
              <w:right w:val="single" w:sz="18" w:space="0" w:color="auto"/>
            </w:tcBorders>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461" w:type="dxa"/>
          </w:tcPr>
          <w:p w:rsidR="00A92422" w:rsidRPr="00D87B79" w:rsidRDefault="00A92422" w:rsidP="00EA30FC">
            <w:pPr>
              <w:pStyle w:val="TableText"/>
              <w:widowControl w:val="0"/>
              <w:rPr>
                <w:rFonts w:ascii="Tahoma" w:hAnsi="Tahoma" w:cs="Tahoma"/>
                <w:sz w:val="13"/>
              </w:rPr>
            </w:pPr>
          </w:p>
        </w:tc>
        <w:tc>
          <w:tcPr>
            <w:tcW w:w="567" w:type="dxa"/>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cantSplit/>
          <w:trHeight w:val="305"/>
        </w:trPr>
        <w:tc>
          <w:tcPr>
            <w:tcW w:w="2638" w:type="dxa"/>
            <w:shd w:val="clear" w:color="auto" w:fill="FABF8F"/>
            <w:vAlign w:val="center"/>
          </w:tcPr>
          <w:p w:rsidR="00A92422" w:rsidRPr="00BA1C75" w:rsidRDefault="00A92422" w:rsidP="00EA30FC">
            <w:pPr>
              <w:pStyle w:val="Heading3"/>
              <w:spacing w:beforeLines="20" w:before="48" w:afterLines="20" w:after="48"/>
              <w:rPr>
                <w:rFonts w:ascii="Tahoma" w:hAnsi="Tahoma" w:cs="Tahoma"/>
                <w:b w:val="0"/>
                <w:sz w:val="14"/>
                <w:szCs w:val="14"/>
              </w:rPr>
            </w:pPr>
            <w:bookmarkStart w:id="89" w:name="_Toc342899948"/>
            <w:r w:rsidRPr="00BA1C75">
              <w:rPr>
                <w:rFonts w:ascii="Tahoma" w:hAnsi="Tahoma" w:cs="Tahoma"/>
                <w:b w:val="0"/>
                <w:sz w:val="14"/>
                <w:szCs w:val="14"/>
                <w:lang w:val="it-IT"/>
              </w:rPr>
              <w:t>PowerPoint 2013</w:t>
            </w:r>
            <w:bookmarkEnd w:id="89"/>
          </w:p>
        </w:tc>
        <w:tc>
          <w:tcPr>
            <w:tcW w:w="429" w:type="dxa"/>
            <w:shd w:val="clear" w:color="auto" w:fill="FABF8F"/>
            <w:vAlign w:val="center"/>
          </w:tcPr>
          <w:p w:rsidR="00A92422" w:rsidRPr="000305C5" w:rsidRDefault="00A92422" w:rsidP="00EA30FC">
            <w:pPr>
              <w:pStyle w:val="TableText"/>
              <w:widowControl w:val="0"/>
              <w:rPr>
                <w:rStyle w:val="EndnoteReference"/>
                <w:rFonts w:cs="Tahoma"/>
                <w:color w:val="0000FF"/>
                <w:sz w:val="13"/>
                <w:szCs w:val="13"/>
                <w:u w:val="single"/>
              </w:rPr>
            </w:pP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10/12</w:t>
            </w: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DT</w:t>
            </w:r>
          </w:p>
        </w:tc>
        <w:tc>
          <w:tcPr>
            <w:tcW w:w="429"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29"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461" w:type="dxa"/>
            <w:shd w:val="clear" w:color="auto" w:fill="FABF8F"/>
          </w:tcPr>
          <w:p w:rsidR="00A92422" w:rsidRPr="00D87B79" w:rsidRDefault="00A92422" w:rsidP="00EA30FC">
            <w:pPr>
              <w:pStyle w:val="TableText"/>
              <w:widowControl w:val="0"/>
              <w:rPr>
                <w:rFonts w:ascii="Tahoma" w:hAnsi="Tahoma" w:cs="Tahoma"/>
                <w:sz w:val="13"/>
              </w:rPr>
            </w:pPr>
          </w:p>
        </w:tc>
        <w:tc>
          <w:tcPr>
            <w:tcW w:w="567"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cantSplit/>
          <w:trHeight w:val="145"/>
        </w:trPr>
        <w:tc>
          <w:tcPr>
            <w:tcW w:w="2638" w:type="dxa"/>
            <w:shd w:val="clear" w:color="auto" w:fill="FFFFFF"/>
          </w:tcPr>
          <w:p w:rsidR="00A92422" w:rsidRPr="00BA1C75" w:rsidRDefault="00A92422" w:rsidP="00EA30FC">
            <w:pPr>
              <w:pStyle w:val="Heading3"/>
              <w:spacing w:beforeLines="20" w:before="48" w:afterLines="20" w:after="48"/>
              <w:rPr>
                <w:rFonts w:ascii="Tahoma" w:hAnsi="Tahoma" w:cs="Tahoma"/>
                <w:b w:val="0"/>
                <w:sz w:val="14"/>
                <w:szCs w:val="14"/>
              </w:rPr>
            </w:pPr>
            <w:bookmarkStart w:id="90" w:name="_Toc336337878"/>
            <w:bookmarkStart w:id="91" w:name="_Toc342899949"/>
            <w:bookmarkEnd w:id="90"/>
            <w:r w:rsidRPr="00BA1C75">
              <w:rPr>
                <w:rFonts w:ascii="Tahoma" w:hAnsi="Tahoma" w:cs="Tahoma"/>
                <w:b w:val="0"/>
                <w:sz w:val="14"/>
                <w:szCs w:val="14"/>
                <w:lang w:val="it-IT"/>
              </w:rPr>
              <w:t>PowerPoint per Mac 2011</w:t>
            </w:r>
            <w:bookmarkEnd w:id="91"/>
          </w:p>
        </w:tc>
        <w:tc>
          <w:tcPr>
            <w:tcW w:w="429" w:type="dxa"/>
            <w:shd w:val="clear" w:color="auto" w:fill="FFFFFF"/>
            <w:vAlign w:val="center"/>
          </w:tcPr>
          <w:p w:rsidR="00A92422" w:rsidRPr="000305C5" w:rsidRDefault="00A92422" w:rsidP="00EA30FC">
            <w:pPr>
              <w:pStyle w:val="TableText"/>
              <w:widowControl w:val="0"/>
              <w:rPr>
                <w:rStyle w:val="EndnoteReference"/>
                <w:rFonts w:cs="Tahoma"/>
                <w:color w:val="0000FF"/>
                <w:sz w:val="13"/>
                <w:szCs w:val="13"/>
                <w:u w:val="single"/>
              </w:rPr>
            </w:pPr>
          </w:p>
        </w:tc>
        <w:tc>
          <w:tcPr>
            <w:tcW w:w="429" w:type="dxa"/>
            <w:shd w:val="clear" w:color="auto" w:fill="FFFFFF"/>
            <w:vAlign w:val="center"/>
          </w:tcPr>
          <w:p w:rsidR="00A92422" w:rsidRPr="00D87B79" w:rsidRDefault="00A92422" w:rsidP="00EA30FC">
            <w:pPr>
              <w:pStyle w:val="TableText"/>
              <w:spacing w:before="60" w:after="60"/>
              <w:rPr>
                <w:rFonts w:ascii="Tahoma" w:hAnsi="Tahoma" w:cs="Tahoma"/>
                <w:sz w:val="13"/>
              </w:rPr>
            </w:pPr>
            <w:r w:rsidRPr="00D87B79">
              <w:rPr>
                <w:rFonts w:ascii="Tahoma" w:hAnsi="Tahoma" w:cs="Tahoma"/>
                <w:sz w:val="13"/>
              </w:rPr>
              <w:t>09/10</w:t>
            </w:r>
          </w:p>
        </w:tc>
        <w:tc>
          <w:tcPr>
            <w:tcW w:w="429" w:type="dxa"/>
            <w:tcBorders>
              <w:right w:val="single" w:sz="18" w:space="0" w:color="auto"/>
            </w:tcBorders>
            <w:shd w:val="clear" w:color="auto" w:fill="FFFFFF"/>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DT</w:t>
            </w:r>
          </w:p>
        </w:tc>
        <w:tc>
          <w:tcPr>
            <w:tcW w:w="429" w:type="dxa"/>
            <w:tcBorders>
              <w:left w:val="single" w:sz="18" w:space="0" w:color="auto"/>
            </w:tcBorders>
            <w:shd w:val="clear" w:color="auto" w:fill="FFFFF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shd w:val="clear" w:color="auto" w:fill="FFFFF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3</w:t>
            </w:r>
          </w:p>
        </w:tc>
        <w:tc>
          <w:tcPr>
            <w:tcW w:w="429" w:type="dxa"/>
            <w:shd w:val="clear" w:color="auto" w:fill="FFFFF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29" w:type="dxa"/>
            <w:shd w:val="clear" w:color="auto" w:fill="FFFFF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29" w:type="dxa"/>
            <w:shd w:val="clear" w:color="auto" w:fill="FFFFF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29" w:type="dxa"/>
            <w:shd w:val="clear" w:color="auto" w:fill="FFFFF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tcBorders>
              <w:right w:val="single" w:sz="18" w:space="0" w:color="auto"/>
            </w:tcBorders>
            <w:shd w:val="clear" w:color="auto" w:fill="FFFFF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tcBorders>
              <w:left w:val="single" w:sz="18" w:space="0" w:color="auto"/>
            </w:tcBorders>
            <w:shd w:val="clear" w:color="auto" w:fill="FFFFF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shd w:val="clear" w:color="auto" w:fill="FFFFF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29" w:type="dxa"/>
            <w:tcBorders>
              <w:right w:val="single" w:sz="18" w:space="0" w:color="auto"/>
            </w:tcBorders>
            <w:shd w:val="clear" w:color="auto" w:fill="FFFFF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tcBorders>
              <w:left w:val="single" w:sz="18" w:space="0" w:color="auto"/>
            </w:tcBorders>
            <w:shd w:val="clear" w:color="auto" w:fill="FFFFFF"/>
            <w:vAlign w:val="center"/>
          </w:tcPr>
          <w:p w:rsidR="00A92422" w:rsidRPr="00D87B79" w:rsidRDefault="00A92422" w:rsidP="00EA30FC">
            <w:pPr>
              <w:pStyle w:val="TableText"/>
              <w:rPr>
                <w:rFonts w:ascii="Tahoma" w:hAnsi="Tahoma" w:cs="Tahoma"/>
                <w:sz w:val="13"/>
              </w:rPr>
            </w:pPr>
          </w:p>
        </w:tc>
        <w:tc>
          <w:tcPr>
            <w:tcW w:w="429" w:type="dxa"/>
            <w:tcBorders>
              <w:right w:val="single" w:sz="18" w:space="0" w:color="auto"/>
            </w:tcBorders>
            <w:shd w:val="clear" w:color="auto" w:fill="FFFFFF"/>
            <w:vAlign w:val="center"/>
          </w:tcPr>
          <w:p w:rsidR="00A92422" w:rsidRPr="00D87B79" w:rsidRDefault="00A92422" w:rsidP="00EA30FC">
            <w:pPr>
              <w:pStyle w:val="TableText"/>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P</w:t>
            </w:r>
          </w:p>
        </w:tc>
        <w:tc>
          <w:tcPr>
            <w:tcW w:w="461" w:type="dxa"/>
            <w:shd w:val="clear" w:color="auto" w:fill="FFFFFF"/>
          </w:tcPr>
          <w:p w:rsidR="00A92422" w:rsidRPr="00D87B79" w:rsidRDefault="00A92422" w:rsidP="00EA30FC">
            <w:pPr>
              <w:pStyle w:val="TableText"/>
              <w:rPr>
                <w:rFonts w:ascii="Tahoma" w:hAnsi="Tahoma" w:cs="Tahoma"/>
                <w:sz w:val="13"/>
              </w:rPr>
            </w:pPr>
          </w:p>
        </w:tc>
        <w:tc>
          <w:tcPr>
            <w:tcW w:w="567" w:type="dxa"/>
            <w:shd w:val="clear" w:color="auto" w:fill="FFFFFF"/>
            <w:vAlign w:val="center"/>
          </w:tcPr>
          <w:p w:rsidR="00A92422" w:rsidRPr="00D87B79" w:rsidRDefault="00A92422" w:rsidP="00EA30FC">
            <w:pPr>
              <w:pStyle w:val="TableText"/>
              <w:rPr>
                <w:rFonts w:ascii="Tahoma" w:hAnsi="Tahoma" w:cs="Tahoma"/>
                <w:sz w:val="13"/>
              </w:rPr>
            </w:pPr>
          </w:p>
        </w:tc>
      </w:tr>
      <w:tr w:rsidR="00A92422" w:rsidRPr="00D87B79" w:rsidTr="00EA30FC">
        <w:trPr>
          <w:cantSplit/>
          <w:trHeight w:val="145"/>
        </w:trPr>
        <w:tc>
          <w:tcPr>
            <w:tcW w:w="2638" w:type="dxa"/>
            <w:shd w:val="clear" w:color="auto" w:fill="FABF8F"/>
          </w:tcPr>
          <w:p w:rsidR="00A92422" w:rsidRPr="00BA1C75" w:rsidRDefault="00A92422" w:rsidP="00EA30FC">
            <w:pPr>
              <w:pStyle w:val="Heading3"/>
              <w:spacing w:beforeLines="20" w:before="48" w:afterLines="20" w:after="48"/>
              <w:rPr>
                <w:rFonts w:ascii="Tahoma" w:hAnsi="Tahoma" w:cs="Tahoma"/>
                <w:b w:val="0"/>
                <w:sz w:val="14"/>
                <w:szCs w:val="14"/>
              </w:rPr>
            </w:pPr>
            <w:bookmarkStart w:id="92" w:name="_Toc336337879"/>
            <w:bookmarkStart w:id="93" w:name="_Toc342899950"/>
            <w:bookmarkEnd w:id="92"/>
            <w:r w:rsidRPr="00BA1C75">
              <w:rPr>
                <w:rFonts w:ascii="Tahoma" w:hAnsi="Tahoma" w:cs="Tahoma"/>
                <w:b w:val="0"/>
                <w:sz w:val="14"/>
                <w:szCs w:val="14"/>
                <w:lang w:val="it-IT"/>
              </w:rPr>
              <w:t>Project 2013 Standard</w:t>
            </w:r>
            <w:bookmarkEnd w:id="93"/>
            <w:r w:rsidRPr="00BA1C75">
              <w:rPr>
                <w:rFonts w:ascii="Tahoma" w:hAnsi="Tahoma" w:cs="Tahoma"/>
                <w:sz w:val="14"/>
                <w:szCs w:val="14"/>
              </w:rPr>
              <w:t xml:space="preserve"> </w:t>
            </w:r>
          </w:p>
        </w:tc>
        <w:tc>
          <w:tcPr>
            <w:tcW w:w="429" w:type="dxa"/>
            <w:shd w:val="clear" w:color="auto" w:fill="FABF8F"/>
            <w:vAlign w:val="center"/>
          </w:tcPr>
          <w:p w:rsidR="00A92422" w:rsidRPr="000305C5" w:rsidRDefault="00A92422" w:rsidP="00EA30FC">
            <w:pPr>
              <w:pStyle w:val="TableText"/>
              <w:widowControl w:val="0"/>
              <w:rPr>
                <w:rStyle w:val="EndnoteReference"/>
                <w:rFonts w:cs="Tahoma"/>
                <w:color w:val="0000FF"/>
                <w:sz w:val="13"/>
                <w:szCs w:val="13"/>
                <w:u w:val="single"/>
              </w:rPr>
            </w:pPr>
          </w:p>
        </w:tc>
        <w:tc>
          <w:tcPr>
            <w:tcW w:w="429" w:type="dxa"/>
            <w:shd w:val="clear" w:color="auto" w:fill="FABF8F"/>
            <w:vAlign w:val="center"/>
          </w:tcPr>
          <w:p w:rsidR="00A92422" w:rsidRPr="00D87B79" w:rsidRDefault="00A92422" w:rsidP="00EA30FC">
            <w:pPr>
              <w:pStyle w:val="TableText"/>
              <w:spacing w:before="60" w:after="60"/>
              <w:rPr>
                <w:rFonts w:ascii="Tahoma" w:hAnsi="Tahoma" w:cs="Tahoma"/>
                <w:sz w:val="13"/>
              </w:rPr>
            </w:pPr>
            <w:r w:rsidRPr="00D87B79">
              <w:rPr>
                <w:rFonts w:ascii="Tahoma" w:hAnsi="Tahoma" w:cs="Tahoma"/>
                <w:sz w:val="13"/>
              </w:rPr>
              <w:t>10/12</w:t>
            </w:r>
          </w:p>
        </w:tc>
        <w:tc>
          <w:tcPr>
            <w:tcW w:w="429"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DT</w:t>
            </w:r>
          </w:p>
        </w:tc>
        <w:tc>
          <w:tcPr>
            <w:tcW w:w="429" w:type="dxa"/>
            <w:tcBorders>
              <w:lef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29" w:type="dxa"/>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5</w:t>
            </w:r>
          </w:p>
        </w:tc>
        <w:tc>
          <w:tcPr>
            <w:tcW w:w="429" w:type="dxa"/>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4</w:t>
            </w:r>
          </w:p>
        </w:tc>
        <w:tc>
          <w:tcPr>
            <w:tcW w:w="429" w:type="dxa"/>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3</w:t>
            </w:r>
          </w:p>
        </w:tc>
        <w:tc>
          <w:tcPr>
            <w:tcW w:w="429" w:type="dxa"/>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3</w:t>
            </w:r>
          </w:p>
        </w:tc>
        <w:tc>
          <w:tcPr>
            <w:tcW w:w="429" w:type="dxa"/>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29"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tcBorders>
              <w:lef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29" w:type="dxa"/>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4</w:t>
            </w:r>
          </w:p>
        </w:tc>
        <w:tc>
          <w:tcPr>
            <w:tcW w:w="429"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29" w:type="dxa"/>
            <w:tcBorders>
              <w:lef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p>
        </w:tc>
        <w:tc>
          <w:tcPr>
            <w:tcW w:w="429"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A</w:t>
            </w:r>
          </w:p>
        </w:tc>
        <w:tc>
          <w:tcPr>
            <w:tcW w:w="429"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P</w:t>
            </w:r>
          </w:p>
        </w:tc>
        <w:tc>
          <w:tcPr>
            <w:tcW w:w="461" w:type="dxa"/>
            <w:shd w:val="clear" w:color="auto" w:fill="FABF8F"/>
          </w:tcPr>
          <w:p w:rsidR="00A92422" w:rsidRPr="00D87B79" w:rsidRDefault="00A92422" w:rsidP="00EA30FC">
            <w:pPr>
              <w:pStyle w:val="TableText"/>
              <w:rPr>
                <w:rFonts w:ascii="Tahoma" w:hAnsi="Tahoma" w:cs="Tahoma"/>
                <w:sz w:val="13"/>
              </w:rPr>
            </w:pPr>
          </w:p>
        </w:tc>
        <w:tc>
          <w:tcPr>
            <w:tcW w:w="567" w:type="dxa"/>
            <w:shd w:val="clear" w:color="auto" w:fill="FABF8F"/>
            <w:vAlign w:val="center"/>
          </w:tcPr>
          <w:p w:rsidR="00A92422" w:rsidRPr="00D87B79" w:rsidRDefault="00A92422" w:rsidP="00EA30FC">
            <w:pPr>
              <w:pStyle w:val="TableText"/>
              <w:rPr>
                <w:rFonts w:ascii="Tahoma" w:hAnsi="Tahoma" w:cs="Tahoma"/>
                <w:sz w:val="13"/>
              </w:rPr>
            </w:pPr>
          </w:p>
        </w:tc>
      </w:tr>
      <w:tr w:rsidR="00A92422" w:rsidRPr="00D87B79" w:rsidTr="00EA30FC">
        <w:trPr>
          <w:cantSplit/>
          <w:trHeight w:val="145"/>
        </w:trPr>
        <w:tc>
          <w:tcPr>
            <w:tcW w:w="2638" w:type="dxa"/>
            <w:shd w:val="clear" w:color="auto" w:fill="FFFFFF"/>
          </w:tcPr>
          <w:p w:rsidR="00A92422" w:rsidRPr="00BA1C75" w:rsidRDefault="00A92422" w:rsidP="00EA30FC">
            <w:pPr>
              <w:pStyle w:val="Heading3"/>
              <w:spacing w:beforeLines="20" w:before="48" w:afterLines="20" w:after="48"/>
              <w:rPr>
                <w:rFonts w:ascii="Tahoma" w:hAnsi="Tahoma" w:cs="Tahoma"/>
                <w:b w:val="0"/>
                <w:sz w:val="14"/>
                <w:szCs w:val="14"/>
              </w:rPr>
            </w:pPr>
            <w:bookmarkStart w:id="94" w:name="_Toc336337880"/>
            <w:bookmarkStart w:id="95" w:name="_Toc342899951"/>
            <w:bookmarkEnd w:id="94"/>
            <w:r w:rsidRPr="00BA1C75">
              <w:rPr>
                <w:rFonts w:ascii="Tahoma" w:hAnsi="Tahoma" w:cs="Tahoma"/>
                <w:b w:val="0"/>
                <w:sz w:val="14"/>
                <w:szCs w:val="14"/>
                <w:lang w:val="it-IT"/>
              </w:rPr>
              <w:t>Project 2013 Professional</w:t>
            </w:r>
            <w:bookmarkEnd w:id="95"/>
            <w:r w:rsidRPr="00BA1C75">
              <w:rPr>
                <w:rFonts w:ascii="Tahoma" w:hAnsi="Tahoma" w:cs="Tahoma"/>
                <w:sz w:val="14"/>
                <w:szCs w:val="14"/>
              </w:rPr>
              <w:t xml:space="preserve"> </w:t>
            </w:r>
          </w:p>
        </w:tc>
        <w:tc>
          <w:tcPr>
            <w:tcW w:w="429" w:type="dxa"/>
            <w:shd w:val="clear" w:color="auto" w:fill="FFFFFF"/>
            <w:vAlign w:val="center"/>
          </w:tcPr>
          <w:p w:rsidR="00A92422" w:rsidRPr="000305C5" w:rsidRDefault="00A92422" w:rsidP="00EA30FC">
            <w:pPr>
              <w:pStyle w:val="TableText"/>
              <w:widowControl w:val="0"/>
              <w:rPr>
                <w:rStyle w:val="EndnoteReference"/>
                <w:rFonts w:cs="Tahoma"/>
                <w:b w:val="0"/>
                <w:color w:val="0000FF"/>
                <w:sz w:val="13"/>
                <w:szCs w:val="13"/>
                <w:u w:val="single"/>
              </w:rPr>
            </w:pPr>
            <w:hyperlink w:anchor="_13_Project_Professional" w:history="1">
              <w:r w:rsidRPr="000305C5">
                <w:rPr>
                  <w:rStyle w:val="Hyperlink"/>
                  <w:rFonts w:cs="Tahoma"/>
                  <w:b/>
                  <w:sz w:val="13"/>
                  <w:szCs w:val="13"/>
                </w:rPr>
                <w:t>13</w:t>
              </w:r>
            </w:hyperlink>
          </w:p>
        </w:tc>
        <w:tc>
          <w:tcPr>
            <w:tcW w:w="429" w:type="dxa"/>
            <w:shd w:val="clear" w:color="auto" w:fill="FFFFFF"/>
            <w:vAlign w:val="center"/>
          </w:tcPr>
          <w:p w:rsidR="00A92422" w:rsidRPr="00D87B79" w:rsidRDefault="00A92422" w:rsidP="00EA30FC">
            <w:pPr>
              <w:pStyle w:val="TableText"/>
              <w:spacing w:before="60" w:after="60"/>
              <w:rPr>
                <w:rFonts w:ascii="Tahoma" w:hAnsi="Tahoma" w:cs="Tahoma"/>
                <w:sz w:val="13"/>
              </w:rPr>
            </w:pPr>
            <w:r w:rsidRPr="00D87B79">
              <w:rPr>
                <w:rFonts w:ascii="Tahoma" w:hAnsi="Tahoma" w:cs="Tahoma"/>
                <w:sz w:val="13"/>
              </w:rPr>
              <w:t>10/12</w:t>
            </w:r>
          </w:p>
        </w:tc>
        <w:tc>
          <w:tcPr>
            <w:tcW w:w="429" w:type="dxa"/>
            <w:tcBorders>
              <w:right w:val="single" w:sz="18" w:space="0" w:color="auto"/>
            </w:tcBorders>
            <w:shd w:val="clear" w:color="auto" w:fill="FFFFFF"/>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DT</w:t>
            </w:r>
          </w:p>
        </w:tc>
        <w:tc>
          <w:tcPr>
            <w:tcW w:w="429" w:type="dxa"/>
            <w:tcBorders>
              <w:left w:val="single" w:sz="18" w:space="0" w:color="auto"/>
            </w:tcBorders>
            <w:shd w:val="clear" w:color="auto" w:fill="FFFFFF"/>
            <w:vAlign w:val="center"/>
          </w:tcPr>
          <w:p w:rsidR="00A92422" w:rsidRPr="00D87B79" w:rsidRDefault="00A92422" w:rsidP="00EA30FC">
            <w:pPr>
              <w:pStyle w:val="TableText"/>
              <w:spacing w:after="120"/>
              <w:rPr>
                <w:rFonts w:ascii="Tahoma" w:hAnsi="Tahoma" w:cs="Tahoma"/>
                <w:sz w:val="13"/>
                <w:szCs w:val="13"/>
              </w:rPr>
            </w:pPr>
            <w:r w:rsidRPr="00D87B79">
              <w:rPr>
                <w:rFonts w:ascii="Tahoma" w:hAnsi="Tahoma" w:cs="Tahoma"/>
                <w:sz w:val="13"/>
              </w:rPr>
              <w:t>4</w:t>
            </w:r>
          </w:p>
        </w:tc>
        <w:tc>
          <w:tcPr>
            <w:tcW w:w="429" w:type="dxa"/>
            <w:shd w:val="clear" w:color="auto" w:fill="FFFFFF"/>
            <w:vAlign w:val="center"/>
          </w:tcPr>
          <w:p w:rsidR="00A92422" w:rsidRPr="00D87B79" w:rsidRDefault="00A92422" w:rsidP="00EA30FC">
            <w:pPr>
              <w:pStyle w:val="TableText"/>
              <w:spacing w:after="120"/>
              <w:rPr>
                <w:rFonts w:ascii="Tahoma" w:hAnsi="Tahoma" w:cs="Tahoma"/>
                <w:sz w:val="13"/>
                <w:szCs w:val="13"/>
              </w:rPr>
            </w:pPr>
            <w:r w:rsidRPr="00D87B79">
              <w:rPr>
                <w:rFonts w:ascii="Tahoma" w:hAnsi="Tahoma" w:cs="Tahoma"/>
                <w:sz w:val="13"/>
              </w:rPr>
              <w:t>10</w:t>
            </w:r>
          </w:p>
        </w:tc>
        <w:tc>
          <w:tcPr>
            <w:tcW w:w="429" w:type="dxa"/>
            <w:shd w:val="clear" w:color="auto" w:fill="FFFFFF"/>
            <w:vAlign w:val="center"/>
          </w:tcPr>
          <w:p w:rsidR="00A92422" w:rsidRPr="00D87B79" w:rsidRDefault="00A92422" w:rsidP="00EA30FC">
            <w:pPr>
              <w:pStyle w:val="TableText"/>
              <w:spacing w:after="120"/>
              <w:rPr>
                <w:rFonts w:ascii="Tahoma" w:hAnsi="Tahoma" w:cs="Tahoma"/>
                <w:sz w:val="13"/>
                <w:szCs w:val="13"/>
              </w:rPr>
            </w:pPr>
            <w:r w:rsidRPr="00D87B79">
              <w:rPr>
                <w:rFonts w:ascii="Tahoma" w:hAnsi="Tahoma" w:cs="Tahoma"/>
                <w:sz w:val="13"/>
              </w:rPr>
              <w:t>8</w:t>
            </w:r>
          </w:p>
        </w:tc>
        <w:tc>
          <w:tcPr>
            <w:tcW w:w="429" w:type="dxa"/>
            <w:shd w:val="clear" w:color="auto" w:fill="FFFFFF"/>
            <w:vAlign w:val="center"/>
          </w:tcPr>
          <w:p w:rsidR="00A92422" w:rsidRPr="00D87B79" w:rsidRDefault="00A92422" w:rsidP="00EA30FC">
            <w:pPr>
              <w:pStyle w:val="TableText"/>
              <w:spacing w:after="120"/>
              <w:rPr>
                <w:rFonts w:ascii="Tahoma" w:hAnsi="Tahoma" w:cs="Tahoma"/>
                <w:sz w:val="13"/>
                <w:szCs w:val="13"/>
              </w:rPr>
            </w:pPr>
            <w:r w:rsidRPr="00D87B79">
              <w:rPr>
                <w:rFonts w:ascii="Tahoma" w:hAnsi="Tahoma" w:cs="Tahoma"/>
                <w:sz w:val="13"/>
              </w:rPr>
              <w:t>6</w:t>
            </w:r>
          </w:p>
        </w:tc>
        <w:tc>
          <w:tcPr>
            <w:tcW w:w="429" w:type="dxa"/>
            <w:shd w:val="clear" w:color="auto" w:fill="FFFFFF"/>
            <w:vAlign w:val="center"/>
          </w:tcPr>
          <w:p w:rsidR="00A92422" w:rsidRPr="00D87B79" w:rsidRDefault="00A92422" w:rsidP="00EA30FC">
            <w:pPr>
              <w:pStyle w:val="TableText"/>
              <w:spacing w:after="120"/>
              <w:rPr>
                <w:rFonts w:ascii="Tahoma" w:hAnsi="Tahoma" w:cs="Tahoma"/>
                <w:sz w:val="13"/>
                <w:szCs w:val="13"/>
              </w:rPr>
            </w:pPr>
            <w:r w:rsidRPr="00D87B79">
              <w:rPr>
                <w:rFonts w:ascii="Tahoma" w:hAnsi="Tahoma" w:cs="Tahoma"/>
                <w:sz w:val="13"/>
              </w:rPr>
              <w:t>6</w:t>
            </w:r>
          </w:p>
        </w:tc>
        <w:tc>
          <w:tcPr>
            <w:tcW w:w="429" w:type="dxa"/>
            <w:shd w:val="clear" w:color="auto" w:fill="FFFFFF"/>
            <w:vAlign w:val="center"/>
          </w:tcPr>
          <w:p w:rsidR="00A92422" w:rsidRPr="00D87B79" w:rsidRDefault="00A92422" w:rsidP="00EA30FC">
            <w:pPr>
              <w:pStyle w:val="TableText"/>
              <w:spacing w:after="120"/>
              <w:rPr>
                <w:rFonts w:ascii="Tahoma" w:hAnsi="Tahoma" w:cs="Tahoma"/>
                <w:sz w:val="13"/>
                <w:szCs w:val="13"/>
              </w:rPr>
            </w:pPr>
            <w:r w:rsidRPr="00D87B79">
              <w:rPr>
                <w:rFonts w:ascii="Tahoma" w:hAnsi="Tahoma" w:cs="Tahoma"/>
                <w:sz w:val="13"/>
              </w:rPr>
              <w:t>4</w:t>
            </w:r>
          </w:p>
        </w:tc>
        <w:tc>
          <w:tcPr>
            <w:tcW w:w="429" w:type="dxa"/>
            <w:tcBorders>
              <w:right w:val="single" w:sz="18" w:space="0" w:color="auto"/>
            </w:tcBorders>
            <w:shd w:val="clear" w:color="auto" w:fill="FFFFFF"/>
            <w:vAlign w:val="center"/>
          </w:tcPr>
          <w:p w:rsidR="00A92422" w:rsidRPr="00D87B79" w:rsidRDefault="00A92422" w:rsidP="00EA30FC">
            <w:pPr>
              <w:pStyle w:val="TableText"/>
              <w:spacing w:after="120"/>
              <w:rPr>
                <w:rFonts w:ascii="Tahoma" w:hAnsi="Tahoma" w:cs="Tahoma"/>
                <w:sz w:val="13"/>
                <w:szCs w:val="13"/>
              </w:rPr>
            </w:pPr>
            <w:r w:rsidRPr="00D87B79">
              <w:rPr>
                <w:rFonts w:ascii="Tahoma" w:hAnsi="Tahoma" w:cs="Tahoma"/>
                <w:sz w:val="13"/>
                <w:szCs w:val="13"/>
              </w:rPr>
              <w:t>2</w:t>
            </w:r>
          </w:p>
        </w:tc>
        <w:tc>
          <w:tcPr>
            <w:tcW w:w="429" w:type="dxa"/>
            <w:tcBorders>
              <w:left w:val="single" w:sz="18" w:space="0" w:color="auto"/>
            </w:tcBorders>
            <w:shd w:val="clear" w:color="auto" w:fill="FFFFFF"/>
            <w:vAlign w:val="center"/>
          </w:tcPr>
          <w:p w:rsidR="00A92422" w:rsidRPr="00D87B79" w:rsidRDefault="00A92422" w:rsidP="00EA30FC">
            <w:pPr>
              <w:pStyle w:val="TableText"/>
              <w:spacing w:after="120"/>
              <w:rPr>
                <w:rFonts w:ascii="Tahoma" w:hAnsi="Tahoma" w:cs="Tahoma"/>
                <w:sz w:val="13"/>
                <w:szCs w:val="13"/>
              </w:rPr>
            </w:pPr>
            <w:r w:rsidRPr="00D87B79">
              <w:rPr>
                <w:rFonts w:ascii="Tahoma" w:hAnsi="Tahoma" w:cs="Tahoma"/>
                <w:sz w:val="13"/>
              </w:rPr>
              <w:t>4</w:t>
            </w:r>
          </w:p>
        </w:tc>
        <w:tc>
          <w:tcPr>
            <w:tcW w:w="429" w:type="dxa"/>
            <w:shd w:val="clear" w:color="auto" w:fill="FFFFFF"/>
            <w:vAlign w:val="center"/>
          </w:tcPr>
          <w:p w:rsidR="00A92422" w:rsidRPr="00D87B79" w:rsidRDefault="00A92422" w:rsidP="00EA30FC">
            <w:pPr>
              <w:pStyle w:val="TableText"/>
              <w:spacing w:after="120"/>
              <w:rPr>
                <w:rFonts w:ascii="Tahoma" w:hAnsi="Tahoma" w:cs="Tahoma"/>
                <w:sz w:val="13"/>
                <w:szCs w:val="13"/>
              </w:rPr>
            </w:pPr>
            <w:r w:rsidRPr="00D87B79">
              <w:rPr>
                <w:rFonts w:ascii="Tahoma" w:hAnsi="Tahoma" w:cs="Tahoma"/>
                <w:sz w:val="13"/>
              </w:rPr>
              <w:t>8</w:t>
            </w:r>
          </w:p>
        </w:tc>
        <w:tc>
          <w:tcPr>
            <w:tcW w:w="429" w:type="dxa"/>
            <w:tcBorders>
              <w:right w:val="single" w:sz="18" w:space="0" w:color="auto"/>
            </w:tcBorders>
            <w:shd w:val="clear" w:color="auto" w:fill="FFFFFF"/>
            <w:vAlign w:val="center"/>
          </w:tcPr>
          <w:p w:rsidR="00A92422" w:rsidRPr="00D87B79" w:rsidRDefault="00A92422" w:rsidP="00EA30FC">
            <w:pPr>
              <w:pStyle w:val="TableText"/>
              <w:spacing w:after="120"/>
              <w:rPr>
                <w:rFonts w:ascii="Tahoma" w:hAnsi="Tahoma" w:cs="Tahoma"/>
                <w:sz w:val="13"/>
                <w:szCs w:val="13"/>
              </w:rPr>
            </w:pPr>
            <w:r w:rsidRPr="00D87B79">
              <w:rPr>
                <w:rFonts w:ascii="Tahoma" w:hAnsi="Tahoma" w:cs="Tahoma"/>
                <w:sz w:val="13"/>
              </w:rPr>
              <w:t>4</w:t>
            </w:r>
          </w:p>
        </w:tc>
        <w:tc>
          <w:tcPr>
            <w:tcW w:w="429" w:type="dxa"/>
            <w:tcBorders>
              <w:left w:val="single" w:sz="18" w:space="0" w:color="auto"/>
            </w:tcBorders>
            <w:shd w:val="clear" w:color="auto" w:fill="FFFFFF"/>
            <w:vAlign w:val="center"/>
          </w:tcPr>
          <w:p w:rsidR="00A92422" w:rsidRPr="00D87B79" w:rsidRDefault="00A92422" w:rsidP="00EA30FC">
            <w:pPr>
              <w:pStyle w:val="TableText"/>
              <w:spacing w:after="120"/>
              <w:rPr>
                <w:rFonts w:ascii="Tahoma" w:hAnsi="Tahoma" w:cs="Tahoma"/>
                <w:sz w:val="13"/>
                <w:szCs w:val="13"/>
              </w:rPr>
            </w:pPr>
            <w:r w:rsidRPr="00D87B79">
              <w:rPr>
                <w:rFonts w:ascii="Tahoma" w:hAnsi="Tahoma" w:cs="Tahoma"/>
                <w:sz w:val="13"/>
              </w:rPr>
              <w:t>1</w:t>
            </w:r>
          </w:p>
        </w:tc>
        <w:tc>
          <w:tcPr>
            <w:tcW w:w="429" w:type="dxa"/>
            <w:tcBorders>
              <w:right w:val="single" w:sz="18" w:space="0" w:color="auto"/>
            </w:tcBorders>
            <w:shd w:val="clear" w:color="auto" w:fill="FFFFFF"/>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A</w:t>
            </w:r>
          </w:p>
        </w:tc>
        <w:tc>
          <w:tcPr>
            <w:tcW w:w="429"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P</w:t>
            </w:r>
          </w:p>
        </w:tc>
        <w:tc>
          <w:tcPr>
            <w:tcW w:w="461" w:type="dxa"/>
            <w:shd w:val="clear" w:color="auto" w:fill="FFFFFF"/>
          </w:tcPr>
          <w:p w:rsidR="00A92422" w:rsidRPr="00D87B79" w:rsidRDefault="00A92422" w:rsidP="00EA30FC">
            <w:pPr>
              <w:pStyle w:val="TableText"/>
              <w:rPr>
                <w:rFonts w:ascii="Tahoma" w:hAnsi="Tahoma" w:cs="Tahoma"/>
                <w:sz w:val="13"/>
              </w:rPr>
            </w:pPr>
            <w:r w:rsidRPr="00D87B79">
              <w:rPr>
                <w:rFonts w:ascii="Tahoma" w:hAnsi="Tahoma" w:cs="Tahoma"/>
                <w:sz w:val="13"/>
                <w:lang w:val="it-IT"/>
              </w:rPr>
              <w:t>A,AO, ST</w:t>
            </w:r>
          </w:p>
        </w:tc>
        <w:tc>
          <w:tcPr>
            <w:tcW w:w="567" w:type="dxa"/>
            <w:shd w:val="clear" w:color="auto" w:fill="FFFFFF"/>
            <w:vAlign w:val="center"/>
          </w:tcPr>
          <w:p w:rsidR="00A92422" w:rsidRPr="00D87B79" w:rsidRDefault="00A92422" w:rsidP="00EA30FC">
            <w:pPr>
              <w:pStyle w:val="TableText"/>
              <w:rPr>
                <w:rFonts w:ascii="Tahoma" w:hAnsi="Tahoma" w:cs="Tahoma"/>
                <w:sz w:val="13"/>
              </w:rPr>
            </w:pPr>
          </w:p>
        </w:tc>
      </w:tr>
      <w:tr w:rsidR="00A92422" w:rsidRPr="00D87B79" w:rsidTr="00EA30FC">
        <w:trPr>
          <w:cantSplit/>
          <w:trHeight w:val="145"/>
        </w:trPr>
        <w:tc>
          <w:tcPr>
            <w:tcW w:w="2638" w:type="dxa"/>
            <w:shd w:val="clear" w:color="auto" w:fill="FABF8F"/>
          </w:tcPr>
          <w:p w:rsidR="00A92422" w:rsidRPr="00BA1C75" w:rsidRDefault="00A92422" w:rsidP="00EA30FC">
            <w:pPr>
              <w:pStyle w:val="Heading3"/>
              <w:spacing w:beforeLines="20" w:before="48" w:afterLines="20" w:after="48"/>
              <w:rPr>
                <w:rFonts w:ascii="Tahoma" w:hAnsi="Tahoma" w:cs="Tahoma"/>
                <w:b w:val="0"/>
                <w:sz w:val="14"/>
                <w:szCs w:val="14"/>
              </w:rPr>
            </w:pPr>
            <w:bookmarkStart w:id="96" w:name="_Toc342899952"/>
            <w:r w:rsidRPr="00BA1C75">
              <w:rPr>
                <w:rFonts w:ascii="Tahoma" w:hAnsi="Tahoma" w:cs="Tahoma"/>
                <w:b w:val="0"/>
                <w:sz w:val="14"/>
                <w:szCs w:val="14"/>
                <w:lang w:val="it-IT"/>
              </w:rPr>
              <w:t>Publisher 2013</w:t>
            </w:r>
            <w:bookmarkEnd w:id="96"/>
          </w:p>
        </w:tc>
        <w:tc>
          <w:tcPr>
            <w:tcW w:w="429" w:type="dxa"/>
            <w:shd w:val="clear" w:color="auto" w:fill="FABF8F"/>
            <w:vAlign w:val="center"/>
          </w:tcPr>
          <w:p w:rsidR="00A92422" w:rsidRPr="000305C5" w:rsidRDefault="00A92422" w:rsidP="00EA30FC">
            <w:pPr>
              <w:pStyle w:val="TableText"/>
              <w:widowControl w:val="0"/>
              <w:rPr>
                <w:rFonts w:cs="Tahoma"/>
                <w:b/>
                <w:color w:val="0000FF"/>
                <w:sz w:val="13"/>
                <w:szCs w:val="13"/>
                <w:u w:val="single"/>
              </w:rPr>
            </w:pPr>
            <w:bookmarkStart w:id="97" w:name="_Hlt335908485"/>
          </w:p>
        </w:tc>
        <w:bookmarkEnd w:id="97"/>
        <w:tc>
          <w:tcPr>
            <w:tcW w:w="429" w:type="dxa"/>
            <w:shd w:val="clear" w:color="auto" w:fill="FABF8F"/>
            <w:vAlign w:val="center"/>
          </w:tcPr>
          <w:p w:rsidR="00A92422" w:rsidRPr="00D87B79" w:rsidDel="00527D48" w:rsidRDefault="00A92422" w:rsidP="00EA30FC">
            <w:pPr>
              <w:pStyle w:val="TableText"/>
              <w:spacing w:before="60" w:after="60"/>
              <w:rPr>
                <w:rFonts w:ascii="Tahoma" w:hAnsi="Tahoma" w:cs="Tahoma"/>
                <w:sz w:val="13"/>
              </w:rPr>
            </w:pPr>
            <w:r w:rsidRPr="00D87B79">
              <w:rPr>
                <w:rFonts w:ascii="Tahoma" w:hAnsi="Tahoma" w:cs="Tahoma"/>
                <w:sz w:val="13"/>
              </w:rPr>
              <w:t>10/12</w:t>
            </w:r>
          </w:p>
        </w:tc>
        <w:tc>
          <w:tcPr>
            <w:tcW w:w="429"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p>
        </w:tc>
        <w:tc>
          <w:tcPr>
            <w:tcW w:w="429" w:type="dxa"/>
            <w:tcBorders>
              <w:left w:val="single" w:sz="18" w:space="0" w:color="auto"/>
            </w:tcBorders>
            <w:shd w:val="clear" w:color="auto" w:fill="FABF8F"/>
            <w:vAlign w:val="center"/>
          </w:tcPr>
          <w:p w:rsidR="00A92422" w:rsidRPr="00D87B79" w:rsidRDefault="00A92422" w:rsidP="00EA30FC">
            <w:pPr>
              <w:pStyle w:val="TableText"/>
              <w:spacing w:after="120"/>
              <w:rPr>
                <w:rFonts w:ascii="Tahoma" w:hAnsi="Tahoma" w:cs="Tahoma"/>
                <w:sz w:val="13"/>
                <w:szCs w:val="13"/>
              </w:rPr>
            </w:pPr>
            <w:r w:rsidRPr="00D87B79">
              <w:rPr>
                <w:rFonts w:ascii="Tahoma" w:hAnsi="Tahoma" w:cs="Tahoma"/>
                <w:sz w:val="13"/>
                <w:szCs w:val="13"/>
              </w:rPr>
              <w:t>1</w:t>
            </w:r>
          </w:p>
        </w:tc>
        <w:tc>
          <w:tcPr>
            <w:tcW w:w="429" w:type="dxa"/>
            <w:shd w:val="clear" w:color="auto" w:fill="FABF8F"/>
            <w:vAlign w:val="center"/>
          </w:tcPr>
          <w:p w:rsidR="00A92422" w:rsidRPr="00D87B79" w:rsidRDefault="00A92422" w:rsidP="00EA30FC">
            <w:pPr>
              <w:pStyle w:val="TableText"/>
              <w:spacing w:after="120"/>
              <w:rPr>
                <w:rFonts w:ascii="Tahoma" w:hAnsi="Tahoma" w:cs="Tahoma"/>
                <w:sz w:val="13"/>
                <w:szCs w:val="13"/>
              </w:rPr>
            </w:pPr>
            <w:r w:rsidRPr="00D87B79">
              <w:rPr>
                <w:rFonts w:ascii="Tahoma" w:hAnsi="Tahoma" w:cs="Tahoma"/>
                <w:sz w:val="13"/>
                <w:szCs w:val="13"/>
              </w:rPr>
              <w:t>3</w:t>
            </w:r>
          </w:p>
        </w:tc>
        <w:tc>
          <w:tcPr>
            <w:tcW w:w="429" w:type="dxa"/>
            <w:shd w:val="clear" w:color="auto" w:fill="FABF8F"/>
            <w:vAlign w:val="center"/>
          </w:tcPr>
          <w:p w:rsidR="00A92422" w:rsidRPr="00D87B79" w:rsidRDefault="00A92422" w:rsidP="00EA30FC">
            <w:pPr>
              <w:pStyle w:val="TableText"/>
              <w:spacing w:after="120"/>
              <w:rPr>
                <w:rFonts w:ascii="Tahoma" w:hAnsi="Tahoma" w:cs="Tahoma"/>
                <w:sz w:val="13"/>
                <w:szCs w:val="13"/>
              </w:rPr>
            </w:pPr>
            <w:r w:rsidRPr="00D87B79">
              <w:rPr>
                <w:rFonts w:ascii="Tahoma" w:hAnsi="Tahoma" w:cs="Tahoma"/>
                <w:sz w:val="13"/>
                <w:szCs w:val="13"/>
              </w:rPr>
              <w:t>2</w:t>
            </w:r>
          </w:p>
        </w:tc>
        <w:tc>
          <w:tcPr>
            <w:tcW w:w="429" w:type="dxa"/>
            <w:shd w:val="clear" w:color="auto" w:fill="FABF8F"/>
            <w:vAlign w:val="center"/>
          </w:tcPr>
          <w:p w:rsidR="00A92422" w:rsidRPr="00D87B79" w:rsidRDefault="00A92422" w:rsidP="00EA30FC">
            <w:pPr>
              <w:pStyle w:val="TableText"/>
              <w:spacing w:after="120"/>
              <w:rPr>
                <w:rFonts w:ascii="Tahoma" w:hAnsi="Tahoma" w:cs="Tahoma"/>
                <w:sz w:val="13"/>
                <w:szCs w:val="13"/>
              </w:rPr>
            </w:pPr>
            <w:r w:rsidRPr="00D87B79">
              <w:rPr>
                <w:rFonts w:ascii="Tahoma" w:hAnsi="Tahoma" w:cs="Tahoma"/>
                <w:sz w:val="13"/>
                <w:szCs w:val="13"/>
              </w:rPr>
              <w:t>2</w:t>
            </w:r>
          </w:p>
        </w:tc>
        <w:tc>
          <w:tcPr>
            <w:tcW w:w="429" w:type="dxa"/>
            <w:shd w:val="clear" w:color="auto" w:fill="FABF8F"/>
            <w:vAlign w:val="center"/>
          </w:tcPr>
          <w:p w:rsidR="00A92422" w:rsidRPr="00D87B79" w:rsidRDefault="00A92422" w:rsidP="00EA30FC">
            <w:pPr>
              <w:pStyle w:val="TableText"/>
              <w:spacing w:after="120"/>
              <w:rPr>
                <w:rFonts w:ascii="Tahoma" w:hAnsi="Tahoma" w:cs="Tahoma"/>
                <w:sz w:val="13"/>
                <w:szCs w:val="13"/>
              </w:rPr>
            </w:pPr>
            <w:r w:rsidRPr="00D87B79">
              <w:rPr>
                <w:rFonts w:ascii="Tahoma" w:hAnsi="Tahoma" w:cs="Tahoma"/>
                <w:sz w:val="13"/>
                <w:szCs w:val="13"/>
              </w:rPr>
              <w:t>2</w:t>
            </w:r>
          </w:p>
        </w:tc>
        <w:tc>
          <w:tcPr>
            <w:tcW w:w="429" w:type="dxa"/>
            <w:shd w:val="clear" w:color="auto" w:fill="FABF8F"/>
            <w:vAlign w:val="center"/>
          </w:tcPr>
          <w:p w:rsidR="00A92422" w:rsidRPr="00D87B79" w:rsidRDefault="00A92422" w:rsidP="00EA30FC">
            <w:pPr>
              <w:pStyle w:val="TableText"/>
              <w:spacing w:after="120"/>
              <w:rPr>
                <w:rFonts w:ascii="Tahoma" w:hAnsi="Tahoma" w:cs="Tahoma"/>
                <w:sz w:val="13"/>
                <w:szCs w:val="13"/>
              </w:rPr>
            </w:pPr>
            <w:r w:rsidRPr="00D87B79">
              <w:rPr>
                <w:rFonts w:ascii="Tahoma" w:hAnsi="Tahoma" w:cs="Tahoma"/>
                <w:sz w:val="13"/>
                <w:szCs w:val="13"/>
              </w:rPr>
              <w:t>1</w:t>
            </w:r>
          </w:p>
        </w:tc>
        <w:tc>
          <w:tcPr>
            <w:tcW w:w="429" w:type="dxa"/>
            <w:tcBorders>
              <w:right w:val="single" w:sz="18" w:space="0" w:color="auto"/>
            </w:tcBorders>
            <w:shd w:val="clear" w:color="auto" w:fill="FABF8F"/>
            <w:vAlign w:val="center"/>
          </w:tcPr>
          <w:p w:rsidR="00A92422" w:rsidRPr="00D87B79" w:rsidRDefault="00A92422" w:rsidP="00EA30FC">
            <w:pPr>
              <w:pStyle w:val="TableText"/>
              <w:spacing w:after="120"/>
              <w:rPr>
                <w:rFonts w:ascii="Tahoma" w:hAnsi="Tahoma" w:cs="Tahoma"/>
                <w:sz w:val="13"/>
                <w:szCs w:val="13"/>
              </w:rPr>
            </w:pPr>
            <w:r w:rsidRPr="00D87B79">
              <w:rPr>
                <w:rFonts w:ascii="Tahoma" w:hAnsi="Tahoma" w:cs="Tahoma"/>
                <w:sz w:val="13"/>
              </w:rPr>
              <w:t>1</w:t>
            </w:r>
          </w:p>
        </w:tc>
        <w:tc>
          <w:tcPr>
            <w:tcW w:w="429" w:type="dxa"/>
            <w:tcBorders>
              <w:left w:val="single" w:sz="18" w:space="0" w:color="auto"/>
            </w:tcBorders>
            <w:shd w:val="clear" w:color="auto" w:fill="FABF8F"/>
            <w:vAlign w:val="center"/>
          </w:tcPr>
          <w:p w:rsidR="00A92422" w:rsidRPr="00D87B79" w:rsidRDefault="00A92422" w:rsidP="00EA30FC">
            <w:pPr>
              <w:pStyle w:val="TableText"/>
              <w:spacing w:after="120"/>
              <w:rPr>
                <w:rFonts w:ascii="Tahoma" w:hAnsi="Tahoma" w:cs="Tahoma"/>
                <w:sz w:val="13"/>
                <w:szCs w:val="13"/>
              </w:rPr>
            </w:pPr>
            <w:r w:rsidRPr="00D87B79">
              <w:rPr>
                <w:rFonts w:ascii="Tahoma" w:hAnsi="Tahoma" w:cs="Tahoma"/>
                <w:sz w:val="13"/>
                <w:szCs w:val="13"/>
              </w:rPr>
              <w:t>1</w:t>
            </w:r>
          </w:p>
        </w:tc>
        <w:tc>
          <w:tcPr>
            <w:tcW w:w="429" w:type="dxa"/>
            <w:shd w:val="clear" w:color="auto" w:fill="FABF8F"/>
            <w:vAlign w:val="center"/>
          </w:tcPr>
          <w:p w:rsidR="00A92422" w:rsidRPr="00D87B79" w:rsidRDefault="00A92422" w:rsidP="00EA30FC">
            <w:pPr>
              <w:pStyle w:val="TableText"/>
              <w:spacing w:after="120"/>
              <w:rPr>
                <w:rFonts w:ascii="Tahoma" w:hAnsi="Tahoma" w:cs="Tahoma"/>
                <w:sz w:val="13"/>
                <w:szCs w:val="13"/>
              </w:rPr>
            </w:pPr>
            <w:r w:rsidRPr="00D87B79">
              <w:rPr>
                <w:rFonts w:ascii="Tahoma" w:hAnsi="Tahoma" w:cs="Tahoma"/>
                <w:sz w:val="13"/>
                <w:szCs w:val="13"/>
              </w:rPr>
              <w:t>2</w:t>
            </w:r>
          </w:p>
        </w:tc>
        <w:tc>
          <w:tcPr>
            <w:tcW w:w="429" w:type="dxa"/>
            <w:tcBorders>
              <w:right w:val="single" w:sz="18" w:space="0" w:color="auto"/>
            </w:tcBorders>
            <w:shd w:val="clear" w:color="auto" w:fill="FABF8F"/>
            <w:vAlign w:val="center"/>
          </w:tcPr>
          <w:p w:rsidR="00A92422" w:rsidRPr="00D87B79" w:rsidRDefault="00A92422" w:rsidP="00EA30FC">
            <w:pPr>
              <w:pStyle w:val="TableText"/>
              <w:spacing w:after="120"/>
              <w:rPr>
                <w:rFonts w:ascii="Tahoma" w:hAnsi="Tahoma" w:cs="Tahoma"/>
                <w:sz w:val="13"/>
                <w:szCs w:val="13"/>
              </w:rPr>
            </w:pPr>
            <w:r w:rsidRPr="00D87B79">
              <w:rPr>
                <w:rFonts w:ascii="Tahoma" w:hAnsi="Tahoma" w:cs="Tahoma"/>
                <w:sz w:val="13"/>
                <w:szCs w:val="13"/>
              </w:rPr>
              <w:t>1</w:t>
            </w:r>
          </w:p>
        </w:tc>
        <w:tc>
          <w:tcPr>
            <w:tcW w:w="429" w:type="dxa"/>
            <w:tcBorders>
              <w:left w:val="single" w:sz="18" w:space="0" w:color="auto"/>
            </w:tcBorders>
            <w:shd w:val="clear" w:color="auto" w:fill="FABF8F"/>
            <w:vAlign w:val="center"/>
          </w:tcPr>
          <w:p w:rsidR="00A92422" w:rsidRPr="00D87B79" w:rsidRDefault="00A92422" w:rsidP="00EA30FC">
            <w:pPr>
              <w:pStyle w:val="TableText"/>
              <w:spacing w:after="120"/>
              <w:rPr>
                <w:rFonts w:ascii="Tahoma" w:hAnsi="Tahoma" w:cs="Tahoma"/>
                <w:sz w:val="13"/>
                <w:szCs w:val="13"/>
              </w:rPr>
            </w:pPr>
          </w:p>
        </w:tc>
        <w:tc>
          <w:tcPr>
            <w:tcW w:w="429"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P</w:t>
            </w:r>
          </w:p>
        </w:tc>
        <w:tc>
          <w:tcPr>
            <w:tcW w:w="461" w:type="dxa"/>
            <w:shd w:val="clear" w:color="auto" w:fill="FABF8F"/>
          </w:tcPr>
          <w:p w:rsidR="00A92422" w:rsidRPr="00D87B79" w:rsidRDefault="00A92422" w:rsidP="00EA30FC">
            <w:pPr>
              <w:pStyle w:val="TableText"/>
              <w:rPr>
                <w:rFonts w:ascii="Tahoma" w:hAnsi="Tahoma" w:cs="Tahoma"/>
                <w:sz w:val="13"/>
              </w:rPr>
            </w:pPr>
          </w:p>
        </w:tc>
        <w:tc>
          <w:tcPr>
            <w:tcW w:w="567" w:type="dxa"/>
            <w:shd w:val="clear" w:color="auto" w:fill="FABF8F"/>
            <w:vAlign w:val="center"/>
          </w:tcPr>
          <w:p w:rsidR="00A92422" w:rsidRPr="00D87B79" w:rsidRDefault="00A92422" w:rsidP="00EA30FC">
            <w:pPr>
              <w:pStyle w:val="TableText"/>
              <w:rPr>
                <w:rFonts w:ascii="Tahoma" w:hAnsi="Tahoma" w:cs="Tahoma"/>
                <w:sz w:val="13"/>
              </w:rPr>
            </w:pPr>
          </w:p>
        </w:tc>
      </w:tr>
      <w:tr w:rsidR="00A92422" w:rsidRPr="00D87B79" w:rsidTr="00EA30FC">
        <w:trPr>
          <w:cantSplit/>
          <w:trHeight w:val="145"/>
        </w:trPr>
        <w:tc>
          <w:tcPr>
            <w:tcW w:w="2638" w:type="dxa"/>
          </w:tcPr>
          <w:p w:rsidR="00A92422" w:rsidRPr="00BA1C75" w:rsidRDefault="00A92422" w:rsidP="00EA30FC">
            <w:pPr>
              <w:pStyle w:val="Heading3"/>
              <w:spacing w:beforeLines="20" w:before="48" w:afterLines="20" w:after="48"/>
              <w:rPr>
                <w:rFonts w:ascii="Tahoma" w:hAnsi="Tahoma" w:cs="Tahoma"/>
                <w:b w:val="0"/>
                <w:sz w:val="14"/>
                <w:szCs w:val="14"/>
              </w:rPr>
            </w:pPr>
            <w:bookmarkStart w:id="98" w:name="_Toc336337882"/>
            <w:bookmarkStart w:id="99" w:name="_Toc342899953"/>
            <w:bookmarkEnd w:id="98"/>
            <w:r w:rsidRPr="00BA1C75">
              <w:rPr>
                <w:rFonts w:ascii="Tahoma" w:hAnsi="Tahoma" w:cs="Tahoma"/>
                <w:b w:val="0"/>
                <w:sz w:val="14"/>
                <w:szCs w:val="14"/>
                <w:lang w:val="it-IT"/>
              </w:rPr>
              <w:t>Diritti di Noleggio per Office Standard</w:t>
            </w:r>
            <w:bookmarkEnd w:id="99"/>
          </w:p>
        </w:tc>
        <w:tc>
          <w:tcPr>
            <w:tcW w:w="429" w:type="dxa"/>
            <w:vAlign w:val="center"/>
          </w:tcPr>
          <w:p w:rsidR="00A92422" w:rsidRPr="000305C5" w:rsidRDefault="00A92422" w:rsidP="00EA30FC">
            <w:pPr>
              <w:pStyle w:val="TableText"/>
              <w:widowControl w:val="0"/>
              <w:rPr>
                <w:rStyle w:val="EndnoteReference"/>
                <w:rFonts w:cs="Tahoma"/>
                <w:b w:val="0"/>
                <w:color w:val="0000FF"/>
                <w:sz w:val="13"/>
                <w:szCs w:val="13"/>
                <w:u w:val="single"/>
              </w:rPr>
            </w:pPr>
            <w:hyperlink w:anchor="_14_Diritti_di" w:history="1">
              <w:r w:rsidRPr="000305C5">
                <w:rPr>
                  <w:rStyle w:val="Hyperlink"/>
                  <w:rFonts w:cs="Tahoma"/>
                  <w:b/>
                  <w:sz w:val="13"/>
                  <w:szCs w:val="13"/>
                </w:rPr>
                <w:t>14</w:t>
              </w:r>
            </w:hyperlink>
          </w:p>
        </w:tc>
        <w:tc>
          <w:tcPr>
            <w:tcW w:w="429" w:type="dxa"/>
            <w:vAlign w:val="center"/>
          </w:tcPr>
          <w:p w:rsidR="00A92422" w:rsidRPr="00D87B79" w:rsidRDefault="00A92422" w:rsidP="00EA30FC">
            <w:pPr>
              <w:pStyle w:val="TableText"/>
              <w:spacing w:before="60" w:after="60"/>
              <w:rPr>
                <w:rFonts w:ascii="Tahoma" w:hAnsi="Tahoma" w:cs="Tahoma"/>
                <w:sz w:val="13"/>
              </w:rPr>
            </w:pPr>
            <w:r w:rsidRPr="00D87B79">
              <w:rPr>
                <w:rFonts w:ascii="Tahoma" w:hAnsi="Tahoma" w:cs="Tahoma"/>
                <w:sz w:val="13"/>
              </w:rPr>
              <w:t>4/09</w:t>
            </w:r>
          </w:p>
        </w:tc>
        <w:tc>
          <w:tcPr>
            <w:tcW w:w="429" w:type="dxa"/>
            <w:tcBorders>
              <w:right w:val="single" w:sz="18" w:space="0" w:color="auto"/>
            </w:tcBorders>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DT</w:t>
            </w:r>
          </w:p>
        </w:tc>
        <w:tc>
          <w:tcPr>
            <w:tcW w:w="429" w:type="dxa"/>
            <w:tcBorders>
              <w:left w:val="single" w:sz="18" w:space="0" w:color="auto"/>
            </w:tcBorders>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vAlign w:val="center"/>
          </w:tcPr>
          <w:p w:rsidR="00A92422" w:rsidRPr="00D87B79" w:rsidRDefault="00A92422" w:rsidP="00EA30FC">
            <w:pPr>
              <w:pStyle w:val="TableText"/>
              <w:rPr>
                <w:rFonts w:ascii="Tahoma" w:hAnsi="Tahoma" w:cs="Tahoma"/>
                <w:sz w:val="13"/>
              </w:rPr>
            </w:pPr>
          </w:p>
        </w:tc>
        <w:tc>
          <w:tcPr>
            <w:tcW w:w="429" w:type="dxa"/>
            <w:vAlign w:val="center"/>
          </w:tcPr>
          <w:p w:rsidR="00A92422" w:rsidRPr="00D87B79" w:rsidRDefault="00A92422" w:rsidP="00EA30FC">
            <w:pPr>
              <w:pStyle w:val="TableText"/>
              <w:rPr>
                <w:rFonts w:ascii="Tahoma" w:hAnsi="Tahoma" w:cs="Tahoma"/>
                <w:sz w:val="13"/>
              </w:rPr>
            </w:pPr>
          </w:p>
        </w:tc>
        <w:tc>
          <w:tcPr>
            <w:tcW w:w="429" w:type="dxa"/>
            <w:vAlign w:val="center"/>
          </w:tcPr>
          <w:p w:rsidR="00A92422" w:rsidRPr="00D87B79" w:rsidRDefault="00A92422" w:rsidP="00EA30FC">
            <w:pPr>
              <w:pStyle w:val="TableText"/>
              <w:rPr>
                <w:rFonts w:ascii="Tahoma" w:hAnsi="Tahoma" w:cs="Tahoma"/>
                <w:sz w:val="13"/>
              </w:rPr>
            </w:pPr>
          </w:p>
        </w:tc>
        <w:tc>
          <w:tcPr>
            <w:tcW w:w="429" w:type="dxa"/>
            <w:vAlign w:val="center"/>
          </w:tcPr>
          <w:p w:rsidR="00A92422" w:rsidRPr="00D87B79" w:rsidRDefault="00A92422" w:rsidP="00EA30FC">
            <w:pPr>
              <w:pStyle w:val="TableText"/>
              <w:rPr>
                <w:rFonts w:ascii="Tahoma" w:hAnsi="Tahoma" w:cs="Tahoma"/>
                <w:sz w:val="13"/>
              </w:rPr>
            </w:pPr>
          </w:p>
        </w:tc>
        <w:tc>
          <w:tcPr>
            <w:tcW w:w="429" w:type="dxa"/>
            <w:vAlign w:val="center"/>
          </w:tcPr>
          <w:p w:rsidR="00A92422" w:rsidRPr="00D87B79" w:rsidRDefault="00A92422" w:rsidP="00EA30FC">
            <w:pPr>
              <w:pStyle w:val="TableText"/>
              <w:rPr>
                <w:rFonts w:ascii="Tahoma" w:hAnsi="Tahoma" w:cs="Tahoma"/>
                <w:sz w:val="13"/>
              </w:rPr>
            </w:pPr>
          </w:p>
        </w:tc>
        <w:tc>
          <w:tcPr>
            <w:tcW w:w="429" w:type="dxa"/>
            <w:tcBorders>
              <w:right w:val="single" w:sz="18" w:space="0" w:color="auto"/>
            </w:tcBorders>
            <w:vAlign w:val="center"/>
          </w:tcPr>
          <w:p w:rsidR="00A92422" w:rsidRPr="00D87B79" w:rsidRDefault="00A92422" w:rsidP="00EA30FC">
            <w:pPr>
              <w:pStyle w:val="TableText"/>
              <w:rPr>
                <w:rFonts w:ascii="Tahoma" w:hAnsi="Tahoma" w:cs="Tahoma"/>
                <w:sz w:val="13"/>
              </w:rPr>
            </w:pPr>
          </w:p>
        </w:tc>
        <w:tc>
          <w:tcPr>
            <w:tcW w:w="429" w:type="dxa"/>
            <w:tcBorders>
              <w:left w:val="single" w:sz="18" w:space="0" w:color="auto"/>
            </w:tcBorders>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vAlign w:val="center"/>
          </w:tcPr>
          <w:p w:rsidR="00A92422" w:rsidRPr="00D87B79" w:rsidRDefault="00A92422" w:rsidP="00EA30FC">
            <w:pPr>
              <w:pStyle w:val="TableText"/>
              <w:rPr>
                <w:rFonts w:ascii="Tahoma" w:hAnsi="Tahoma" w:cs="Tahoma"/>
                <w:sz w:val="13"/>
              </w:rPr>
            </w:pPr>
          </w:p>
        </w:tc>
        <w:tc>
          <w:tcPr>
            <w:tcW w:w="429" w:type="dxa"/>
            <w:tcBorders>
              <w:right w:val="single" w:sz="18" w:space="0" w:color="auto"/>
            </w:tcBorders>
            <w:vAlign w:val="center"/>
          </w:tcPr>
          <w:p w:rsidR="00A92422" w:rsidRPr="00D87B79" w:rsidRDefault="00A92422" w:rsidP="00EA30FC">
            <w:pPr>
              <w:pStyle w:val="TableText"/>
              <w:rPr>
                <w:rFonts w:ascii="Tahoma" w:hAnsi="Tahoma" w:cs="Tahoma"/>
                <w:sz w:val="13"/>
              </w:rPr>
            </w:pPr>
          </w:p>
        </w:tc>
        <w:tc>
          <w:tcPr>
            <w:tcW w:w="429" w:type="dxa"/>
            <w:tcBorders>
              <w:left w:val="single" w:sz="18" w:space="0" w:color="auto"/>
            </w:tcBorders>
            <w:vAlign w:val="center"/>
          </w:tcPr>
          <w:p w:rsidR="00A92422" w:rsidRPr="00D87B79" w:rsidRDefault="00A92422" w:rsidP="00EA30FC">
            <w:pPr>
              <w:pStyle w:val="TableText"/>
              <w:rPr>
                <w:rFonts w:ascii="Tahoma" w:hAnsi="Tahoma" w:cs="Tahoma"/>
                <w:sz w:val="13"/>
              </w:rPr>
            </w:pPr>
          </w:p>
        </w:tc>
        <w:tc>
          <w:tcPr>
            <w:tcW w:w="429" w:type="dxa"/>
            <w:tcBorders>
              <w:right w:val="single" w:sz="18" w:space="0" w:color="auto"/>
            </w:tcBorders>
            <w:vAlign w:val="center"/>
          </w:tcPr>
          <w:p w:rsidR="00A92422" w:rsidRPr="00D87B79" w:rsidRDefault="00A92422" w:rsidP="00EA30FC">
            <w:pPr>
              <w:pStyle w:val="TableText"/>
              <w:rPr>
                <w:rFonts w:ascii="Tahoma" w:hAnsi="Tahoma" w:cs="Tahoma"/>
                <w:sz w:val="13"/>
              </w:rPr>
            </w:pPr>
          </w:p>
        </w:tc>
        <w:tc>
          <w:tcPr>
            <w:tcW w:w="429" w:type="dxa"/>
            <w:tcBorders>
              <w:left w:val="single" w:sz="18" w:space="0" w:color="auto"/>
              <w:right w:val="single" w:sz="18" w:space="0" w:color="auto"/>
            </w:tcBorders>
            <w:vAlign w:val="center"/>
          </w:tcPr>
          <w:p w:rsidR="00A92422" w:rsidRPr="00D87B79" w:rsidRDefault="00A92422" w:rsidP="00EA30FC">
            <w:pPr>
              <w:pStyle w:val="TableText"/>
              <w:rPr>
                <w:rFonts w:ascii="Tahoma" w:hAnsi="Tahoma" w:cs="Tahoma"/>
                <w:sz w:val="13"/>
              </w:rPr>
            </w:pPr>
          </w:p>
        </w:tc>
        <w:tc>
          <w:tcPr>
            <w:tcW w:w="461" w:type="dxa"/>
          </w:tcPr>
          <w:p w:rsidR="00A92422" w:rsidRPr="00D87B79" w:rsidRDefault="00A92422" w:rsidP="00EA30FC">
            <w:pPr>
              <w:pStyle w:val="TableText"/>
              <w:rPr>
                <w:rFonts w:ascii="Tahoma" w:hAnsi="Tahoma" w:cs="Tahoma"/>
                <w:sz w:val="13"/>
              </w:rPr>
            </w:pPr>
          </w:p>
        </w:tc>
        <w:tc>
          <w:tcPr>
            <w:tcW w:w="567" w:type="dxa"/>
            <w:vAlign w:val="center"/>
          </w:tcPr>
          <w:p w:rsidR="00A92422" w:rsidRPr="00D87B79" w:rsidRDefault="00A92422" w:rsidP="00EA30FC">
            <w:pPr>
              <w:pStyle w:val="TableText"/>
              <w:rPr>
                <w:rFonts w:ascii="Tahoma" w:hAnsi="Tahoma" w:cs="Tahoma"/>
                <w:sz w:val="13"/>
              </w:rPr>
            </w:pPr>
          </w:p>
        </w:tc>
      </w:tr>
      <w:tr w:rsidR="00A92422" w:rsidRPr="00D87B79" w:rsidTr="00EA30FC">
        <w:trPr>
          <w:cantSplit/>
          <w:trHeight w:val="145"/>
        </w:trPr>
        <w:tc>
          <w:tcPr>
            <w:tcW w:w="2638" w:type="dxa"/>
            <w:shd w:val="clear" w:color="auto" w:fill="FABF8F"/>
          </w:tcPr>
          <w:p w:rsidR="00A92422" w:rsidRPr="00BA1C75" w:rsidRDefault="00A92422" w:rsidP="00EA30FC">
            <w:pPr>
              <w:pStyle w:val="Heading3"/>
              <w:spacing w:beforeLines="20" w:before="48" w:afterLines="20" w:after="48"/>
              <w:rPr>
                <w:rFonts w:ascii="Tahoma" w:hAnsi="Tahoma" w:cs="Tahoma"/>
                <w:b w:val="0"/>
                <w:sz w:val="14"/>
                <w:szCs w:val="14"/>
              </w:rPr>
            </w:pPr>
            <w:bookmarkStart w:id="100" w:name="_Toc342899954"/>
            <w:r w:rsidRPr="00BA1C75">
              <w:rPr>
                <w:rFonts w:ascii="Tahoma" w:hAnsi="Tahoma" w:cs="Tahoma"/>
                <w:b w:val="0"/>
                <w:sz w:val="14"/>
                <w:szCs w:val="14"/>
                <w:lang w:val="it-IT"/>
              </w:rPr>
              <w:t>Diritto di Noleggio per Office Professional</w:t>
            </w:r>
            <w:r>
              <w:rPr>
                <w:rFonts w:ascii="Tahoma" w:hAnsi="Tahoma" w:cs="Tahoma"/>
                <w:b w:val="0"/>
                <w:sz w:val="14"/>
                <w:szCs w:val="14"/>
                <w:lang w:val="it-IT"/>
              </w:rPr>
              <w:t> </w:t>
            </w:r>
            <w:r w:rsidRPr="00BA1C75">
              <w:rPr>
                <w:rFonts w:ascii="Tahoma" w:hAnsi="Tahoma" w:cs="Tahoma"/>
                <w:b w:val="0"/>
                <w:sz w:val="14"/>
                <w:szCs w:val="14"/>
                <w:lang w:val="it-IT"/>
              </w:rPr>
              <w:t>Plus</w:t>
            </w:r>
            <w:bookmarkEnd w:id="100"/>
          </w:p>
        </w:tc>
        <w:bookmarkStart w:id="101" w:name="_Hlt335908495"/>
        <w:bookmarkEnd w:id="101"/>
        <w:tc>
          <w:tcPr>
            <w:tcW w:w="429" w:type="dxa"/>
            <w:shd w:val="clear" w:color="auto" w:fill="FABF8F"/>
            <w:vAlign w:val="center"/>
          </w:tcPr>
          <w:p w:rsidR="00A92422" w:rsidRPr="000305C5" w:rsidRDefault="00A92422" w:rsidP="00EA30FC">
            <w:pPr>
              <w:pStyle w:val="TableText"/>
              <w:widowControl w:val="0"/>
              <w:rPr>
                <w:rStyle w:val="EndnoteReference"/>
                <w:rFonts w:cs="Tahoma"/>
                <w:b w:val="0"/>
                <w:color w:val="0000FF"/>
                <w:sz w:val="13"/>
                <w:szCs w:val="13"/>
                <w:u w:val="single"/>
              </w:rPr>
            </w:pPr>
            <w:r>
              <w:fldChar w:fldCharType="begin"/>
            </w:r>
            <w:r>
              <w:instrText>HYPERLINK  \l "_14_Diritti_di"</w:instrText>
            </w:r>
            <w:r>
              <w:fldChar w:fldCharType="separate"/>
            </w:r>
            <w:r w:rsidRPr="000305C5">
              <w:rPr>
                <w:rStyle w:val="Hyperlink"/>
                <w:rFonts w:cs="Tahoma"/>
                <w:b/>
                <w:sz w:val="13"/>
                <w:szCs w:val="13"/>
              </w:rPr>
              <w:t>14</w:t>
            </w:r>
            <w:r>
              <w:rPr>
                <w:rStyle w:val="Hyperlink"/>
                <w:rFonts w:cs="Tahoma"/>
                <w:b/>
                <w:sz w:val="13"/>
                <w:szCs w:val="13"/>
              </w:rPr>
              <w:fldChar w:fldCharType="end"/>
            </w:r>
          </w:p>
        </w:tc>
        <w:tc>
          <w:tcPr>
            <w:tcW w:w="429" w:type="dxa"/>
            <w:shd w:val="clear" w:color="auto" w:fill="FABF8F"/>
            <w:vAlign w:val="center"/>
          </w:tcPr>
          <w:p w:rsidR="00A92422" w:rsidRPr="00D87B79" w:rsidRDefault="00A92422" w:rsidP="00EA30FC">
            <w:pPr>
              <w:pStyle w:val="TableText"/>
              <w:spacing w:before="60" w:after="60"/>
              <w:rPr>
                <w:rFonts w:ascii="Tahoma" w:hAnsi="Tahoma" w:cs="Tahoma"/>
                <w:sz w:val="13"/>
              </w:rPr>
            </w:pPr>
            <w:r w:rsidRPr="00D87B79">
              <w:rPr>
                <w:rFonts w:ascii="Tahoma" w:hAnsi="Tahoma" w:cs="Tahoma"/>
                <w:sz w:val="13"/>
              </w:rPr>
              <w:t>4/09</w:t>
            </w:r>
          </w:p>
        </w:tc>
        <w:tc>
          <w:tcPr>
            <w:tcW w:w="429"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DT</w:t>
            </w:r>
          </w:p>
        </w:tc>
        <w:tc>
          <w:tcPr>
            <w:tcW w:w="429" w:type="dxa"/>
            <w:tcBorders>
              <w:lef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shd w:val="clear" w:color="auto" w:fill="FABF8F"/>
            <w:vAlign w:val="center"/>
          </w:tcPr>
          <w:p w:rsidR="00A92422" w:rsidRPr="00D87B79" w:rsidRDefault="00A92422" w:rsidP="00EA30FC">
            <w:pPr>
              <w:pStyle w:val="TableText"/>
              <w:rPr>
                <w:rFonts w:ascii="Tahoma" w:hAnsi="Tahoma" w:cs="Tahoma"/>
                <w:sz w:val="13"/>
              </w:rPr>
            </w:pPr>
          </w:p>
        </w:tc>
        <w:tc>
          <w:tcPr>
            <w:tcW w:w="429" w:type="dxa"/>
            <w:shd w:val="clear" w:color="auto" w:fill="FABF8F"/>
            <w:vAlign w:val="center"/>
          </w:tcPr>
          <w:p w:rsidR="00A92422" w:rsidRPr="00D87B79" w:rsidRDefault="00A92422" w:rsidP="00EA30FC">
            <w:pPr>
              <w:pStyle w:val="TableText"/>
              <w:rPr>
                <w:rFonts w:ascii="Tahoma" w:hAnsi="Tahoma" w:cs="Tahoma"/>
                <w:sz w:val="13"/>
              </w:rPr>
            </w:pPr>
          </w:p>
        </w:tc>
        <w:tc>
          <w:tcPr>
            <w:tcW w:w="429" w:type="dxa"/>
            <w:shd w:val="clear" w:color="auto" w:fill="FABF8F"/>
            <w:vAlign w:val="center"/>
          </w:tcPr>
          <w:p w:rsidR="00A92422" w:rsidRPr="00D87B79" w:rsidRDefault="00A92422" w:rsidP="00EA30FC">
            <w:pPr>
              <w:pStyle w:val="TableText"/>
              <w:rPr>
                <w:rFonts w:ascii="Tahoma" w:hAnsi="Tahoma" w:cs="Tahoma"/>
                <w:sz w:val="13"/>
              </w:rPr>
            </w:pPr>
          </w:p>
        </w:tc>
        <w:tc>
          <w:tcPr>
            <w:tcW w:w="429" w:type="dxa"/>
            <w:shd w:val="clear" w:color="auto" w:fill="FABF8F"/>
            <w:vAlign w:val="center"/>
          </w:tcPr>
          <w:p w:rsidR="00A92422" w:rsidRPr="00D87B79" w:rsidRDefault="00A92422" w:rsidP="00EA30FC">
            <w:pPr>
              <w:pStyle w:val="TableText"/>
              <w:rPr>
                <w:rFonts w:ascii="Tahoma" w:hAnsi="Tahoma" w:cs="Tahoma"/>
                <w:sz w:val="13"/>
              </w:rPr>
            </w:pPr>
          </w:p>
        </w:tc>
        <w:tc>
          <w:tcPr>
            <w:tcW w:w="429" w:type="dxa"/>
            <w:shd w:val="clear" w:color="auto" w:fill="FABF8F"/>
            <w:vAlign w:val="center"/>
          </w:tcPr>
          <w:p w:rsidR="00A92422" w:rsidRPr="00D87B79" w:rsidRDefault="00A92422" w:rsidP="00EA30FC">
            <w:pPr>
              <w:pStyle w:val="TableText"/>
              <w:rPr>
                <w:rFonts w:ascii="Tahoma" w:hAnsi="Tahoma" w:cs="Tahoma"/>
                <w:sz w:val="13"/>
              </w:rPr>
            </w:pPr>
          </w:p>
        </w:tc>
        <w:tc>
          <w:tcPr>
            <w:tcW w:w="429"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p>
        </w:tc>
        <w:tc>
          <w:tcPr>
            <w:tcW w:w="429" w:type="dxa"/>
            <w:tcBorders>
              <w:lef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shd w:val="clear" w:color="auto" w:fill="FABF8F"/>
            <w:vAlign w:val="center"/>
          </w:tcPr>
          <w:p w:rsidR="00A92422" w:rsidRPr="00D87B79" w:rsidRDefault="00A92422" w:rsidP="00EA30FC">
            <w:pPr>
              <w:pStyle w:val="TableText"/>
              <w:rPr>
                <w:rFonts w:ascii="Tahoma" w:hAnsi="Tahoma" w:cs="Tahoma"/>
                <w:sz w:val="13"/>
              </w:rPr>
            </w:pPr>
          </w:p>
        </w:tc>
        <w:tc>
          <w:tcPr>
            <w:tcW w:w="429"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p>
        </w:tc>
        <w:tc>
          <w:tcPr>
            <w:tcW w:w="429" w:type="dxa"/>
            <w:tcBorders>
              <w:lef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p>
        </w:tc>
        <w:tc>
          <w:tcPr>
            <w:tcW w:w="429"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p>
        </w:tc>
        <w:tc>
          <w:tcPr>
            <w:tcW w:w="461" w:type="dxa"/>
            <w:shd w:val="clear" w:color="auto" w:fill="FABF8F"/>
          </w:tcPr>
          <w:p w:rsidR="00A92422" w:rsidRPr="00D87B79" w:rsidRDefault="00A92422" w:rsidP="00EA30FC">
            <w:pPr>
              <w:pStyle w:val="TableText"/>
              <w:rPr>
                <w:rFonts w:ascii="Tahoma" w:hAnsi="Tahoma" w:cs="Tahoma"/>
                <w:sz w:val="13"/>
              </w:rPr>
            </w:pPr>
          </w:p>
        </w:tc>
        <w:tc>
          <w:tcPr>
            <w:tcW w:w="567" w:type="dxa"/>
            <w:shd w:val="clear" w:color="auto" w:fill="FABF8F"/>
            <w:vAlign w:val="center"/>
          </w:tcPr>
          <w:p w:rsidR="00A92422" w:rsidRPr="00D87B79" w:rsidRDefault="00A92422" w:rsidP="00EA30FC">
            <w:pPr>
              <w:pStyle w:val="TableText"/>
              <w:rPr>
                <w:rFonts w:ascii="Tahoma" w:hAnsi="Tahoma" w:cs="Tahoma"/>
                <w:sz w:val="13"/>
              </w:rPr>
            </w:pPr>
          </w:p>
        </w:tc>
      </w:tr>
      <w:tr w:rsidR="00A92422" w:rsidRPr="00D87B79" w:rsidTr="00EA30FC">
        <w:trPr>
          <w:cantSplit/>
          <w:trHeight w:val="145"/>
        </w:trPr>
        <w:tc>
          <w:tcPr>
            <w:tcW w:w="2638" w:type="dxa"/>
          </w:tcPr>
          <w:p w:rsidR="00A92422" w:rsidRPr="00BA1C75" w:rsidRDefault="00A92422" w:rsidP="00EA30FC">
            <w:pPr>
              <w:pStyle w:val="Heading3"/>
              <w:spacing w:beforeLines="20" w:before="48" w:afterLines="20" w:after="48"/>
              <w:rPr>
                <w:rFonts w:ascii="Tahoma" w:hAnsi="Tahoma" w:cs="Tahoma"/>
                <w:b w:val="0"/>
                <w:sz w:val="14"/>
                <w:szCs w:val="14"/>
              </w:rPr>
            </w:pPr>
            <w:bookmarkStart w:id="102" w:name="_Toc336337884"/>
            <w:bookmarkStart w:id="103" w:name="_Toc342899955"/>
            <w:bookmarkEnd w:id="102"/>
            <w:r w:rsidRPr="00BA1C75">
              <w:rPr>
                <w:rFonts w:ascii="Tahoma" w:hAnsi="Tahoma" w:cs="Tahoma"/>
                <w:b w:val="0"/>
                <w:sz w:val="14"/>
                <w:szCs w:val="14"/>
                <w:lang w:val="it-IT"/>
              </w:rPr>
              <w:t>Streets and Trips 2013</w:t>
            </w:r>
            <w:bookmarkEnd w:id="103"/>
          </w:p>
        </w:tc>
        <w:tc>
          <w:tcPr>
            <w:tcW w:w="429" w:type="dxa"/>
            <w:vAlign w:val="center"/>
          </w:tcPr>
          <w:p w:rsidR="00A92422" w:rsidRPr="000305C5" w:rsidRDefault="00A92422" w:rsidP="00EA30FC">
            <w:pPr>
              <w:pStyle w:val="TableText"/>
              <w:widowControl w:val="0"/>
              <w:rPr>
                <w:rStyle w:val="EndnoteReference"/>
                <w:rFonts w:cs="Tahoma"/>
                <w:color w:val="0000FF"/>
                <w:sz w:val="13"/>
                <w:szCs w:val="13"/>
                <w:u w:val="single"/>
              </w:rPr>
            </w:pPr>
          </w:p>
        </w:tc>
        <w:tc>
          <w:tcPr>
            <w:tcW w:w="429" w:type="dxa"/>
            <w:vAlign w:val="center"/>
          </w:tcPr>
          <w:p w:rsidR="00A92422" w:rsidRPr="00D87B79" w:rsidRDefault="00A92422" w:rsidP="00EA30FC">
            <w:pPr>
              <w:pStyle w:val="TableText"/>
              <w:spacing w:before="60" w:after="60"/>
              <w:rPr>
                <w:rFonts w:ascii="Tahoma" w:hAnsi="Tahoma" w:cs="Tahoma"/>
                <w:sz w:val="13"/>
              </w:rPr>
            </w:pPr>
            <w:r w:rsidRPr="00D87B79">
              <w:rPr>
                <w:rFonts w:ascii="Tahoma" w:hAnsi="Tahoma" w:cs="Tahoma"/>
                <w:sz w:val="13"/>
              </w:rPr>
              <w:t>03/11</w:t>
            </w:r>
          </w:p>
        </w:tc>
        <w:tc>
          <w:tcPr>
            <w:tcW w:w="429" w:type="dxa"/>
            <w:tcBorders>
              <w:right w:val="single" w:sz="18" w:space="0" w:color="auto"/>
            </w:tcBorders>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DT</w:t>
            </w:r>
          </w:p>
        </w:tc>
        <w:tc>
          <w:tcPr>
            <w:tcW w:w="429" w:type="dxa"/>
            <w:tcBorders>
              <w:left w:val="single" w:sz="18" w:space="0" w:color="auto"/>
            </w:tcBorders>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3</w:t>
            </w:r>
          </w:p>
        </w:tc>
        <w:tc>
          <w:tcPr>
            <w:tcW w:w="429" w:type="dxa"/>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29" w:type="dxa"/>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29" w:type="dxa"/>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29" w:type="dxa"/>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tcBorders>
              <w:right w:val="single" w:sz="18" w:space="0" w:color="auto"/>
            </w:tcBorders>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tcBorders>
              <w:left w:val="single" w:sz="18" w:space="0" w:color="auto"/>
            </w:tcBorders>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29" w:type="dxa"/>
            <w:tcBorders>
              <w:right w:val="single" w:sz="18" w:space="0" w:color="auto"/>
            </w:tcBorders>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tcBorders>
              <w:left w:val="single" w:sz="18" w:space="0" w:color="auto"/>
            </w:tcBorders>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tcBorders>
              <w:right w:val="single" w:sz="18" w:space="0" w:color="auto"/>
            </w:tcBorders>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A</w:t>
            </w:r>
          </w:p>
        </w:tc>
        <w:tc>
          <w:tcPr>
            <w:tcW w:w="429" w:type="dxa"/>
            <w:tcBorders>
              <w:left w:val="single" w:sz="18" w:space="0" w:color="auto"/>
              <w:right w:val="single" w:sz="18" w:space="0" w:color="auto"/>
            </w:tcBorders>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P</w:t>
            </w:r>
          </w:p>
        </w:tc>
        <w:tc>
          <w:tcPr>
            <w:tcW w:w="461" w:type="dxa"/>
          </w:tcPr>
          <w:p w:rsidR="00A92422" w:rsidRPr="00D87B79" w:rsidRDefault="00A92422" w:rsidP="00EA30FC">
            <w:pPr>
              <w:pStyle w:val="TableText"/>
              <w:rPr>
                <w:rFonts w:ascii="Tahoma" w:hAnsi="Tahoma" w:cs="Tahoma"/>
                <w:sz w:val="13"/>
              </w:rPr>
            </w:pPr>
            <w:r w:rsidRPr="00D87B79">
              <w:rPr>
                <w:rFonts w:ascii="Tahoma" w:hAnsi="Tahoma" w:cs="Tahoma"/>
                <w:sz w:val="13"/>
                <w:lang w:val="it-IT"/>
              </w:rPr>
              <w:t>A, ST</w:t>
            </w:r>
          </w:p>
        </w:tc>
        <w:tc>
          <w:tcPr>
            <w:tcW w:w="567" w:type="dxa"/>
            <w:vAlign w:val="center"/>
          </w:tcPr>
          <w:p w:rsidR="00A92422" w:rsidRPr="00D87B79" w:rsidRDefault="00A92422" w:rsidP="00EA30FC">
            <w:pPr>
              <w:pStyle w:val="TableText"/>
              <w:rPr>
                <w:rFonts w:ascii="Tahoma" w:hAnsi="Tahoma" w:cs="Tahoma"/>
                <w:sz w:val="13"/>
              </w:rPr>
            </w:pPr>
          </w:p>
        </w:tc>
      </w:tr>
      <w:tr w:rsidR="00A92422" w:rsidRPr="00D87B79" w:rsidTr="00EA30FC">
        <w:trPr>
          <w:cantSplit/>
          <w:trHeight w:val="145"/>
        </w:trPr>
        <w:tc>
          <w:tcPr>
            <w:tcW w:w="2638" w:type="dxa"/>
            <w:shd w:val="clear" w:color="auto" w:fill="FABF8F"/>
          </w:tcPr>
          <w:p w:rsidR="00A92422" w:rsidRPr="00BA1C75" w:rsidRDefault="00A92422" w:rsidP="00EA30FC">
            <w:pPr>
              <w:pStyle w:val="Heading3"/>
              <w:spacing w:beforeLines="20" w:before="48" w:afterLines="20" w:after="48"/>
              <w:rPr>
                <w:rFonts w:ascii="Tahoma" w:hAnsi="Tahoma" w:cs="Tahoma"/>
                <w:b w:val="0"/>
                <w:sz w:val="14"/>
                <w:szCs w:val="14"/>
              </w:rPr>
            </w:pPr>
            <w:bookmarkStart w:id="104" w:name="_Toc336337886"/>
            <w:bookmarkStart w:id="105" w:name="_Toc342899956"/>
            <w:bookmarkEnd w:id="104"/>
            <w:r w:rsidRPr="00BA1C75">
              <w:rPr>
                <w:rFonts w:ascii="Tahoma" w:hAnsi="Tahoma" w:cs="Tahoma"/>
                <w:b w:val="0"/>
                <w:sz w:val="14"/>
                <w:szCs w:val="14"/>
                <w:lang w:val="it-IT"/>
              </w:rPr>
              <w:t>Visio</w:t>
            </w:r>
            <w:r w:rsidRPr="003A0F2F">
              <w:rPr>
                <w:rFonts w:ascii="Tahoma" w:hAnsi="Tahoma" w:cs="Tahoma"/>
                <w:b w:val="0"/>
                <w:sz w:val="14"/>
                <w:szCs w:val="14"/>
                <w:vertAlign w:val="superscript"/>
                <w:lang w:val="it-IT"/>
              </w:rPr>
              <w:t>®</w:t>
            </w:r>
            <w:r w:rsidRPr="00BA1C75">
              <w:rPr>
                <w:rFonts w:ascii="Tahoma" w:hAnsi="Tahoma" w:cs="Tahoma"/>
                <w:b w:val="0"/>
                <w:sz w:val="14"/>
                <w:szCs w:val="14"/>
                <w:lang w:val="it-IT"/>
              </w:rPr>
              <w:t xml:space="preserve"> 2013 Professional</w:t>
            </w:r>
            <w:bookmarkEnd w:id="105"/>
            <w:r w:rsidRPr="00BA1C75">
              <w:rPr>
                <w:rFonts w:ascii="Tahoma" w:hAnsi="Tahoma" w:cs="Tahoma"/>
                <w:sz w:val="14"/>
                <w:szCs w:val="14"/>
              </w:rPr>
              <w:t xml:space="preserve"> </w:t>
            </w:r>
          </w:p>
        </w:tc>
        <w:tc>
          <w:tcPr>
            <w:tcW w:w="429" w:type="dxa"/>
            <w:shd w:val="clear" w:color="auto" w:fill="FABF8F"/>
            <w:vAlign w:val="center"/>
          </w:tcPr>
          <w:p w:rsidR="00A92422" w:rsidRPr="000305C5" w:rsidRDefault="00A92422" w:rsidP="00EA30FC">
            <w:pPr>
              <w:pStyle w:val="TableText"/>
              <w:widowControl w:val="0"/>
              <w:rPr>
                <w:rStyle w:val="EndnoteReference"/>
                <w:rFonts w:cs="Tahoma"/>
                <w:b w:val="0"/>
                <w:color w:val="0000FF"/>
                <w:sz w:val="13"/>
                <w:szCs w:val="13"/>
                <w:u w:val="single"/>
              </w:rPr>
            </w:pPr>
            <w:hyperlink w:anchor="_15_Visio_Professional" w:history="1">
              <w:r w:rsidRPr="000305C5">
                <w:rPr>
                  <w:rStyle w:val="Hyperlink"/>
                  <w:rFonts w:cs="Tahoma"/>
                  <w:b/>
                  <w:sz w:val="13"/>
                  <w:szCs w:val="13"/>
                </w:rPr>
                <w:t>15</w:t>
              </w:r>
            </w:hyperlink>
          </w:p>
        </w:tc>
        <w:tc>
          <w:tcPr>
            <w:tcW w:w="429" w:type="dxa"/>
            <w:shd w:val="clear" w:color="auto" w:fill="FABF8F"/>
            <w:vAlign w:val="center"/>
          </w:tcPr>
          <w:p w:rsidR="00A92422" w:rsidRPr="00D87B79" w:rsidRDefault="00A92422" w:rsidP="00EA30FC">
            <w:pPr>
              <w:pStyle w:val="TableText"/>
              <w:spacing w:before="60" w:after="60"/>
              <w:rPr>
                <w:rFonts w:ascii="Tahoma" w:hAnsi="Tahoma" w:cs="Tahoma"/>
                <w:sz w:val="13"/>
              </w:rPr>
            </w:pPr>
            <w:r w:rsidRPr="00D87B79">
              <w:rPr>
                <w:rFonts w:ascii="Tahoma" w:hAnsi="Tahoma" w:cs="Tahoma"/>
                <w:sz w:val="13"/>
              </w:rPr>
              <w:t>10/12</w:t>
            </w:r>
          </w:p>
        </w:tc>
        <w:tc>
          <w:tcPr>
            <w:tcW w:w="429"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DT</w:t>
            </w:r>
          </w:p>
        </w:tc>
        <w:tc>
          <w:tcPr>
            <w:tcW w:w="429" w:type="dxa"/>
            <w:tcBorders>
              <w:lef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29" w:type="dxa"/>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5</w:t>
            </w:r>
          </w:p>
        </w:tc>
        <w:tc>
          <w:tcPr>
            <w:tcW w:w="429" w:type="dxa"/>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4</w:t>
            </w:r>
          </w:p>
        </w:tc>
        <w:tc>
          <w:tcPr>
            <w:tcW w:w="429" w:type="dxa"/>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3</w:t>
            </w:r>
          </w:p>
        </w:tc>
        <w:tc>
          <w:tcPr>
            <w:tcW w:w="429" w:type="dxa"/>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3</w:t>
            </w:r>
          </w:p>
        </w:tc>
        <w:tc>
          <w:tcPr>
            <w:tcW w:w="429" w:type="dxa"/>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29"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tcBorders>
              <w:lef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29" w:type="dxa"/>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4</w:t>
            </w:r>
          </w:p>
        </w:tc>
        <w:tc>
          <w:tcPr>
            <w:tcW w:w="429"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29" w:type="dxa"/>
            <w:tcBorders>
              <w:lef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p>
        </w:tc>
        <w:tc>
          <w:tcPr>
            <w:tcW w:w="429"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A</w:t>
            </w:r>
          </w:p>
        </w:tc>
        <w:tc>
          <w:tcPr>
            <w:tcW w:w="429"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P</w:t>
            </w:r>
          </w:p>
        </w:tc>
        <w:tc>
          <w:tcPr>
            <w:tcW w:w="461" w:type="dxa"/>
            <w:shd w:val="clear" w:color="auto" w:fill="FABF8F"/>
          </w:tcPr>
          <w:p w:rsidR="00A92422" w:rsidRPr="00D87B79" w:rsidRDefault="00A92422" w:rsidP="00EA30FC">
            <w:pPr>
              <w:pStyle w:val="TableText"/>
              <w:rPr>
                <w:rFonts w:ascii="Tahoma" w:hAnsi="Tahoma" w:cs="Tahoma"/>
                <w:sz w:val="13"/>
              </w:rPr>
            </w:pPr>
          </w:p>
        </w:tc>
        <w:tc>
          <w:tcPr>
            <w:tcW w:w="567" w:type="dxa"/>
            <w:shd w:val="clear" w:color="auto" w:fill="FABF8F"/>
            <w:vAlign w:val="center"/>
          </w:tcPr>
          <w:p w:rsidR="00A92422" w:rsidRPr="00D87B79" w:rsidRDefault="00A92422" w:rsidP="00EA30FC">
            <w:pPr>
              <w:pStyle w:val="TableText"/>
              <w:rPr>
                <w:rFonts w:ascii="Tahoma" w:hAnsi="Tahoma" w:cs="Tahoma"/>
                <w:sz w:val="13"/>
              </w:rPr>
            </w:pPr>
          </w:p>
        </w:tc>
      </w:tr>
      <w:tr w:rsidR="00A92422" w:rsidRPr="00D87B79" w:rsidTr="00EA30FC">
        <w:trPr>
          <w:cantSplit/>
          <w:trHeight w:val="145"/>
        </w:trPr>
        <w:tc>
          <w:tcPr>
            <w:tcW w:w="2638" w:type="dxa"/>
          </w:tcPr>
          <w:p w:rsidR="00A92422" w:rsidRPr="00BA1C75" w:rsidRDefault="00A92422" w:rsidP="00EA30FC">
            <w:pPr>
              <w:pStyle w:val="Heading3"/>
              <w:spacing w:beforeLines="20" w:before="48" w:afterLines="20" w:after="48"/>
              <w:rPr>
                <w:rFonts w:ascii="Tahoma" w:hAnsi="Tahoma" w:cs="Tahoma"/>
                <w:b w:val="0"/>
                <w:sz w:val="14"/>
                <w:szCs w:val="14"/>
              </w:rPr>
            </w:pPr>
            <w:bookmarkStart w:id="106" w:name="_Toc336337887"/>
            <w:bookmarkStart w:id="107" w:name="_Toc342899957"/>
            <w:bookmarkEnd w:id="106"/>
            <w:r w:rsidRPr="00BA1C75">
              <w:rPr>
                <w:rFonts w:ascii="Tahoma" w:hAnsi="Tahoma" w:cs="Tahoma"/>
                <w:b w:val="0"/>
                <w:sz w:val="14"/>
                <w:szCs w:val="14"/>
                <w:lang w:val="it-IT"/>
              </w:rPr>
              <w:t>Visio</w:t>
            </w:r>
            <w:r w:rsidRPr="003A0F2F">
              <w:rPr>
                <w:rFonts w:ascii="Tahoma" w:hAnsi="Tahoma" w:cs="Tahoma"/>
                <w:b w:val="0"/>
                <w:sz w:val="14"/>
                <w:szCs w:val="14"/>
                <w:vertAlign w:val="superscript"/>
                <w:lang w:val="it-IT"/>
              </w:rPr>
              <w:t>®</w:t>
            </w:r>
            <w:r w:rsidRPr="00BA1C75">
              <w:rPr>
                <w:rFonts w:ascii="Tahoma" w:hAnsi="Tahoma" w:cs="Tahoma"/>
                <w:b w:val="0"/>
                <w:sz w:val="14"/>
                <w:szCs w:val="14"/>
                <w:lang w:val="it-IT"/>
              </w:rPr>
              <w:t xml:space="preserve"> 2013 Standard</w:t>
            </w:r>
            <w:bookmarkEnd w:id="107"/>
            <w:r w:rsidRPr="00BA1C75">
              <w:rPr>
                <w:rFonts w:ascii="Tahoma" w:hAnsi="Tahoma" w:cs="Tahoma"/>
                <w:sz w:val="14"/>
                <w:szCs w:val="14"/>
              </w:rPr>
              <w:t xml:space="preserve"> </w:t>
            </w:r>
          </w:p>
        </w:tc>
        <w:tc>
          <w:tcPr>
            <w:tcW w:w="429" w:type="dxa"/>
            <w:vAlign w:val="center"/>
          </w:tcPr>
          <w:p w:rsidR="00A92422" w:rsidRPr="000305C5" w:rsidRDefault="00A92422" w:rsidP="00EA30FC">
            <w:pPr>
              <w:pStyle w:val="TableText"/>
              <w:widowControl w:val="0"/>
              <w:rPr>
                <w:rStyle w:val="EndnoteReference"/>
                <w:rFonts w:cs="Tahoma"/>
                <w:color w:val="0000FF"/>
                <w:sz w:val="13"/>
                <w:szCs w:val="13"/>
                <w:u w:val="single"/>
              </w:rPr>
            </w:pPr>
          </w:p>
        </w:tc>
        <w:tc>
          <w:tcPr>
            <w:tcW w:w="429" w:type="dxa"/>
            <w:vAlign w:val="center"/>
          </w:tcPr>
          <w:p w:rsidR="00A92422" w:rsidRPr="00D87B79" w:rsidRDefault="00A92422" w:rsidP="00EA30FC">
            <w:pPr>
              <w:pStyle w:val="TableText"/>
              <w:spacing w:before="60" w:after="60"/>
              <w:rPr>
                <w:rFonts w:ascii="Tahoma" w:hAnsi="Tahoma" w:cs="Tahoma"/>
                <w:sz w:val="13"/>
              </w:rPr>
            </w:pPr>
            <w:r w:rsidRPr="00D87B79">
              <w:rPr>
                <w:rFonts w:ascii="Tahoma" w:hAnsi="Tahoma" w:cs="Tahoma"/>
                <w:sz w:val="13"/>
              </w:rPr>
              <w:t>10/12</w:t>
            </w:r>
          </w:p>
        </w:tc>
        <w:tc>
          <w:tcPr>
            <w:tcW w:w="429" w:type="dxa"/>
            <w:tcBorders>
              <w:right w:val="single" w:sz="18" w:space="0" w:color="auto"/>
            </w:tcBorders>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DT</w:t>
            </w:r>
          </w:p>
        </w:tc>
        <w:tc>
          <w:tcPr>
            <w:tcW w:w="429" w:type="dxa"/>
            <w:tcBorders>
              <w:left w:val="single" w:sz="18" w:space="0" w:color="auto"/>
            </w:tcBorders>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3</w:t>
            </w:r>
          </w:p>
        </w:tc>
        <w:tc>
          <w:tcPr>
            <w:tcW w:w="429" w:type="dxa"/>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29" w:type="dxa"/>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29" w:type="dxa"/>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29" w:type="dxa"/>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tcBorders>
              <w:right w:val="single" w:sz="18" w:space="0" w:color="auto"/>
            </w:tcBorders>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tcBorders>
              <w:left w:val="single" w:sz="18" w:space="0" w:color="auto"/>
            </w:tcBorders>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29" w:type="dxa"/>
            <w:tcBorders>
              <w:right w:val="single" w:sz="18" w:space="0" w:color="auto"/>
            </w:tcBorders>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tcBorders>
              <w:left w:val="single" w:sz="18" w:space="0" w:color="auto"/>
            </w:tcBorders>
            <w:vAlign w:val="center"/>
          </w:tcPr>
          <w:p w:rsidR="00A92422" w:rsidRPr="00D87B79" w:rsidRDefault="00A92422" w:rsidP="00EA30FC">
            <w:pPr>
              <w:pStyle w:val="TableText"/>
              <w:rPr>
                <w:rFonts w:ascii="Tahoma" w:hAnsi="Tahoma" w:cs="Tahoma"/>
                <w:sz w:val="13"/>
              </w:rPr>
            </w:pPr>
          </w:p>
        </w:tc>
        <w:tc>
          <w:tcPr>
            <w:tcW w:w="429" w:type="dxa"/>
            <w:tcBorders>
              <w:right w:val="single" w:sz="18" w:space="0" w:color="auto"/>
            </w:tcBorders>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A</w:t>
            </w:r>
          </w:p>
        </w:tc>
        <w:tc>
          <w:tcPr>
            <w:tcW w:w="429" w:type="dxa"/>
            <w:tcBorders>
              <w:left w:val="single" w:sz="18" w:space="0" w:color="auto"/>
              <w:right w:val="single" w:sz="18" w:space="0" w:color="auto"/>
            </w:tcBorders>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P</w:t>
            </w:r>
          </w:p>
        </w:tc>
        <w:tc>
          <w:tcPr>
            <w:tcW w:w="461" w:type="dxa"/>
          </w:tcPr>
          <w:p w:rsidR="00A92422" w:rsidRPr="00D87B79" w:rsidRDefault="00A92422" w:rsidP="00EA30FC">
            <w:pPr>
              <w:pStyle w:val="TableText"/>
              <w:rPr>
                <w:rFonts w:ascii="Tahoma" w:hAnsi="Tahoma" w:cs="Tahoma"/>
                <w:sz w:val="13"/>
              </w:rPr>
            </w:pPr>
          </w:p>
        </w:tc>
        <w:tc>
          <w:tcPr>
            <w:tcW w:w="567" w:type="dxa"/>
            <w:vAlign w:val="center"/>
          </w:tcPr>
          <w:p w:rsidR="00A92422" w:rsidRPr="00D87B79" w:rsidRDefault="00A92422" w:rsidP="00EA30FC">
            <w:pPr>
              <w:pStyle w:val="TableText"/>
              <w:rPr>
                <w:rFonts w:ascii="Tahoma" w:hAnsi="Tahoma" w:cs="Tahoma"/>
                <w:sz w:val="13"/>
              </w:rPr>
            </w:pPr>
          </w:p>
        </w:tc>
      </w:tr>
      <w:tr w:rsidR="00A92422" w:rsidRPr="00D87B79" w:rsidTr="00EA30FC">
        <w:trPr>
          <w:cantSplit/>
          <w:trHeight w:val="145"/>
        </w:trPr>
        <w:tc>
          <w:tcPr>
            <w:tcW w:w="2638" w:type="dxa"/>
            <w:shd w:val="clear" w:color="auto" w:fill="FABF8F"/>
          </w:tcPr>
          <w:p w:rsidR="00A92422" w:rsidRPr="00BA1C75" w:rsidRDefault="00A92422" w:rsidP="00EA30FC">
            <w:pPr>
              <w:pStyle w:val="ProductNames"/>
              <w:spacing w:beforeLines="20" w:before="48" w:afterLines="20" w:after="48"/>
              <w:rPr>
                <w:rFonts w:ascii="Tahoma" w:hAnsi="Tahoma" w:cs="Tahoma"/>
                <w:sz w:val="14"/>
                <w:szCs w:val="14"/>
              </w:rPr>
            </w:pPr>
            <w:bookmarkStart w:id="108" w:name="_Toc336337888"/>
            <w:bookmarkStart w:id="109" w:name="_Toc342899958"/>
            <w:bookmarkEnd w:id="108"/>
            <w:r w:rsidRPr="00BA1C75">
              <w:rPr>
                <w:rFonts w:ascii="Tahoma" w:hAnsi="Tahoma" w:cs="Tahoma"/>
                <w:sz w:val="14"/>
                <w:szCs w:val="14"/>
                <w:lang w:val="it-IT"/>
              </w:rPr>
              <w:t>TechNet Plus Direct</w:t>
            </w:r>
            <w:bookmarkEnd w:id="109"/>
            <w:r w:rsidRPr="00BA1C75">
              <w:rPr>
                <w:rFonts w:ascii="Tahoma" w:hAnsi="Tahoma" w:cs="Tahoma"/>
                <w:sz w:val="14"/>
                <w:szCs w:val="14"/>
              </w:rPr>
              <w:t xml:space="preserve"> </w:t>
            </w:r>
          </w:p>
        </w:tc>
        <w:tc>
          <w:tcPr>
            <w:tcW w:w="429" w:type="dxa"/>
            <w:shd w:val="clear" w:color="auto" w:fill="FABF8F"/>
            <w:vAlign w:val="center"/>
          </w:tcPr>
          <w:p w:rsidR="00A92422" w:rsidRPr="000305C5" w:rsidRDefault="00A92422" w:rsidP="00EA30FC">
            <w:pPr>
              <w:pStyle w:val="TableText"/>
              <w:widowControl w:val="0"/>
              <w:rPr>
                <w:rStyle w:val="EndnoteReference"/>
                <w:rFonts w:cs="Tahoma"/>
                <w:color w:val="0000FF"/>
                <w:sz w:val="13"/>
                <w:szCs w:val="13"/>
                <w:u w:val="single"/>
              </w:rPr>
            </w:pPr>
          </w:p>
        </w:tc>
        <w:tc>
          <w:tcPr>
            <w:tcW w:w="429" w:type="dxa"/>
            <w:shd w:val="clear" w:color="auto" w:fill="FABF8F"/>
            <w:vAlign w:val="center"/>
          </w:tcPr>
          <w:p w:rsidR="00A92422" w:rsidRPr="00D87B79" w:rsidRDefault="00A92422" w:rsidP="00EA30FC">
            <w:pPr>
              <w:pStyle w:val="TableText"/>
              <w:spacing w:before="60" w:after="60"/>
              <w:rPr>
                <w:rFonts w:ascii="Tahoma" w:hAnsi="Tahoma" w:cs="Tahoma"/>
                <w:sz w:val="13"/>
              </w:rPr>
            </w:pPr>
            <w:r w:rsidRPr="00D87B79">
              <w:rPr>
                <w:rFonts w:ascii="Tahoma" w:hAnsi="Tahoma" w:cs="Tahoma"/>
                <w:sz w:val="13"/>
              </w:rPr>
              <w:t>08/06</w:t>
            </w:r>
          </w:p>
        </w:tc>
        <w:tc>
          <w:tcPr>
            <w:tcW w:w="429"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DT</w:t>
            </w:r>
          </w:p>
        </w:tc>
        <w:tc>
          <w:tcPr>
            <w:tcW w:w="429" w:type="dxa"/>
            <w:tcBorders>
              <w:lef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p>
        </w:tc>
        <w:tc>
          <w:tcPr>
            <w:tcW w:w="429" w:type="dxa"/>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5</w:t>
            </w:r>
          </w:p>
        </w:tc>
        <w:tc>
          <w:tcPr>
            <w:tcW w:w="429" w:type="dxa"/>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4</w:t>
            </w:r>
          </w:p>
        </w:tc>
        <w:tc>
          <w:tcPr>
            <w:tcW w:w="429" w:type="dxa"/>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3</w:t>
            </w:r>
          </w:p>
        </w:tc>
        <w:tc>
          <w:tcPr>
            <w:tcW w:w="429" w:type="dxa"/>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3</w:t>
            </w:r>
          </w:p>
        </w:tc>
        <w:tc>
          <w:tcPr>
            <w:tcW w:w="429" w:type="dxa"/>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29"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tcBorders>
              <w:lef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p>
        </w:tc>
        <w:tc>
          <w:tcPr>
            <w:tcW w:w="429" w:type="dxa"/>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29"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tcBorders>
              <w:lef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p>
        </w:tc>
        <w:tc>
          <w:tcPr>
            <w:tcW w:w="429"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A</w:t>
            </w:r>
          </w:p>
        </w:tc>
        <w:tc>
          <w:tcPr>
            <w:tcW w:w="429"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P</w:t>
            </w:r>
          </w:p>
        </w:tc>
        <w:tc>
          <w:tcPr>
            <w:tcW w:w="461" w:type="dxa"/>
            <w:shd w:val="clear" w:color="auto" w:fill="FABF8F"/>
          </w:tcPr>
          <w:p w:rsidR="00A92422" w:rsidRPr="00D87B79" w:rsidRDefault="00A92422" w:rsidP="00EA30FC">
            <w:pPr>
              <w:pStyle w:val="TableText"/>
              <w:rPr>
                <w:rFonts w:ascii="Tahoma" w:hAnsi="Tahoma" w:cs="Tahoma"/>
                <w:sz w:val="13"/>
              </w:rPr>
            </w:pPr>
            <w:r w:rsidRPr="00D87B79">
              <w:rPr>
                <w:rFonts w:ascii="Tahoma" w:hAnsi="Tahoma" w:cs="Tahoma"/>
                <w:sz w:val="13"/>
                <w:lang w:val="it-IT"/>
              </w:rPr>
              <w:t>A</w:t>
            </w:r>
          </w:p>
        </w:tc>
        <w:tc>
          <w:tcPr>
            <w:tcW w:w="567" w:type="dxa"/>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OL</w:t>
            </w:r>
          </w:p>
        </w:tc>
      </w:tr>
      <w:tr w:rsidR="00A92422" w:rsidRPr="00D87B79" w:rsidTr="00EA30FC">
        <w:trPr>
          <w:cantSplit/>
          <w:trHeight w:val="145"/>
        </w:trPr>
        <w:tc>
          <w:tcPr>
            <w:tcW w:w="2638" w:type="dxa"/>
          </w:tcPr>
          <w:p w:rsidR="00A92422" w:rsidRPr="00BA1C75" w:rsidRDefault="00A92422" w:rsidP="00EA30FC">
            <w:pPr>
              <w:pStyle w:val="ProductNames"/>
              <w:spacing w:beforeLines="20" w:before="48" w:afterLines="20" w:after="48"/>
              <w:rPr>
                <w:rFonts w:ascii="Tahoma" w:hAnsi="Tahoma" w:cs="Tahoma"/>
                <w:sz w:val="14"/>
                <w:szCs w:val="14"/>
              </w:rPr>
            </w:pPr>
            <w:bookmarkStart w:id="110" w:name="_Toc336337889"/>
            <w:bookmarkStart w:id="111" w:name="_Toc342899959"/>
            <w:bookmarkEnd w:id="110"/>
            <w:r w:rsidRPr="00BA1C75">
              <w:rPr>
                <w:rFonts w:ascii="Tahoma" w:hAnsi="Tahoma" w:cs="Tahoma"/>
                <w:sz w:val="14"/>
                <w:szCs w:val="14"/>
                <w:lang w:val="it-IT"/>
              </w:rPr>
              <w:t>Visual Studio</w:t>
            </w:r>
            <w:r w:rsidRPr="003A0F2F">
              <w:rPr>
                <w:rFonts w:ascii="Tahoma" w:hAnsi="Tahoma" w:cs="Tahoma"/>
                <w:sz w:val="14"/>
                <w:szCs w:val="14"/>
                <w:vertAlign w:val="superscript"/>
                <w:lang w:val="it-IT"/>
              </w:rPr>
              <w:t>®</w:t>
            </w:r>
            <w:r w:rsidRPr="00BA1C75">
              <w:rPr>
                <w:rFonts w:ascii="Tahoma" w:hAnsi="Tahoma" w:cs="Tahoma"/>
                <w:sz w:val="14"/>
                <w:szCs w:val="14"/>
                <w:lang w:val="it-IT"/>
              </w:rPr>
              <w:t xml:space="preserve"> Professional 2012</w:t>
            </w:r>
            <w:bookmarkEnd w:id="111"/>
          </w:p>
        </w:tc>
        <w:bookmarkStart w:id="112" w:name="_Hlt335908514"/>
        <w:bookmarkEnd w:id="112"/>
        <w:tc>
          <w:tcPr>
            <w:tcW w:w="429" w:type="dxa"/>
            <w:vAlign w:val="center"/>
          </w:tcPr>
          <w:p w:rsidR="00A92422" w:rsidRPr="000305C5" w:rsidRDefault="00A92422" w:rsidP="00EA30FC">
            <w:pPr>
              <w:pStyle w:val="TableText"/>
              <w:widowControl w:val="0"/>
              <w:rPr>
                <w:rFonts w:cs="Tahoma"/>
                <w:b/>
                <w:color w:val="0000FF"/>
                <w:sz w:val="13"/>
                <w:szCs w:val="13"/>
                <w:u w:val="single"/>
              </w:rPr>
            </w:pPr>
            <w:r w:rsidRPr="000305C5">
              <w:rPr>
                <w:rFonts w:cs="Tahoma"/>
                <w:b/>
                <w:sz w:val="13"/>
                <w:szCs w:val="13"/>
                <w:u w:val="single"/>
              </w:rPr>
              <w:fldChar w:fldCharType="begin"/>
            </w:r>
            <w:r w:rsidRPr="000305C5">
              <w:rPr>
                <w:rFonts w:cs="Tahoma"/>
                <w:b/>
                <w:sz w:val="13"/>
                <w:szCs w:val="13"/>
                <w:u w:val="single"/>
              </w:rPr>
              <w:instrText xml:space="preserve"> HYPERLINK  \l "Aps_12VS2010Professional"</w:instrText>
            </w:r>
            <w:r w:rsidRPr="000305C5">
              <w:rPr>
                <w:rFonts w:cs="Tahoma"/>
                <w:b/>
                <w:sz w:val="13"/>
                <w:szCs w:val="13"/>
                <w:u w:val="single"/>
              </w:rPr>
              <w:fldChar w:fldCharType="separate"/>
            </w:r>
            <w:r w:rsidRPr="000305C5">
              <w:rPr>
                <w:rStyle w:val="Hyperlink"/>
                <w:rFonts w:cs="Tahoma"/>
                <w:b/>
                <w:sz w:val="13"/>
                <w:szCs w:val="13"/>
              </w:rPr>
              <w:t>16</w:t>
            </w:r>
            <w:r w:rsidRPr="000305C5">
              <w:rPr>
                <w:rFonts w:cs="Tahoma"/>
                <w:b/>
                <w:sz w:val="13"/>
                <w:szCs w:val="13"/>
                <w:u w:val="single"/>
              </w:rPr>
              <w:fldChar w:fldCharType="end"/>
            </w:r>
          </w:p>
        </w:tc>
        <w:tc>
          <w:tcPr>
            <w:tcW w:w="429" w:type="dxa"/>
            <w:vAlign w:val="center"/>
          </w:tcPr>
          <w:p w:rsidR="00A92422" w:rsidRPr="00D87B79" w:rsidRDefault="00A92422" w:rsidP="00EA30FC">
            <w:pPr>
              <w:pStyle w:val="TableText"/>
              <w:spacing w:before="60" w:after="60"/>
              <w:rPr>
                <w:rFonts w:ascii="Tahoma" w:hAnsi="Tahoma" w:cs="Tahoma"/>
                <w:sz w:val="13"/>
              </w:rPr>
            </w:pPr>
            <w:r w:rsidRPr="00D87B79">
              <w:rPr>
                <w:rFonts w:ascii="Tahoma" w:hAnsi="Tahoma" w:cs="Tahoma"/>
                <w:sz w:val="13"/>
              </w:rPr>
              <w:t>08/12</w:t>
            </w:r>
          </w:p>
        </w:tc>
        <w:tc>
          <w:tcPr>
            <w:tcW w:w="429" w:type="dxa"/>
            <w:tcBorders>
              <w:right w:val="single" w:sz="18" w:space="0" w:color="auto"/>
            </w:tcBorders>
            <w:vAlign w:val="center"/>
          </w:tcPr>
          <w:p w:rsidR="00A92422" w:rsidRPr="00D87B79" w:rsidRDefault="00A92422" w:rsidP="00EA30FC">
            <w:pPr>
              <w:pStyle w:val="TableText"/>
              <w:rPr>
                <w:rFonts w:ascii="Tahoma" w:hAnsi="Tahoma" w:cs="Tahoma"/>
                <w:sz w:val="13"/>
              </w:rPr>
            </w:pPr>
          </w:p>
        </w:tc>
        <w:tc>
          <w:tcPr>
            <w:tcW w:w="429" w:type="dxa"/>
            <w:tcBorders>
              <w:left w:val="single" w:sz="18" w:space="0" w:color="auto"/>
            </w:tcBorders>
            <w:vAlign w:val="center"/>
          </w:tcPr>
          <w:p w:rsidR="00A92422" w:rsidRPr="00D87B79" w:rsidRDefault="00A92422" w:rsidP="00EA30FC">
            <w:pPr>
              <w:pStyle w:val="TableText"/>
              <w:spacing w:after="120"/>
              <w:rPr>
                <w:rFonts w:ascii="Tahoma" w:hAnsi="Tahoma" w:cs="Tahoma"/>
                <w:sz w:val="13"/>
              </w:rPr>
            </w:pPr>
            <w:r w:rsidRPr="00D87B79">
              <w:rPr>
                <w:rFonts w:ascii="Tahoma" w:hAnsi="Tahoma" w:cs="Tahoma"/>
                <w:sz w:val="13"/>
              </w:rPr>
              <w:t>2</w:t>
            </w:r>
          </w:p>
        </w:tc>
        <w:tc>
          <w:tcPr>
            <w:tcW w:w="429" w:type="dxa"/>
            <w:vAlign w:val="center"/>
          </w:tcPr>
          <w:p w:rsidR="00A92422" w:rsidRPr="00D87B79" w:rsidRDefault="00A92422" w:rsidP="00EA30FC">
            <w:pPr>
              <w:pStyle w:val="TableText"/>
              <w:spacing w:after="120"/>
              <w:rPr>
                <w:rFonts w:ascii="Tahoma" w:hAnsi="Tahoma" w:cs="Tahoma"/>
                <w:sz w:val="13"/>
              </w:rPr>
            </w:pPr>
          </w:p>
        </w:tc>
        <w:tc>
          <w:tcPr>
            <w:tcW w:w="429" w:type="dxa"/>
            <w:vAlign w:val="center"/>
          </w:tcPr>
          <w:p w:rsidR="00A92422" w:rsidRPr="00D87B79" w:rsidRDefault="00A92422" w:rsidP="00EA30FC">
            <w:pPr>
              <w:pStyle w:val="TableText"/>
              <w:spacing w:after="120"/>
              <w:rPr>
                <w:rFonts w:ascii="Tahoma" w:hAnsi="Tahoma" w:cs="Tahoma"/>
                <w:sz w:val="13"/>
              </w:rPr>
            </w:pPr>
          </w:p>
        </w:tc>
        <w:tc>
          <w:tcPr>
            <w:tcW w:w="429" w:type="dxa"/>
            <w:vAlign w:val="center"/>
          </w:tcPr>
          <w:p w:rsidR="00A92422" w:rsidRPr="00D87B79" w:rsidRDefault="00A92422" w:rsidP="00EA30FC">
            <w:pPr>
              <w:pStyle w:val="TableText"/>
              <w:spacing w:after="120"/>
              <w:rPr>
                <w:rFonts w:ascii="Tahoma" w:hAnsi="Tahoma" w:cs="Tahoma"/>
                <w:sz w:val="13"/>
              </w:rPr>
            </w:pPr>
          </w:p>
        </w:tc>
        <w:tc>
          <w:tcPr>
            <w:tcW w:w="429" w:type="dxa"/>
            <w:vAlign w:val="center"/>
          </w:tcPr>
          <w:p w:rsidR="00A92422" w:rsidRPr="00D87B79" w:rsidRDefault="00A92422" w:rsidP="00EA30FC">
            <w:pPr>
              <w:pStyle w:val="TableText"/>
              <w:spacing w:after="120"/>
              <w:rPr>
                <w:rFonts w:ascii="Tahoma" w:hAnsi="Tahoma" w:cs="Tahoma"/>
                <w:sz w:val="13"/>
              </w:rPr>
            </w:pPr>
          </w:p>
        </w:tc>
        <w:tc>
          <w:tcPr>
            <w:tcW w:w="429" w:type="dxa"/>
            <w:vAlign w:val="center"/>
          </w:tcPr>
          <w:p w:rsidR="00A92422" w:rsidRPr="00D87B79" w:rsidRDefault="00A92422" w:rsidP="00EA30FC">
            <w:pPr>
              <w:pStyle w:val="TableText"/>
              <w:spacing w:after="120"/>
              <w:rPr>
                <w:rFonts w:ascii="Tahoma" w:hAnsi="Tahoma" w:cs="Tahoma"/>
                <w:sz w:val="13"/>
              </w:rPr>
            </w:pPr>
          </w:p>
        </w:tc>
        <w:tc>
          <w:tcPr>
            <w:tcW w:w="429" w:type="dxa"/>
            <w:tcBorders>
              <w:right w:val="single" w:sz="18" w:space="0" w:color="auto"/>
            </w:tcBorders>
            <w:vAlign w:val="center"/>
          </w:tcPr>
          <w:p w:rsidR="00A92422" w:rsidRPr="00D87B79" w:rsidRDefault="00A92422" w:rsidP="00EA30FC">
            <w:pPr>
              <w:pStyle w:val="TableText"/>
              <w:spacing w:after="120"/>
              <w:rPr>
                <w:rFonts w:ascii="Tahoma" w:hAnsi="Tahoma" w:cs="Tahoma"/>
                <w:sz w:val="13"/>
              </w:rPr>
            </w:pPr>
          </w:p>
        </w:tc>
        <w:tc>
          <w:tcPr>
            <w:tcW w:w="429" w:type="dxa"/>
            <w:tcBorders>
              <w:left w:val="single" w:sz="18" w:space="0" w:color="auto"/>
            </w:tcBorders>
            <w:vAlign w:val="center"/>
          </w:tcPr>
          <w:p w:rsidR="00A92422" w:rsidRPr="00D87B79" w:rsidRDefault="00A92422" w:rsidP="00EA30FC">
            <w:pPr>
              <w:pStyle w:val="TableText"/>
              <w:spacing w:after="120"/>
              <w:rPr>
                <w:rFonts w:ascii="Tahoma" w:hAnsi="Tahoma" w:cs="Tahoma"/>
                <w:sz w:val="13"/>
              </w:rPr>
            </w:pPr>
            <w:r w:rsidRPr="00D87B79">
              <w:rPr>
                <w:rFonts w:ascii="Tahoma" w:hAnsi="Tahoma" w:cs="Tahoma"/>
                <w:sz w:val="13"/>
              </w:rPr>
              <w:t>2</w:t>
            </w:r>
          </w:p>
        </w:tc>
        <w:tc>
          <w:tcPr>
            <w:tcW w:w="429" w:type="dxa"/>
            <w:vAlign w:val="center"/>
          </w:tcPr>
          <w:p w:rsidR="00A92422" w:rsidRPr="00D87B79" w:rsidRDefault="00A92422" w:rsidP="00EA30FC">
            <w:pPr>
              <w:pStyle w:val="TableText"/>
              <w:spacing w:after="120"/>
              <w:rPr>
                <w:rFonts w:ascii="Tahoma" w:hAnsi="Tahoma" w:cs="Tahoma"/>
                <w:sz w:val="13"/>
              </w:rPr>
            </w:pPr>
          </w:p>
        </w:tc>
        <w:tc>
          <w:tcPr>
            <w:tcW w:w="429" w:type="dxa"/>
            <w:tcBorders>
              <w:right w:val="single" w:sz="18" w:space="0" w:color="auto"/>
            </w:tcBorders>
            <w:vAlign w:val="center"/>
          </w:tcPr>
          <w:p w:rsidR="00A92422" w:rsidRPr="00D87B79" w:rsidRDefault="00A92422" w:rsidP="00EA30FC">
            <w:pPr>
              <w:pStyle w:val="TableText"/>
              <w:spacing w:after="120"/>
              <w:rPr>
                <w:rFonts w:ascii="Tahoma" w:hAnsi="Tahoma" w:cs="Tahoma"/>
                <w:sz w:val="13"/>
              </w:rPr>
            </w:pPr>
          </w:p>
        </w:tc>
        <w:tc>
          <w:tcPr>
            <w:tcW w:w="429" w:type="dxa"/>
            <w:tcBorders>
              <w:left w:val="single" w:sz="18" w:space="0" w:color="auto"/>
            </w:tcBorders>
            <w:vAlign w:val="center"/>
          </w:tcPr>
          <w:p w:rsidR="00A92422" w:rsidRPr="00D87B79" w:rsidRDefault="00A92422" w:rsidP="00EA30FC">
            <w:pPr>
              <w:pStyle w:val="TableText"/>
              <w:spacing w:before="120" w:after="120"/>
              <w:rPr>
                <w:rFonts w:ascii="Tahoma" w:hAnsi="Tahoma" w:cs="Tahoma"/>
                <w:sz w:val="13"/>
              </w:rPr>
            </w:pPr>
          </w:p>
        </w:tc>
        <w:tc>
          <w:tcPr>
            <w:tcW w:w="429" w:type="dxa"/>
            <w:tcBorders>
              <w:right w:val="single" w:sz="18" w:space="0" w:color="auto"/>
            </w:tcBorders>
            <w:vAlign w:val="center"/>
          </w:tcPr>
          <w:p w:rsidR="00A92422" w:rsidRPr="00D87B79" w:rsidRDefault="00A92422" w:rsidP="00EA30FC">
            <w:pPr>
              <w:pStyle w:val="TableText"/>
              <w:rPr>
                <w:rFonts w:ascii="Tahoma" w:hAnsi="Tahoma" w:cs="Tahoma"/>
                <w:sz w:val="13"/>
              </w:rPr>
            </w:pPr>
          </w:p>
        </w:tc>
        <w:tc>
          <w:tcPr>
            <w:tcW w:w="429" w:type="dxa"/>
            <w:tcBorders>
              <w:left w:val="single" w:sz="18" w:space="0" w:color="auto"/>
              <w:right w:val="single" w:sz="18" w:space="0" w:color="auto"/>
            </w:tcBorders>
            <w:vAlign w:val="center"/>
          </w:tcPr>
          <w:p w:rsidR="00A92422" w:rsidRPr="00D87B79" w:rsidRDefault="00A92422" w:rsidP="00EA30FC">
            <w:pPr>
              <w:pStyle w:val="TableText"/>
              <w:rPr>
                <w:rFonts w:ascii="Tahoma" w:hAnsi="Tahoma" w:cs="Tahoma"/>
                <w:sz w:val="13"/>
              </w:rPr>
            </w:pPr>
          </w:p>
        </w:tc>
        <w:tc>
          <w:tcPr>
            <w:tcW w:w="461" w:type="dxa"/>
          </w:tcPr>
          <w:p w:rsidR="00A92422" w:rsidRPr="00D87B79" w:rsidRDefault="00A92422" w:rsidP="00EA30FC">
            <w:pPr>
              <w:pStyle w:val="TableText"/>
              <w:rPr>
                <w:rFonts w:ascii="Tahoma" w:hAnsi="Tahoma" w:cs="Tahoma"/>
                <w:sz w:val="13"/>
              </w:rPr>
            </w:pPr>
            <w:r w:rsidRPr="00D87B79">
              <w:rPr>
                <w:rFonts w:ascii="Tahoma" w:hAnsi="Tahoma" w:cs="Tahoma"/>
                <w:sz w:val="13"/>
                <w:lang w:val="it-IT"/>
              </w:rPr>
              <w:t>A,AO, ST</w:t>
            </w:r>
          </w:p>
        </w:tc>
        <w:tc>
          <w:tcPr>
            <w:tcW w:w="567" w:type="dxa"/>
            <w:vAlign w:val="center"/>
          </w:tcPr>
          <w:p w:rsidR="00A92422" w:rsidRPr="00D87B79" w:rsidRDefault="00A92422" w:rsidP="00EA30FC">
            <w:pPr>
              <w:pStyle w:val="TableText"/>
              <w:rPr>
                <w:rFonts w:ascii="Tahoma" w:hAnsi="Tahoma" w:cs="Tahoma"/>
                <w:sz w:val="13"/>
              </w:rPr>
            </w:pPr>
          </w:p>
        </w:tc>
      </w:tr>
      <w:tr w:rsidR="00A92422" w:rsidRPr="00D87B79" w:rsidTr="00EA30FC">
        <w:trPr>
          <w:cantSplit/>
          <w:trHeight w:val="145"/>
        </w:trPr>
        <w:tc>
          <w:tcPr>
            <w:tcW w:w="2638" w:type="dxa"/>
            <w:shd w:val="clear" w:color="auto" w:fill="FABF8F"/>
          </w:tcPr>
          <w:p w:rsidR="00A92422" w:rsidRPr="00BA1C75" w:rsidRDefault="00A92422" w:rsidP="00EA30FC">
            <w:pPr>
              <w:pStyle w:val="ProductNames"/>
              <w:spacing w:beforeLines="20" w:before="48" w:afterLines="20" w:after="48"/>
              <w:rPr>
                <w:rFonts w:ascii="Tahoma" w:hAnsi="Tahoma" w:cs="Tahoma"/>
                <w:sz w:val="14"/>
                <w:szCs w:val="14"/>
              </w:rPr>
            </w:pPr>
            <w:bookmarkStart w:id="113" w:name="_Toc336337890"/>
            <w:bookmarkStart w:id="114" w:name="_Toc342899960"/>
            <w:bookmarkEnd w:id="113"/>
            <w:r w:rsidRPr="00BA1C75">
              <w:rPr>
                <w:rFonts w:ascii="Tahoma" w:hAnsi="Tahoma" w:cs="Tahoma"/>
                <w:sz w:val="14"/>
                <w:szCs w:val="14"/>
                <w:lang w:val="it-IT"/>
              </w:rPr>
              <w:t>Visual Studio</w:t>
            </w:r>
            <w:r w:rsidRPr="003A0F2F">
              <w:rPr>
                <w:rFonts w:ascii="Tahoma" w:hAnsi="Tahoma" w:cs="Tahoma"/>
                <w:sz w:val="14"/>
                <w:szCs w:val="14"/>
                <w:vertAlign w:val="superscript"/>
                <w:lang w:val="it-IT"/>
              </w:rPr>
              <w:t>®</w:t>
            </w:r>
            <w:r w:rsidRPr="00BA1C75">
              <w:rPr>
                <w:rFonts w:ascii="Tahoma" w:hAnsi="Tahoma" w:cs="Tahoma"/>
                <w:sz w:val="14"/>
                <w:szCs w:val="14"/>
                <w:lang w:val="it-IT"/>
              </w:rPr>
              <w:t xml:space="preserve"> Professional 2012 con</w:t>
            </w:r>
            <w:r>
              <w:rPr>
                <w:rFonts w:ascii="Tahoma" w:hAnsi="Tahoma" w:cs="Tahoma"/>
                <w:sz w:val="14"/>
                <w:szCs w:val="14"/>
                <w:lang w:val="it-IT"/>
              </w:rPr>
              <w:t> </w:t>
            </w:r>
            <w:r w:rsidRPr="00BA1C75">
              <w:rPr>
                <w:rFonts w:ascii="Tahoma" w:hAnsi="Tahoma" w:cs="Tahoma"/>
                <w:sz w:val="14"/>
                <w:szCs w:val="14"/>
                <w:lang w:val="it-IT"/>
              </w:rPr>
              <w:t>MSDN</w:t>
            </w:r>
            <w:bookmarkEnd w:id="114"/>
            <w:r w:rsidRPr="00BA1C75">
              <w:rPr>
                <w:rFonts w:ascii="Tahoma" w:hAnsi="Tahoma" w:cs="Tahoma"/>
                <w:sz w:val="14"/>
                <w:szCs w:val="14"/>
              </w:rPr>
              <w:t xml:space="preserve"> </w:t>
            </w:r>
          </w:p>
        </w:tc>
        <w:tc>
          <w:tcPr>
            <w:tcW w:w="429" w:type="dxa"/>
            <w:shd w:val="clear" w:color="auto" w:fill="FABF8F"/>
            <w:vAlign w:val="center"/>
          </w:tcPr>
          <w:p w:rsidR="00A92422" w:rsidRPr="000305C5" w:rsidRDefault="00A92422" w:rsidP="00EA30FC">
            <w:pPr>
              <w:pStyle w:val="TableText"/>
              <w:widowControl w:val="0"/>
              <w:rPr>
                <w:rStyle w:val="EndnoteReference"/>
                <w:rFonts w:cs="Tahoma"/>
                <w:b w:val="0"/>
                <w:color w:val="0000FF"/>
                <w:sz w:val="13"/>
                <w:szCs w:val="13"/>
                <w:u w:val="single"/>
              </w:rPr>
            </w:pPr>
            <w:hyperlink w:anchor="Aps_13VS2010ProfessionalMSDN" w:history="1">
              <w:r w:rsidRPr="000305C5">
                <w:rPr>
                  <w:rStyle w:val="Hyperlink"/>
                  <w:rFonts w:cs="Tahoma"/>
                  <w:b/>
                  <w:sz w:val="13"/>
                  <w:szCs w:val="13"/>
                </w:rPr>
                <w:t>17</w:t>
              </w:r>
            </w:hyperlink>
          </w:p>
        </w:tc>
        <w:tc>
          <w:tcPr>
            <w:tcW w:w="429" w:type="dxa"/>
            <w:shd w:val="clear" w:color="auto" w:fill="FABF8F"/>
            <w:vAlign w:val="center"/>
          </w:tcPr>
          <w:p w:rsidR="00A92422" w:rsidRPr="00D87B79" w:rsidRDefault="00A92422" w:rsidP="00EA30FC">
            <w:pPr>
              <w:pStyle w:val="TableText"/>
              <w:spacing w:before="60" w:after="60"/>
              <w:rPr>
                <w:rFonts w:ascii="Tahoma" w:hAnsi="Tahoma" w:cs="Tahoma"/>
                <w:sz w:val="13"/>
              </w:rPr>
            </w:pPr>
            <w:r w:rsidRPr="00D87B79">
              <w:rPr>
                <w:rFonts w:ascii="Tahoma" w:hAnsi="Tahoma" w:cs="Tahoma"/>
                <w:sz w:val="13"/>
              </w:rPr>
              <w:t>09/12</w:t>
            </w:r>
          </w:p>
        </w:tc>
        <w:tc>
          <w:tcPr>
            <w:tcW w:w="429"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DT</w:t>
            </w:r>
          </w:p>
        </w:tc>
        <w:tc>
          <w:tcPr>
            <w:tcW w:w="429" w:type="dxa"/>
            <w:tcBorders>
              <w:left w:val="single" w:sz="18" w:space="0" w:color="auto"/>
            </w:tcBorders>
            <w:shd w:val="clear" w:color="auto" w:fill="FABF8F"/>
            <w:vAlign w:val="center"/>
          </w:tcPr>
          <w:p w:rsidR="00A92422" w:rsidRPr="00D87B79" w:rsidRDefault="00A92422" w:rsidP="00EA30FC">
            <w:pPr>
              <w:pStyle w:val="TableText"/>
              <w:spacing w:after="120"/>
              <w:rPr>
                <w:rFonts w:ascii="Tahoma" w:hAnsi="Tahoma" w:cs="Tahoma"/>
                <w:sz w:val="13"/>
              </w:rPr>
            </w:pPr>
          </w:p>
        </w:tc>
        <w:tc>
          <w:tcPr>
            <w:tcW w:w="429" w:type="dxa"/>
            <w:shd w:val="clear" w:color="auto" w:fill="FABF8F"/>
            <w:vAlign w:val="center"/>
          </w:tcPr>
          <w:p w:rsidR="00A92422" w:rsidRPr="00D87B79" w:rsidRDefault="00A92422" w:rsidP="00EA30FC">
            <w:pPr>
              <w:pStyle w:val="TableText"/>
              <w:spacing w:after="120"/>
              <w:rPr>
                <w:rFonts w:ascii="Tahoma" w:hAnsi="Tahoma" w:cs="Tahoma"/>
                <w:sz w:val="13"/>
              </w:rPr>
            </w:pPr>
            <w:r w:rsidRPr="00D87B79">
              <w:rPr>
                <w:rFonts w:ascii="Tahoma" w:hAnsi="Tahoma" w:cs="Tahoma"/>
                <w:sz w:val="13"/>
              </w:rPr>
              <w:t>3</w:t>
            </w:r>
          </w:p>
        </w:tc>
        <w:tc>
          <w:tcPr>
            <w:tcW w:w="429" w:type="dxa"/>
            <w:shd w:val="clear" w:color="auto" w:fill="FABF8F"/>
            <w:vAlign w:val="center"/>
          </w:tcPr>
          <w:p w:rsidR="00A92422" w:rsidRPr="00D87B79" w:rsidRDefault="00A92422" w:rsidP="00EA30FC">
            <w:pPr>
              <w:pStyle w:val="TableText"/>
              <w:spacing w:after="120"/>
              <w:rPr>
                <w:rFonts w:ascii="Tahoma" w:hAnsi="Tahoma" w:cs="Tahoma"/>
                <w:sz w:val="13"/>
              </w:rPr>
            </w:pPr>
            <w:r w:rsidRPr="00D87B79">
              <w:rPr>
                <w:rFonts w:ascii="Tahoma" w:hAnsi="Tahoma" w:cs="Tahoma"/>
                <w:sz w:val="13"/>
              </w:rPr>
              <w:t>2</w:t>
            </w:r>
          </w:p>
        </w:tc>
        <w:tc>
          <w:tcPr>
            <w:tcW w:w="429" w:type="dxa"/>
            <w:shd w:val="clear" w:color="auto" w:fill="FABF8F"/>
            <w:vAlign w:val="center"/>
          </w:tcPr>
          <w:p w:rsidR="00A92422" w:rsidRPr="00D87B79" w:rsidRDefault="00A92422" w:rsidP="00EA30FC">
            <w:pPr>
              <w:pStyle w:val="TableText"/>
              <w:spacing w:after="120"/>
              <w:rPr>
                <w:rFonts w:ascii="Tahoma" w:hAnsi="Tahoma" w:cs="Tahoma"/>
                <w:sz w:val="13"/>
              </w:rPr>
            </w:pPr>
            <w:r w:rsidRPr="00D87B79">
              <w:rPr>
                <w:rFonts w:ascii="Tahoma" w:hAnsi="Tahoma" w:cs="Tahoma"/>
                <w:sz w:val="13"/>
              </w:rPr>
              <w:t>2</w:t>
            </w:r>
          </w:p>
        </w:tc>
        <w:tc>
          <w:tcPr>
            <w:tcW w:w="429" w:type="dxa"/>
            <w:shd w:val="clear" w:color="auto" w:fill="FABF8F"/>
            <w:vAlign w:val="center"/>
          </w:tcPr>
          <w:p w:rsidR="00A92422" w:rsidRPr="00D87B79" w:rsidRDefault="00A92422" w:rsidP="00EA30FC">
            <w:pPr>
              <w:pStyle w:val="TableText"/>
              <w:spacing w:after="120"/>
              <w:rPr>
                <w:rFonts w:ascii="Tahoma" w:hAnsi="Tahoma" w:cs="Tahoma"/>
                <w:sz w:val="13"/>
              </w:rPr>
            </w:pPr>
            <w:r w:rsidRPr="00D87B79">
              <w:rPr>
                <w:rFonts w:ascii="Tahoma" w:hAnsi="Tahoma" w:cs="Tahoma"/>
                <w:sz w:val="13"/>
              </w:rPr>
              <w:t>2</w:t>
            </w:r>
          </w:p>
        </w:tc>
        <w:tc>
          <w:tcPr>
            <w:tcW w:w="429" w:type="dxa"/>
            <w:shd w:val="clear" w:color="auto" w:fill="FABF8F"/>
            <w:vAlign w:val="center"/>
          </w:tcPr>
          <w:p w:rsidR="00A92422" w:rsidRPr="00D87B79" w:rsidRDefault="00A92422" w:rsidP="00EA30FC">
            <w:pPr>
              <w:pStyle w:val="TableText"/>
              <w:spacing w:after="120"/>
              <w:rPr>
                <w:rFonts w:ascii="Tahoma" w:hAnsi="Tahoma" w:cs="Tahoma"/>
                <w:sz w:val="13"/>
              </w:rPr>
            </w:pPr>
            <w:r w:rsidRPr="00D87B79">
              <w:rPr>
                <w:rFonts w:ascii="Tahoma" w:hAnsi="Tahoma" w:cs="Tahoma"/>
                <w:sz w:val="13"/>
              </w:rPr>
              <w:t>1</w:t>
            </w:r>
          </w:p>
        </w:tc>
        <w:tc>
          <w:tcPr>
            <w:tcW w:w="429" w:type="dxa"/>
            <w:tcBorders>
              <w:right w:val="single" w:sz="18" w:space="0" w:color="auto"/>
            </w:tcBorders>
            <w:shd w:val="clear" w:color="auto" w:fill="FABF8F"/>
            <w:vAlign w:val="center"/>
          </w:tcPr>
          <w:p w:rsidR="00A92422" w:rsidRPr="00D87B79" w:rsidRDefault="00A92422" w:rsidP="00EA30FC">
            <w:pPr>
              <w:pStyle w:val="TableText"/>
              <w:spacing w:after="120"/>
              <w:rPr>
                <w:rFonts w:ascii="Tahoma" w:hAnsi="Tahoma" w:cs="Tahoma"/>
                <w:sz w:val="13"/>
              </w:rPr>
            </w:pPr>
            <w:r w:rsidRPr="00D87B79">
              <w:rPr>
                <w:rFonts w:ascii="Tahoma" w:hAnsi="Tahoma" w:cs="Tahoma"/>
                <w:sz w:val="13"/>
              </w:rPr>
              <w:t>1</w:t>
            </w:r>
          </w:p>
        </w:tc>
        <w:tc>
          <w:tcPr>
            <w:tcW w:w="429" w:type="dxa"/>
            <w:tcBorders>
              <w:left w:val="single" w:sz="18" w:space="0" w:color="auto"/>
            </w:tcBorders>
            <w:shd w:val="clear" w:color="auto" w:fill="FABF8F"/>
            <w:vAlign w:val="center"/>
          </w:tcPr>
          <w:p w:rsidR="00A92422" w:rsidRPr="00D87B79" w:rsidRDefault="00A92422" w:rsidP="00EA30FC">
            <w:pPr>
              <w:pStyle w:val="TableText"/>
              <w:spacing w:after="120"/>
              <w:rPr>
                <w:rFonts w:ascii="Tahoma" w:hAnsi="Tahoma" w:cs="Tahoma"/>
                <w:sz w:val="13"/>
              </w:rPr>
            </w:pPr>
          </w:p>
        </w:tc>
        <w:tc>
          <w:tcPr>
            <w:tcW w:w="429" w:type="dxa"/>
            <w:shd w:val="clear" w:color="auto" w:fill="FABF8F"/>
            <w:vAlign w:val="center"/>
          </w:tcPr>
          <w:p w:rsidR="00A92422" w:rsidRPr="00D87B79" w:rsidRDefault="00A92422" w:rsidP="00EA30FC">
            <w:pPr>
              <w:pStyle w:val="TableText"/>
              <w:spacing w:after="120"/>
              <w:rPr>
                <w:rFonts w:ascii="Tahoma" w:hAnsi="Tahoma" w:cs="Tahoma"/>
                <w:sz w:val="13"/>
              </w:rPr>
            </w:pPr>
            <w:r w:rsidRPr="00D87B79">
              <w:rPr>
                <w:rFonts w:ascii="Tahoma" w:hAnsi="Tahoma" w:cs="Tahoma"/>
                <w:sz w:val="13"/>
              </w:rPr>
              <w:t>2</w:t>
            </w:r>
          </w:p>
        </w:tc>
        <w:tc>
          <w:tcPr>
            <w:tcW w:w="429" w:type="dxa"/>
            <w:tcBorders>
              <w:right w:val="single" w:sz="18" w:space="0" w:color="auto"/>
            </w:tcBorders>
            <w:shd w:val="clear" w:color="auto" w:fill="FABF8F"/>
            <w:vAlign w:val="center"/>
          </w:tcPr>
          <w:p w:rsidR="00A92422" w:rsidRPr="00D87B79" w:rsidRDefault="00A92422" w:rsidP="00EA30FC">
            <w:pPr>
              <w:pStyle w:val="TableText"/>
              <w:spacing w:after="120"/>
              <w:rPr>
                <w:rFonts w:ascii="Tahoma" w:hAnsi="Tahoma" w:cs="Tahoma"/>
                <w:sz w:val="13"/>
              </w:rPr>
            </w:pPr>
            <w:r w:rsidRPr="00D87B79">
              <w:rPr>
                <w:rFonts w:ascii="Tahoma" w:hAnsi="Tahoma" w:cs="Tahoma"/>
                <w:sz w:val="13"/>
              </w:rPr>
              <w:t>1</w:t>
            </w:r>
          </w:p>
        </w:tc>
        <w:tc>
          <w:tcPr>
            <w:tcW w:w="429" w:type="dxa"/>
            <w:tcBorders>
              <w:lef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A,</w:t>
            </w:r>
            <w:r>
              <w:rPr>
                <w:rFonts w:ascii="Tahoma" w:hAnsi="Tahoma" w:cs="Tahoma"/>
                <w:sz w:val="13"/>
                <w:lang w:val="it-IT"/>
              </w:rPr>
              <w:t xml:space="preserve"> </w:t>
            </w:r>
            <w:r w:rsidRPr="00D87B79">
              <w:rPr>
                <w:rFonts w:ascii="Tahoma" w:hAnsi="Tahoma" w:cs="Tahoma"/>
                <w:sz w:val="13"/>
                <w:lang w:val="it-IT"/>
              </w:rPr>
              <w:t>S</w:t>
            </w:r>
          </w:p>
        </w:tc>
        <w:tc>
          <w:tcPr>
            <w:tcW w:w="429"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P</w:t>
            </w:r>
          </w:p>
        </w:tc>
        <w:tc>
          <w:tcPr>
            <w:tcW w:w="461" w:type="dxa"/>
            <w:shd w:val="clear" w:color="auto" w:fill="FABF8F"/>
          </w:tcPr>
          <w:p w:rsidR="00A92422" w:rsidRPr="00D87B79" w:rsidRDefault="00A92422" w:rsidP="00EA30FC">
            <w:pPr>
              <w:pStyle w:val="TableText"/>
              <w:rPr>
                <w:rFonts w:ascii="Tahoma" w:hAnsi="Tahoma" w:cs="Tahoma"/>
                <w:sz w:val="13"/>
              </w:rPr>
            </w:pPr>
            <w:r w:rsidRPr="00D87B79">
              <w:rPr>
                <w:rFonts w:ascii="Tahoma" w:hAnsi="Tahoma" w:cs="Tahoma"/>
                <w:sz w:val="13"/>
                <w:lang w:val="it-IT"/>
              </w:rPr>
              <w:t>A</w:t>
            </w:r>
          </w:p>
        </w:tc>
        <w:tc>
          <w:tcPr>
            <w:tcW w:w="567" w:type="dxa"/>
            <w:shd w:val="clear" w:color="auto" w:fill="FABF8F"/>
            <w:vAlign w:val="center"/>
          </w:tcPr>
          <w:p w:rsidR="00A92422" w:rsidRPr="00D87B79" w:rsidRDefault="00A92422" w:rsidP="00EA30FC">
            <w:pPr>
              <w:pStyle w:val="TableText"/>
              <w:rPr>
                <w:rFonts w:ascii="Tahoma" w:hAnsi="Tahoma" w:cs="Tahoma"/>
              </w:rPr>
            </w:pPr>
            <w:r w:rsidRPr="00D87B79">
              <w:rPr>
                <w:rFonts w:ascii="Tahoma" w:hAnsi="Tahoma" w:cs="Tahoma"/>
                <w:sz w:val="13"/>
                <w:lang w:val="it-IT"/>
              </w:rPr>
              <w:t>OL/SA/</w:t>
            </w:r>
          </w:p>
          <w:p w:rsidR="00A92422" w:rsidRPr="00D87B79" w:rsidRDefault="00A92422" w:rsidP="00EA30FC">
            <w:pPr>
              <w:pStyle w:val="TableText"/>
              <w:rPr>
                <w:rFonts w:ascii="Tahoma" w:hAnsi="Tahoma" w:cs="Tahoma"/>
                <w:sz w:val="13"/>
              </w:rPr>
            </w:pPr>
            <w:r w:rsidRPr="00D87B79">
              <w:rPr>
                <w:rFonts w:ascii="Tahoma" w:hAnsi="Tahoma" w:cs="Tahoma"/>
                <w:sz w:val="13"/>
                <w:lang w:val="it-IT"/>
              </w:rPr>
              <w:t>OV</w:t>
            </w:r>
          </w:p>
        </w:tc>
      </w:tr>
      <w:tr w:rsidR="00A92422" w:rsidRPr="00D87B79" w:rsidTr="00EA30FC">
        <w:trPr>
          <w:cantSplit/>
          <w:trHeight w:val="145"/>
        </w:trPr>
        <w:tc>
          <w:tcPr>
            <w:tcW w:w="2638" w:type="dxa"/>
          </w:tcPr>
          <w:p w:rsidR="00A92422" w:rsidRPr="00BA1C75" w:rsidRDefault="00A92422" w:rsidP="00EA30FC">
            <w:pPr>
              <w:pStyle w:val="Heading2"/>
              <w:spacing w:beforeLines="20" w:before="48" w:afterLines="20" w:after="48"/>
              <w:ind w:left="0"/>
              <w:rPr>
                <w:rFonts w:ascii="Tahoma" w:hAnsi="Tahoma" w:cs="Tahoma"/>
                <w:b w:val="0"/>
                <w:sz w:val="14"/>
                <w:szCs w:val="14"/>
              </w:rPr>
            </w:pPr>
            <w:bookmarkStart w:id="115" w:name="_Toc336337891"/>
            <w:bookmarkStart w:id="116" w:name="_Toc342899961"/>
            <w:bookmarkEnd w:id="115"/>
            <w:r w:rsidRPr="00BA1C75">
              <w:rPr>
                <w:rFonts w:ascii="Tahoma" w:hAnsi="Tahoma" w:cs="Tahoma"/>
                <w:b w:val="0"/>
                <w:sz w:val="14"/>
                <w:szCs w:val="14"/>
                <w:lang w:val="it-IT"/>
              </w:rPr>
              <w:t>Visual Studio</w:t>
            </w:r>
            <w:r w:rsidRPr="003A0F2F">
              <w:rPr>
                <w:rFonts w:ascii="Tahoma" w:hAnsi="Tahoma" w:cs="Tahoma"/>
                <w:sz w:val="14"/>
                <w:szCs w:val="14"/>
                <w:vertAlign w:val="superscript"/>
                <w:lang w:val="it-IT"/>
              </w:rPr>
              <w:t>®</w:t>
            </w:r>
            <w:r w:rsidRPr="00BA1C75">
              <w:rPr>
                <w:rFonts w:ascii="Tahoma" w:hAnsi="Tahoma" w:cs="Tahoma"/>
                <w:b w:val="0"/>
                <w:sz w:val="14"/>
                <w:szCs w:val="14"/>
                <w:lang w:val="it-IT"/>
              </w:rPr>
              <w:t xml:space="preserve"> Premium 2012 con MSDN</w:t>
            </w:r>
            <w:bookmarkEnd w:id="116"/>
          </w:p>
        </w:tc>
        <w:tc>
          <w:tcPr>
            <w:tcW w:w="429" w:type="dxa"/>
            <w:vAlign w:val="center"/>
          </w:tcPr>
          <w:p w:rsidR="00A92422" w:rsidRPr="000305C5" w:rsidRDefault="00A92422" w:rsidP="00EA30FC">
            <w:pPr>
              <w:pStyle w:val="TableText"/>
              <w:widowControl w:val="0"/>
              <w:rPr>
                <w:rFonts w:cs="Tahoma"/>
                <w:b/>
                <w:sz w:val="13"/>
                <w:szCs w:val="13"/>
                <w:u w:val="single"/>
              </w:rPr>
            </w:pPr>
            <w:hyperlink w:anchor="Aps_16VS2010PremiumMSDN" w:history="1">
              <w:r w:rsidRPr="000305C5">
                <w:rPr>
                  <w:rStyle w:val="Hyperlink"/>
                  <w:rFonts w:cs="Tahoma"/>
                  <w:b/>
                  <w:sz w:val="13"/>
                  <w:szCs w:val="13"/>
                </w:rPr>
                <w:t>18</w:t>
              </w:r>
            </w:hyperlink>
          </w:p>
        </w:tc>
        <w:tc>
          <w:tcPr>
            <w:tcW w:w="429" w:type="dxa"/>
            <w:vAlign w:val="center"/>
          </w:tcPr>
          <w:p w:rsidR="00A92422" w:rsidRPr="00D87B79" w:rsidRDefault="00A92422" w:rsidP="00EA30FC">
            <w:pPr>
              <w:pStyle w:val="TableText"/>
              <w:spacing w:before="60" w:after="60"/>
              <w:rPr>
                <w:rFonts w:ascii="Tahoma" w:hAnsi="Tahoma" w:cs="Tahoma"/>
                <w:sz w:val="13"/>
              </w:rPr>
            </w:pPr>
            <w:r w:rsidRPr="00D87B79">
              <w:rPr>
                <w:rFonts w:ascii="Tahoma" w:hAnsi="Tahoma" w:cs="Tahoma"/>
                <w:sz w:val="13"/>
              </w:rPr>
              <w:t>09/12</w:t>
            </w:r>
          </w:p>
        </w:tc>
        <w:tc>
          <w:tcPr>
            <w:tcW w:w="429" w:type="dxa"/>
            <w:tcBorders>
              <w:right w:val="single" w:sz="18" w:space="0" w:color="auto"/>
            </w:tcBorders>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DT</w:t>
            </w:r>
          </w:p>
        </w:tc>
        <w:tc>
          <w:tcPr>
            <w:tcW w:w="429" w:type="dxa"/>
            <w:tcBorders>
              <w:left w:val="single" w:sz="18" w:space="0" w:color="auto"/>
            </w:tcBorders>
            <w:vAlign w:val="center"/>
          </w:tcPr>
          <w:p w:rsidR="00A92422" w:rsidRPr="00D87B79" w:rsidRDefault="00A92422" w:rsidP="00EA30FC">
            <w:pPr>
              <w:pStyle w:val="TableText"/>
              <w:spacing w:after="120"/>
              <w:rPr>
                <w:rFonts w:ascii="Tahoma" w:hAnsi="Tahoma" w:cs="Tahoma"/>
                <w:sz w:val="13"/>
              </w:rPr>
            </w:pPr>
          </w:p>
        </w:tc>
        <w:tc>
          <w:tcPr>
            <w:tcW w:w="429" w:type="dxa"/>
            <w:vAlign w:val="center"/>
          </w:tcPr>
          <w:p w:rsidR="00A92422" w:rsidRPr="00D87B79" w:rsidRDefault="00A92422" w:rsidP="00EA30FC">
            <w:pPr>
              <w:pStyle w:val="TableText"/>
              <w:spacing w:after="120"/>
              <w:rPr>
                <w:rFonts w:ascii="Tahoma" w:hAnsi="Tahoma" w:cs="Tahoma"/>
                <w:sz w:val="13"/>
              </w:rPr>
            </w:pPr>
            <w:r w:rsidRPr="00D87B79">
              <w:rPr>
                <w:rFonts w:ascii="Tahoma" w:hAnsi="Tahoma" w:cs="Tahoma"/>
                <w:sz w:val="13"/>
              </w:rPr>
              <w:t>38</w:t>
            </w:r>
          </w:p>
        </w:tc>
        <w:tc>
          <w:tcPr>
            <w:tcW w:w="429" w:type="dxa"/>
            <w:vAlign w:val="center"/>
          </w:tcPr>
          <w:p w:rsidR="00A92422" w:rsidRPr="00D87B79" w:rsidRDefault="00A92422" w:rsidP="00EA30FC">
            <w:pPr>
              <w:pStyle w:val="TableText"/>
              <w:spacing w:after="120"/>
              <w:rPr>
                <w:rFonts w:ascii="Tahoma" w:hAnsi="Tahoma" w:cs="Tahoma"/>
                <w:sz w:val="13"/>
              </w:rPr>
            </w:pPr>
            <w:r w:rsidRPr="00D87B79">
              <w:rPr>
                <w:rFonts w:ascii="Tahoma" w:hAnsi="Tahoma" w:cs="Tahoma"/>
                <w:sz w:val="13"/>
              </w:rPr>
              <w:t>30</w:t>
            </w:r>
          </w:p>
        </w:tc>
        <w:tc>
          <w:tcPr>
            <w:tcW w:w="429" w:type="dxa"/>
            <w:vAlign w:val="center"/>
          </w:tcPr>
          <w:p w:rsidR="00A92422" w:rsidRPr="00D87B79" w:rsidRDefault="00A92422" w:rsidP="00EA30FC">
            <w:pPr>
              <w:pStyle w:val="TableText"/>
              <w:spacing w:after="120"/>
              <w:rPr>
                <w:rFonts w:ascii="Tahoma" w:hAnsi="Tahoma" w:cs="Tahoma"/>
                <w:sz w:val="13"/>
              </w:rPr>
            </w:pPr>
            <w:r w:rsidRPr="00D87B79">
              <w:rPr>
                <w:rFonts w:ascii="Tahoma" w:hAnsi="Tahoma" w:cs="Tahoma"/>
                <w:sz w:val="13"/>
              </w:rPr>
              <w:t>23</w:t>
            </w:r>
          </w:p>
        </w:tc>
        <w:tc>
          <w:tcPr>
            <w:tcW w:w="429" w:type="dxa"/>
            <w:vAlign w:val="center"/>
          </w:tcPr>
          <w:p w:rsidR="00A92422" w:rsidRPr="00D87B79" w:rsidRDefault="00A92422" w:rsidP="00EA30FC">
            <w:pPr>
              <w:pStyle w:val="TableText"/>
              <w:spacing w:after="120"/>
              <w:rPr>
                <w:rFonts w:ascii="Tahoma" w:hAnsi="Tahoma" w:cs="Tahoma"/>
                <w:sz w:val="13"/>
              </w:rPr>
            </w:pPr>
            <w:r w:rsidRPr="00D87B79">
              <w:rPr>
                <w:rFonts w:ascii="Tahoma" w:hAnsi="Tahoma" w:cs="Tahoma"/>
                <w:sz w:val="13"/>
              </w:rPr>
              <w:t>23</w:t>
            </w:r>
          </w:p>
        </w:tc>
        <w:tc>
          <w:tcPr>
            <w:tcW w:w="429" w:type="dxa"/>
            <w:vAlign w:val="center"/>
          </w:tcPr>
          <w:p w:rsidR="00A92422" w:rsidRPr="00D87B79" w:rsidRDefault="00A92422" w:rsidP="00EA30FC">
            <w:pPr>
              <w:pStyle w:val="TableText"/>
              <w:spacing w:after="120"/>
              <w:rPr>
                <w:rFonts w:ascii="Tahoma" w:hAnsi="Tahoma" w:cs="Tahoma"/>
                <w:sz w:val="13"/>
              </w:rPr>
            </w:pPr>
            <w:r w:rsidRPr="00D87B79">
              <w:rPr>
                <w:rFonts w:ascii="Tahoma" w:hAnsi="Tahoma" w:cs="Tahoma"/>
                <w:sz w:val="13"/>
              </w:rPr>
              <w:t>15</w:t>
            </w:r>
          </w:p>
        </w:tc>
        <w:tc>
          <w:tcPr>
            <w:tcW w:w="429" w:type="dxa"/>
            <w:tcBorders>
              <w:right w:val="single" w:sz="18" w:space="0" w:color="auto"/>
            </w:tcBorders>
            <w:vAlign w:val="center"/>
          </w:tcPr>
          <w:p w:rsidR="00A92422" w:rsidRPr="00D87B79" w:rsidRDefault="00A92422" w:rsidP="00EA30FC">
            <w:pPr>
              <w:pStyle w:val="TableText"/>
              <w:spacing w:after="120"/>
              <w:rPr>
                <w:rFonts w:ascii="Tahoma" w:hAnsi="Tahoma" w:cs="Tahoma"/>
                <w:sz w:val="13"/>
              </w:rPr>
            </w:pPr>
            <w:r w:rsidRPr="00D87B79">
              <w:rPr>
                <w:rFonts w:ascii="Tahoma" w:hAnsi="Tahoma" w:cs="Tahoma"/>
                <w:sz w:val="13"/>
              </w:rPr>
              <w:t>8</w:t>
            </w:r>
          </w:p>
        </w:tc>
        <w:tc>
          <w:tcPr>
            <w:tcW w:w="429" w:type="dxa"/>
            <w:tcBorders>
              <w:left w:val="single" w:sz="18" w:space="0" w:color="auto"/>
            </w:tcBorders>
            <w:vAlign w:val="center"/>
          </w:tcPr>
          <w:p w:rsidR="00A92422" w:rsidRPr="00D87B79" w:rsidRDefault="00A92422" w:rsidP="00EA30FC">
            <w:pPr>
              <w:pStyle w:val="TableText"/>
              <w:spacing w:after="120"/>
              <w:rPr>
                <w:rFonts w:ascii="Tahoma" w:hAnsi="Tahoma" w:cs="Tahoma"/>
                <w:sz w:val="13"/>
              </w:rPr>
            </w:pPr>
          </w:p>
        </w:tc>
        <w:tc>
          <w:tcPr>
            <w:tcW w:w="429" w:type="dxa"/>
            <w:vAlign w:val="center"/>
          </w:tcPr>
          <w:p w:rsidR="00A92422" w:rsidRPr="00D87B79" w:rsidRDefault="00A92422" w:rsidP="00EA30FC">
            <w:pPr>
              <w:pStyle w:val="TableText"/>
              <w:spacing w:after="120"/>
              <w:rPr>
                <w:rFonts w:ascii="Tahoma" w:hAnsi="Tahoma" w:cs="Tahoma"/>
                <w:sz w:val="13"/>
              </w:rPr>
            </w:pPr>
            <w:r w:rsidRPr="00D87B79">
              <w:rPr>
                <w:rFonts w:ascii="Tahoma" w:hAnsi="Tahoma" w:cs="Tahoma"/>
                <w:sz w:val="13"/>
              </w:rPr>
              <w:t>30</w:t>
            </w:r>
          </w:p>
        </w:tc>
        <w:tc>
          <w:tcPr>
            <w:tcW w:w="429" w:type="dxa"/>
            <w:tcBorders>
              <w:right w:val="single" w:sz="18" w:space="0" w:color="auto"/>
            </w:tcBorders>
            <w:vAlign w:val="center"/>
          </w:tcPr>
          <w:p w:rsidR="00A92422" w:rsidRPr="00D87B79" w:rsidRDefault="00A92422" w:rsidP="00EA30FC">
            <w:pPr>
              <w:pStyle w:val="TableText"/>
              <w:spacing w:after="120"/>
              <w:rPr>
                <w:rFonts w:ascii="Tahoma" w:hAnsi="Tahoma" w:cs="Tahoma"/>
                <w:sz w:val="13"/>
              </w:rPr>
            </w:pPr>
            <w:r w:rsidRPr="00D87B79">
              <w:rPr>
                <w:rFonts w:ascii="Tahoma" w:hAnsi="Tahoma" w:cs="Tahoma"/>
                <w:sz w:val="13"/>
              </w:rPr>
              <w:t>15</w:t>
            </w:r>
          </w:p>
        </w:tc>
        <w:tc>
          <w:tcPr>
            <w:tcW w:w="429" w:type="dxa"/>
            <w:tcBorders>
              <w:left w:val="single" w:sz="18" w:space="0" w:color="auto"/>
            </w:tcBorders>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tcBorders>
              <w:right w:val="single" w:sz="18" w:space="0" w:color="auto"/>
            </w:tcBorders>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A,</w:t>
            </w:r>
            <w:r>
              <w:rPr>
                <w:rFonts w:ascii="Tahoma" w:hAnsi="Tahoma" w:cs="Tahoma"/>
                <w:sz w:val="13"/>
                <w:lang w:val="it-IT"/>
              </w:rPr>
              <w:t xml:space="preserve"> </w:t>
            </w:r>
            <w:r w:rsidRPr="00D87B79">
              <w:rPr>
                <w:rFonts w:ascii="Tahoma" w:hAnsi="Tahoma" w:cs="Tahoma"/>
                <w:sz w:val="13"/>
                <w:lang w:val="it-IT"/>
              </w:rPr>
              <w:t>S</w:t>
            </w:r>
          </w:p>
        </w:tc>
        <w:tc>
          <w:tcPr>
            <w:tcW w:w="429" w:type="dxa"/>
            <w:tcBorders>
              <w:left w:val="single" w:sz="18" w:space="0" w:color="auto"/>
              <w:right w:val="single" w:sz="18" w:space="0" w:color="auto"/>
            </w:tcBorders>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P</w:t>
            </w:r>
          </w:p>
        </w:tc>
        <w:tc>
          <w:tcPr>
            <w:tcW w:w="461" w:type="dxa"/>
          </w:tcPr>
          <w:p w:rsidR="00A92422" w:rsidRPr="00D87B79" w:rsidRDefault="00A92422" w:rsidP="00EA30FC">
            <w:pPr>
              <w:pStyle w:val="TableText"/>
              <w:rPr>
                <w:rFonts w:ascii="Tahoma" w:hAnsi="Tahoma" w:cs="Tahoma"/>
                <w:sz w:val="13"/>
              </w:rPr>
            </w:pPr>
            <w:r w:rsidRPr="00D87B79">
              <w:rPr>
                <w:rFonts w:ascii="Tahoma" w:hAnsi="Tahoma" w:cs="Tahoma"/>
                <w:sz w:val="13"/>
                <w:lang w:val="it-IT"/>
              </w:rPr>
              <w:t>A</w:t>
            </w:r>
          </w:p>
        </w:tc>
        <w:tc>
          <w:tcPr>
            <w:tcW w:w="567" w:type="dxa"/>
            <w:vAlign w:val="center"/>
          </w:tcPr>
          <w:p w:rsidR="00A92422" w:rsidRPr="00D87B79" w:rsidRDefault="00A92422" w:rsidP="00EA30FC">
            <w:pPr>
              <w:pStyle w:val="TableText"/>
              <w:rPr>
                <w:rFonts w:ascii="Tahoma" w:hAnsi="Tahoma" w:cs="Tahoma"/>
              </w:rPr>
            </w:pPr>
            <w:r w:rsidRPr="00D87B79">
              <w:rPr>
                <w:rFonts w:ascii="Tahoma" w:hAnsi="Tahoma" w:cs="Tahoma"/>
                <w:sz w:val="13"/>
                <w:lang w:val="it-IT"/>
              </w:rPr>
              <w:t>OL/SA/</w:t>
            </w:r>
          </w:p>
          <w:p w:rsidR="00A92422" w:rsidRPr="00D87B79" w:rsidRDefault="00A92422" w:rsidP="00EA30FC">
            <w:pPr>
              <w:pStyle w:val="TableText"/>
              <w:rPr>
                <w:rFonts w:ascii="Tahoma" w:hAnsi="Tahoma" w:cs="Tahoma"/>
                <w:sz w:val="13"/>
              </w:rPr>
            </w:pPr>
            <w:r w:rsidRPr="00D87B79">
              <w:rPr>
                <w:rFonts w:ascii="Tahoma" w:hAnsi="Tahoma" w:cs="Tahoma"/>
                <w:sz w:val="13"/>
                <w:lang w:val="it-IT"/>
              </w:rPr>
              <w:t>OV</w:t>
            </w:r>
          </w:p>
        </w:tc>
      </w:tr>
      <w:tr w:rsidR="00A92422" w:rsidRPr="00D87B79" w:rsidTr="00EA30FC">
        <w:trPr>
          <w:cantSplit/>
          <w:trHeight w:val="145"/>
        </w:trPr>
        <w:tc>
          <w:tcPr>
            <w:tcW w:w="2638" w:type="dxa"/>
            <w:shd w:val="clear" w:color="auto" w:fill="FABF8F"/>
          </w:tcPr>
          <w:p w:rsidR="00A92422" w:rsidRPr="00BA1C75" w:rsidRDefault="00A92422" w:rsidP="00EA30FC">
            <w:pPr>
              <w:pStyle w:val="Heading2"/>
              <w:spacing w:beforeLines="20" w:before="48" w:afterLines="20" w:after="48"/>
              <w:ind w:left="0"/>
              <w:rPr>
                <w:rFonts w:ascii="Tahoma" w:hAnsi="Tahoma" w:cs="Tahoma"/>
                <w:b w:val="0"/>
                <w:sz w:val="14"/>
                <w:szCs w:val="14"/>
              </w:rPr>
            </w:pPr>
            <w:bookmarkStart w:id="117" w:name="_Toc336337892"/>
            <w:bookmarkStart w:id="118" w:name="_Toc342899962"/>
            <w:bookmarkEnd w:id="117"/>
            <w:r w:rsidRPr="00BA1C75">
              <w:rPr>
                <w:rFonts w:ascii="Tahoma" w:hAnsi="Tahoma" w:cs="Tahoma"/>
                <w:b w:val="0"/>
                <w:sz w:val="14"/>
                <w:szCs w:val="14"/>
                <w:lang w:val="it-IT"/>
              </w:rPr>
              <w:t>Visual Studio</w:t>
            </w:r>
            <w:r w:rsidRPr="003A0F2F">
              <w:rPr>
                <w:rFonts w:ascii="Tahoma" w:hAnsi="Tahoma" w:cs="Tahoma"/>
                <w:sz w:val="14"/>
                <w:szCs w:val="14"/>
                <w:vertAlign w:val="superscript"/>
                <w:lang w:val="it-IT"/>
              </w:rPr>
              <w:t>®</w:t>
            </w:r>
            <w:r w:rsidRPr="00BA1C75">
              <w:rPr>
                <w:rFonts w:ascii="Tahoma" w:hAnsi="Tahoma" w:cs="Tahoma"/>
                <w:b w:val="0"/>
                <w:sz w:val="14"/>
                <w:szCs w:val="14"/>
                <w:lang w:val="it-IT"/>
              </w:rPr>
              <w:t xml:space="preserve"> Ultimate 2012 con MSDN</w:t>
            </w:r>
            <w:bookmarkEnd w:id="118"/>
          </w:p>
        </w:tc>
        <w:tc>
          <w:tcPr>
            <w:tcW w:w="429" w:type="dxa"/>
            <w:shd w:val="clear" w:color="auto" w:fill="FABF8F"/>
            <w:vAlign w:val="center"/>
          </w:tcPr>
          <w:p w:rsidR="00A92422" w:rsidRPr="000305C5" w:rsidRDefault="00A92422" w:rsidP="00EA30FC">
            <w:pPr>
              <w:pStyle w:val="TableText"/>
              <w:widowControl w:val="0"/>
              <w:rPr>
                <w:rFonts w:cs="Tahoma"/>
                <w:b/>
                <w:sz w:val="13"/>
                <w:szCs w:val="13"/>
                <w:u w:val="single"/>
              </w:rPr>
            </w:pPr>
            <w:hyperlink w:anchor="Aps_18VS2010UltimateMSDN" w:history="1">
              <w:r w:rsidRPr="000305C5">
                <w:rPr>
                  <w:rStyle w:val="Hyperlink"/>
                  <w:rFonts w:cs="Tahoma"/>
                  <w:b/>
                  <w:sz w:val="13"/>
                  <w:szCs w:val="13"/>
                </w:rPr>
                <w:t>19</w:t>
              </w:r>
            </w:hyperlink>
          </w:p>
        </w:tc>
        <w:tc>
          <w:tcPr>
            <w:tcW w:w="429" w:type="dxa"/>
            <w:shd w:val="clear" w:color="auto" w:fill="FABF8F"/>
            <w:vAlign w:val="center"/>
          </w:tcPr>
          <w:p w:rsidR="00A92422" w:rsidRPr="00D87B79" w:rsidRDefault="00A92422" w:rsidP="00EA30FC">
            <w:pPr>
              <w:pStyle w:val="TableText"/>
              <w:spacing w:before="60" w:after="60"/>
              <w:rPr>
                <w:rFonts w:ascii="Tahoma" w:hAnsi="Tahoma" w:cs="Tahoma"/>
                <w:sz w:val="13"/>
              </w:rPr>
            </w:pPr>
            <w:r w:rsidRPr="00D87B79">
              <w:rPr>
                <w:rFonts w:ascii="Tahoma" w:hAnsi="Tahoma" w:cs="Tahoma"/>
                <w:sz w:val="13"/>
              </w:rPr>
              <w:t>09/12</w:t>
            </w:r>
          </w:p>
        </w:tc>
        <w:tc>
          <w:tcPr>
            <w:tcW w:w="429"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DT</w:t>
            </w:r>
          </w:p>
        </w:tc>
        <w:tc>
          <w:tcPr>
            <w:tcW w:w="429" w:type="dxa"/>
            <w:tcBorders>
              <w:left w:val="single" w:sz="18" w:space="0" w:color="auto"/>
            </w:tcBorders>
            <w:shd w:val="clear" w:color="auto" w:fill="FABF8F"/>
            <w:vAlign w:val="center"/>
          </w:tcPr>
          <w:p w:rsidR="00A92422" w:rsidRPr="00D87B79" w:rsidRDefault="00A92422" w:rsidP="00EA30FC">
            <w:pPr>
              <w:pStyle w:val="TableText"/>
              <w:spacing w:after="120"/>
              <w:rPr>
                <w:rFonts w:ascii="Tahoma" w:hAnsi="Tahoma" w:cs="Tahoma"/>
                <w:sz w:val="13"/>
              </w:rPr>
            </w:pPr>
          </w:p>
        </w:tc>
        <w:tc>
          <w:tcPr>
            <w:tcW w:w="429" w:type="dxa"/>
            <w:shd w:val="clear" w:color="auto" w:fill="FABF8F"/>
            <w:vAlign w:val="center"/>
          </w:tcPr>
          <w:p w:rsidR="00A92422" w:rsidRPr="00D87B79" w:rsidRDefault="00A92422" w:rsidP="00EA30FC">
            <w:pPr>
              <w:pStyle w:val="TableText"/>
              <w:spacing w:after="120"/>
              <w:rPr>
                <w:rFonts w:ascii="Tahoma" w:hAnsi="Tahoma" w:cs="Tahoma"/>
                <w:sz w:val="13"/>
              </w:rPr>
            </w:pPr>
            <w:r w:rsidRPr="00D87B79">
              <w:rPr>
                <w:rFonts w:ascii="Tahoma" w:hAnsi="Tahoma" w:cs="Tahoma"/>
                <w:sz w:val="13"/>
              </w:rPr>
              <w:t>83</w:t>
            </w:r>
          </w:p>
        </w:tc>
        <w:tc>
          <w:tcPr>
            <w:tcW w:w="429" w:type="dxa"/>
            <w:shd w:val="clear" w:color="auto" w:fill="FABF8F"/>
            <w:vAlign w:val="center"/>
          </w:tcPr>
          <w:p w:rsidR="00A92422" w:rsidRPr="00D87B79" w:rsidRDefault="00A92422" w:rsidP="00EA30FC">
            <w:pPr>
              <w:pStyle w:val="TableText"/>
              <w:spacing w:after="120"/>
              <w:rPr>
                <w:rFonts w:ascii="Tahoma" w:hAnsi="Tahoma" w:cs="Tahoma"/>
                <w:sz w:val="13"/>
              </w:rPr>
            </w:pPr>
            <w:r w:rsidRPr="00D87B79">
              <w:rPr>
                <w:rFonts w:ascii="Tahoma" w:hAnsi="Tahoma" w:cs="Tahoma"/>
                <w:sz w:val="13"/>
              </w:rPr>
              <w:t>66</w:t>
            </w:r>
          </w:p>
        </w:tc>
        <w:tc>
          <w:tcPr>
            <w:tcW w:w="429" w:type="dxa"/>
            <w:shd w:val="clear" w:color="auto" w:fill="FABF8F"/>
            <w:vAlign w:val="center"/>
          </w:tcPr>
          <w:p w:rsidR="00A92422" w:rsidRPr="00D87B79" w:rsidRDefault="00A92422" w:rsidP="00EA30FC">
            <w:pPr>
              <w:pStyle w:val="TableText"/>
              <w:spacing w:after="120"/>
              <w:rPr>
                <w:rFonts w:ascii="Tahoma" w:hAnsi="Tahoma" w:cs="Tahoma"/>
                <w:sz w:val="13"/>
              </w:rPr>
            </w:pPr>
            <w:r w:rsidRPr="00D87B79">
              <w:rPr>
                <w:rFonts w:ascii="Tahoma" w:hAnsi="Tahoma" w:cs="Tahoma"/>
                <w:sz w:val="13"/>
              </w:rPr>
              <w:t>50</w:t>
            </w:r>
          </w:p>
        </w:tc>
        <w:tc>
          <w:tcPr>
            <w:tcW w:w="429" w:type="dxa"/>
            <w:shd w:val="clear" w:color="auto" w:fill="FABF8F"/>
            <w:vAlign w:val="center"/>
          </w:tcPr>
          <w:p w:rsidR="00A92422" w:rsidRPr="00D87B79" w:rsidRDefault="00A92422" w:rsidP="00EA30FC">
            <w:pPr>
              <w:pStyle w:val="TableText"/>
              <w:spacing w:after="120"/>
              <w:rPr>
                <w:rFonts w:ascii="Tahoma" w:hAnsi="Tahoma" w:cs="Tahoma"/>
                <w:sz w:val="13"/>
              </w:rPr>
            </w:pPr>
            <w:r w:rsidRPr="00D87B79">
              <w:rPr>
                <w:rFonts w:ascii="Tahoma" w:hAnsi="Tahoma" w:cs="Tahoma"/>
                <w:sz w:val="13"/>
              </w:rPr>
              <w:t>50</w:t>
            </w:r>
          </w:p>
        </w:tc>
        <w:tc>
          <w:tcPr>
            <w:tcW w:w="429" w:type="dxa"/>
            <w:shd w:val="clear" w:color="auto" w:fill="FABF8F"/>
            <w:vAlign w:val="center"/>
          </w:tcPr>
          <w:p w:rsidR="00A92422" w:rsidRPr="00D87B79" w:rsidRDefault="00A92422" w:rsidP="00EA30FC">
            <w:pPr>
              <w:pStyle w:val="TableText"/>
              <w:spacing w:after="120"/>
              <w:rPr>
                <w:rFonts w:ascii="Tahoma" w:hAnsi="Tahoma" w:cs="Tahoma"/>
                <w:sz w:val="13"/>
              </w:rPr>
            </w:pPr>
            <w:r w:rsidRPr="00D87B79">
              <w:rPr>
                <w:rFonts w:ascii="Tahoma" w:hAnsi="Tahoma" w:cs="Tahoma"/>
                <w:sz w:val="13"/>
              </w:rPr>
              <w:t>33</w:t>
            </w:r>
          </w:p>
        </w:tc>
        <w:tc>
          <w:tcPr>
            <w:tcW w:w="429" w:type="dxa"/>
            <w:tcBorders>
              <w:right w:val="single" w:sz="18" w:space="0" w:color="auto"/>
            </w:tcBorders>
            <w:shd w:val="clear" w:color="auto" w:fill="FABF8F"/>
            <w:vAlign w:val="center"/>
          </w:tcPr>
          <w:p w:rsidR="00A92422" w:rsidRPr="00D87B79" w:rsidRDefault="00A92422" w:rsidP="00EA30FC">
            <w:pPr>
              <w:pStyle w:val="TableText"/>
              <w:spacing w:after="120"/>
              <w:rPr>
                <w:rFonts w:ascii="Tahoma" w:hAnsi="Tahoma" w:cs="Tahoma"/>
                <w:sz w:val="13"/>
              </w:rPr>
            </w:pPr>
            <w:r w:rsidRPr="00D87B79">
              <w:rPr>
                <w:rFonts w:ascii="Tahoma" w:hAnsi="Tahoma" w:cs="Tahoma"/>
                <w:sz w:val="13"/>
              </w:rPr>
              <w:t>17</w:t>
            </w:r>
          </w:p>
        </w:tc>
        <w:tc>
          <w:tcPr>
            <w:tcW w:w="429" w:type="dxa"/>
            <w:tcBorders>
              <w:left w:val="single" w:sz="18" w:space="0" w:color="auto"/>
            </w:tcBorders>
            <w:shd w:val="clear" w:color="auto" w:fill="FABF8F"/>
            <w:vAlign w:val="center"/>
          </w:tcPr>
          <w:p w:rsidR="00A92422" w:rsidRPr="00D87B79" w:rsidRDefault="00A92422" w:rsidP="00EA30FC">
            <w:pPr>
              <w:pStyle w:val="TableText"/>
              <w:spacing w:after="120"/>
              <w:rPr>
                <w:rFonts w:ascii="Tahoma" w:hAnsi="Tahoma" w:cs="Tahoma"/>
                <w:sz w:val="13"/>
              </w:rPr>
            </w:pPr>
          </w:p>
        </w:tc>
        <w:tc>
          <w:tcPr>
            <w:tcW w:w="429" w:type="dxa"/>
            <w:shd w:val="clear" w:color="auto" w:fill="FABF8F"/>
            <w:vAlign w:val="center"/>
          </w:tcPr>
          <w:p w:rsidR="00A92422" w:rsidRPr="00D87B79" w:rsidRDefault="00A92422" w:rsidP="00EA30FC">
            <w:pPr>
              <w:pStyle w:val="TableText"/>
              <w:spacing w:after="120"/>
              <w:rPr>
                <w:rFonts w:ascii="Tahoma" w:hAnsi="Tahoma" w:cs="Tahoma"/>
                <w:sz w:val="13"/>
              </w:rPr>
            </w:pPr>
            <w:r w:rsidRPr="00D87B79">
              <w:rPr>
                <w:rFonts w:ascii="Tahoma" w:hAnsi="Tahoma" w:cs="Tahoma"/>
                <w:sz w:val="13"/>
              </w:rPr>
              <w:t>66</w:t>
            </w:r>
          </w:p>
        </w:tc>
        <w:tc>
          <w:tcPr>
            <w:tcW w:w="429" w:type="dxa"/>
            <w:tcBorders>
              <w:right w:val="single" w:sz="18" w:space="0" w:color="auto"/>
            </w:tcBorders>
            <w:shd w:val="clear" w:color="auto" w:fill="FABF8F"/>
            <w:vAlign w:val="center"/>
          </w:tcPr>
          <w:p w:rsidR="00A92422" w:rsidRPr="00D87B79" w:rsidRDefault="00A92422" w:rsidP="00EA30FC">
            <w:pPr>
              <w:pStyle w:val="TableText"/>
              <w:spacing w:after="120"/>
              <w:rPr>
                <w:rFonts w:ascii="Tahoma" w:hAnsi="Tahoma" w:cs="Tahoma"/>
                <w:sz w:val="13"/>
              </w:rPr>
            </w:pPr>
            <w:r w:rsidRPr="00D87B79">
              <w:rPr>
                <w:rFonts w:ascii="Tahoma" w:hAnsi="Tahoma" w:cs="Tahoma"/>
                <w:sz w:val="13"/>
              </w:rPr>
              <w:t>33</w:t>
            </w:r>
          </w:p>
        </w:tc>
        <w:tc>
          <w:tcPr>
            <w:tcW w:w="429" w:type="dxa"/>
            <w:tcBorders>
              <w:lef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A,</w:t>
            </w:r>
            <w:r>
              <w:rPr>
                <w:rFonts w:ascii="Tahoma" w:hAnsi="Tahoma" w:cs="Tahoma"/>
                <w:sz w:val="13"/>
                <w:lang w:val="it-IT"/>
              </w:rPr>
              <w:t xml:space="preserve"> </w:t>
            </w:r>
            <w:r w:rsidRPr="00D87B79">
              <w:rPr>
                <w:rFonts w:ascii="Tahoma" w:hAnsi="Tahoma" w:cs="Tahoma"/>
                <w:sz w:val="13"/>
                <w:lang w:val="it-IT"/>
              </w:rPr>
              <w:t>S</w:t>
            </w:r>
          </w:p>
        </w:tc>
        <w:tc>
          <w:tcPr>
            <w:tcW w:w="429"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P</w:t>
            </w:r>
          </w:p>
        </w:tc>
        <w:tc>
          <w:tcPr>
            <w:tcW w:w="461" w:type="dxa"/>
            <w:shd w:val="clear" w:color="auto" w:fill="FABF8F"/>
          </w:tcPr>
          <w:p w:rsidR="00A92422" w:rsidRPr="00D87B79" w:rsidRDefault="00A92422" w:rsidP="00EA30FC">
            <w:pPr>
              <w:pStyle w:val="TableText"/>
              <w:rPr>
                <w:rFonts w:ascii="Tahoma" w:hAnsi="Tahoma" w:cs="Tahoma"/>
                <w:sz w:val="13"/>
              </w:rPr>
            </w:pPr>
            <w:r w:rsidRPr="00D87B79">
              <w:rPr>
                <w:rFonts w:ascii="Tahoma" w:hAnsi="Tahoma" w:cs="Tahoma"/>
                <w:sz w:val="13"/>
                <w:lang w:val="it-IT"/>
              </w:rPr>
              <w:t>A</w:t>
            </w:r>
          </w:p>
        </w:tc>
        <w:tc>
          <w:tcPr>
            <w:tcW w:w="567" w:type="dxa"/>
            <w:shd w:val="clear" w:color="auto" w:fill="FABF8F"/>
            <w:vAlign w:val="center"/>
          </w:tcPr>
          <w:p w:rsidR="00A92422" w:rsidRPr="00D87B79" w:rsidRDefault="00A92422" w:rsidP="00EA30FC">
            <w:pPr>
              <w:pStyle w:val="TableText"/>
              <w:rPr>
                <w:rFonts w:ascii="Tahoma" w:hAnsi="Tahoma" w:cs="Tahoma"/>
              </w:rPr>
            </w:pPr>
            <w:r w:rsidRPr="00D87B79">
              <w:rPr>
                <w:rFonts w:ascii="Tahoma" w:hAnsi="Tahoma" w:cs="Tahoma"/>
                <w:sz w:val="13"/>
                <w:lang w:val="it-IT"/>
              </w:rPr>
              <w:t>OL/SA/</w:t>
            </w:r>
          </w:p>
          <w:p w:rsidR="00A92422" w:rsidRPr="00D87B79" w:rsidRDefault="00A92422" w:rsidP="00EA30FC">
            <w:pPr>
              <w:pStyle w:val="TableText"/>
              <w:rPr>
                <w:rFonts w:ascii="Tahoma" w:hAnsi="Tahoma" w:cs="Tahoma"/>
                <w:sz w:val="13"/>
              </w:rPr>
            </w:pPr>
            <w:r w:rsidRPr="00D87B79">
              <w:rPr>
                <w:rFonts w:ascii="Tahoma" w:hAnsi="Tahoma" w:cs="Tahoma"/>
                <w:sz w:val="13"/>
                <w:lang w:val="it-IT"/>
              </w:rPr>
              <w:t>OV</w:t>
            </w:r>
          </w:p>
        </w:tc>
      </w:tr>
      <w:tr w:rsidR="00A92422" w:rsidRPr="00D87B79" w:rsidTr="00EA30FC">
        <w:trPr>
          <w:cantSplit/>
          <w:trHeight w:val="145"/>
        </w:trPr>
        <w:tc>
          <w:tcPr>
            <w:tcW w:w="2638" w:type="dxa"/>
          </w:tcPr>
          <w:p w:rsidR="00A92422" w:rsidRPr="00BA1C75" w:rsidRDefault="00A92422" w:rsidP="00EA30FC">
            <w:pPr>
              <w:pStyle w:val="Heading2"/>
              <w:spacing w:beforeLines="20" w:before="48" w:afterLines="20" w:after="48"/>
              <w:ind w:left="0"/>
              <w:rPr>
                <w:rFonts w:ascii="Tahoma" w:hAnsi="Tahoma" w:cs="Tahoma"/>
                <w:b w:val="0"/>
                <w:sz w:val="14"/>
                <w:szCs w:val="14"/>
              </w:rPr>
            </w:pPr>
            <w:bookmarkStart w:id="119" w:name="_Toc336337893"/>
            <w:bookmarkStart w:id="120" w:name="_Toc342899963"/>
            <w:bookmarkEnd w:id="119"/>
            <w:r w:rsidRPr="00BA1C75">
              <w:rPr>
                <w:rFonts w:ascii="Tahoma" w:hAnsi="Tahoma" w:cs="Tahoma"/>
                <w:b w:val="0"/>
                <w:sz w:val="14"/>
                <w:szCs w:val="14"/>
                <w:lang w:val="it-IT"/>
              </w:rPr>
              <w:t>Visual Studio</w:t>
            </w:r>
            <w:r w:rsidRPr="003A0F2F">
              <w:rPr>
                <w:rFonts w:ascii="Tahoma" w:hAnsi="Tahoma" w:cs="Tahoma"/>
                <w:sz w:val="14"/>
                <w:szCs w:val="14"/>
                <w:vertAlign w:val="superscript"/>
                <w:lang w:val="it-IT"/>
              </w:rPr>
              <w:t>®</w:t>
            </w:r>
            <w:r w:rsidRPr="00BA1C75">
              <w:rPr>
                <w:rFonts w:ascii="Tahoma" w:hAnsi="Tahoma" w:cs="Tahoma"/>
                <w:b w:val="0"/>
                <w:sz w:val="14"/>
                <w:szCs w:val="14"/>
                <w:lang w:val="it-IT"/>
              </w:rPr>
              <w:t xml:space="preserve"> Test Professional 2012 </w:t>
            </w:r>
            <w:r>
              <w:rPr>
                <w:rFonts w:ascii="Tahoma" w:hAnsi="Tahoma" w:cs="Tahoma"/>
                <w:b w:val="0"/>
                <w:sz w:val="14"/>
                <w:szCs w:val="14"/>
                <w:lang w:val="it-IT"/>
              </w:rPr>
              <w:br/>
            </w:r>
            <w:r w:rsidRPr="00BA1C75">
              <w:rPr>
                <w:rFonts w:ascii="Tahoma" w:hAnsi="Tahoma" w:cs="Tahoma"/>
                <w:b w:val="0"/>
                <w:sz w:val="14"/>
                <w:szCs w:val="14"/>
                <w:lang w:val="it-IT"/>
              </w:rPr>
              <w:t>con MSDN</w:t>
            </w:r>
            <w:bookmarkEnd w:id="120"/>
          </w:p>
        </w:tc>
        <w:bookmarkStart w:id="121" w:name="_Hlt335908536"/>
        <w:bookmarkEnd w:id="121"/>
        <w:tc>
          <w:tcPr>
            <w:tcW w:w="429" w:type="dxa"/>
            <w:vAlign w:val="center"/>
          </w:tcPr>
          <w:p w:rsidR="00A92422" w:rsidRPr="000305C5" w:rsidRDefault="00A92422" w:rsidP="00EA30FC">
            <w:pPr>
              <w:pStyle w:val="TableText"/>
              <w:widowControl w:val="0"/>
              <w:rPr>
                <w:rFonts w:cs="Tahoma"/>
                <w:b/>
                <w:sz w:val="13"/>
                <w:szCs w:val="13"/>
                <w:u w:val="single"/>
              </w:rPr>
            </w:pPr>
            <w:r w:rsidRPr="000305C5">
              <w:rPr>
                <w:rFonts w:cs="Tahoma"/>
                <w:b/>
                <w:sz w:val="13"/>
                <w:szCs w:val="13"/>
                <w:u w:val="single"/>
              </w:rPr>
              <w:fldChar w:fldCharType="begin"/>
            </w:r>
            <w:r w:rsidRPr="000305C5">
              <w:rPr>
                <w:rFonts w:cs="Tahoma"/>
                <w:b/>
                <w:sz w:val="13"/>
                <w:szCs w:val="13"/>
                <w:u w:val="single"/>
              </w:rPr>
              <w:instrText xml:space="preserve"> HYPERLINK  \l "Aps_19VS2010TestMSDN"</w:instrText>
            </w:r>
            <w:r w:rsidRPr="000305C5">
              <w:rPr>
                <w:rFonts w:cs="Tahoma"/>
                <w:b/>
                <w:sz w:val="13"/>
                <w:szCs w:val="13"/>
                <w:u w:val="single"/>
              </w:rPr>
              <w:fldChar w:fldCharType="separate"/>
            </w:r>
            <w:r w:rsidRPr="000305C5">
              <w:rPr>
                <w:rStyle w:val="Hyperlink"/>
                <w:rFonts w:cs="Tahoma"/>
                <w:b/>
                <w:sz w:val="13"/>
                <w:szCs w:val="13"/>
              </w:rPr>
              <w:t>20</w:t>
            </w:r>
            <w:r w:rsidRPr="000305C5">
              <w:rPr>
                <w:rFonts w:cs="Tahoma"/>
                <w:b/>
                <w:sz w:val="13"/>
                <w:szCs w:val="13"/>
                <w:u w:val="single"/>
              </w:rPr>
              <w:fldChar w:fldCharType="end"/>
            </w:r>
          </w:p>
        </w:tc>
        <w:tc>
          <w:tcPr>
            <w:tcW w:w="429" w:type="dxa"/>
            <w:vAlign w:val="center"/>
          </w:tcPr>
          <w:p w:rsidR="00A92422" w:rsidRPr="00D87B79" w:rsidRDefault="00A92422" w:rsidP="00EA30FC">
            <w:pPr>
              <w:pStyle w:val="TableText"/>
              <w:spacing w:before="60" w:after="60"/>
              <w:rPr>
                <w:rFonts w:ascii="Tahoma" w:hAnsi="Tahoma" w:cs="Tahoma"/>
                <w:sz w:val="13"/>
              </w:rPr>
            </w:pPr>
            <w:r w:rsidRPr="00D87B79">
              <w:rPr>
                <w:rFonts w:ascii="Tahoma" w:hAnsi="Tahoma" w:cs="Tahoma"/>
                <w:sz w:val="13"/>
              </w:rPr>
              <w:t>09/12</w:t>
            </w:r>
          </w:p>
        </w:tc>
        <w:tc>
          <w:tcPr>
            <w:tcW w:w="429" w:type="dxa"/>
            <w:tcBorders>
              <w:right w:val="single" w:sz="18" w:space="0" w:color="auto"/>
            </w:tcBorders>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DT</w:t>
            </w:r>
          </w:p>
        </w:tc>
        <w:tc>
          <w:tcPr>
            <w:tcW w:w="429" w:type="dxa"/>
            <w:tcBorders>
              <w:left w:val="single" w:sz="18" w:space="0" w:color="auto"/>
            </w:tcBorders>
            <w:vAlign w:val="center"/>
          </w:tcPr>
          <w:p w:rsidR="00A92422" w:rsidRPr="00D87B79" w:rsidRDefault="00A92422" w:rsidP="00EA30FC">
            <w:pPr>
              <w:pStyle w:val="TableText"/>
              <w:spacing w:after="120"/>
              <w:rPr>
                <w:rFonts w:ascii="Tahoma" w:hAnsi="Tahoma" w:cs="Tahoma"/>
                <w:sz w:val="13"/>
              </w:rPr>
            </w:pPr>
          </w:p>
        </w:tc>
        <w:tc>
          <w:tcPr>
            <w:tcW w:w="429" w:type="dxa"/>
            <w:vAlign w:val="center"/>
          </w:tcPr>
          <w:p w:rsidR="00A92422" w:rsidRPr="00D87B79" w:rsidRDefault="00A92422" w:rsidP="00EA30FC">
            <w:pPr>
              <w:pStyle w:val="TableText"/>
              <w:spacing w:after="120"/>
              <w:rPr>
                <w:rFonts w:ascii="Tahoma" w:hAnsi="Tahoma" w:cs="Tahoma"/>
                <w:sz w:val="13"/>
              </w:rPr>
            </w:pPr>
            <w:r w:rsidRPr="00D87B79">
              <w:rPr>
                <w:rFonts w:ascii="Tahoma" w:hAnsi="Tahoma" w:cs="Tahoma"/>
                <w:sz w:val="13"/>
              </w:rPr>
              <w:t>15</w:t>
            </w:r>
          </w:p>
        </w:tc>
        <w:tc>
          <w:tcPr>
            <w:tcW w:w="429" w:type="dxa"/>
            <w:vAlign w:val="center"/>
          </w:tcPr>
          <w:p w:rsidR="00A92422" w:rsidRPr="00D87B79" w:rsidRDefault="00A92422" w:rsidP="00EA30FC">
            <w:pPr>
              <w:pStyle w:val="TableText"/>
              <w:spacing w:after="120"/>
              <w:rPr>
                <w:rFonts w:ascii="Tahoma" w:hAnsi="Tahoma" w:cs="Tahoma"/>
                <w:sz w:val="13"/>
              </w:rPr>
            </w:pPr>
            <w:r w:rsidRPr="00D87B79">
              <w:rPr>
                <w:rFonts w:ascii="Tahoma" w:hAnsi="Tahoma" w:cs="Tahoma"/>
                <w:sz w:val="13"/>
              </w:rPr>
              <w:t>12</w:t>
            </w:r>
          </w:p>
        </w:tc>
        <w:tc>
          <w:tcPr>
            <w:tcW w:w="429" w:type="dxa"/>
            <w:vAlign w:val="center"/>
          </w:tcPr>
          <w:p w:rsidR="00A92422" w:rsidRPr="00D87B79" w:rsidRDefault="00A92422" w:rsidP="00EA30FC">
            <w:pPr>
              <w:pStyle w:val="TableText"/>
              <w:spacing w:after="120"/>
              <w:rPr>
                <w:rFonts w:ascii="Tahoma" w:hAnsi="Tahoma" w:cs="Tahoma"/>
                <w:sz w:val="13"/>
              </w:rPr>
            </w:pPr>
            <w:r w:rsidRPr="00D87B79">
              <w:rPr>
                <w:rFonts w:ascii="Tahoma" w:hAnsi="Tahoma" w:cs="Tahoma"/>
                <w:sz w:val="13"/>
              </w:rPr>
              <w:t>9</w:t>
            </w:r>
          </w:p>
        </w:tc>
        <w:tc>
          <w:tcPr>
            <w:tcW w:w="429" w:type="dxa"/>
            <w:vAlign w:val="center"/>
          </w:tcPr>
          <w:p w:rsidR="00A92422" w:rsidRPr="00D87B79" w:rsidRDefault="00A92422" w:rsidP="00EA30FC">
            <w:pPr>
              <w:pStyle w:val="TableText"/>
              <w:spacing w:after="120"/>
              <w:rPr>
                <w:rFonts w:ascii="Tahoma" w:hAnsi="Tahoma" w:cs="Tahoma"/>
                <w:sz w:val="13"/>
              </w:rPr>
            </w:pPr>
            <w:r w:rsidRPr="00D87B79">
              <w:rPr>
                <w:rFonts w:ascii="Tahoma" w:hAnsi="Tahoma" w:cs="Tahoma"/>
                <w:sz w:val="13"/>
              </w:rPr>
              <w:t>9</w:t>
            </w:r>
          </w:p>
        </w:tc>
        <w:tc>
          <w:tcPr>
            <w:tcW w:w="429" w:type="dxa"/>
            <w:vAlign w:val="center"/>
          </w:tcPr>
          <w:p w:rsidR="00A92422" w:rsidRPr="00D87B79" w:rsidRDefault="00A92422" w:rsidP="00EA30FC">
            <w:pPr>
              <w:pStyle w:val="TableText"/>
              <w:spacing w:after="120"/>
              <w:rPr>
                <w:rFonts w:ascii="Tahoma" w:hAnsi="Tahoma" w:cs="Tahoma"/>
                <w:sz w:val="13"/>
              </w:rPr>
            </w:pPr>
            <w:r w:rsidRPr="00D87B79">
              <w:rPr>
                <w:rFonts w:ascii="Tahoma" w:hAnsi="Tahoma" w:cs="Tahoma"/>
                <w:sz w:val="13"/>
              </w:rPr>
              <w:t>6</w:t>
            </w:r>
          </w:p>
        </w:tc>
        <w:tc>
          <w:tcPr>
            <w:tcW w:w="429" w:type="dxa"/>
            <w:tcBorders>
              <w:right w:val="single" w:sz="18" w:space="0" w:color="auto"/>
            </w:tcBorders>
            <w:vAlign w:val="center"/>
          </w:tcPr>
          <w:p w:rsidR="00A92422" w:rsidRPr="00D87B79" w:rsidRDefault="00A92422" w:rsidP="00EA30FC">
            <w:pPr>
              <w:pStyle w:val="TableText"/>
              <w:spacing w:after="120"/>
              <w:rPr>
                <w:rFonts w:ascii="Tahoma" w:hAnsi="Tahoma" w:cs="Tahoma"/>
                <w:sz w:val="13"/>
              </w:rPr>
            </w:pPr>
            <w:r w:rsidRPr="00D87B79">
              <w:rPr>
                <w:rFonts w:ascii="Tahoma" w:hAnsi="Tahoma" w:cs="Tahoma"/>
                <w:sz w:val="13"/>
              </w:rPr>
              <w:t>3</w:t>
            </w:r>
          </w:p>
        </w:tc>
        <w:tc>
          <w:tcPr>
            <w:tcW w:w="429" w:type="dxa"/>
            <w:tcBorders>
              <w:left w:val="single" w:sz="18" w:space="0" w:color="auto"/>
            </w:tcBorders>
            <w:vAlign w:val="center"/>
          </w:tcPr>
          <w:p w:rsidR="00A92422" w:rsidRPr="00D87B79" w:rsidRDefault="00A92422" w:rsidP="00EA30FC">
            <w:pPr>
              <w:pStyle w:val="TableText"/>
              <w:spacing w:after="120"/>
              <w:rPr>
                <w:rFonts w:ascii="Tahoma" w:hAnsi="Tahoma" w:cs="Tahoma"/>
                <w:sz w:val="13"/>
              </w:rPr>
            </w:pPr>
          </w:p>
        </w:tc>
        <w:tc>
          <w:tcPr>
            <w:tcW w:w="429" w:type="dxa"/>
            <w:vAlign w:val="center"/>
          </w:tcPr>
          <w:p w:rsidR="00A92422" w:rsidRPr="00D87B79" w:rsidRDefault="00A92422" w:rsidP="00EA30FC">
            <w:pPr>
              <w:pStyle w:val="TableText"/>
              <w:spacing w:after="120"/>
              <w:rPr>
                <w:rFonts w:ascii="Tahoma" w:hAnsi="Tahoma" w:cs="Tahoma"/>
                <w:sz w:val="13"/>
              </w:rPr>
            </w:pPr>
            <w:r w:rsidRPr="00D87B79">
              <w:rPr>
                <w:rFonts w:ascii="Tahoma" w:hAnsi="Tahoma" w:cs="Tahoma"/>
                <w:sz w:val="13"/>
              </w:rPr>
              <w:t>12</w:t>
            </w:r>
          </w:p>
        </w:tc>
        <w:tc>
          <w:tcPr>
            <w:tcW w:w="429" w:type="dxa"/>
            <w:tcBorders>
              <w:right w:val="single" w:sz="18" w:space="0" w:color="auto"/>
            </w:tcBorders>
            <w:vAlign w:val="center"/>
          </w:tcPr>
          <w:p w:rsidR="00A92422" w:rsidRPr="00D87B79" w:rsidRDefault="00A92422" w:rsidP="00EA30FC">
            <w:pPr>
              <w:pStyle w:val="TableText"/>
              <w:spacing w:after="120"/>
              <w:rPr>
                <w:rFonts w:ascii="Tahoma" w:hAnsi="Tahoma" w:cs="Tahoma"/>
                <w:sz w:val="13"/>
              </w:rPr>
            </w:pPr>
            <w:r w:rsidRPr="00D87B79">
              <w:rPr>
                <w:rFonts w:ascii="Tahoma" w:hAnsi="Tahoma" w:cs="Tahoma"/>
                <w:sz w:val="13"/>
              </w:rPr>
              <w:t>6</w:t>
            </w:r>
          </w:p>
        </w:tc>
        <w:tc>
          <w:tcPr>
            <w:tcW w:w="429" w:type="dxa"/>
            <w:tcBorders>
              <w:left w:val="single" w:sz="18" w:space="0" w:color="auto"/>
            </w:tcBorders>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tcBorders>
              <w:right w:val="single" w:sz="18" w:space="0" w:color="auto"/>
            </w:tcBorders>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A,</w:t>
            </w:r>
            <w:r>
              <w:rPr>
                <w:rFonts w:ascii="Tahoma" w:hAnsi="Tahoma" w:cs="Tahoma"/>
                <w:sz w:val="13"/>
                <w:lang w:val="it-IT"/>
              </w:rPr>
              <w:t xml:space="preserve"> </w:t>
            </w:r>
            <w:r w:rsidRPr="00D87B79">
              <w:rPr>
                <w:rFonts w:ascii="Tahoma" w:hAnsi="Tahoma" w:cs="Tahoma"/>
                <w:sz w:val="13"/>
                <w:lang w:val="it-IT"/>
              </w:rPr>
              <w:t>S</w:t>
            </w:r>
          </w:p>
        </w:tc>
        <w:tc>
          <w:tcPr>
            <w:tcW w:w="429" w:type="dxa"/>
            <w:tcBorders>
              <w:left w:val="single" w:sz="18" w:space="0" w:color="auto"/>
              <w:right w:val="single" w:sz="18" w:space="0" w:color="auto"/>
            </w:tcBorders>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P</w:t>
            </w:r>
          </w:p>
        </w:tc>
        <w:tc>
          <w:tcPr>
            <w:tcW w:w="461" w:type="dxa"/>
          </w:tcPr>
          <w:p w:rsidR="00A92422" w:rsidRPr="00D87B79" w:rsidRDefault="00A92422" w:rsidP="00EA30FC">
            <w:pPr>
              <w:pStyle w:val="TableText"/>
              <w:rPr>
                <w:rFonts w:ascii="Tahoma" w:hAnsi="Tahoma" w:cs="Tahoma"/>
                <w:sz w:val="13"/>
              </w:rPr>
            </w:pPr>
            <w:r w:rsidRPr="00D87B79">
              <w:rPr>
                <w:rFonts w:ascii="Tahoma" w:hAnsi="Tahoma" w:cs="Tahoma"/>
                <w:sz w:val="13"/>
                <w:lang w:val="it-IT"/>
              </w:rPr>
              <w:t>A</w:t>
            </w:r>
          </w:p>
        </w:tc>
        <w:tc>
          <w:tcPr>
            <w:tcW w:w="567" w:type="dxa"/>
            <w:vAlign w:val="center"/>
          </w:tcPr>
          <w:p w:rsidR="00A92422" w:rsidRPr="00D87B79" w:rsidRDefault="00A92422" w:rsidP="00EA30FC">
            <w:pPr>
              <w:pStyle w:val="TableText"/>
              <w:rPr>
                <w:rFonts w:ascii="Tahoma" w:hAnsi="Tahoma" w:cs="Tahoma"/>
              </w:rPr>
            </w:pPr>
            <w:r w:rsidRPr="00D87B79">
              <w:rPr>
                <w:rFonts w:ascii="Tahoma" w:hAnsi="Tahoma" w:cs="Tahoma"/>
                <w:sz w:val="13"/>
                <w:lang w:val="it-IT"/>
              </w:rPr>
              <w:t>OL/SA/</w:t>
            </w:r>
          </w:p>
          <w:p w:rsidR="00A92422" w:rsidRPr="00D87B79" w:rsidRDefault="00A92422" w:rsidP="00EA30FC">
            <w:pPr>
              <w:pStyle w:val="TableText"/>
              <w:rPr>
                <w:rFonts w:ascii="Tahoma" w:hAnsi="Tahoma" w:cs="Tahoma"/>
                <w:sz w:val="13"/>
              </w:rPr>
            </w:pPr>
            <w:r w:rsidRPr="00D87B79">
              <w:rPr>
                <w:rFonts w:ascii="Tahoma" w:hAnsi="Tahoma" w:cs="Tahoma"/>
                <w:sz w:val="13"/>
                <w:lang w:val="it-IT"/>
              </w:rPr>
              <w:t>OV</w:t>
            </w:r>
          </w:p>
        </w:tc>
      </w:tr>
      <w:tr w:rsidR="00A92422" w:rsidRPr="00D87B79" w:rsidTr="00EA30FC">
        <w:trPr>
          <w:cantSplit/>
          <w:trHeight w:val="70"/>
        </w:trPr>
        <w:tc>
          <w:tcPr>
            <w:tcW w:w="2638" w:type="dxa"/>
            <w:shd w:val="clear" w:color="auto" w:fill="FABF8F"/>
          </w:tcPr>
          <w:p w:rsidR="00A92422" w:rsidRPr="00BA1C75" w:rsidRDefault="00A92422" w:rsidP="00EA30FC">
            <w:pPr>
              <w:pStyle w:val="Heading2"/>
              <w:spacing w:beforeLines="20" w:before="48" w:afterLines="20" w:after="48"/>
              <w:ind w:left="0"/>
              <w:rPr>
                <w:rFonts w:ascii="Tahoma" w:hAnsi="Tahoma" w:cs="Tahoma"/>
                <w:b w:val="0"/>
                <w:sz w:val="14"/>
                <w:szCs w:val="14"/>
              </w:rPr>
            </w:pPr>
            <w:bookmarkStart w:id="122" w:name="_Toc336337894"/>
            <w:bookmarkStart w:id="123" w:name="_Toc342899964"/>
            <w:bookmarkEnd w:id="122"/>
            <w:r w:rsidRPr="00BA1C75">
              <w:rPr>
                <w:rFonts w:ascii="Tahoma" w:hAnsi="Tahoma" w:cs="Tahoma"/>
                <w:b w:val="0"/>
                <w:sz w:val="14"/>
                <w:szCs w:val="14"/>
                <w:lang w:val="it-IT"/>
              </w:rPr>
              <w:t>Word 2013</w:t>
            </w:r>
            <w:bookmarkEnd w:id="123"/>
          </w:p>
        </w:tc>
        <w:tc>
          <w:tcPr>
            <w:tcW w:w="429" w:type="dxa"/>
            <w:shd w:val="clear" w:color="auto" w:fill="FABF8F"/>
            <w:vAlign w:val="center"/>
          </w:tcPr>
          <w:p w:rsidR="00A92422" w:rsidRPr="000305C5" w:rsidRDefault="00A92422" w:rsidP="00EA30FC">
            <w:pPr>
              <w:pStyle w:val="TableText"/>
              <w:widowControl w:val="0"/>
              <w:rPr>
                <w:rStyle w:val="EndnoteReference"/>
                <w:rFonts w:cs="Tahoma"/>
                <w:color w:val="0000FF"/>
                <w:sz w:val="13"/>
                <w:szCs w:val="13"/>
                <w:u w:val="single"/>
              </w:rPr>
            </w:pPr>
          </w:p>
        </w:tc>
        <w:tc>
          <w:tcPr>
            <w:tcW w:w="429" w:type="dxa"/>
            <w:shd w:val="clear" w:color="auto" w:fill="FABF8F"/>
            <w:vAlign w:val="center"/>
          </w:tcPr>
          <w:p w:rsidR="00A92422" w:rsidRPr="00D87B79" w:rsidRDefault="00A92422" w:rsidP="00EA30FC">
            <w:pPr>
              <w:pStyle w:val="TableText"/>
              <w:spacing w:before="60" w:after="60"/>
              <w:rPr>
                <w:rFonts w:ascii="Tahoma" w:hAnsi="Tahoma" w:cs="Tahoma"/>
                <w:sz w:val="13"/>
              </w:rPr>
            </w:pPr>
            <w:r w:rsidRPr="00D87B79">
              <w:rPr>
                <w:rFonts w:ascii="Tahoma" w:hAnsi="Tahoma" w:cs="Tahoma"/>
                <w:sz w:val="13"/>
              </w:rPr>
              <w:t>10/12</w:t>
            </w:r>
          </w:p>
        </w:tc>
        <w:tc>
          <w:tcPr>
            <w:tcW w:w="429"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DT</w:t>
            </w:r>
          </w:p>
        </w:tc>
        <w:tc>
          <w:tcPr>
            <w:tcW w:w="429" w:type="dxa"/>
            <w:tcBorders>
              <w:left w:val="single" w:sz="18" w:space="0" w:color="auto"/>
            </w:tcBorders>
            <w:shd w:val="clear" w:color="auto" w:fill="FABF8F"/>
            <w:vAlign w:val="center"/>
          </w:tcPr>
          <w:p w:rsidR="00A92422" w:rsidRPr="00D87B79" w:rsidRDefault="00A92422" w:rsidP="00EA30FC">
            <w:pPr>
              <w:pStyle w:val="TableText"/>
              <w:spacing w:after="120"/>
              <w:rPr>
                <w:rFonts w:ascii="Tahoma" w:hAnsi="Tahoma" w:cs="Tahoma"/>
                <w:sz w:val="13"/>
              </w:rPr>
            </w:pPr>
            <w:r w:rsidRPr="00D87B79">
              <w:rPr>
                <w:rFonts w:ascii="Tahoma" w:hAnsi="Tahoma" w:cs="Tahoma"/>
                <w:sz w:val="13"/>
              </w:rPr>
              <w:t>1</w:t>
            </w:r>
          </w:p>
        </w:tc>
        <w:tc>
          <w:tcPr>
            <w:tcW w:w="429" w:type="dxa"/>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3</w:t>
            </w:r>
          </w:p>
        </w:tc>
        <w:tc>
          <w:tcPr>
            <w:tcW w:w="429" w:type="dxa"/>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29" w:type="dxa"/>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29" w:type="dxa"/>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29" w:type="dxa"/>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tcBorders>
              <w:lef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29"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tcBorders>
              <w:lef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p>
        </w:tc>
        <w:tc>
          <w:tcPr>
            <w:tcW w:w="429"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P</w:t>
            </w:r>
          </w:p>
        </w:tc>
        <w:tc>
          <w:tcPr>
            <w:tcW w:w="461" w:type="dxa"/>
            <w:shd w:val="clear" w:color="auto" w:fill="FABF8F"/>
          </w:tcPr>
          <w:p w:rsidR="00A92422" w:rsidRPr="00D87B79" w:rsidRDefault="00A92422" w:rsidP="00EA30FC">
            <w:pPr>
              <w:pStyle w:val="TableText"/>
              <w:rPr>
                <w:rFonts w:ascii="Tahoma" w:hAnsi="Tahoma" w:cs="Tahoma"/>
                <w:sz w:val="13"/>
              </w:rPr>
            </w:pPr>
          </w:p>
        </w:tc>
        <w:tc>
          <w:tcPr>
            <w:tcW w:w="567" w:type="dxa"/>
            <w:shd w:val="clear" w:color="auto" w:fill="FABF8F"/>
            <w:vAlign w:val="center"/>
          </w:tcPr>
          <w:p w:rsidR="00A92422" w:rsidRPr="00D87B79" w:rsidRDefault="00A92422" w:rsidP="00EA30FC">
            <w:pPr>
              <w:pStyle w:val="TableText"/>
              <w:rPr>
                <w:rFonts w:ascii="Tahoma" w:hAnsi="Tahoma" w:cs="Tahoma"/>
                <w:sz w:val="13"/>
              </w:rPr>
            </w:pPr>
          </w:p>
        </w:tc>
      </w:tr>
      <w:tr w:rsidR="00A92422" w:rsidRPr="00D87B79" w:rsidTr="00EA30FC">
        <w:trPr>
          <w:cantSplit/>
          <w:trHeight w:val="323"/>
        </w:trPr>
        <w:tc>
          <w:tcPr>
            <w:tcW w:w="2638" w:type="dxa"/>
          </w:tcPr>
          <w:p w:rsidR="00A92422" w:rsidRPr="00BA1C75" w:rsidRDefault="00A92422" w:rsidP="00EA30FC">
            <w:pPr>
              <w:pStyle w:val="Heading2"/>
              <w:spacing w:beforeLines="20" w:before="48" w:afterLines="20" w:after="48"/>
              <w:ind w:left="0"/>
              <w:rPr>
                <w:rFonts w:ascii="Tahoma" w:hAnsi="Tahoma" w:cs="Tahoma"/>
                <w:b w:val="0"/>
                <w:sz w:val="14"/>
                <w:szCs w:val="14"/>
              </w:rPr>
            </w:pPr>
            <w:bookmarkStart w:id="124" w:name="_Toc336337895"/>
            <w:bookmarkStart w:id="125" w:name="_Toc342899965"/>
            <w:bookmarkEnd w:id="124"/>
            <w:r w:rsidRPr="00BA1C75">
              <w:rPr>
                <w:rFonts w:ascii="Tahoma" w:hAnsi="Tahoma" w:cs="Tahoma"/>
                <w:b w:val="0"/>
                <w:sz w:val="14"/>
                <w:szCs w:val="14"/>
                <w:lang w:val="it-IT"/>
              </w:rPr>
              <w:t>Word per Mac 2011</w:t>
            </w:r>
            <w:bookmarkEnd w:id="125"/>
          </w:p>
        </w:tc>
        <w:tc>
          <w:tcPr>
            <w:tcW w:w="429" w:type="dxa"/>
            <w:vAlign w:val="center"/>
          </w:tcPr>
          <w:p w:rsidR="00A92422" w:rsidRPr="000305C5" w:rsidRDefault="00A92422" w:rsidP="00EA30FC">
            <w:pPr>
              <w:pStyle w:val="TableText"/>
              <w:widowControl w:val="0"/>
              <w:rPr>
                <w:rStyle w:val="EndnoteReference"/>
                <w:rFonts w:cs="Tahoma"/>
                <w:color w:val="0000FF"/>
                <w:sz w:val="13"/>
                <w:szCs w:val="13"/>
                <w:u w:val="single"/>
              </w:rPr>
            </w:pPr>
          </w:p>
        </w:tc>
        <w:tc>
          <w:tcPr>
            <w:tcW w:w="429" w:type="dxa"/>
            <w:vAlign w:val="center"/>
          </w:tcPr>
          <w:p w:rsidR="00A92422" w:rsidRPr="00D87B79" w:rsidRDefault="00A92422" w:rsidP="00EA30FC">
            <w:pPr>
              <w:pStyle w:val="TableText"/>
              <w:spacing w:before="60" w:after="60"/>
              <w:rPr>
                <w:rFonts w:ascii="Tahoma" w:hAnsi="Tahoma" w:cs="Tahoma"/>
                <w:sz w:val="13"/>
              </w:rPr>
            </w:pPr>
            <w:r w:rsidRPr="00D87B79">
              <w:rPr>
                <w:rFonts w:ascii="Tahoma" w:hAnsi="Tahoma" w:cs="Tahoma"/>
                <w:sz w:val="13"/>
              </w:rPr>
              <w:t>09/10</w:t>
            </w:r>
          </w:p>
        </w:tc>
        <w:tc>
          <w:tcPr>
            <w:tcW w:w="429" w:type="dxa"/>
            <w:tcBorders>
              <w:right w:val="single" w:sz="18" w:space="0" w:color="auto"/>
            </w:tcBorders>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DT</w:t>
            </w:r>
          </w:p>
        </w:tc>
        <w:tc>
          <w:tcPr>
            <w:tcW w:w="429" w:type="dxa"/>
            <w:tcBorders>
              <w:left w:val="single" w:sz="18" w:space="0" w:color="auto"/>
            </w:tcBorders>
            <w:vAlign w:val="center"/>
          </w:tcPr>
          <w:p w:rsidR="00A92422" w:rsidRPr="00D87B79" w:rsidRDefault="00A92422" w:rsidP="00EA30FC">
            <w:pPr>
              <w:pStyle w:val="TableText"/>
              <w:spacing w:after="120"/>
              <w:rPr>
                <w:rFonts w:ascii="Tahoma" w:hAnsi="Tahoma" w:cs="Tahoma"/>
                <w:sz w:val="13"/>
              </w:rPr>
            </w:pPr>
            <w:r w:rsidRPr="00D87B79">
              <w:rPr>
                <w:rFonts w:ascii="Tahoma" w:hAnsi="Tahoma" w:cs="Tahoma"/>
                <w:sz w:val="13"/>
              </w:rPr>
              <w:t>1</w:t>
            </w:r>
          </w:p>
        </w:tc>
        <w:tc>
          <w:tcPr>
            <w:tcW w:w="429" w:type="dxa"/>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3</w:t>
            </w:r>
          </w:p>
        </w:tc>
        <w:tc>
          <w:tcPr>
            <w:tcW w:w="429" w:type="dxa"/>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29" w:type="dxa"/>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29" w:type="dxa"/>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29" w:type="dxa"/>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tcBorders>
              <w:right w:val="single" w:sz="18" w:space="0" w:color="auto"/>
            </w:tcBorders>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tcBorders>
              <w:left w:val="single" w:sz="18" w:space="0" w:color="auto"/>
            </w:tcBorders>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29" w:type="dxa"/>
            <w:tcBorders>
              <w:right w:val="single" w:sz="18" w:space="0" w:color="auto"/>
            </w:tcBorders>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29" w:type="dxa"/>
            <w:tcBorders>
              <w:left w:val="single" w:sz="18" w:space="0" w:color="auto"/>
            </w:tcBorders>
            <w:vAlign w:val="center"/>
          </w:tcPr>
          <w:p w:rsidR="00A92422" w:rsidRPr="00D87B79" w:rsidRDefault="00A92422" w:rsidP="00EA30FC">
            <w:pPr>
              <w:pStyle w:val="TableText"/>
              <w:rPr>
                <w:rFonts w:ascii="Tahoma" w:hAnsi="Tahoma" w:cs="Tahoma"/>
                <w:sz w:val="13"/>
              </w:rPr>
            </w:pPr>
          </w:p>
        </w:tc>
        <w:tc>
          <w:tcPr>
            <w:tcW w:w="429" w:type="dxa"/>
            <w:tcBorders>
              <w:right w:val="single" w:sz="18" w:space="0" w:color="auto"/>
            </w:tcBorders>
            <w:vAlign w:val="center"/>
          </w:tcPr>
          <w:p w:rsidR="00A92422" w:rsidRPr="00D87B79" w:rsidRDefault="00A92422" w:rsidP="00EA30FC">
            <w:pPr>
              <w:pStyle w:val="TableText"/>
              <w:rPr>
                <w:rFonts w:ascii="Tahoma" w:hAnsi="Tahoma" w:cs="Tahoma"/>
                <w:sz w:val="13"/>
              </w:rPr>
            </w:pPr>
          </w:p>
        </w:tc>
        <w:tc>
          <w:tcPr>
            <w:tcW w:w="429" w:type="dxa"/>
            <w:tcBorders>
              <w:left w:val="single" w:sz="18" w:space="0" w:color="auto"/>
              <w:right w:val="single" w:sz="18" w:space="0" w:color="auto"/>
            </w:tcBorders>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P</w:t>
            </w:r>
          </w:p>
        </w:tc>
        <w:tc>
          <w:tcPr>
            <w:tcW w:w="461" w:type="dxa"/>
          </w:tcPr>
          <w:p w:rsidR="00A92422" w:rsidRPr="00D87B79" w:rsidRDefault="00A92422" w:rsidP="00EA30FC">
            <w:pPr>
              <w:pStyle w:val="TableText"/>
              <w:rPr>
                <w:rFonts w:ascii="Tahoma" w:hAnsi="Tahoma" w:cs="Tahoma"/>
                <w:sz w:val="13"/>
              </w:rPr>
            </w:pPr>
          </w:p>
        </w:tc>
        <w:tc>
          <w:tcPr>
            <w:tcW w:w="567" w:type="dxa"/>
            <w:vAlign w:val="center"/>
          </w:tcPr>
          <w:p w:rsidR="00A92422" w:rsidRPr="00D87B79" w:rsidRDefault="00A92422" w:rsidP="00EA30FC">
            <w:pPr>
              <w:pStyle w:val="TableText"/>
              <w:rPr>
                <w:rFonts w:ascii="Tahoma" w:hAnsi="Tahoma" w:cs="Tahoma"/>
                <w:sz w:val="13"/>
              </w:rPr>
            </w:pPr>
          </w:p>
        </w:tc>
      </w:tr>
    </w:tbl>
    <w:p w:rsidR="00A92422" w:rsidRPr="00D87B79" w:rsidRDefault="00A92422" w:rsidP="00A92422">
      <w:pPr>
        <w:pStyle w:val="Bodywithspace"/>
        <w:ind w:left="0"/>
        <w:rPr>
          <w:rFonts w:ascii="Tahoma" w:hAnsi="Tahoma" w:cs="Tahoma"/>
        </w:rPr>
      </w:pPr>
      <w:bookmarkStart w:id="126" w:name="_Toc336337837"/>
      <w:bookmarkEnd w:id="126"/>
      <w:r>
        <w:rPr>
          <w:rFonts w:ascii="Tahoma" w:hAnsi="Tahoma" w:cs="Tahoma"/>
          <w:noProof/>
        </w:rPr>
        <mc:AlternateContent>
          <mc:Choice Requires="wps">
            <w:drawing>
              <wp:anchor distT="0" distB="0" distL="114300" distR="114300" simplePos="0" relativeHeight="251659264" behindDoc="0" locked="0" layoutInCell="1" allowOverlap="1" wp14:anchorId="55AFB434" wp14:editId="50A11817">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92422" w:rsidRDefault="00A92422" w:rsidP="00A92422">
                            <w:pPr>
                              <w:rPr>
                                <w:rFonts w:cs="Tahoma"/>
                                <w:i/>
                                <w:color w:val="000000"/>
                                <w:sz w:val="14"/>
                                <w:szCs w:val="14"/>
                              </w:rPr>
                            </w:pPr>
                            <w:r>
                              <w:rPr>
                                <w:rFonts w:cs="Tahoma"/>
                                <w:i/>
                                <w:color w:val="000000"/>
                                <w:sz w:val="14"/>
                                <w:szCs w:val="14"/>
                                <w:lang w:val="it-IT"/>
                              </w:rPr>
                              <w:t>Nota:</w:t>
                            </w:r>
                            <w:r>
                              <w:rPr>
                                <w:rFonts w:cs="Tahoma"/>
                                <w:i/>
                                <w:color w:val="000000"/>
                                <w:sz w:val="14"/>
                                <w:szCs w:val="14"/>
                              </w:rPr>
                              <w:t xml:space="preserve"> </w:t>
                            </w:r>
                            <w:r>
                              <w:rPr>
                                <w:rFonts w:cs="Tahoma"/>
                                <w:i/>
                                <w:color w:val="000000"/>
                                <w:sz w:val="14"/>
                                <w:szCs w:val="14"/>
                                <w:lang w:val="it-IT"/>
                              </w:rPr>
                              <w:t>se la cella del prodotto è vuota significa che il prodotto non è attualmente offerto nel programma.</w:t>
                            </w:r>
                          </w:p>
                          <w:p w:rsidR="00A92422" w:rsidRDefault="00A92422" w:rsidP="00A92422">
                            <w:pPr>
                              <w:rPr>
                                <w:rFonts w:cs="Tahoma"/>
                                <w:i/>
                                <w:color w:val="000000"/>
                                <w:sz w:val="14"/>
                                <w:szCs w:val="14"/>
                              </w:rPr>
                            </w:pPr>
                            <w:r>
                              <w:rPr>
                                <w:rFonts w:cs="Tahoma"/>
                                <w:i/>
                                <w:color w:val="000000"/>
                                <w:sz w:val="14"/>
                                <w:szCs w:val="14"/>
                                <w:lang w:val="it-IT"/>
                              </w:rPr>
                              <w:t>*Per quanto riguarda Select Plus verranno utilizzati solo i valori "L" e tre anni per "L&amp;SA" / "SA".</w:t>
                            </w:r>
                          </w:p>
                          <w:p w:rsidR="00A92422" w:rsidRDefault="00A92422" w:rsidP="00A9242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rsidR="00A92422" w:rsidRDefault="00A92422" w:rsidP="00A92422">
                      <w:pPr>
                        <w:rPr>
                          <w:rFonts w:cs="Tahoma"/>
                          <w:i/>
                          <w:color w:val="000000"/>
                          <w:sz w:val="14"/>
                          <w:szCs w:val="14"/>
                        </w:rPr>
                      </w:pPr>
                      <w:r>
                        <w:rPr>
                          <w:rFonts w:cs="Tahoma"/>
                          <w:i/>
                          <w:color w:val="000000"/>
                          <w:sz w:val="14"/>
                          <w:szCs w:val="14"/>
                          <w:lang w:val="it-IT"/>
                        </w:rPr>
                        <w:t>Nota:</w:t>
                      </w:r>
                      <w:r>
                        <w:rPr>
                          <w:rFonts w:cs="Tahoma"/>
                          <w:i/>
                          <w:color w:val="000000"/>
                          <w:sz w:val="14"/>
                          <w:szCs w:val="14"/>
                        </w:rPr>
                        <w:t xml:space="preserve"> </w:t>
                      </w:r>
                      <w:r>
                        <w:rPr>
                          <w:rFonts w:cs="Tahoma"/>
                          <w:i/>
                          <w:color w:val="000000"/>
                          <w:sz w:val="14"/>
                          <w:szCs w:val="14"/>
                          <w:lang w:val="it-IT"/>
                        </w:rPr>
                        <w:t>se la cella del prodotto è vuota significa che il prodotto non è attualmente offerto nel programma.</w:t>
                      </w:r>
                    </w:p>
                    <w:p w:rsidR="00A92422" w:rsidRDefault="00A92422" w:rsidP="00A92422">
                      <w:pPr>
                        <w:rPr>
                          <w:rFonts w:cs="Tahoma"/>
                          <w:i/>
                          <w:color w:val="000000"/>
                          <w:sz w:val="14"/>
                          <w:szCs w:val="14"/>
                        </w:rPr>
                      </w:pPr>
                      <w:r>
                        <w:rPr>
                          <w:rFonts w:cs="Tahoma"/>
                          <w:i/>
                          <w:color w:val="000000"/>
                          <w:sz w:val="14"/>
                          <w:szCs w:val="14"/>
                          <w:lang w:val="it-IT"/>
                        </w:rPr>
                        <w:t>*Per quanto riguarda Select Plus verranno utilizzati solo i valori "L" e tre anni per "L&amp;SA" / "SA".</w:t>
                      </w:r>
                    </w:p>
                    <w:p w:rsidR="00A92422" w:rsidRDefault="00A92422" w:rsidP="00A92422"/>
                  </w:txbxContent>
                </v:textbox>
              </v:shape>
            </w:pict>
          </mc:Fallback>
        </mc:AlternateContent>
      </w:r>
    </w:p>
    <w:p w:rsidR="00A92422" w:rsidRPr="00D87B79" w:rsidRDefault="00A92422" w:rsidP="00A92422">
      <w:pPr>
        <w:pStyle w:val="ProductPool"/>
        <w:rPr>
          <w:rFonts w:ascii="Tahoma" w:hAnsi="Tahoma" w:cs="Tahoma"/>
        </w:rPr>
      </w:pPr>
    </w:p>
    <w:p w:rsidR="00A92422" w:rsidRDefault="00A92422" w:rsidP="00A92422">
      <w:pPr>
        <w:rPr>
          <w:rFonts w:cs="Tahoma"/>
          <w:b/>
          <w:sz w:val="22"/>
          <w:szCs w:val="20"/>
          <w:lang w:val="it-IT"/>
        </w:rPr>
      </w:pPr>
      <w:bookmarkStart w:id="127" w:name="_Toc336337896"/>
      <w:bookmarkEnd w:id="127"/>
      <w:r>
        <w:rPr>
          <w:rFonts w:cs="Tahoma"/>
          <w:sz w:val="22"/>
          <w:lang w:val="it-IT"/>
        </w:rPr>
        <w:br w:type="page"/>
      </w:r>
    </w:p>
    <w:p w:rsidR="00A92422" w:rsidRPr="00D87B79" w:rsidRDefault="00A92422" w:rsidP="00A92422">
      <w:pPr>
        <w:pStyle w:val="Heading3"/>
        <w:rPr>
          <w:rFonts w:ascii="Tahoma" w:hAnsi="Tahoma" w:cs="Tahoma"/>
        </w:rPr>
      </w:pPr>
      <w:bookmarkStart w:id="128" w:name="_Toc342899966"/>
      <w:r w:rsidRPr="00D87B79">
        <w:rPr>
          <w:rFonts w:ascii="Tahoma" w:hAnsi="Tahoma" w:cs="Tahoma"/>
          <w:sz w:val="22"/>
          <w:lang w:val="it-IT"/>
        </w:rPr>
        <w:lastRenderedPageBreak/>
        <w:t>POOL DI SISTEMI</w:t>
      </w:r>
      <w:bookmarkEnd w:id="128"/>
    </w:p>
    <w:p w:rsidR="00A92422" w:rsidRPr="00D87B79" w:rsidRDefault="00A92422" w:rsidP="00A92422">
      <w:pPr>
        <w:rPr>
          <w:rFonts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450"/>
        <w:gridCol w:w="450"/>
        <w:gridCol w:w="450"/>
        <w:gridCol w:w="450"/>
        <w:gridCol w:w="450"/>
        <w:gridCol w:w="450"/>
        <w:gridCol w:w="540"/>
      </w:tblGrid>
      <w:tr w:rsidR="00A92422" w:rsidRPr="00D87B79" w:rsidTr="00EA30FC">
        <w:trPr>
          <w:cantSplit/>
          <w:trHeight w:val="389"/>
          <w:tblHeader/>
        </w:trPr>
        <w:tc>
          <w:tcPr>
            <w:tcW w:w="2610" w:type="dxa"/>
            <w:vMerge w:val="restart"/>
            <w:tcBorders>
              <w:top w:val="single" w:sz="4" w:space="0" w:color="FFFFFF"/>
              <w:left w:val="single" w:sz="4" w:space="0" w:color="FFFFFF"/>
            </w:tcBorders>
          </w:tcPr>
          <w:p w:rsidR="00A92422" w:rsidRDefault="00A92422" w:rsidP="00EA30FC">
            <w:pPr>
              <w:rPr>
                <w:rFonts w:cs="Tahoma"/>
                <w:sz w:val="20"/>
              </w:rPr>
            </w:pPr>
          </w:p>
          <w:p w:rsidR="00A92422" w:rsidRPr="00D87B79" w:rsidRDefault="00A92422" w:rsidP="00EA30FC">
            <w:pPr>
              <w:rPr>
                <w:rFonts w:cs="Tahoma"/>
                <w:sz w:val="20"/>
              </w:rPr>
            </w:pPr>
            <w:r>
              <w:rPr>
                <w:rFonts w:cs="Tahoma"/>
                <w:noProof/>
              </w:rPr>
              <mc:AlternateContent>
                <mc:Choice Requires="wps">
                  <w:drawing>
                    <wp:anchor distT="0" distB="0" distL="114300" distR="114300" simplePos="0" relativeHeight="251661312" behindDoc="0" locked="0" layoutInCell="1" allowOverlap="1" wp14:anchorId="4F260518" wp14:editId="009E424A">
                      <wp:simplePos x="0" y="0"/>
                      <wp:positionH relativeFrom="column">
                        <wp:posOffset>1559560</wp:posOffset>
                      </wp:positionH>
                      <wp:positionV relativeFrom="paragraph">
                        <wp:posOffset>587375</wp:posOffset>
                      </wp:positionV>
                      <wp:extent cx="367030" cy="213995"/>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92422" w:rsidRDefault="00A92422" w:rsidP="00A92422">
                                  <w:pPr>
                                    <w:rPr>
                                      <w:color w:val="0000FF"/>
                                      <w:sz w:val="20"/>
                                    </w:rPr>
                                  </w:pPr>
                                  <w:r>
                                    <w:rPr>
                                      <w:b/>
                                      <w:color w:val="0000FF"/>
                                      <w:sz w:val="8"/>
                                      <w:lang w:val="it-IT"/>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1" o:spid="_x0000_s1027" type="#_x0000_t202" style="position:absolute;margin-left:122.8pt;margin-top:46.25pt;width:28.9pt;height:16.85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dKTtg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" filled="f" stroked="f">
                      <v:textbox style="mso-fit-shape-to-text:t">
                        <w:txbxContent>
                          <w:p w:rsidR="00A92422" w:rsidRDefault="00A92422" w:rsidP="00A92422">
                            <w:pPr>
                              <w:rPr>
                                <w:color w:val="0000FF"/>
                                <w:sz w:val="20"/>
                              </w:rPr>
                            </w:pPr>
                            <w:r>
                              <w:rPr>
                                <w:b/>
                                <w:color w:val="0000FF"/>
                                <w:sz w:val="8"/>
                                <w:lang w:val="it-IT"/>
                              </w:rPr>
                              <w:t>(Ctrl + Clic)</w:t>
                            </w:r>
                          </w:p>
                        </w:txbxContent>
                      </v:textbox>
                    </v:shape>
                  </w:pict>
                </mc:Fallback>
              </mc:AlternateContent>
            </w:r>
          </w:p>
        </w:tc>
        <w:tc>
          <w:tcPr>
            <w:tcW w:w="360" w:type="dxa"/>
            <w:vMerge w:val="restart"/>
            <w:tcBorders>
              <w:top w:val="single" w:sz="12" w:space="0" w:color="auto"/>
            </w:tcBorders>
            <w:textDirection w:val="btLr"/>
            <w:vAlign w:val="center"/>
          </w:tcPr>
          <w:p w:rsidR="00A92422" w:rsidRPr="00D87B79" w:rsidRDefault="00A92422" w:rsidP="00EA30FC">
            <w:pPr>
              <w:pStyle w:val="TableVerticalText"/>
              <w:rPr>
                <w:rFonts w:ascii="Tahoma" w:hAnsi="Tahoma" w:cs="Tahoma"/>
                <w:sz w:val="9"/>
              </w:rPr>
            </w:pPr>
            <w:r w:rsidRPr="00D87B79">
              <w:rPr>
                <w:rFonts w:ascii="Tahoma" w:hAnsi="Tahoma" w:cs="Tahoma"/>
                <w:sz w:val="9"/>
                <w:lang w:val="it-IT"/>
              </w:rPr>
              <w:t>Note del Prodotto</w:t>
            </w:r>
          </w:p>
        </w:tc>
        <w:tc>
          <w:tcPr>
            <w:tcW w:w="450" w:type="dxa"/>
            <w:vMerge w:val="restart"/>
            <w:tcBorders>
              <w:top w:val="single" w:sz="12" w:space="0" w:color="auto"/>
            </w:tcBorders>
            <w:textDirection w:val="btLr"/>
          </w:tcPr>
          <w:p w:rsidR="00A92422" w:rsidRPr="00D87B79" w:rsidRDefault="00A92422" w:rsidP="00EA30FC">
            <w:pPr>
              <w:pStyle w:val="TableVerticalText"/>
              <w:spacing w:before="120"/>
              <w:rPr>
                <w:rFonts w:ascii="Tahoma" w:hAnsi="Tahoma" w:cs="Tahoma"/>
                <w:sz w:val="9"/>
              </w:rPr>
            </w:pPr>
            <w:r w:rsidRPr="00D87B79">
              <w:rPr>
                <w:rFonts w:ascii="Tahoma" w:hAnsi="Tahoma" w:cs="Tahoma"/>
                <w:sz w:val="9"/>
                <w:lang w:val="it-IT"/>
              </w:rPr>
              <w:t>Data Disponibilità</w:t>
            </w:r>
          </w:p>
        </w:tc>
        <w:tc>
          <w:tcPr>
            <w:tcW w:w="360" w:type="dxa"/>
            <w:vMerge w:val="restart"/>
            <w:tcBorders>
              <w:top w:val="single" w:sz="12" w:space="0" w:color="auto"/>
              <w:right w:val="single" w:sz="18" w:space="0" w:color="auto"/>
            </w:tcBorders>
            <w:textDirection w:val="btLr"/>
            <w:vAlign w:val="center"/>
          </w:tcPr>
          <w:p w:rsidR="00A92422" w:rsidRPr="00D87B79" w:rsidRDefault="00A92422" w:rsidP="00EA30FC">
            <w:pPr>
              <w:pStyle w:val="TableVerticalText"/>
              <w:rPr>
                <w:rFonts w:ascii="Tahoma" w:hAnsi="Tahoma" w:cs="Tahoma"/>
                <w:sz w:val="9"/>
              </w:rPr>
            </w:pPr>
            <w:r w:rsidRPr="00D87B79">
              <w:rPr>
                <w:rFonts w:ascii="Tahoma" w:hAnsi="Tahoma" w:cs="Tahoma"/>
                <w:sz w:val="9"/>
                <w:lang w:val="it-IT"/>
              </w:rPr>
              <w:t>SAB</w:t>
            </w:r>
          </w:p>
        </w:tc>
        <w:tc>
          <w:tcPr>
            <w:tcW w:w="3060" w:type="dxa"/>
            <w:gridSpan w:val="7"/>
            <w:tcBorders>
              <w:top w:val="single" w:sz="12" w:space="0" w:color="auto"/>
              <w:left w:val="single" w:sz="18" w:space="0" w:color="auto"/>
              <w:right w:val="single" w:sz="18" w:space="0" w:color="auto"/>
            </w:tcBorders>
            <w:vAlign w:val="center"/>
          </w:tcPr>
          <w:p w:rsidR="00A92422" w:rsidRPr="00D87B79" w:rsidRDefault="00A92422" w:rsidP="00EA30FC">
            <w:pPr>
              <w:pStyle w:val="TableHeadingsBlack"/>
              <w:rPr>
                <w:rFonts w:ascii="Tahoma" w:hAnsi="Tahoma" w:cs="Tahoma"/>
                <w:sz w:val="9"/>
              </w:rPr>
            </w:pPr>
            <w:r w:rsidRPr="00D87B79">
              <w:rPr>
                <w:rFonts w:ascii="Tahoma" w:hAnsi="Tahoma" w:cs="Tahoma"/>
                <w:sz w:val="9"/>
                <w:lang w:val="it-IT"/>
              </w:rPr>
              <w:t>Select</w:t>
            </w:r>
          </w:p>
        </w:tc>
        <w:tc>
          <w:tcPr>
            <w:tcW w:w="1350" w:type="dxa"/>
            <w:gridSpan w:val="3"/>
            <w:tcBorders>
              <w:top w:val="single" w:sz="12" w:space="0" w:color="auto"/>
              <w:left w:val="single" w:sz="18" w:space="0" w:color="auto"/>
              <w:right w:val="single" w:sz="18" w:space="0" w:color="auto"/>
            </w:tcBorders>
            <w:vAlign w:val="center"/>
          </w:tcPr>
          <w:p w:rsidR="00A92422" w:rsidRPr="00D87B79" w:rsidRDefault="00A92422" w:rsidP="00EA30FC">
            <w:pPr>
              <w:pStyle w:val="TableHeadingsBlack"/>
              <w:rPr>
                <w:rFonts w:ascii="Tahoma" w:hAnsi="Tahoma" w:cs="Tahoma"/>
                <w:sz w:val="9"/>
              </w:rPr>
            </w:pPr>
            <w:r w:rsidRPr="00D87B79">
              <w:rPr>
                <w:rFonts w:ascii="Tahoma" w:hAnsi="Tahoma" w:cs="Tahoma"/>
                <w:sz w:val="9"/>
                <w:lang w:val="it-IT"/>
              </w:rPr>
              <w:t>Licenza Open</w:t>
            </w:r>
          </w:p>
        </w:tc>
        <w:tc>
          <w:tcPr>
            <w:tcW w:w="450" w:type="dxa"/>
            <w:vMerge w:val="restart"/>
            <w:tcBorders>
              <w:top w:val="single" w:sz="12" w:space="0" w:color="auto"/>
              <w:left w:val="single" w:sz="18" w:space="0" w:color="auto"/>
            </w:tcBorders>
            <w:textDirection w:val="btLr"/>
            <w:vAlign w:val="center"/>
          </w:tcPr>
          <w:p w:rsidR="00A92422" w:rsidRPr="00D87B79" w:rsidRDefault="00A92422" w:rsidP="00EA30FC">
            <w:pPr>
              <w:pStyle w:val="TableVerticalText"/>
              <w:rPr>
                <w:rFonts w:ascii="Tahoma" w:hAnsi="Tahoma" w:cs="Tahoma"/>
                <w:sz w:val="9"/>
              </w:rPr>
            </w:pPr>
            <w:r w:rsidRPr="00D87B79">
              <w:rPr>
                <w:rFonts w:ascii="Tahoma" w:hAnsi="Tahoma" w:cs="Tahoma"/>
                <w:sz w:val="9"/>
                <w:lang w:val="it-IT"/>
              </w:rPr>
              <w:t>Unità Campus/School</w:t>
            </w:r>
          </w:p>
        </w:tc>
        <w:tc>
          <w:tcPr>
            <w:tcW w:w="450" w:type="dxa"/>
            <w:vMerge w:val="restart"/>
            <w:tcBorders>
              <w:top w:val="single" w:sz="12" w:space="0" w:color="auto"/>
              <w:right w:val="single" w:sz="18" w:space="0" w:color="auto"/>
            </w:tcBorders>
            <w:textDirection w:val="btLr"/>
            <w:vAlign w:val="center"/>
          </w:tcPr>
          <w:p w:rsidR="00A92422" w:rsidRPr="00D87B79" w:rsidRDefault="00A92422" w:rsidP="00EA30FC">
            <w:pPr>
              <w:pStyle w:val="TableVerticalText"/>
              <w:rPr>
                <w:rFonts w:ascii="Tahoma" w:hAnsi="Tahoma" w:cs="Tahoma"/>
                <w:sz w:val="9"/>
              </w:rPr>
            </w:pPr>
            <w:r w:rsidRPr="00D87B79">
              <w:rPr>
                <w:rFonts w:ascii="Tahoma" w:hAnsi="Tahoma" w:cs="Tahoma"/>
                <w:sz w:val="9"/>
                <w:lang w:val="it-IT"/>
              </w:rPr>
              <w:t>EA ed EA Sub</w:t>
            </w:r>
          </w:p>
        </w:tc>
        <w:tc>
          <w:tcPr>
            <w:tcW w:w="450" w:type="dxa"/>
            <w:vMerge w:val="restart"/>
            <w:tcBorders>
              <w:top w:val="single" w:sz="12" w:space="0" w:color="auto"/>
              <w:left w:val="single" w:sz="18" w:space="0" w:color="auto"/>
              <w:right w:val="single" w:sz="18" w:space="0" w:color="auto"/>
            </w:tcBorders>
            <w:textDirection w:val="btLr"/>
            <w:vAlign w:val="center"/>
          </w:tcPr>
          <w:p w:rsidR="00A92422" w:rsidRPr="00D87B79" w:rsidRDefault="00A92422" w:rsidP="00EA30FC">
            <w:pPr>
              <w:pStyle w:val="TableVerticalText"/>
              <w:rPr>
                <w:rFonts w:ascii="Tahoma" w:hAnsi="Tahoma" w:cs="Tahoma"/>
                <w:sz w:val="9"/>
              </w:rPr>
            </w:pPr>
            <w:r w:rsidRPr="00D87B79">
              <w:rPr>
                <w:rFonts w:ascii="Tahoma" w:hAnsi="Tahoma" w:cs="Tahoma"/>
                <w:sz w:val="9"/>
                <w:lang w:val="it-IT"/>
              </w:rPr>
              <w:t>OV / OVS</w:t>
            </w:r>
          </w:p>
        </w:tc>
        <w:tc>
          <w:tcPr>
            <w:tcW w:w="450" w:type="dxa"/>
            <w:vMerge w:val="restart"/>
            <w:tcBorders>
              <w:top w:val="single" w:sz="12" w:space="0" w:color="auto"/>
            </w:tcBorders>
            <w:textDirection w:val="btLr"/>
          </w:tcPr>
          <w:p w:rsidR="00A92422" w:rsidRPr="00D87B79" w:rsidRDefault="00A92422" w:rsidP="00EA30FC">
            <w:pPr>
              <w:pStyle w:val="TableVerticalText"/>
              <w:spacing w:before="120"/>
              <w:jc w:val="left"/>
              <w:rPr>
                <w:rFonts w:ascii="Tahoma" w:hAnsi="Tahoma" w:cs="Tahoma"/>
                <w:sz w:val="9"/>
              </w:rPr>
            </w:pPr>
            <w:r w:rsidRPr="00D87B79">
              <w:rPr>
                <w:rFonts w:ascii="Tahoma" w:hAnsi="Tahoma" w:cs="Tahoma"/>
                <w:sz w:val="9"/>
              </w:rPr>
              <w:t xml:space="preserve"> </w:t>
            </w:r>
            <w:r w:rsidRPr="00D87B79">
              <w:rPr>
                <w:rFonts w:ascii="Tahoma" w:hAnsi="Tahoma" w:cs="Tahoma"/>
                <w:sz w:val="9"/>
                <w:lang w:val="it-IT"/>
              </w:rPr>
              <w:t>EES / OVS ES</w:t>
            </w:r>
          </w:p>
        </w:tc>
        <w:tc>
          <w:tcPr>
            <w:tcW w:w="540" w:type="dxa"/>
            <w:vMerge w:val="restart"/>
            <w:tcBorders>
              <w:top w:val="single" w:sz="12" w:space="0" w:color="auto"/>
            </w:tcBorders>
            <w:textDirection w:val="btLr"/>
            <w:vAlign w:val="center"/>
          </w:tcPr>
          <w:p w:rsidR="00A92422" w:rsidRPr="00D87B79" w:rsidRDefault="00A92422" w:rsidP="00EA30FC">
            <w:pPr>
              <w:pStyle w:val="TableVerticalText"/>
              <w:rPr>
                <w:rFonts w:ascii="Tahoma" w:hAnsi="Tahoma" w:cs="Tahoma"/>
                <w:sz w:val="9"/>
              </w:rPr>
            </w:pPr>
            <w:r w:rsidRPr="00D87B79">
              <w:rPr>
                <w:rFonts w:ascii="Tahoma" w:hAnsi="Tahoma" w:cs="Tahoma"/>
                <w:sz w:val="9"/>
                <w:lang w:val="it-IT"/>
              </w:rPr>
              <w:t>Requisito minimo per i Programmi Open</w:t>
            </w:r>
          </w:p>
        </w:tc>
      </w:tr>
      <w:tr w:rsidR="00A92422" w:rsidRPr="00D87B79" w:rsidTr="00EA30FC">
        <w:trPr>
          <w:cantSplit/>
          <w:trHeight w:val="262"/>
          <w:tblHeader/>
        </w:trPr>
        <w:tc>
          <w:tcPr>
            <w:tcW w:w="2610" w:type="dxa"/>
            <w:vMerge/>
            <w:tcBorders>
              <w:left w:val="single" w:sz="4" w:space="0" w:color="FFFFFF"/>
            </w:tcBorders>
          </w:tcPr>
          <w:p w:rsidR="00A92422" w:rsidRPr="00D87B79" w:rsidRDefault="00A92422" w:rsidP="00EA30FC">
            <w:pPr>
              <w:rPr>
                <w:rFonts w:cs="Tahoma"/>
                <w:sz w:val="20"/>
              </w:rPr>
            </w:pPr>
          </w:p>
        </w:tc>
        <w:tc>
          <w:tcPr>
            <w:tcW w:w="360" w:type="dxa"/>
            <w:vMerge/>
          </w:tcPr>
          <w:p w:rsidR="00A92422" w:rsidRPr="00D87B79" w:rsidRDefault="00A92422" w:rsidP="00EA30FC">
            <w:pPr>
              <w:rPr>
                <w:rFonts w:cs="Tahoma"/>
                <w:b/>
                <w:sz w:val="20"/>
              </w:rPr>
            </w:pPr>
          </w:p>
        </w:tc>
        <w:tc>
          <w:tcPr>
            <w:tcW w:w="450" w:type="dxa"/>
            <w:vMerge/>
          </w:tcPr>
          <w:p w:rsidR="00A92422" w:rsidRPr="00D87B79" w:rsidRDefault="00A92422" w:rsidP="00EA30FC">
            <w:pPr>
              <w:rPr>
                <w:rFonts w:cs="Tahoma"/>
                <w:sz w:val="20"/>
              </w:rPr>
            </w:pPr>
          </w:p>
        </w:tc>
        <w:tc>
          <w:tcPr>
            <w:tcW w:w="360" w:type="dxa"/>
            <w:vMerge/>
            <w:tcBorders>
              <w:right w:val="single" w:sz="18" w:space="0" w:color="auto"/>
            </w:tcBorders>
          </w:tcPr>
          <w:p w:rsidR="00A92422" w:rsidRPr="00D87B79" w:rsidRDefault="00A92422" w:rsidP="00EA30FC">
            <w:pPr>
              <w:rPr>
                <w:rFonts w:cs="Tahoma"/>
                <w:sz w:val="20"/>
              </w:rPr>
            </w:pPr>
          </w:p>
        </w:tc>
        <w:tc>
          <w:tcPr>
            <w:tcW w:w="450" w:type="dxa"/>
            <w:vMerge w:val="restart"/>
            <w:tcBorders>
              <w:left w:val="single" w:sz="18" w:space="0" w:color="auto"/>
            </w:tcBorders>
            <w:vAlign w:val="center"/>
          </w:tcPr>
          <w:p w:rsidR="00A92422" w:rsidRPr="00D87B79" w:rsidRDefault="00A92422" w:rsidP="00EA30FC">
            <w:pPr>
              <w:pStyle w:val="TableHeadingsRed"/>
              <w:rPr>
                <w:rFonts w:ascii="Tahoma" w:hAnsi="Tahoma" w:cs="Tahoma"/>
                <w:sz w:val="9"/>
              </w:rPr>
            </w:pPr>
            <w:r w:rsidRPr="00D87B79">
              <w:rPr>
                <w:rFonts w:ascii="Tahoma" w:hAnsi="Tahoma" w:cs="Tahoma"/>
                <w:sz w:val="9"/>
                <w:lang w:val="it-IT"/>
              </w:rPr>
              <w:t>L</w:t>
            </w:r>
          </w:p>
        </w:tc>
        <w:tc>
          <w:tcPr>
            <w:tcW w:w="1350" w:type="dxa"/>
            <w:gridSpan w:val="3"/>
            <w:vAlign w:val="center"/>
          </w:tcPr>
          <w:p w:rsidR="00A92422" w:rsidRPr="00D87B79" w:rsidRDefault="00A92422" w:rsidP="00EA30FC">
            <w:pPr>
              <w:pStyle w:val="TableHeadingsGreen"/>
              <w:rPr>
                <w:rFonts w:ascii="Tahoma" w:hAnsi="Tahoma" w:cs="Tahoma"/>
                <w:sz w:val="9"/>
              </w:rPr>
            </w:pPr>
            <w:r w:rsidRPr="00D87B79">
              <w:rPr>
                <w:rFonts w:ascii="Tahoma" w:hAnsi="Tahoma" w:cs="Tahoma"/>
                <w:sz w:val="9"/>
                <w:lang w:val="it-IT"/>
              </w:rPr>
              <w:t>L&amp;SA</w:t>
            </w:r>
          </w:p>
        </w:tc>
        <w:tc>
          <w:tcPr>
            <w:tcW w:w="1260" w:type="dxa"/>
            <w:gridSpan w:val="3"/>
            <w:tcBorders>
              <w:right w:val="single" w:sz="18" w:space="0" w:color="auto"/>
            </w:tcBorders>
            <w:vAlign w:val="center"/>
          </w:tcPr>
          <w:p w:rsidR="00A92422" w:rsidRPr="00D87B79" w:rsidRDefault="00A92422" w:rsidP="00EA30FC">
            <w:pPr>
              <w:pStyle w:val="TableHeadingsBlue"/>
              <w:rPr>
                <w:rFonts w:ascii="Tahoma" w:hAnsi="Tahoma" w:cs="Tahoma"/>
                <w:sz w:val="9"/>
              </w:rPr>
            </w:pPr>
            <w:r w:rsidRPr="00D87B79">
              <w:rPr>
                <w:rFonts w:ascii="Tahoma" w:hAnsi="Tahoma" w:cs="Tahoma"/>
                <w:sz w:val="9"/>
                <w:lang w:val="it-IT"/>
              </w:rPr>
              <w:t>SA</w:t>
            </w:r>
          </w:p>
        </w:tc>
        <w:tc>
          <w:tcPr>
            <w:tcW w:w="450" w:type="dxa"/>
            <w:vMerge w:val="restart"/>
            <w:tcBorders>
              <w:left w:val="single" w:sz="18" w:space="0" w:color="auto"/>
            </w:tcBorders>
            <w:vAlign w:val="center"/>
          </w:tcPr>
          <w:p w:rsidR="00A92422" w:rsidRPr="00D87B79" w:rsidRDefault="00A92422" w:rsidP="00EA30FC">
            <w:pPr>
              <w:pStyle w:val="TableHeadingsRed"/>
              <w:rPr>
                <w:rFonts w:ascii="Tahoma" w:hAnsi="Tahoma" w:cs="Tahoma"/>
                <w:sz w:val="9"/>
              </w:rPr>
            </w:pPr>
            <w:r w:rsidRPr="00D87B79">
              <w:rPr>
                <w:rFonts w:ascii="Tahoma" w:hAnsi="Tahoma" w:cs="Tahoma"/>
                <w:sz w:val="9"/>
                <w:lang w:val="it-IT"/>
              </w:rPr>
              <w:t>L</w:t>
            </w:r>
          </w:p>
        </w:tc>
        <w:tc>
          <w:tcPr>
            <w:tcW w:w="450" w:type="dxa"/>
            <w:vAlign w:val="center"/>
          </w:tcPr>
          <w:p w:rsidR="00A92422" w:rsidRPr="00D87B79" w:rsidRDefault="00A92422" w:rsidP="00EA30FC">
            <w:pPr>
              <w:pStyle w:val="TableHeadingsGreen"/>
              <w:rPr>
                <w:rFonts w:ascii="Tahoma" w:hAnsi="Tahoma" w:cs="Tahoma"/>
                <w:sz w:val="9"/>
              </w:rPr>
            </w:pPr>
            <w:r w:rsidRPr="00D87B79">
              <w:rPr>
                <w:rFonts w:ascii="Tahoma" w:hAnsi="Tahoma" w:cs="Tahoma"/>
                <w:sz w:val="9"/>
                <w:lang w:val="it-IT"/>
              </w:rPr>
              <w:t>L&amp;SA</w:t>
            </w:r>
          </w:p>
        </w:tc>
        <w:tc>
          <w:tcPr>
            <w:tcW w:w="450" w:type="dxa"/>
            <w:vMerge w:val="restart"/>
            <w:tcBorders>
              <w:right w:val="single" w:sz="18" w:space="0" w:color="auto"/>
            </w:tcBorders>
            <w:vAlign w:val="center"/>
          </w:tcPr>
          <w:p w:rsidR="00A92422" w:rsidRPr="00D87B79" w:rsidRDefault="00A92422" w:rsidP="00EA30FC">
            <w:pPr>
              <w:pStyle w:val="TableHeadingsBlue"/>
              <w:rPr>
                <w:rFonts w:ascii="Tahoma" w:hAnsi="Tahoma" w:cs="Tahoma"/>
                <w:sz w:val="9"/>
              </w:rPr>
            </w:pPr>
            <w:r w:rsidRPr="00D87B79">
              <w:rPr>
                <w:rFonts w:ascii="Tahoma" w:hAnsi="Tahoma" w:cs="Tahoma"/>
                <w:sz w:val="9"/>
                <w:lang w:val="it-IT"/>
              </w:rPr>
              <w:t>SA</w:t>
            </w:r>
          </w:p>
        </w:tc>
        <w:tc>
          <w:tcPr>
            <w:tcW w:w="450" w:type="dxa"/>
            <w:vMerge/>
            <w:tcBorders>
              <w:left w:val="single" w:sz="18" w:space="0" w:color="auto"/>
            </w:tcBorders>
          </w:tcPr>
          <w:p w:rsidR="00A92422" w:rsidRPr="00D87B79" w:rsidRDefault="00A92422" w:rsidP="00EA30FC">
            <w:pPr>
              <w:rPr>
                <w:rFonts w:cs="Tahoma"/>
                <w:sz w:val="20"/>
              </w:rPr>
            </w:pPr>
          </w:p>
        </w:tc>
        <w:tc>
          <w:tcPr>
            <w:tcW w:w="450" w:type="dxa"/>
            <w:vMerge/>
            <w:tcBorders>
              <w:right w:val="single" w:sz="18" w:space="0" w:color="auto"/>
            </w:tcBorders>
          </w:tcPr>
          <w:p w:rsidR="00A92422" w:rsidRPr="00D87B79" w:rsidRDefault="00A92422" w:rsidP="00EA30FC">
            <w:pPr>
              <w:rPr>
                <w:rFonts w:cs="Tahoma"/>
                <w:sz w:val="20"/>
              </w:rPr>
            </w:pPr>
          </w:p>
        </w:tc>
        <w:tc>
          <w:tcPr>
            <w:tcW w:w="450" w:type="dxa"/>
            <w:vMerge/>
            <w:tcBorders>
              <w:left w:val="single" w:sz="18" w:space="0" w:color="auto"/>
              <w:right w:val="single" w:sz="18" w:space="0" w:color="auto"/>
            </w:tcBorders>
          </w:tcPr>
          <w:p w:rsidR="00A92422" w:rsidRPr="00D87B79" w:rsidRDefault="00A92422" w:rsidP="00EA30FC">
            <w:pPr>
              <w:rPr>
                <w:rFonts w:cs="Tahoma"/>
                <w:sz w:val="20"/>
              </w:rPr>
            </w:pPr>
          </w:p>
        </w:tc>
        <w:tc>
          <w:tcPr>
            <w:tcW w:w="450" w:type="dxa"/>
            <w:vMerge/>
          </w:tcPr>
          <w:p w:rsidR="00A92422" w:rsidRPr="00D87B79" w:rsidRDefault="00A92422" w:rsidP="00EA30FC">
            <w:pPr>
              <w:rPr>
                <w:rFonts w:cs="Tahoma"/>
                <w:sz w:val="20"/>
              </w:rPr>
            </w:pPr>
          </w:p>
        </w:tc>
        <w:tc>
          <w:tcPr>
            <w:tcW w:w="540" w:type="dxa"/>
            <w:vMerge/>
          </w:tcPr>
          <w:p w:rsidR="00A92422" w:rsidRPr="00D87B79" w:rsidRDefault="00A92422" w:rsidP="00EA30FC">
            <w:pPr>
              <w:rPr>
                <w:rFonts w:cs="Tahoma"/>
                <w:sz w:val="20"/>
              </w:rPr>
            </w:pPr>
          </w:p>
        </w:tc>
      </w:tr>
      <w:tr w:rsidR="00A92422" w:rsidRPr="00D87B79" w:rsidTr="00EA30FC">
        <w:trPr>
          <w:cantSplit/>
          <w:trHeight w:val="804"/>
          <w:tblHeader/>
        </w:trPr>
        <w:tc>
          <w:tcPr>
            <w:tcW w:w="2610" w:type="dxa"/>
            <w:vMerge/>
            <w:tcBorders>
              <w:left w:val="single" w:sz="4" w:space="0" w:color="FFFFFF"/>
            </w:tcBorders>
          </w:tcPr>
          <w:p w:rsidR="00A92422" w:rsidRPr="00D87B79" w:rsidRDefault="00A92422" w:rsidP="00EA30FC">
            <w:pPr>
              <w:rPr>
                <w:rFonts w:cs="Tahoma"/>
                <w:sz w:val="20"/>
              </w:rPr>
            </w:pPr>
          </w:p>
        </w:tc>
        <w:tc>
          <w:tcPr>
            <w:tcW w:w="360" w:type="dxa"/>
            <w:vMerge/>
          </w:tcPr>
          <w:p w:rsidR="00A92422" w:rsidRPr="00D87B79" w:rsidRDefault="00A92422" w:rsidP="00EA30FC">
            <w:pPr>
              <w:rPr>
                <w:rFonts w:cs="Tahoma"/>
                <w:b/>
                <w:sz w:val="20"/>
              </w:rPr>
            </w:pPr>
          </w:p>
        </w:tc>
        <w:tc>
          <w:tcPr>
            <w:tcW w:w="450" w:type="dxa"/>
            <w:vMerge/>
          </w:tcPr>
          <w:p w:rsidR="00A92422" w:rsidRPr="00D87B79" w:rsidRDefault="00A92422" w:rsidP="00EA30FC">
            <w:pPr>
              <w:rPr>
                <w:rFonts w:cs="Tahoma"/>
                <w:sz w:val="20"/>
              </w:rPr>
            </w:pPr>
          </w:p>
        </w:tc>
        <w:tc>
          <w:tcPr>
            <w:tcW w:w="360" w:type="dxa"/>
            <w:vMerge/>
            <w:tcBorders>
              <w:right w:val="single" w:sz="18" w:space="0" w:color="auto"/>
            </w:tcBorders>
          </w:tcPr>
          <w:p w:rsidR="00A92422" w:rsidRPr="00D87B79" w:rsidRDefault="00A92422" w:rsidP="00EA30FC">
            <w:pPr>
              <w:rPr>
                <w:rFonts w:cs="Tahoma"/>
                <w:sz w:val="20"/>
              </w:rPr>
            </w:pPr>
          </w:p>
        </w:tc>
        <w:tc>
          <w:tcPr>
            <w:tcW w:w="450" w:type="dxa"/>
            <w:vMerge/>
            <w:tcBorders>
              <w:left w:val="single" w:sz="18" w:space="0" w:color="auto"/>
            </w:tcBorders>
            <w:vAlign w:val="center"/>
          </w:tcPr>
          <w:p w:rsidR="00A92422" w:rsidRPr="00D87B79" w:rsidRDefault="00A92422" w:rsidP="00EA30FC">
            <w:pPr>
              <w:jc w:val="center"/>
              <w:rPr>
                <w:rFonts w:cs="Tahoma"/>
                <w:sz w:val="20"/>
              </w:rPr>
            </w:pPr>
          </w:p>
        </w:tc>
        <w:tc>
          <w:tcPr>
            <w:tcW w:w="450" w:type="dxa"/>
            <w:vAlign w:val="center"/>
          </w:tcPr>
          <w:p w:rsidR="00A92422" w:rsidRPr="00D87B79" w:rsidRDefault="00A92422" w:rsidP="00EA30FC">
            <w:pPr>
              <w:pStyle w:val="TableHeadingsGreen"/>
              <w:rPr>
                <w:rFonts w:ascii="Tahoma" w:hAnsi="Tahoma" w:cs="Tahoma"/>
                <w:sz w:val="9"/>
              </w:rPr>
            </w:pPr>
            <w:r w:rsidRPr="00D87B79">
              <w:rPr>
                <w:rFonts w:ascii="Tahoma" w:hAnsi="Tahoma" w:cs="Tahoma"/>
                <w:sz w:val="9"/>
                <w:lang w:val="it-IT"/>
              </w:rPr>
              <w:t>3An</w:t>
            </w:r>
          </w:p>
        </w:tc>
        <w:tc>
          <w:tcPr>
            <w:tcW w:w="450" w:type="dxa"/>
            <w:vAlign w:val="center"/>
          </w:tcPr>
          <w:p w:rsidR="00A92422" w:rsidRPr="00D87B79" w:rsidRDefault="00A92422" w:rsidP="00EA30FC">
            <w:pPr>
              <w:pStyle w:val="TableHeadingsGreen"/>
              <w:rPr>
                <w:rFonts w:ascii="Tahoma" w:hAnsi="Tahoma" w:cs="Tahoma"/>
                <w:sz w:val="9"/>
              </w:rPr>
            </w:pPr>
            <w:r w:rsidRPr="00D87B79">
              <w:rPr>
                <w:rFonts w:ascii="Tahoma" w:hAnsi="Tahoma" w:cs="Tahoma"/>
                <w:sz w:val="9"/>
                <w:lang w:val="it-IT"/>
              </w:rPr>
              <w:t>2An</w:t>
            </w:r>
          </w:p>
        </w:tc>
        <w:tc>
          <w:tcPr>
            <w:tcW w:w="450" w:type="dxa"/>
            <w:vAlign w:val="center"/>
          </w:tcPr>
          <w:p w:rsidR="00A92422" w:rsidRPr="00D87B79" w:rsidRDefault="00A92422" w:rsidP="00EA30FC">
            <w:pPr>
              <w:pStyle w:val="TableHeadingsGreen"/>
              <w:rPr>
                <w:rFonts w:ascii="Tahoma" w:hAnsi="Tahoma" w:cs="Tahoma"/>
                <w:sz w:val="9"/>
              </w:rPr>
            </w:pPr>
            <w:r w:rsidRPr="00D87B79">
              <w:rPr>
                <w:rFonts w:ascii="Tahoma" w:hAnsi="Tahoma" w:cs="Tahoma"/>
                <w:sz w:val="9"/>
                <w:lang w:val="it-IT"/>
              </w:rPr>
              <w:t>1An</w:t>
            </w:r>
          </w:p>
        </w:tc>
        <w:tc>
          <w:tcPr>
            <w:tcW w:w="450" w:type="dxa"/>
            <w:vAlign w:val="center"/>
          </w:tcPr>
          <w:p w:rsidR="00A92422" w:rsidRPr="00D87B79" w:rsidRDefault="00A92422" w:rsidP="00EA30FC">
            <w:pPr>
              <w:pStyle w:val="TableHeadingsBlue"/>
              <w:rPr>
                <w:rFonts w:ascii="Tahoma" w:hAnsi="Tahoma" w:cs="Tahoma"/>
                <w:sz w:val="9"/>
              </w:rPr>
            </w:pPr>
            <w:r w:rsidRPr="00D87B79">
              <w:rPr>
                <w:rFonts w:ascii="Tahoma" w:hAnsi="Tahoma" w:cs="Tahoma"/>
                <w:sz w:val="9"/>
                <w:lang w:val="it-IT"/>
              </w:rPr>
              <w:t>3An</w:t>
            </w:r>
          </w:p>
        </w:tc>
        <w:tc>
          <w:tcPr>
            <w:tcW w:w="450" w:type="dxa"/>
            <w:vAlign w:val="center"/>
          </w:tcPr>
          <w:p w:rsidR="00A92422" w:rsidRPr="00D87B79" w:rsidRDefault="00A92422" w:rsidP="00EA30FC">
            <w:pPr>
              <w:pStyle w:val="TableHeadingsBlue"/>
              <w:rPr>
                <w:rFonts w:ascii="Tahoma" w:hAnsi="Tahoma" w:cs="Tahoma"/>
                <w:sz w:val="9"/>
              </w:rPr>
            </w:pPr>
            <w:r w:rsidRPr="00D87B79">
              <w:rPr>
                <w:rFonts w:ascii="Tahoma" w:hAnsi="Tahoma" w:cs="Tahoma"/>
                <w:sz w:val="9"/>
                <w:lang w:val="it-IT"/>
              </w:rPr>
              <w:t>2An</w:t>
            </w:r>
          </w:p>
        </w:tc>
        <w:tc>
          <w:tcPr>
            <w:tcW w:w="360" w:type="dxa"/>
            <w:tcBorders>
              <w:right w:val="single" w:sz="18" w:space="0" w:color="auto"/>
            </w:tcBorders>
            <w:vAlign w:val="center"/>
          </w:tcPr>
          <w:p w:rsidR="00A92422" w:rsidRPr="00D87B79" w:rsidRDefault="00A92422" w:rsidP="00EA30FC">
            <w:pPr>
              <w:pStyle w:val="TableHeadingsBlue"/>
              <w:rPr>
                <w:rFonts w:ascii="Tahoma" w:hAnsi="Tahoma" w:cs="Tahoma"/>
                <w:sz w:val="9"/>
              </w:rPr>
            </w:pPr>
            <w:r w:rsidRPr="00D87B79">
              <w:rPr>
                <w:rFonts w:ascii="Tahoma" w:hAnsi="Tahoma" w:cs="Tahoma"/>
                <w:sz w:val="9"/>
                <w:lang w:val="it-IT"/>
              </w:rPr>
              <w:t>1An</w:t>
            </w:r>
          </w:p>
        </w:tc>
        <w:tc>
          <w:tcPr>
            <w:tcW w:w="450" w:type="dxa"/>
            <w:vMerge/>
            <w:tcBorders>
              <w:left w:val="single" w:sz="18" w:space="0" w:color="auto"/>
            </w:tcBorders>
            <w:vAlign w:val="center"/>
          </w:tcPr>
          <w:p w:rsidR="00A92422" w:rsidRPr="00D87B79" w:rsidRDefault="00A92422" w:rsidP="00EA30FC">
            <w:pPr>
              <w:jc w:val="center"/>
              <w:rPr>
                <w:rFonts w:cs="Tahoma"/>
                <w:sz w:val="20"/>
              </w:rPr>
            </w:pPr>
          </w:p>
        </w:tc>
        <w:tc>
          <w:tcPr>
            <w:tcW w:w="450" w:type="dxa"/>
            <w:vAlign w:val="center"/>
          </w:tcPr>
          <w:p w:rsidR="00A92422" w:rsidRPr="00D87B79" w:rsidRDefault="00A92422" w:rsidP="00EA30FC">
            <w:pPr>
              <w:pStyle w:val="TableHeadingsGreen"/>
              <w:rPr>
                <w:rFonts w:ascii="Tahoma" w:hAnsi="Tahoma" w:cs="Tahoma"/>
                <w:sz w:val="9"/>
              </w:rPr>
            </w:pPr>
            <w:r w:rsidRPr="00D87B79">
              <w:rPr>
                <w:rFonts w:ascii="Tahoma" w:hAnsi="Tahoma" w:cs="Tahoma"/>
                <w:sz w:val="9"/>
                <w:lang w:val="it-IT"/>
              </w:rPr>
              <w:t>P</w:t>
            </w:r>
          </w:p>
        </w:tc>
        <w:tc>
          <w:tcPr>
            <w:tcW w:w="450" w:type="dxa"/>
            <w:vMerge/>
            <w:tcBorders>
              <w:right w:val="single" w:sz="18" w:space="0" w:color="auto"/>
            </w:tcBorders>
            <w:vAlign w:val="center"/>
          </w:tcPr>
          <w:p w:rsidR="00A92422" w:rsidRPr="00D87B79" w:rsidRDefault="00A92422" w:rsidP="00EA30FC">
            <w:pPr>
              <w:jc w:val="center"/>
              <w:rPr>
                <w:rFonts w:cs="Tahoma"/>
                <w:sz w:val="20"/>
              </w:rPr>
            </w:pPr>
          </w:p>
        </w:tc>
        <w:tc>
          <w:tcPr>
            <w:tcW w:w="450" w:type="dxa"/>
            <w:vMerge/>
            <w:tcBorders>
              <w:left w:val="single" w:sz="18" w:space="0" w:color="auto"/>
            </w:tcBorders>
          </w:tcPr>
          <w:p w:rsidR="00A92422" w:rsidRPr="00D87B79" w:rsidRDefault="00A92422" w:rsidP="00EA30FC">
            <w:pPr>
              <w:rPr>
                <w:rFonts w:cs="Tahoma"/>
                <w:sz w:val="20"/>
              </w:rPr>
            </w:pPr>
          </w:p>
        </w:tc>
        <w:tc>
          <w:tcPr>
            <w:tcW w:w="450" w:type="dxa"/>
            <w:vMerge/>
            <w:tcBorders>
              <w:right w:val="single" w:sz="18" w:space="0" w:color="auto"/>
            </w:tcBorders>
          </w:tcPr>
          <w:p w:rsidR="00A92422" w:rsidRPr="00D87B79" w:rsidRDefault="00A92422" w:rsidP="00EA30FC">
            <w:pPr>
              <w:rPr>
                <w:rFonts w:cs="Tahoma"/>
                <w:sz w:val="20"/>
              </w:rPr>
            </w:pPr>
          </w:p>
        </w:tc>
        <w:tc>
          <w:tcPr>
            <w:tcW w:w="450" w:type="dxa"/>
            <w:vMerge/>
            <w:tcBorders>
              <w:left w:val="single" w:sz="18" w:space="0" w:color="auto"/>
              <w:right w:val="single" w:sz="18" w:space="0" w:color="auto"/>
            </w:tcBorders>
          </w:tcPr>
          <w:p w:rsidR="00A92422" w:rsidRPr="00D87B79" w:rsidRDefault="00A92422" w:rsidP="00EA30FC">
            <w:pPr>
              <w:rPr>
                <w:rFonts w:cs="Tahoma"/>
                <w:sz w:val="20"/>
              </w:rPr>
            </w:pPr>
          </w:p>
        </w:tc>
        <w:tc>
          <w:tcPr>
            <w:tcW w:w="450" w:type="dxa"/>
            <w:vMerge/>
          </w:tcPr>
          <w:p w:rsidR="00A92422" w:rsidRPr="00D87B79" w:rsidRDefault="00A92422" w:rsidP="00EA30FC">
            <w:pPr>
              <w:rPr>
                <w:rFonts w:cs="Tahoma"/>
                <w:sz w:val="20"/>
              </w:rPr>
            </w:pPr>
          </w:p>
        </w:tc>
        <w:tc>
          <w:tcPr>
            <w:tcW w:w="540" w:type="dxa"/>
            <w:vMerge/>
          </w:tcPr>
          <w:p w:rsidR="00A92422" w:rsidRPr="00D87B79" w:rsidRDefault="00A92422" w:rsidP="00EA30FC">
            <w:pPr>
              <w:rPr>
                <w:rFonts w:cs="Tahoma"/>
                <w:sz w:val="20"/>
              </w:rPr>
            </w:pPr>
          </w:p>
        </w:tc>
      </w:tr>
      <w:tr w:rsidR="00A92422" w:rsidRPr="00D87B79" w:rsidTr="00EA30FC">
        <w:trPr>
          <w:trHeight w:val="145"/>
        </w:trPr>
        <w:tc>
          <w:tcPr>
            <w:tcW w:w="2610" w:type="dxa"/>
            <w:shd w:val="clear" w:color="auto" w:fill="FABF8F"/>
          </w:tcPr>
          <w:p w:rsidR="00A92422" w:rsidRPr="00C62C6F" w:rsidRDefault="00A92422" w:rsidP="00EA30FC">
            <w:pPr>
              <w:pStyle w:val="ProductNames"/>
              <w:rPr>
                <w:rFonts w:ascii="Tahoma" w:hAnsi="Tahoma" w:cs="Tahoma"/>
                <w:sz w:val="14"/>
                <w:szCs w:val="14"/>
              </w:rPr>
            </w:pPr>
            <w:bookmarkStart w:id="129" w:name="_Toc336337897"/>
            <w:bookmarkStart w:id="130" w:name="_Toc342899967"/>
            <w:bookmarkEnd w:id="129"/>
            <w:r w:rsidRPr="00C62C6F">
              <w:rPr>
                <w:rFonts w:ascii="Tahoma" w:hAnsi="Tahoma" w:cs="Tahoma"/>
                <w:sz w:val="14"/>
                <w:szCs w:val="14"/>
                <w:lang w:val="it-IT"/>
              </w:rPr>
              <w:t>Licenza “Subscription” per Windows Companion</w:t>
            </w:r>
            <w:bookmarkEnd w:id="130"/>
          </w:p>
        </w:tc>
        <w:bookmarkStart w:id="131" w:name="_Hlt335908440"/>
        <w:bookmarkStart w:id="132" w:name="_Hlt335908548"/>
        <w:bookmarkStart w:id="133" w:name="_Hlt336250917"/>
        <w:bookmarkEnd w:id="131"/>
        <w:bookmarkEnd w:id="132"/>
        <w:bookmarkEnd w:id="133"/>
        <w:tc>
          <w:tcPr>
            <w:tcW w:w="360" w:type="dxa"/>
            <w:shd w:val="clear" w:color="auto" w:fill="FABF8F"/>
            <w:vAlign w:val="center"/>
          </w:tcPr>
          <w:p w:rsidR="00A92422" w:rsidRPr="001E1017" w:rsidRDefault="00A92422" w:rsidP="00EA30FC">
            <w:pPr>
              <w:pStyle w:val="TableText"/>
              <w:widowControl w:val="0"/>
              <w:rPr>
                <w:rFonts w:cs="Tahoma"/>
                <w:b/>
                <w:color w:val="0000FF"/>
                <w:sz w:val="13"/>
                <w:szCs w:val="13"/>
                <w:u w:val="single"/>
              </w:rPr>
            </w:pPr>
            <w:r w:rsidRPr="001E1017">
              <w:rPr>
                <w:rFonts w:cs="Tahoma"/>
                <w:b/>
                <w:sz w:val="13"/>
                <w:szCs w:val="13"/>
                <w:u w:val="single"/>
              </w:rPr>
              <w:fldChar w:fldCharType="begin"/>
            </w:r>
            <w:r w:rsidRPr="001E1017">
              <w:rPr>
                <w:rFonts w:cs="Tahoma"/>
                <w:b/>
                <w:sz w:val="13"/>
                <w:szCs w:val="13"/>
                <w:u w:val="single"/>
              </w:rPr>
              <w:instrText>HYPERLINK  \l "_21_Licenza_\“Subscription\”"</w:instrText>
            </w:r>
            <w:r w:rsidRPr="001E1017">
              <w:rPr>
                <w:rFonts w:cs="Tahoma"/>
                <w:b/>
                <w:sz w:val="13"/>
                <w:szCs w:val="13"/>
                <w:u w:val="single"/>
              </w:rPr>
              <w:fldChar w:fldCharType="separate"/>
            </w:r>
            <w:r w:rsidRPr="001E1017">
              <w:rPr>
                <w:rStyle w:val="Hyperlink"/>
                <w:rFonts w:cs="Tahoma"/>
                <w:b/>
                <w:sz w:val="13"/>
                <w:szCs w:val="13"/>
              </w:rPr>
              <w:t>21</w:t>
            </w:r>
            <w:r w:rsidRPr="001E1017">
              <w:rPr>
                <w:rFonts w:cs="Tahoma"/>
                <w:b/>
                <w:sz w:val="13"/>
                <w:szCs w:val="13"/>
                <w:u w:val="single"/>
              </w:rPr>
              <w:fldChar w:fldCharType="end"/>
            </w:r>
          </w:p>
        </w:tc>
        <w:tc>
          <w:tcPr>
            <w:tcW w:w="450" w:type="dxa"/>
            <w:shd w:val="clear" w:color="auto" w:fill="FABF8F"/>
          </w:tcPr>
          <w:p w:rsidR="00A92422" w:rsidRPr="00D87B79" w:rsidRDefault="00A92422" w:rsidP="00EA30FC">
            <w:pPr>
              <w:pStyle w:val="TableText"/>
              <w:rPr>
                <w:rFonts w:ascii="Tahoma" w:hAnsi="Tahoma" w:cs="Tahoma"/>
                <w:sz w:val="13"/>
              </w:rPr>
            </w:pPr>
            <w:r w:rsidRPr="00D87B79">
              <w:rPr>
                <w:rFonts w:ascii="Tahoma" w:hAnsi="Tahoma" w:cs="Tahoma"/>
                <w:sz w:val="13"/>
              </w:rPr>
              <w:t>10/12</w:t>
            </w:r>
          </w:p>
        </w:tc>
        <w:tc>
          <w:tcPr>
            <w:tcW w:w="360"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p>
        </w:tc>
        <w:tc>
          <w:tcPr>
            <w:tcW w:w="3060" w:type="dxa"/>
            <w:gridSpan w:val="7"/>
            <w:tcBorders>
              <w:left w:val="single" w:sz="18" w:space="0" w:color="auto"/>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50" w:type="dxa"/>
            <w:tcBorders>
              <w:lef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p>
        </w:tc>
        <w:tc>
          <w:tcPr>
            <w:tcW w:w="450" w:type="dxa"/>
            <w:shd w:val="clear" w:color="auto" w:fill="FABF8F"/>
            <w:vAlign w:val="center"/>
          </w:tcPr>
          <w:p w:rsidR="00A92422" w:rsidRPr="00D87B79" w:rsidRDefault="00A92422" w:rsidP="00EA30FC">
            <w:pPr>
              <w:pStyle w:val="TableText"/>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50"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E</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p>
        </w:tc>
        <w:tc>
          <w:tcPr>
            <w:tcW w:w="450" w:type="dxa"/>
            <w:shd w:val="clear" w:color="auto" w:fill="FABF8F"/>
          </w:tcPr>
          <w:p w:rsidR="00A92422" w:rsidRPr="00D87B79" w:rsidRDefault="00A92422" w:rsidP="00EA30FC">
            <w:pPr>
              <w:pStyle w:val="TableText"/>
              <w:rPr>
                <w:rFonts w:ascii="Tahoma" w:hAnsi="Tahoma" w:cs="Tahoma"/>
                <w:sz w:val="13"/>
              </w:rPr>
            </w:pPr>
            <w:r w:rsidRPr="00D87B79">
              <w:rPr>
                <w:rFonts w:ascii="Tahoma" w:hAnsi="Tahoma" w:cs="Tahoma"/>
                <w:sz w:val="13"/>
                <w:lang w:val="it-IT"/>
              </w:rPr>
              <w:t>A (Solo EES)</w:t>
            </w:r>
          </w:p>
        </w:tc>
        <w:tc>
          <w:tcPr>
            <w:tcW w:w="540" w:type="dxa"/>
            <w:shd w:val="clear" w:color="auto" w:fill="FABF8F"/>
            <w:vAlign w:val="center"/>
          </w:tcPr>
          <w:p w:rsidR="00A92422" w:rsidRPr="00D87B79" w:rsidRDefault="00A92422" w:rsidP="00EA30FC">
            <w:pPr>
              <w:pStyle w:val="TableText"/>
              <w:rPr>
                <w:rFonts w:ascii="Tahoma" w:hAnsi="Tahoma" w:cs="Tahoma"/>
                <w:sz w:val="13"/>
              </w:rPr>
            </w:pPr>
          </w:p>
        </w:tc>
      </w:tr>
      <w:tr w:rsidR="00A92422" w:rsidRPr="00D87B79" w:rsidTr="00EA30FC">
        <w:trPr>
          <w:trHeight w:val="145"/>
        </w:trPr>
        <w:tc>
          <w:tcPr>
            <w:tcW w:w="2610" w:type="dxa"/>
          </w:tcPr>
          <w:p w:rsidR="00A92422" w:rsidRPr="00C62C6F" w:rsidRDefault="00A92422" w:rsidP="00EA30FC">
            <w:pPr>
              <w:pStyle w:val="ProductNames"/>
              <w:rPr>
                <w:rFonts w:ascii="Tahoma" w:hAnsi="Tahoma" w:cs="Tahoma"/>
                <w:sz w:val="14"/>
                <w:szCs w:val="14"/>
              </w:rPr>
            </w:pPr>
            <w:bookmarkStart w:id="134" w:name="_Toc336337898"/>
            <w:bookmarkStart w:id="135" w:name="_Toc342899968"/>
            <w:bookmarkEnd w:id="134"/>
            <w:r w:rsidRPr="00C62C6F">
              <w:rPr>
                <w:rFonts w:ascii="Tahoma" w:hAnsi="Tahoma" w:cs="Tahoma"/>
                <w:sz w:val="14"/>
                <w:szCs w:val="14"/>
                <w:lang w:val="it-IT"/>
              </w:rPr>
              <w:t>Windows Vista DVD Playback Pack</w:t>
            </w:r>
            <w:bookmarkEnd w:id="135"/>
            <w:r w:rsidRPr="00C62C6F">
              <w:rPr>
                <w:rFonts w:ascii="Tahoma" w:hAnsi="Tahoma" w:cs="Tahoma"/>
                <w:sz w:val="14"/>
                <w:szCs w:val="14"/>
              </w:rPr>
              <w:t xml:space="preserve"> </w:t>
            </w:r>
          </w:p>
        </w:tc>
        <w:tc>
          <w:tcPr>
            <w:tcW w:w="360" w:type="dxa"/>
            <w:vAlign w:val="center"/>
          </w:tcPr>
          <w:p w:rsidR="00A92422" w:rsidRPr="001E1017" w:rsidRDefault="00A92422" w:rsidP="00EA30FC">
            <w:pPr>
              <w:pStyle w:val="TableText"/>
              <w:widowControl w:val="0"/>
              <w:rPr>
                <w:rFonts w:cs="Tahoma"/>
                <w:b/>
                <w:color w:val="0000FF"/>
                <w:sz w:val="13"/>
                <w:szCs w:val="13"/>
                <w:u w:val="single"/>
              </w:rPr>
            </w:pPr>
            <w:hyperlink w:anchor="_22_Windows_Vista" w:history="1">
              <w:r w:rsidRPr="001E1017">
                <w:rPr>
                  <w:rStyle w:val="Hyperlink"/>
                  <w:rFonts w:cs="Tahoma"/>
                  <w:b/>
                  <w:sz w:val="13"/>
                  <w:szCs w:val="13"/>
                </w:rPr>
                <w:t>22</w:t>
              </w:r>
            </w:hyperlink>
          </w:p>
        </w:tc>
        <w:tc>
          <w:tcPr>
            <w:tcW w:w="450" w:type="dxa"/>
          </w:tcPr>
          <w:p w:rsidR="00A92422" w:rsidRPr="00D87B79" w:rsidDel="00587D23" w:rsidRDefault="00A92422" w:rsidP="00EA30FC">
            <w:pPr>
              <w:pStyle w:val="TableText"/>
              <w:rPr>
                <w:rFonts w:ascii="Tahoma" w:hAnsi="Tahoma" w:cs="Tahoma"/>
                <w:sz w:val="13"/>
              </w:rPr>
            </w:pPr>
            <w:r w:rsidRPr="00D87B79">
              <w:rPr>
                <w:rFonts w:ascii="Tahoma" w:hAnsi="Tahoma" w:cs="Tahoma"/>
                <w:sz w:val="13"/>
              </w:rPr>
              <w:t>03/11</w:t>
            </w:r>
          </w:p>
        </w:tc>
        <w:tc>
          <w:tcPr>
            <w:tcW w:w="360" w:type="dxa"/>
            <w:tcBorders>
              <w:right w:val="single" w:sz="18" w:space="0" w:color="auto"/>
            </w:tcBorders>
            <w:vAlign w:val="center"/>
          </w:tcPr>
          <w:p w:rsidR="00A92422" w:rsidRPr="00D87B79" w:rsidRDefault="00A92422" w:rsidP="00EA30FC">
            <w:pPr>
              <w:pStyle w:val="TableText"/>
              <w:rPr>
                <w:rFonts w:ascii="Tahoma" w:hAnsi="Tahoma" w:cs="Tahoma"/>
                <w:sz w:val="13"/>
              </w:rPr>
            </w:pPr>
          </w:p>
        </w:tc>
        <w:tc>
          <w:tcPr>
            <w:tcW w:w="3060" w:type="dxa"/>
            <w:gridSpan w:val="7"/>
            <w:tcBorders>
              <w:left w:val="single" w:sz="18" w:space="0" w:color="auto"/>
              <w:right w:val="single" w:sz="18" w:space="0" w:color="auto"/>
            </w:tcBorders>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50" w:type="dxa"/>
            <w:tcBorders>
              <w:left w:val="single" w:sz="18" w:space="0" w:color="auto"/>
            </w:tcBorders>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50" w:type="dxa"/>
            <w:vAlign w:val="center"/>
          </w:tcPr>
          <w:p w:rsidR="00A92422" w:rsidRPr="00D87B79" w:rsidRDefault="00A92422" w:rsidP="00EA30FC">
            <w:pPr>
              <w:pStyle w:val="TableText"/>
              <w:rPr>
                <w:rFonts w:ascii="Tahoma" w:hAnsi="Tahoma" w:cs="Tahoma"/>
                <w:sz w:val="13"/>
              </w:rPr>
            </w:pPr>
          </w:p>
        </w:tc>
        <w:tc>
          <w:tcPr>
            <w:tcW w:w="450" w:type="dxa"/>
            <w:tcBorders>
              <w:right w:val="single" w:sz="18" w:space="0" w:color="auto"/>
            </w:tcBorders>
            <w:vAlign w:val="center"/>
          </w:tcPr>
          <w:p w:rsidR="00A92422" w:rsidRPr="00D87B79" w:rsidRDefault="00A92422" w:rsidP="00EA30FC">
            <w:pPr>
              <w:pStyle w:val="TableText"/>
              <w:rPr>
                <w:rFonts w:ascii="Tahoma" w:hAnsi="Tahoma" w:cs="Tahoma"/>
                <w:sz w:val="13"/>
              </w:rPr>
            </w:pPr>
          </w:p>
        </w:tc>
        <w:tc>
          <w:tcPr>
            <w:tcW w:w="450" w:type="dxa"/>
            <w:tcBorders>
              <w:left w:val="single" w:sz="18" w:space="0" w:color="auto"/>
            </w:tcBorders>
            <w:vAlign w:val="center"/>
          </w:tcPr>
          <w:p w:rsidR="00A92422" w:rsidRPr="00D87B79" w:rsidRDefault="00A92422" w:rsidP="00EA30FC">
            <w:pPr>
              <w:pStyle w:val="TableText"/>
              <w:rPr>
                <w:rFonts w:ascii="Tahoma" w:hAnsi="Tahoma" w:cs="Tahoma"/>
                <w:sz w:val="13"/>
              </w:rPr>
            </w:pPr>
          </w:p>
        </w:tc>
        <w:tc>
          <w:tcPr>
            <w:tcW w:w="450" w:type="dxa"/>
            <w:tcBorders>
              <w:right w:val="single" w:sz="18" w:space="0" w:color="auto"/>
            </w:tcBorders>
            <w:vAlign w:val="center"/>
          </w:tcPr>
          <w:p w:rsidR="00A92422" w:rsidRPr="00D87B79" w:rsidRDefault="00A92422" w:rsidP="00EA30FC">
            <w:pPr>
              <w:pStyle w:val="TableText"/>
              <w:rPr>
                <w:rFonts w:ascii="Tahoma" w:hAnsi="Tahoma" w:cs="Tahoma"/>
                <w:sz w:val="13"/>
              </w:rPr>
            </w:pPr>
          </w:p>
        </w:tc>
        <w:tc>
          <w:tcPr>
            <w:tcW w:w="450" w:type="dxa"/>
            <w:tcBorders>
              <w:left w:val="single" w:sz="18" w:space="0" w:color="auto"/>
              <w:right w:val="single" w:sz="18" w:space="0" w:color="auto"/>
            </w:tcBorders>
            <w:vAlign w:val="center"/>
          </w:tcPr>
          <w:p w:rsidR="00A92422" w:rsidRPr="00D87B79" w:rsidRDefault="00A92422" w:rsidP="00EA30FC">
            <w:pPr>
              <w:pStyle w:val="TableText"/>
              <w:rPr>
                <w:rFonts w:ascii="Tahoma" w:hAnsi="Tahoma" w:cs="Tahoma"/>
                <w:sz w:val="13"/>
              </w:rPr>
            </w:pPr>
          </w:p>
        </w:tc>
        <w:tc>
          <w:tcPr>
            <w:tcW w:w="450" w:type="dxa"/>
          </w:tcPr>
          <w:p w:rsidR="00A92422" w:rsidRPr="00D87B79" w:rsidRDefault="00A92422" w:rsidP="00EA30FC">
            <w:pPr>
              <w:pStyle w:val="TableText"/>
              <w:rPr>
                <w:rFonts w:ascii="Tahoma" w:hAnsi="Tahoma" w:cs="Tahoma"/>
                <w:sz w:val="13"/>
              </w:rPr>
            </w:pPr>
          </w:p>
        </w:tc>
        <w:tc>
          <w:tcPr>
            <w:tcW w:w="540" w:type="dxa"/>
            <w:vAlign w:val="center"/>
          </w:tcPr>
          <w:p w:rsidR="00A92422" w:rsidRPr="00D87B79" w:rsidRDefault="00A92422" w:rsidP="00EA30FC">
            <w:pPr>
              <w:pStyle w:val="TableText"/>
              <w:rPr>
                <w:rFonts w:ascii="Tahoma" w:hAnsi="Tahoma" w:cs="Tahoma"/>
                <w:sz w:val="13"/>
              </w:rPr>
            </w:pPr>
          </w:p>
        </w:tc>
      </w:tr>
      <w:tr w:rsidR="00A92422" w:rsidRPr="00D87B79" w:rsidTr="00EA30FC">
        <w:trPr>
          <w:trHeight w:val="145"/>
        </w:trPr>
        <w:tc>
          <w:tcPr>
            <w:tcW w:w="2610" w:type="dxa"/>
            <w:shd w:val="clear" w:color="auto" w:fill="FABF8F"/>
          </w:tcPr>
          <w:p w:rsidR="00A92422" w:rsidRPr="00C62C6F" w:rsidRDefault="00A92422" w:rsidP="00EA30FC">
            <w:pPr>
              <w:pStyle w:val="ProductNames"/>
              <w:rPr>
                <w:rFonts w:ascii="Tahoma" w:hAnsi="Tahoma" w:cs="Tahoma"/>
                <w:sz w:val="14"/>
                <w:szCs w:val="14"/>
              </w:rPr>
            </w:pPr>
            <w:bookmarkStart w:id="136" w:name="_Toc336337899"/>
            <w:bookmarkStart w:id="137" w:name="_Toc342899969"/>
            <w:bookmarkEnd w:id="136"/>
            <w:r w:rsidRPr="00C62C6F">
              <w:rPr>
                <w:rFonts w:ascii="Tahoma" w:hAnsi="Tahoma" w:cs="Tahoma"/>
                <w:sz w:val="14"/>
                <w:szCs w:val="14"/>
                <w:lang w:val="it-IT"/>
              </w:rPr>
              <w:t>Microsoft Desktop Optimization Pack per</w:t>
            </w:r>
            <w:r>
              <w:rPr>
                <w:rFonts w:ascii="Tahoma" w:hAnsi="Tahoma" w:cs="Tahoma"/>
                <w:sz w:val="14"/>
                <w:szCs w:val="14"/>
                <w:lang w:val="it-IT"/>
              </w:rPr>
              <w:t> </w:t>
            </w:r>
            <w:r w:rsidRPr="00C62C6F">
              <w:rPr>
                <w:rFonts w:ascii="Tahoma" w:hAnsi="Tahoma" w:cs="Tahoma"/>
                <w:sz w:val="14"/>
                <w:szCs w:val="14"/>
                <w:lang w:val="it-IT"/>
              </w:rPr>
              <w:t>Software Assurance</w:t>
            </w:r>
            <w:bookmarkEnd w:id="137"/>
          </w:p>
        </w:tc>
        <w:bookmarkStart w:id="138" w:name="_Hlt336247928"/>
        <w:bookmarkStart w:id="139" w:name="_Hlt336247929"/>
        <w:bookmarkEnd w:id="138"/>
        <w:bookmarkEnd w:id="139"/>
        <w:tc>
          <w:tcPr>
            <w:tcW w:w="360" w:type="dxa"/>
            <w:shd w:val="clear" w:color="auto" w:fill="FABF8F"/>
            <w:vAlign w:val="center"/>
          </w:tcPr>
          <w:p w:rsidR="00A92422" w:rsidRPr="001E1017" w:rsidRDefault="00A92422" w:rsidP="00EA30FC">
            <w:pPr>
              <w:pStyle w:val="TableText"/>
              <w:widowControl w:val="0"/>
              <w:rPr>
                <w:rStyle w:val="EndnoteReference"/>
                <w:rFonts w:cs="Tahoma"/>
                <w:b w:val="0"/>
                <w:color w:val="0000FF"/>
                <w:sz w:val="13"/>
                <w:szCs w:val="13"/>
                <w:u w:val="single"/>
              </w:rPr>
            </w:pPr>
            <w:r w:rsidRPr="001E1017">
              <w:rPr>
                <w:rFonts w:cs="Tahoma"/>
                <w:b/>
                <w:sz w:val="13"/>
                <w:szCs w:val="13"/>
                <w:u w:val="single"/>
              </w:rPr>
              <w:fldChar w:fldCharType="begin"/>
            </w:r>
            <w:r w:rsidRPr="001E1017">
              <w:rPr>
                <w:rFonts w:cs="Tahoma"/>
                <w:b/>
                <w:sz w:val="13"/>
                <w:szCs w:val="13"/>
                <w:u w:val="single"/>
              </w:rPr>
              <w:instrText>HYPERLINK  \l "_23_Microsoft_Desktop"</w:instrText>
            </w:r>
            <w:r w:rsidRPr="001E1017">
              <w:rPr>
                <w:rFonts w:cs="Tahoma"/>
                <w:b/>
                <w:sz w:val="13"/>
                <w:szCs w:val="13"/>
                <w:u w:val="single"/>
              </w:rPr>
              <w:fldChar w:fldCharType="separate"/>
            </w:r>
            <w:r w:rsidRPr="001E1017">
              <w:rPr>
                <w:rStyle w:val="Hyperlink"/>
                <w:rFonts w:cs="Tahoma"/>
                <w:b/>
                <w:sz w:val="13"/>
                <w:szCs w:val="13"/>
              </w:rPr>
              <w:t>23</w:t>
            </w:r>
            <w:r w:rsidRPr="001E1017">
              <w:rPr>
                <w:rFonts w:cs="Tahoma"/>
                <w:b/>
                <w:sz w:val="13"/>
                <w:szCs w:val="13"/>
                <w:u w:val="single"/>
              </w:rPr>
              <w:fldChar w:fldCharType="end"/>
            </w:r>
          </w:p>
        </w:tc>
        <w:tc>
          <w:tcPr>
            <w:tcW w:w="450" w:type="dxa"/>
            <w:shd w:val="clear" w:color="auto" w:fill="FABF8F"/>
          </w:tcPr>
          <w:p w:rsidR="00A92422" w:rsidRPr="00D87B79" w:rsidRDefault="00A92422" w:rsidP="00EA30FC">
            <w:pPr>
              <w:pStyle w:val="TableText"/>
              <w:spacing w:before="120"/>
              <w:rPr>
                <w:rFonts w:ascii="Tahoma" w:hAnsi="Tahoma" w:cs="Tahoma"/>
                <w:sz w:val="13"/>
              </w:rPr>
            </w:pPr>
            <w:r>
              <w:rPr>
                <w:rFonts w:ascii="Tahoma" w:hAnsi="Tahoma" w:cs="Tahoma"/>
                <w:sz w:val="13"/>
              </w:rPr>
              <w:t>11/12</w:t>
            </w:r>
          </w:p>
        </w:tc>
        <w:tc>
          <w:tcPr>
            <w:tcW w:w="360"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DT</w:t>
            </w:r>
          </w:p>
        </w:tc>
        <w:tc>
          <w:tcPr>
            <w:tcW w:w="3060" w:type="dxa"/>
            <w:gridSpan w:val="7"/>
            <w:tcBorders>
              <w:left w:val="single" w:sz="18" w:space="0" w:color="auto"/>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50" w:type="dxa"/>
            <w:tcBorders>
              <w:lef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p>
        </w:tc>
        <w:tc>
          <w:tcPr>
            <w:tcW w:w="450" w:type="dxa"/>
            <w:shd w:val="clear" w:color="auto" w:fill="FABF8F"/>
            <w:vAlign w:val="center"/>
          </w:tcPr>
          <w:p w:rsidR="00A92422" w:rsidRPr="00D87B79" w:rsidRDefault="00A92422" w:rsidP="00EA30FC">
            <w:pPr>
              <w:pStyle w:val="TableText"/>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2, E</w:t>
            </w:r>
          </w:p>
        </w:tc>
        <w:tc>
          <w:tcPr>
            <w:tcW w:w="450"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E, A</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P</w:t>
            </w:r>
          </w:p>
        </w:tc>
        <w:tc>
          <w:tcPr>
            <w:tcW w:w="450" w:type="dxa"/>
            <w:shd w:val="clear" w:color="auto" w:fill="FABF8F"/>
          </w:tcPr>
          <w:p w:rsidR="00A92422" w:rsidRPr="00D87B79" w:rsidRDefault="00A92422" w:rsidP="00EA30FC">
            <w:pPr>
              <w:pStyle w:val="TableText"/>
              <w:spacing w:before="120"/>
              <w:rPr>
                <w:rFonts w:ascii="Tahoma" w:hAnsi="Tahoma" w:cs="Tahoma"/>
                <w:sz w:val="13"/>
              </w:rPr>
            </w:pPr>
            <w:r w:rsidRPr="00D87B79">
              <w:rPr>
                <w:rFonts w:ascii="Tahoma" w:hAnsi="Tahoma" w:cs="Tahoma"/>
                <w:sz w:val="13"/>
                <w:lang w:val="it-IT"/>
              </w:rPr>
              <w:t>A, ST</w:t>
            </w:r>
          </w:p>
        </w:tc>
        <w:tc>
          <w:tcPr>
            <w:tcW w:w="540" w:type="dxa"/>
            <w:shd w:val="clear" w:color="auto" w:fill="FABF8F"/>
            <w:vAlign w:val="center"/>
          </w:tcPr>
          <w:p w:rsidR="00A92422" w:rsidRPr="00D87B79" w:rsidRDefault="00A92422" w:rsidP="00EA30FC">
            <w:pPr>
              <w:pStyle w:val="TableText"/>
              <w:rPr>
                <w:rFonts w:ascii="Tahoma" w:hAnsi="Tahoma" w:cs="Tahoma"/>
                <w:sz w:val="13"/>
              </w:rPr>
            </w:pPr>
          </w:p>
        </w:tc>
      </w:tr>
      <w:tr w:rsidR="00A92422" w:rsidRPr="00D87B79" w:rsidTr="00EA30FC">
        <w:trPr>
          <w:trHeight w:val="145"/>
        </w:trPr>
        <w:tc>
          <w:tcPr>
            <w:tcW w:w="2610" w:type="dxa"/>
            <w:shd w:val="clear" w:color="auto" w:fill="auto"/>
          </w:tcPr>
          <w:p w:rsidR="00A92422" w:rsidRPr="00C62C6F" w:rsidRDefault="00A92422" w:rsidP="00EA30FC">
            <w:pPr>
              <w:pStyle w:val="ProductNames"/>
              <w:rPr>
                <w:rFonts w:ascii="Tahoma" w:hAnsi="Tahoma" w:cs="Tahoma"/>
                <w:sz w:val="14"/>
                <w:szCs w:val="14"/>
              </w:rPr>
            </w:pPr>
            <w:bookmarkStart w:id="140" w:name="_Toc336337900"/>
            <w:bookmarkStart w:id="141" w:name="_Toc336337901"/>
            <w:bookmarkStart w:id="142" w:name="_Toc342899971"/>
            <w:bookmarkEnd w:id="140"/>
            <w:bookmarkEnd w:id="141"/>
            <w:r w:rsidRPr="00C62C6F">
              <w:rPr>
                <w:rFonts w:ascii="Tahoma" w:hAnsi="Tahoma" w:cs="Tahoma"/>
                <w:sz w:val="14"/>
                <w:szCs w:val="14"/>
                <w:lang w:val="it-IT"/>
              </w:rPr>
              <w:t>Diritti di Noleggio per Windows</w:t>
            </w:r>
            <w:bookmarkEnd w:id="142"/>
          </w:p>
        </w:tc>
        <w:tc>
          <w:tcPr>
            <w:tcW w:w="360" w:type="dxa"/>
            <w:shd w:val="clear" w:color="auto" w:fill="auto"/>
            <w:vAlign w:val="center"/>
          </w:tcPr>
          <w:p w:rsidR="00A92422" w:rsidRPr="001E1017" w:rsidRDefault="00A92422" w:rsidP="00EA30FC">
            <w:pPr>
              <w:pStyle w:val="TableText"/>
              <w:widowControl w:val="0"/>
              <w:rPr>
                <w:rFonts w:cs="Tahoma"/>
                <w:b/>
                <w:sz w:val="13"/>
                <w:szCs w:val="13"/>
                <w:u w:val="single"/>
              </w:rPr>
            </w:pPr>
          </w:p>
        </w:tc>
        <w:tc>
          <w:tcPr>
            <w:tcW w:w="450" w:type="dxa"/>
            <w:shd w:val="clear" w:color="auto" w:fill="auto"/>
          </w:tcPr>
          <w:p w:rsidR="00A92422" w:rsidRPr="00D87B79" w:rsidRDefault="00A92422" w:rsidP="00EA30FC">
            <w:pPr>
              <w:pStyle w:val="TableText"/>
              <w:rPr>
                <w:rFonts w:ascii="Tahoma" w:hAnsi="Tahoma" w:cs="Tahoma"/>
                <w:sz w:val="13"/>
              </w:rPr>
            </w:pPr>
            <w:r w:rsidRPr="00D87B79">
              <w:rPr>
                <w:rFonts w:ascii="Tahoma" w:hAnsi="Tahoma" w:cs="Tahoma"/>
                <w:sz w:val="13"/>
              </w:rPr>
              <w:t>04/09</w:t>
            </w:r>
          </w:p>
        </w:tc>
        <w:tc>
          <w:tcPr>
            <w:tcW w:w="360" w:type="dxa"/>
            <w:tcBorders>
              <w:right w:val="single" w:sz="18" w:space="0" w:color="auto"/>
            </w:tcBorders>
            <w:shd w:val="clear" w:color="auto" w:fill="auto"/>
            <w:vAlign w:val="center"/>
          </w:tcPr>
          <w:p w:rsidR="00A92422" w:rsidRPr="00D87B79" w:rsidRDefault="00A92422" w:rsidP="00EA30FC">
            <w:pPr>
              <w:pStyle w:val="TableText"/>
              <w:rPr>
                <w:rFonts w:ascii="Tahoma" w:hAnsi="Tahoma" w:cs="Tahoma"/>
                <w:sz w:val="13"/>
              </w:rPr>
            </w:pPr>
          </w:p>
        </w:tc>
        <w:tc>
          <w:tcPr>
            <w:tcW w:w="450" w:type="dxa"/>
            <w:tcBorders>
              <w:left w:val="single" w:sz="18" w:space="0" w:color="auto"/>
            </w:tcBorders>
            <w:shd w:val="clear" w:color="auto" w:fill="auto"/>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50" w:type="dxa"/>
            <w:shd w:val="clear" w:color="auto" w:fill="auto"/>
            <w:vAlign w:val="center"/>
          </w:tcPr>
          <w:p w:rsidR="00A92422" w:rsidRPr="00D87B79" w:rsidRDefault="00A92422" w:rsidP="00EA30FC">
            <w:pPr>
              <w:pStyle w:val="TableText"/>
              <w:rPr>
                <w:rFonts w:ascii="Tahoma" w:hAnsi="Tahoma" w:cs="Tahoma"/>
                <w:sz w:val="13"/>
              </w:rPr>
            </w:pPr>
          </w:p>
        </w:tc>
        <w:tc>
          <w:tcPr>
            <w:tcW w:w="450" w:type="dxa"/>
            <w:shd w:val="clear" w:color="auto" w:fill="auto"/>
            <w:vAlign w:val="center"/>
          </w:tcPr>
          <w:p w:rsidR="00A92422" w:rsidRPr="00D87B79" w:rsidRDefault="00A92422" w:rsidP="00EA30FC">
            <w:pPr>
              <w:pStyle w:val="TableText"/>
              <w:rPr>
                <w:rFonts w:ascii="Tahoma" w:hAnsi="Tahoma" w:cs="Tahoma"/>
                <w:sz w:val="13"/>
              </w:rPr>
            </w:pPr>
          </w:p>
        </w:tc>
        <w:tc>
          <w:tcPr>
            <w:tcW w:w="450" w:type="dxa"/>
            <w:shd w:val="clear" w:color="auto" w:fill="auto"/>
            <w:vAlign w:val="center"/>
          </w:tcPr>
          <w:p w:rsidR="00A92422" w:rsidRPr="00D87B79" w:rsidRDefault="00A92422" w:rsidP="00EA30FC">
            <w:pPr>
              <w:pStyle w:val="TableText"/>
              <w:rPr>
                <w:rFonts w:ascii="Tahoma" w:hAnsi="Tahoma" w:cs="Tahoma"/>
                <w:sz w:val="13"/>
              </w:rPr>
            </w:pPr>
          </w:p>
        </w:tc>
        <w:tc>
          <w:tcPr>
            <w:tcW w:w="450" w:type="dxa"/>
            <w:shd w:val="clear" w:color="auto" w:fill="auto"/>
            <w:vAlign w:val="center"/>
          </w:tcPr>
          <w:p w:rsidR="00A92422" w:rsidRPr="00D87B79" w:rsidRDefault="00A92422" w:rsidP="00EA30FC">
            <w:pPr>
              <w:pStyle w:val="TableText"/>
              <w:rPr>
                <w:rFonts w:ascii="Tahoma" w:hAnsi="Tahoma" w:cs="Tahoma"/>
                <w:sz w:val="13"/>
              </w:rPr>
            </w:pPr>
          </w:p>
        </w:tc>
        <w:tc>
          <w:tcPr>
            <w:tcW w:w="450" w:type="dxa"/>
            <w:shd w:val="clear" w:color="auto" w:fill="auto"/>
            <w:vAlign w:val="center"/>
          </w:tcPr>
          <w:p w:rsidR="00A92422" w:rsidRPr="00D87B79" w:rsidRDefault="00A92422" w:rsidP="00EA30FC">
            <w:pPr>
              <w:pStyle w:val="TableText"/>
              <w:rPr>
                <w:rFonts w:ascii="Tahoma" w:hAnsi="Tahoma" w:cs="Tahoma"/>
                <w:sz w:val="13"/>
              </w:rPr>
            </w:pPr>
          </w:p>
        </w:tc>
        <w:tc>
          <w:tcPr>
            <w:tcW w:w="360" w:type="dxa"/>
            <w:tcBorders>
              <w:right w:val="single" w:sz="18" w:space="0" w:color="auto"/>
            </w:tcBorders>
            <w:shd w:val="clear" w:color="auto" w:fill="auto"/>
            <w:vAlign w:val="center"/>
          </w:tcPr>
          <w:p w:rsidR="00A92422" w:rsidRPr="00D87B79" w:rsidRDefault="00A92422" w:rsidP="00EA30FC">
            <w:pPr>
              <w:pStyle w:val="TableText"/>
              <w:rPr>
                <w:rFonts w:ascii="Tahoma" w:hAnsi="Tahoma" w:cs="Tahoma"/>
                <w:sz w:val="13"/>
              </w:rPr>
            </w:pPr>
          </w:p>
        </w:tc>
        <w:tc>
          <w:tcPr>
            <w:tcW w:w="450" w:type="dxa"/>
            <w:tcBorders>
              <w:left w:val="single" w:sz="18" w:space="0" w:color="auto"/>
            </w:tcBorders>
            <w:shd w:val="clear" w:color="auto" w:fill="auto"/>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50" w:type="dxa"/>
            <w:shd w:val="clear" w:color="auto" w:fill="auto"/>
            <w:vAlign w:val="center"/>
          </w:tcPr>
          <w:p w:rsidR="00A92422" w:rsidRPr="00D87B79" w:rsidRDefault="00A92422" w:rsidP="00EA30FC">
            <w:pPr>
              <w:pStyle w:val="TableText"/>
              <w:rPr>
                <w:rFonts w:ascii="Tahoma" w:hAnsi="Tahoma" w:cs="Tahoma"/>
                <w:sz w:val="13"/>
              </w:rPr>
            </w:pPr>
          </w:p>
        </w:tc>
        <w:tc>
          <w:tcPr>
            <w:tcW w:w="450" w:type="dxa"/>
            <w:tcBorders>
              <w:right w:val="single" w:sz="18" w:space="0" w:color="auto"/>
            </w:tcBorders>
            <w:shd w:val="clear" w:color="auto" w:fill="auto"/>
            <w:vAlign w:val="center"/>
          </w:tcPr>
          <w:p w:rsidR="00A92422" w:rsidRPr="00D87B79" w:rsidRDefault="00A92422" w:rsidP="00EA30FC">
            <w:pPr>
              <w:pStyle w:val="TableText"/>
              <w:rPr>
                <w:rFonts w:ascii="Tahoma" w:hAnsi="Tahoma" w:cs="Tahoma"/>
                <w:sz w:val="13"/>
              </w:rPr>
            </w:pPr>
          </w:p>
        </w:tc>
        <w:tc>
          <w:tcPr>
            <w:tcW w:w="450" w:type="dxa"/>
            <w:tcBorders>
              <w:left w:val="single" w:sz="18" w:space="0" w:color="auto"/>
            </w:tcBorders>
            <w:shd w:val="clear" w:color="auto" w:fill="auto"/>
            <w:vAlign w:val="center"/>
          </w:tcPr>
          <w:p w:rsidR="00A92422" w:rsidRPr="00D87B79" w:rsidRDefault="00A92422" w:rsidP="00EA30FC">
            <w:pPr>
              <w:pStyle w:val="TableText"/>
              <w:rPr>
                <w:rFonts w:ascii="Tahoma" w:hAnsi="Tahoma" w:cs="Tahoma"/>
                <w:sz w:val="13"/>
              </w:rPr>
            </w:pPr>
          </w:p>
        </w:tc>
        <w:tc>
          <w:tcPr>
            <w:tcW w:w="450" w:type="dxa"/>
            <w:tcBorders>
              <w:right w:val="single" w:sz="18" w:space="0" w:color="auto"/>
            </w:tcBorders>
            <w:shd w:val="clear" w:color="auto" w:fill="auto"/>
            <w:vAlign w:val="center"/>
          </w:tcPr>
          <w:p w:rsidR="00A92422" w:rsidRPr="00D87B79" w:rsidRDefault="00A92422" w:rsidP="00EA30FC">
            <w:pPr>
              <w:pStyle w:val="TableText"/>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A92422" w:rsidRPr="00D87B79" w:rsidRDefault="00A92422" w:rsidP="00EA30FC">
            <w:pPr>
              <w:pStyle w:val="TableText"/>
              <w:rPr>
                <w:rFonts w:ascii="Tahoma" w:hAnsi="Tahoma" w:cs="Tahoma"/>
                <w:sz w:val="13"/>
              </w:rPr>
            </w:pPr>
          </w:p>
        </w:tc>
        <w:tc>
          <w:tcPr>
            <w:tcW w:w="450" w:type="dxa"/>
            <w:shd w:val="clear" w:color="auto" w:fill="auto"/>
          </w:tcPr>
          <w:p w:rsidR="00A92422" w:rsidRPr="00D87B79" w:rsidRDefault="00A92422" w:rsidP="00EA30FC">
            <w:pPr>
              <w:pStyle w:val="TableText"/>
              <w:spacing w:before="120"/>
              <w:rPr>
                <w:rFonts w:ascii="Tahoma" w:hAnsi="Tahoma" w:cs="Tahoma"/>
                <w:sz w:val="13"/>
              </w:rPr>
            </w:pPr>
          </w:p>
        </w:tc>
        <w:tc>
          <w:tcPr>
            <w:tcW w:w="540" w:type="dxa"/>
            <w:shd w:val="clear" w:color="auto" w:fill="auto"/>
            <w:vAlign w:val="center"/>
          </w:tcPr>
          <w:p w:rsidR="00A92422" w:rsidRPr="00D87B79" w:rsidRDefault="00A92422" w:rsidP="00EA30FC">
            <w:pPr>
              <w:pStyle w:val="TableText"/>
              <w:rPr>
                <w:rFonts w:ascii="Tahoma" w:hAnsi="Tahoma" w:cs="Tahoma"/>
                <w:sz w:val="13"/>
              </w:rPr>
            </w:pPr>
          </w:p>
        </w:tc>
      </w:tr>
      <w:tr w:rsidR="00A92422" w:rsidRPr="00D87B79" w:rsidTr="00EA30FC">
        <w:trPr>
          <w:trHeight w:val="145"/>
        </w:trPr>
        <w:tc>
          <w:tcPr>
            <w:tcW w:w="2610" w:type="dxa"/>
            <w:shd w:val="clear" w:color="auto" w:fill="FABF8F"/>
          </w:tcPr>
          <w:p w:rsidR="00A92422" w:rsidRPr="00C62C6F" w:rsidRDefault="00A92422" w:rsidP="00EA30FC">
            <w:pPr>
              <w:pStyle w:val="ProductNames"/>
              <w:rPr>
                <w:rFonts w:ascii="Tahoma" w:hAnsi="Tahoma" w:cs="Tahoma"/>
                <w:sz w:val="14"/>
                <w:szCs w:val="14"/>
              </w:rPr>
            </w:pPr>
            <w:bookmarkStart w:id="143" w:name="_Toc336337902"/>
            <w:bookmarkStart w:id="144" w:name="_Toc342899972"/>
            <w:bookmarkEnd w:id="143"/>
            <w:r w:rsidRPr="00C62C6F">
              <w:rPr>
                <w:rFonts w:ascii="Tahoma" w:hAnsi="Tahoma" w:cs="Tahoma"/>
                <w:sz w:val="14"/>
                <w:szCs w:val="14"/>
                <w:lang w:val="it-IT"/>
              </w:rPr>
              <w:t>Windows 8 Enterprise Sideloading (100</w:t>
            </w:r>
            <w:r>
              <w:rPr>
                <w:rFonts w:ascii="Tahoma" w:hAnsi="Tahoma" w:cs="Tahoma"/>
                <w:sz w:val="14"/>
                <w:szCs w:val="14"/>
                <w:lang w:val="it-IT"/>
              </w:rPr>
              <w:t> </w:t>
            </w:r>
            <w:r w:rsidRPr="00C62C6F">
              <w:rPr>
                <w:rFonts w:ascii="Tahoma" w:hAnsi="Tahoma" w:cs="Tahoma"/>
                <w:sz w:val="14"/>
                <w:szCs w:val="14"/>
                <w:lang w:val="it-IT"/>
              </w:rPr>
              <w:t>Confezioni)</w:t>
            </w:r>
            <w:bookmarkEnd w:id="144"/>
          </w:p>
        </w:tc>
        <w:tc>
          <w:tcPr>
            <w:tcW w:w="360" w:type="dxa"/>
            <w:shd w:val="clear" w:color="auto" w:fill="FABF8F"/>
            <w:vAlign w:val="center"/>
          </w:tcPr>
          <w:p w:rsidR="00A92422" w:rsidRPr="001E1017" w:rsidRDefault="00A92422" w:rsidP="00EA30FC">
            <w:pPr>
              <w:pStyle w:val="TableText"/>
              <w:widowControl w:val="0"/>
              <w:rPr>
                <w:rFonts w:cs="Tahoma"/>
                <w:b/>
                <w:sz w:val="13"/>
                <w:szCs w:val="13"/>
                <w:u w:val="single"/>
              </w:rPr>
            </w:pPr>
            <w:hyperlink w:anchor="_Toc336338284" w:history="1">
              <w:r w:rsidRPr="001E1017">
                <w:rPr>
                  <w:rStyle w:val="Hyperlink"/>
                  <w:rFonts w:cs="Tahoma"/>
                  <w:b/>
                  <w:sz w:val="13"/>
                  <w:szCs w:val="13"/>
                </w:rPr>
                <w:t>24</w:t>
              </w:r>
            </w:hyperlink>
          </w:p>
        </w:tc>
        <w:tc>
          <w:tcPr>
            <w:tcW w:w="450" w:type="dxa"/>
            <w:shd w:val="clear" w:color="auto" w:fill="FABF8F"/>
          </w:tcPr>
          <w:p w:rsidR="00A92422" w:rsidRPr="00D87B79" w:rsidRDefault="00A92422" w:rsidP="00EA30FC">
            <w:pPr>
              <w:pStyle w:val="TableText"/>
              <w:spacing w:before="120"/>
              <w:rPr>
                <w:rFonts w:ascii="Tahoma" w:hAnsi="Tahoma" w:cs="Tahoma"/>
                <w:sz w:val="13"/>
              </w:rPr>
            </w:pPr>
            <w:r w:rsidRPr="00D87B79">
              <w:rPr>
                <w:rFonts w:ascii="Tahoma" w:hAnsi="Tahoma" w:cs="Tahoma"/>
                <w:sz w:val="13"/>
              </w:rPr>
              <w:t>09/12</w:t>
            </w:r>
          </w:p>
        </w:tc>
        <w:tc>
          <w:tcPr>
            <w:tcW w:w="360"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DT</w:t>
            </w:r>
          </w:p>
        </w:tc>
        <w:tc>
          <w:tcPr>
            <w:tcW w:w="450" w:type="dxa"/>
            <w:tcBorders>
              <w:lef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50" w:type="dxa"/>
            <w:shd w:val="clear" w:color="auto" w:fill="FABF8F"/>
            <w:vAlign w:val="center"/>
          </w:tcPr>
          <w:p w:rsidR="00A92422" w:rsidRPr="00D87B79" w:rsidRDefault="00A92422" w:rsidP="00EA30FC">
            <w:pPr>
              <w:pStyle w:val="TableText"/>
              <w:rPr>
                <w:rFonts w:ascii="Tahoma" w:hAnsi="Tahoma" w:cs="Tahoma"/>
                <w:sz w:val="13"/>
              </w:rPr>
            </w:pPr>
          </w:p>
        </w:tc>
        <w:tc>
          <w:tcPr>
            <w:tcW w:w="450" w:type="dxa"/>
            <w:shd w:val="clear" w:color="auto" w:fill="FABF8F"/>
            <w:vAlign w:val="center"/>
          </w:tcPr>
          <w:p w:rsidR="00A92422" w:rsidRPr="00D87B79" w:rsidRDefault="00A92422" w:rsidP="00EA30FC">
            <w:pPr>
              <w:pStyle w:val="TableText"/>
              <w:rPr>
                <w:rFonts w:ascii="Tahoma" w:hAnsi="Tahoma" w:cs="Tahoma"/>
                <w:sz w:val="13"/>
              </w:rPr>
            </w:pPr>
          </w:p>
        </w:tc>
        <w:tc>
          <w:tcPr>
            <w:tcW w:w="450" w:type="dxa"/>
            <w:shd w:val="clear" w:color="auto" w:fill="FABF8F"/>
            <w:vAlign w:val="center"/>
          </w:tcPr>
          <w:p w:rsidR="00A92422" w:rsidRPr="00D87B79" w:rsidRDefault="00A92422" w:rsidP="00EA30FC">
            <w:pPr>
              <w:pStyle w:val="TableText"/>
              <w:rPr>
                <w:rFonts w:ascii="Tahoma" w:hAnsi="Tahoma" w:cs="Tahoma"/>
                <w:sz w:val="13"/>
              </w:rPr>
            </w:pPr>
          </w:p>
        </w:tc>
        <w:tc>
          <w:tcPr>
            <w:tcW w:w="450" w:type="dxa"/>
            <w:shd w:val="clear" w:color="auto" w:fill="FABF8F"/>
            <w:vAlign w:val="center"/>
          </w:tcPr>
          <w:p w:rsidR="00A92422" w:rsidRPr="00D87B79" w:rsidRDefault="00A92422" w:rsidP="00EA30FC">
            <w:pPr>
              <w:pStyle w:val="TableText"/>
              <w:rPr>
                <w:rFonts w:ascii="Tahoma" w:hAnsi="Tahoma" w:cs="Tahoma"/>
                <w:sz w:val="13"/>
              </w:rPr>
            </w:pPr>
          </w:p>
        </w:tc>
        <w:tc>
          <w:tcPr>
            <w:tcW w:w="450" w:type="dxa"/>
            <w:shd w:val="clear" w:color="auto" w:fill="FABF8F"/>
            <w:vAlign w:val="center"/>
          </w:tcPr>
          <w:p w:rsidR="00A92422" w:rsidRPr="00D87B79" w:rsidRDefault="00A92422" w:rsidP="00EA30FC">
            <w:pPr>
              <w:pStyle w:val="TableText"/>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50" w:type="dxa"/>
            <w:shd w:val="clear" w:color="auto" w:fill="FABF8F"/>
            <w:vAlign w:val="center"/>
          </w:tcPr>
          <w:p w:rsidR="00A92422" w:rsidRPr="00D87B79" w:rsidRDefault="00A92422" w:rsidP="00EA30FC">
            <w:pPr>
              <w:pStyle w:val="TableText"/>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p>
        </w:tc>
        <w:tc>
          <w:tcPr>
            <w:tcW w:w="450" w:type="dxa"/>
            <w:shd w:val="clear" w:color="auto" w:fill="FABF8F"/>
          </w:tcPr>
          <w:p w:rsidR="00A92422" w:rsidRPr="00D87B79" w:rsidRDefault="00A92422" w:rsidP="00EA30FC">
            <w:pPr>
              <w:pStyle w:val="TableText"/>
              <w:spacing w:before="120"/>
              <w:rPr>
                <w:rFonts w:ascii="Tahoma" w:hAnsi="Tahoma" w:cs="Tahoma"/>
                <w:sz w:val="13"/>
              </w:rPr>
            </w:pPr>
          </w:p>
        </w:tc>
        <w:tc>
          <w:tcPr>
            <w:tcW w:w="540" w:type="dxa"/>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OL</w:t>
            </w:r>
          </w:p>
        </w:tc>
      </w:tr>
      <w:tr w:rsidR="00A92422" w:rsidRPr="00D87B79" w:rsidTr="00EA30FC">
        <w:trPr>
          <w:cantSplit/>
          <w:trHeight w:val="145"/>
        </w:trPr>
        <w:tc>
          <w:tcPr>
            <w:tcW w:w="2610" w:type="dxa"/>
            <w:shd w:val="clear" w:color="auto" w:fill="auto"/>
          </w:tcPr>
          <w:p w:rsidR="00A92422" w:rsidRPr="00C62C6F" w:rsidRDefault="00A92422" w:rsidP="00EA30FC">
            <w:pPr>
              <w:pStyle w:val="ProductNames"/>
              <w:keepNext/>
              <w:rPr>
                <w:rFonts w:ascii="Tahoma" w:hAnsi="Tahoma" w:cs="Tahoma"/>
                <w:sz w:val="14"/>
                <w:szCs w:val="14"/>
              </w:rPr>
            </w:pPr>
            <w:bookmarkStart w:id="145" w:name="_Toc336337903"/>
            <w:bookmarkStart w:id="146" w:name="_Toc342899973"/>
            <w:bookmarkEnd w:id="145"/>
            <w:r w:rsidRPr="00C62C6F">
              <w:rPr>
                <w:rFonts w:ascii="Tahoma" w:hAnsi="Tahoma" w:cs="Tahoma"/>
                <w:sz w:val="14"/>
                <w:szCs w:val="14"/>
                <w:lang w:val="it-IT"/>
              </w:rPr>
              <w:t>Windows</w:t>
            </w:r>
            <w:r w:rsidRPr="003A0F2F">
              <w:rPr>
                <w:rFonts w:ascii="Tahoma" w:hAnsi="Tahoma" w:cs="Tahoma"/>
                <w:sz w:val="14"/>
                <w:szCs w:val="14"/>
                <w:vertAlign w:val="superscript"/>
                <w:lang w:val="it-IT"/>
              </w:rPr>
              <w:t>®</w:t>
            </w:r>
            <w:r w:rsidRPr="00C62C6F">
              <w:rPr>
                <w:rFonts w:ascii="Tahoma" w:hAnsi="Tahoma" w:cs="Tahoma"/>
                <w:sz w:val="14"/>
                <w:szCs w:val="14"/>
                <w:lang w:val="it-IT"/>
              </w:rPr>
              <w:t xml:space="preserve"> 7 Partners in Learning</w:t>
            </w:r>
            <w:bookmarkEnd w:id="146"/>
          </w:p>
        </w:tc>
        <w:tc>
          <w:tcPr>
            <w:tcW w:w="360" w:type="dxa"/>
            <w:shd w:val="clear" w:color="auto" w:fill="auto"/>
            <w:vAlign w:val="center"/>
          </w:tcPr>
          <w:p w:rsidR="00A92422" w:rsidRPr="001E1017" w:rsidRDefault="00A92422" w:rsidP="00EA30FC">
            <w:pPr>
              <w:pStyle w:val="TableText"/>
              <w:keepNext/>
              <w:keepLines/>
              <w:widowControl w:val="0"/>
              <w:rPr>
                <w:rFonts w:cs="Tahoma"/>
                <w:b/>
                <w:sz w:val="13"/>
                <w:szCs w:val="13"/>
                <w:u w:val="single"/>
              </w:rPr>
            </w:pPr>
            <w:hyperlink w:anchor="_25_Windows®_7" w:history="1">
              <w:r w:rsidRPr="001E1017">
                <w:rPr>
                  <w:rStyle w:val="Hyperlink"/>
                  <w:rFonts w:cs="Tahoma"/>
                  <w:b/>
                  <w:sz w:val="13"/>
                  <w:szCs w:val="13"/>
                </w:rPr>
                <w:t>25</w:t>
              </w:r>
            </w:hyperlink>
          </w:p>
        </w:tc>
        <w:tc>
          <w:tcPr>
            <w:tcW w:w="450" w:type="dxa"/>
            <w:shd w:val="clear" w:color="auto" w:fill="auto"/>
          </w:tcPr>
          <w:p w:rsidR="00A92422" w:rsidRPr="00D87B79" w:rsidRDefault="00A92422" w:rsidP="00EA30FC">
            <w:pPr>
              <w:pStyle w:val="TableText"/>
              <w:keepNext/>
              <w:keepLines/>
              <w:spacing w:before="120"/>
              <w:rPr>
                <w:rFonts w:ascii="Tahoma" w:hAnsi="Tahoma" w:cs="Tahoma"/>
                <w:sz w:val="13"/>
              </w:rPr>
            </w:pPr>
            <w:r w:rsidRPr="00D87B79">
              <w:rPr>
                <w:rFonts w:ascii="Tahoma" w:hAnsi="Tahoma" w:cs="Tahoma"/>
                <w:sz w:val="13"/>
              </w:rPr>
              <w:t>11/09</w:t>
            </w:r>
          </w:p>
        </w:tc>
        <w:tc>
          <w:tcPr>
            <w:tcW w:w="360" w:type="dxa"/>
            <w:tcBorders>
              <w:right w:val="single" w:sz="18" w:space="0" w:color="auto"/>
            </w:tcBorders>
            <w:shd w:val="clear" w:color="auto" w:fill="auto"/>
            <w:vAlign w:val="center"/>
          </w:tcPr>
          <w:p w:rsidR="00A92422" w:rsidRPr="00D87B79" w:rsidRDefault="00A92422" w:rsidP="00EA30FC">
            <w:pPr>
              <w:pStyle w:val="TableText"/>
              <w:keepNext/>
              <w:keepLines/>
              <w:rPr>
                <w:rFonts w:ascii="Tahoma" w:hAnsi="Tahoma" w:cs="Tahoma"/>
                <w:sz w:val="13"/>
              </w:rPr>
            </w:pPr>
          </w:p>
        </w:tc>
        <w:tc>
          <w:tcPr>
            <w:tcW w:w="450" w:type="dxa"/>
            <w:tcBorders>
              <w:left w:val="single" w:sz="18" w:space="0" w:color="auto"/>
            </w:tcBorders>
            <w:shd w:val="clear" w:color="auto" w:fill="auto"/>
            <w:vAlign w:val="center"/>
          </w:tcPr>
          <w:p w:rsidR="00A92422" w:rsidRPr="00D87B79" w:rsidRDefault="00A92422" w:rsidP="00EA30FC">
            <w:pPr>
              <w:pStyle w:val="TableText"/>
              <w:keepNext/>
              <w:keepLines/>
              <w:rPr>
                <w:rFonts w:ascii="Tahoma" w:hAnsi="Tahoma" w:cs="Tahoma"/>
                <w:sz w:val="13"/>
              </w:rPr>
            </w:pPr>
          </w:p>
        </w:tc>
        <w:tc>
          <w:tcPr>
            <w:tcW w:w="450" w:type="dxa"/>
            <w:shd w:val="clear" w:color="auto" w:fill="auto"/>
            <w:vAlign w:val="center"/>
          </w:tcPr>
          <w:p w:rsidR="00A92422" w:rsidRPr="00D87B79" w:rsidRDefault="00A92422" w:rsidP="00EA30FC">
            <w:pPr>
              <w:pStyle w:val="TableText"/>
              <w:keepNext/>
              <w:keepLines/>
              <w:rPr>
                <w:rFonts w:ascii="Tahoma" w:hAnsi="Tahoma" w:cs="Tahoma"/>
                <w:sz w:val="13"/>
              </w:rPr>
            </w:pPr>
          </w:p>
        </w:tc>
        <w:tc>
          <w:tcPr>
            <w:tcW w:w="450" w:type="dxa"/>
            <w:shd w:val="clear" w:color="auto" w:fill="auto"/>
            <w:vAlign w:val="center"/>
          </w:tcPr>
          <w:p w:rsidR="00A92422" w:rsidRPr="00D87B79" w:rsidRDefault="00A92422" w:rsidP="00EA30FC">
            <w:pPr>
              <w:pStyle w:val="TableText"/>
              <w:keepNext/>
              <w:keepLines/>
              <w:rPr>
                <w:rFonts w:ascii="Tahoma" w:hAnsi="Tahoma" w:cs="Tahoma"/>
                <w:sz w:val="13"/>
              </w:rPr>
            </w:pPr>
          </w:p>
        </w:tc>
        <w:tc>
          <w:tcPr>
            <w:tcW w:w="450" w:type="dxa"/>
            <w:shd w:val="clear" w:color="auto" w:fill="auto"/>
            <w:vAlign w:val="center"/>
          </w:tcPr>
          <w:p w:rsidR="00A92422" w:rsidRPr="00D87B79" w:rsidRDefault="00A92422" w:rsidP="00EA30FC">
            <w:pPr>
              <w:pStyle w:val="TableText"/>
              <w:keepNext/>
              <w:keepLines/>
              <w:rPr>
                <w:rFonts w:ascii="Tahoma" w:hAnsi="Tahoma" w:cs="Tahoma"/>
                <w:sz w:val="13"/>
              </w:rPr>
            </w:pPr>
          </w:p>
        </w:tc>
        <w:tc>
          <w:tcPr>
            <w:tcW w:w="450" w:type="dxa"/>
            <w:shd w:val="clear" w:color="auto" w:fill="auto"/>
            <w:vAlign w:val="center"/>
          </w:tcPr>
          <w:p w:rsidR="00A92422" w:rsidRPr="00D87B79" w:rsidRDefault="00A92422" w:rsidP="00EA30FC">
            <w:pPr>
              <w:pStyle w:val="TableText"/>
              <w:keepNext/>
              <w:keepLines/>
              <w:rPr>
                <w:rFonts w:ascii="Tahoma" w:hAnsi="Tahoma" w:cs="Tahoma"/>
                <w:sz w:val="13"/>
              </w:rPr>
            </w:pPr>
          </w:p>
        </w:tc>
        <w:tc>
          <w:tcPr>
            <w:tcW w:w="450" w:type="dxa"/>
            <w:shd w:val="clear" w:color="auto" w:fill="auto"/>
            <w:vAlign w:val="center"/>
          </w:tcPr>
          <w:p w:rsidR="00A92422" w:rsidRPr="00D87B79" w:rsidRDefault="00A92422" w:rsidP="00EA30FC">
            <w:pPr>
              <w:pStyle w:val="TableText"/>
              <w:keepNext/>
              <w:keepLines/>
              <w:rPr>
                <w:rFonts w:ascii="Tahoma" w:hAnsi="Tahoma" w:cs="Tahoma"/>
                <w:sz w:val="13"/>
              </w:rPr>
            </w:pPr>
          </w:p>
        </w:tc>
        <w:tc>
          <w:tcPr>
            <w:tcW w:w="360" w:type="dxa"/>
            <w:tcBorders>
              <w:right w:val="single" w:sz="18" w:space="0" w:color="auto"/>
            </w:tcBorders>
            <w:shd w:val="clear" w:color="auto" w:fill="auto"/>
            <w:vAlign w:val="center"/>
          </w:tcPr>
          <w:p w:rsidR="00A92422" w:rsidRPr="00D87B79" w:rsidRDefault="00A92422" w:rsidP="00EA30FC">
            <w:pPr>
              <w:pStyle w:val="TableText"/>
              <w:keepNext/>
              <w:keepLines/>
              <w:rPr>
                <w:rFonts w:ascii="Tahoma" w:hAnsi="Tahoma" w:cs="Tahoma"/>
                <w:sz w:val="13"/>
              </w:rPr>
            </w:pPr>
          </w:p>
        </w:tc>
        <w:tc>
          <w:tcPr>
            <w:tcW w:w="450" w:type="dxa"/>
            <w:tcBorders>
              <w:left w:val="single" w:sz="18" w:space="0" w:color="auto"/>
            </w:tcBorders>
            <w:shd w:val="clear" w:color="auto" w:fill="auto"/>
            <w:vAlign w:val="center"/>
          </w:tcPr>
          <w:p w:rsidR="00A92422" w:rsidRPr="00D87B79" w:rsidRDefault="00A92422" w:rsidP="00EA30FC">
            <w:pPr>
              <w:pStyle w:val="TableText"/>
              <w:keepNext/>
              <w:keepLines/>
              <w:rPr>
                <w:rFonts w:ascii="Tahoma" w:hAnsi="Tahoma" w:cs="Tahoma"/>
                <w:sz w:val="13"/>
              </w:rPr>
            </w:pPr>
          </w:p>
        </w:tc>
        <w:tc>
          <w:tcPr>
            <w:tcW w:w="450" w:type="dxa"/>
            <w:shd w:val="clear" w:color="auto" w:fill="auto"/>
            <w:vAlign w:val="center"/>
          </w:tcPr>
          <w:p w:rsidR="00A92422" w:rsidRPr="00D87B79" w:rsidRDefault="00A92422" w:rsidP="00EA30FC">
            <w:pPr>
              <w:pStyle w:val="TableText"/>
              <w:keepNext/>
              <w:keepLines/>
              <w:rPr>
                <w:rFonts w:ascii="Tahoma" w:hAnsi="Tahoma" w:cs="Tahoma"/>
                <w:sz w:val="13"/>
              </w:rPr>
            </w:pPr>
          </w:p>
        </w:tc>
        <w:tc>
          <w:tcPr>
            <w:tcW w:w="450" w:type="dxa"/>
            <w:tcBorders>
              <w:right w:val="single" w:sz="18" w:space="0" w:color="auto"/>
            </w:tcBorders>
            <w:shd w:val="clear" w:color="auto" w:fill="auto"/>
            <w:vAlign w:val="center"/>
          </w:tcPr>
          <w:p w:rsidR="00A92422" w:rsidRPr="00D87B79" w:rsidRDefault="00A92422" w:rsidP="00EA30FC">
            <w:pPr>
              <w:pStyle w:val="TableText"/>
              <w:keepNext/>
              <w:keepLines/>
              <w:rPr>
                <w:rFonts w:ascii="Tahoma" w:hAnsi="Tahoma" w:cs="Tahoma"/>
                <w:sz w:val="13"/>
              </w:rPr>
            </w:pPr>
          </w:p>
        </w:tc>
        <w:tc>
          <w:tcPr>
            <w:tcW w:w="450" w:type="dxa"/>
            <w:tcBorders>
              <w:left w:val="single" w:sz="18" w:space="0" w:color="auto"/>
            </w:tcBorders>
            <w:shd w:val="clear" w:color="auto" w:fill="auto"/>
            <w:vAlign w:val="center"/>
          </w:tcPr>
          <w:p w:rsidR="00A92422" w:rsidRPr="00D87B79" w:rsidRDefault="00A92422" w:rsidP="00EA30FC">
            <w:pPr>
              <w:pStyle w:val="TableText"/>
              <w:keepNext/>
              <w:keepLines/>
              <w:rPr>
                <w:rFonts w:ascii="Tahoma" w:hAnsi="Tahoma" w:cs="Tahoma"/>
                <w:sz w:val="13"/>
              </w:rPr>
            </w:pPr>
            <w:r w:rsidRPr="00D87B79">
              <w:rPr>
                <w:rFonts w:ascii="Tahoma" w:hAnsi="Tahoma" w:cs="Tahoma"/>
                <w:sz w:val="13"/>
                <w:lang w:val="it-IT"/>
              </w:rPr>
              <w:t>2</w:t>
            </w:r>
            <w:r w:rsidRPr="00D87B79">
              <w:rPr>
                <w:rFonts w:ascii="Tahoma" w:hAnsi="Tahoma" w:cs="Tahoma"/>
                <w:sz w:val="10"/>
                <w:lang w:val="it-IT"/>
              </w:rPr>
              <w:t xml:space="preserve"> (solo School)</w:t>
            </w:r>
          </w:p>
        </w:tc>
        <w:tc>
          <w:tcPr>
            <w:tcW w:w="450" w:type="dxa"/>
            <w:tcBorders>
              <w:right w:val="single" w:sz="18" w:space="0" w:color="auto"/>
            </w:tcBorders>
            <w:shd w:val="clear" w:color="auto" w:fill="auto"/>
            <w:vAlign w:val="center"/>
          </w:tcPr>
          <w:p w:rsidR="00A92422" w:rsidRPr="00D87B79" w:rsidRDefault="00A92422" w:rsidP="00EA30FC">
            <w:pPr>
              <w:pStyle w:val="TableText"/>
              <w:keepNext/>
              <w:keepLines/>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A92422" w:rsidRPr="00D87B79" w:rsidRDefault="00A92422" w:rsidP="00EA30FC">
            <w:pPr>
              <w:pStyle w:val="TableText"/>
              <w:keepNext/>
              <w:keepLines/>
              <w:rPr>
                <w:rFonts w:ascii="Tahoma" w:hAnsi="Tahoma" w:cs="Tahoma"/>
                <w:sz w:val="13"/>
              </w:rPr>
            </w:pPr>
          </w:p>
        </w:tc>
        <w:tc>
          <w:tcPr>
            <w:tcW w:w="450" w:type="dxa"/>
            <w:shd w:val="clear" w:color="auto" w:fill="auto"/>
          </w:tcPr>
          <w:p w:rsidR="00A92422" w:rsidRPr="00D87B79" w:rsidRDefault="00A92422" w:rsidP="00EA30FC">
            <w:pPr>
              <w:pStyle w:val="TableText"/>
              <w:keepNext/>
              <w:keepLines/>
              <w:spacing w:before="120"/>
              <w:rPr>
                <w:rFonts w:ascii="Tahoma" w:hAnsi="Tahoma" w:cs="Tahoma"/>
                <w:sz w:val="13"/>
              </w:rPr>
            </w:pPr>
          </w:p>
        </w:tc>
        <w:tc>
          <w:tcPr>
            <w:tcW w:w="540" w:type="dxa"/>
            <w:shd w:val="clear" w:color="auto" w:fill="auto"/>
            <w:vAlign w:val="center"/>
          </w:tcPr>
          <w:p w:rsidR="00A92422" w:rsidRPr="00D87B79" w:rsidRDefault="00A92422" w:rsidP="00EA30FC">
            <w:pPr>
              <w:pStyle w:val="TableText"/>
              <w:keepNext/>
              <w:keepLines/>
              <w:rPr>
                <w:rFonts w:ascii="Tahoma" w:hAnsi="Tahoma" w:cs="Tahoma"/>
                <w:sz w:val="13"/>
              </w:rPr>
            </w:pPr>
          </w:p>
        </w:tc>
      </w:tr>
      <w:tr w:rsidR="00A92422" w:rsidRPr="00D87B79" w:rsidTr="00EA30FC">
        <w:trPr>
          <w:trHeight w:val="145"/>
        </w:trPr>
        <w:tc>
          <w:tcPr>
            <w:tcW w:w="2610" w:type="dxa"/>
            <w:shd w:val="clear" w:color="auto" w:fill="FABF8F"/>
          </w:tcPr>
          <w:p w:rsidR="00A92422" w:rsidRPr="00C62C6F" w:rsidRDefault="00A92422" w:rsidP="00EA30FC">
            <w:pPr>
              <w:pStyle w:val="ProductNames"/>
              <w:rPr>
                <w:rFonts w:ascii="Tahoma" w:hAnsi="Tahoma" w:cs="Tahoma"/>
                <w:sz w:val="14"/>
                <w:szCs w:val="14"/>
              </w:rPr>
            </w:pPr>
            <w:bookmarkStart w:id="147" w:name="_Toc336337904"/>
            <w:bookmarkStart w:id="148" w:name="_Toc342899974"/>
            <w:bookmarkEnd w:id="147"/>
            <w:r w:rsidRPr="00C62C6F">
              <w:rPr>
                <w:rFonts w:ascii="Tahoma" w:hAnsi="Tahoma" w:cs="Tahoma"/>
                <w:sz w:val="14"/>
                <w:szCs w:val="14"/>
                <w:lang w:val="it-IT"/>
              </w:rPr>
              <w:t>Windows</w:t>
            </w:r>
            <w:r w:rsidRPr="003A0F2F">
              <w:rPr>
                <w:rFonts w:ascii="Tahoma" w:hAnsi="Tahoma" w:cs="Tahoma"/>
                <w:sz w:val="14"/>
                <w:szCs w:val="14"/>
                <w:vertAlign w:val="superscript"/>
                <w:lang w:val="it-IT"/>
              </w:rPr>
              <w:t>®</w:t>
            </w:r>
            <w:r w:rsidRPr="00C62C6F">
              <w:rPr>
                <w:rFonts w:ascii="Tahoma" w:hAnsi="Tahoma" w:cs="Tahoma"/>
                <w:sz w:val="14"/>
                <w:szCs w:val="14"/>
                <w:lang w:val="it-IT"/>
              </w:rPr>
              <w:t xml:space="preserve"> 8 Pro</w:t>
            </w:r>
            <w:bookmarkEnd w:id="148"/>
            <w:r w:rsidRPr="00C62C6F">
              <w:rPr>
                <w:rFonts w:ascii="Tahoma" w:hAnsi="Tahoma" w:cs="Tahoma"/>
                <w:sz w:val="14"/>
                <w:szCs w:val="14"/>
              </w:rPr>
              <w:t xml:space="preserve"> </w:t>
            </w:r>
          </w:p>
        </w:tc>
        <w:bookmarkStart w:id="149" w:name="_Hlt336250941"/>
        <w:bookmarkEnd w:id="149"/>
        <w:tc>
          <w:tcPr>
            <w:tcW w:w="360" w:type="dxa"/>
            <w:shd w:val="clear" w:color="auto" w:fill="FABF8F"/>
            <w:vAlign w:val="center"/>
          </w:tcPr>
          <w:p w:rsidR="00A92422" w:rsidRPr="001E1017" w:rsidRDefault="00A92422" w:rsidP="00EA30FC">
            <w:pPr>
              <w:pStyle w:val="TableText"/>
              <w:widowControl w:val="0"/>
              <w:rPr>
                <w:rStyle w:val="EndnoteReference"/>
                <w:rFonts w:cs="Tahoma"/>
                <w:b w:val="0"/>
                <w:color w:val="0000FF"/>
                <w:sz w:val="13"/>
                <w:szCs w:val="13"/>
                <w:u w:val="single"/>
              </w:rPr>
            </w:pPr>
            <w:r w:rsidRPr="001E1017">
              <w:rPr>
                <w:rFonts w:cs="Tahoma"/>
                <w:sz w:val="13"/>
                <w:szCs w:val="13"/>
              </w:rPr>
              <w:fldChar w:fldCharType="begin"/>
            </w:r>
            <w:r w:rsidRPr="001E1017">
              <w:rPr>
                <w:rFonts w:cs="Tahoma"/>
                <w:sz w:val="13"/>
                <w:szCs w:val="13"/>
              </w:rPr>
              <w:instrText>HYPERLINK  \l "_26_Aggiornamento_per"</w:instrText>
            </w:r>
            <w:r w:rsidRPr="001E1017">
              <w:rPr>
                <w:rFonts w:cs="Tahoma"/>
                <w:sz w:val="13"/>
                <w:szCs w:val="13"/>
              </w:rPr>
              <w:fldChar w:fldCharType="separate"/>
            </w:r>
            <w:r w:rsidRPr="001E1017">
              <w:rPr>
                <w:rStyle w:val="Hyperlink"/>
                <w:rFonts w:cs="Tahoma"/>
                <w:b/>
                <w:sz w:val="13"/>
                <w:szCs w:val="13"/>
              </w:rPr>
              <w:t>26</w:t>
            </w:r>
            <w:r w:rsidRPr="001E1017">
              <w:rPr>
                <w:rFonts w:cs="Tahoma"/>
                <w:sz w:val="13"/>
                <w:szCs w:val="13"/>
              </w:rPr>
              <w:fldChar w:fldCharType="end"/>
            </w:r>
          </w:p>
        </w:tc>
        <w:tc>
          <w:tcPr>
            <w:tcW w:w="450" w:type="dxa"/>
            <w:shd w:val="clear" w:color="auto" w:fill="FABF8F"/>
          </w:tcPr>
          <w:p w:rsidR="00A92422" w:rsidRPr="00D87B79" w:rsidRDefault="00A92422" w:rsidP="00EA30FC">
            <w:pPr>
              <w:pStyle w:val="TableText"/>
              <w:spacing w:before="120"/>
              <w:rPr>
                <w:rFonts w:ascii="Tahoma" w:hAnsi="Tahoma" w:cs="Tahoma"/>
                <w:sz w:val="13"/>
              </w:rPr>
            </w:pPr>
            <w:r w:rsidRPr="00D87B79">
              <w:rPr>
                <w:rFonts w:ascii="Tahoma" w:hAnsi="Tahoma" w:cs="Tahoma"/>
                <w:sz w:val="13"/>
              </w:rPr>
              <w:t>08/12</w:t>
            </w:r>
          </w:p>
        </w:tc>
        <w:tc>
          <w:tcPr>
            <w:tcW w:w="360"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DT</w:t>
            </w:r>
          </w:p>
        </w:tc>
        <w:tc>
          <w:tcPr>
            <w:tcW w:w="450" w:type="dxa"/>
            <w:tcBorders>
              <w:lef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50" w:type="dxa"/>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5</w:t>
            </w:r>
          </w:p>
        </w:tc>
        <w:tc>
          <w:tcPr>
            <w:tcW w:w="450" w:type="dxa"/>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4</w:t>
            </w:r>
          </w:p>
        </w:tc>
        <w:tc>
          <w:tcPr>
            <w:tcW w:w="450" w:type="dxa"/>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3</w:t>
            </w:r>
          </w:p>
        </w:tc>
        <w:tc>
          <w:tcPr>
            <w:tcW w:w="450" w:type="dxa"/>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3</w:t>
            </w:r>
          </w:p>
        </w:tc>
        <w:tc>
          <w:tcPr>
            <w:tcW w:w="450" w:type="dxa"/>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360"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50" w:type="dxa"/>
            <w:tcBorders>
              <w:lef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50" w:type="dxa"/>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4</w:t>
            </w:r>
          </w:p>
        </w:tc>
        <w:tc>
          <w:tcPr>
            <w:tcW w:w="450"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50" w:type="dxa"/>
            <w:tcBorders>
              <w:lef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50"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E</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E, P</w:t>
            </w:r>
          </w:p>
        </w:tc>
        <w:tc>
          <w:tcPr>
            <w:tcW w:w="450" w:type="dxa"/>
            <w:shd w:val="clear" w:color="auto" w:fill="FABF8F"/>
          </w:tcPr>
          <w:p w:rsidR="00A92422" w:rsidRPr="00D87B79" w:rsidRDefault="00A92422" w:rsidP="00EA30FC">
            <w:pPr>
              <w:pStyle w:val="TableText"/>
              <w:spacing w:after="120"/>
              <w:rPr>
                <w:rFonts w:ascii="Tahoma" w:hAnsi="Tahoma" w:cs="Tahoma"/>
                <w:sz w:val="13"/>
              </w:rPr>
            </w:pPr>
            <w:r w:rsidRPr="00D87B79">
              <w:rPr>
                <w:rFonts w:ascii="Tahoma" w:hAnsi="Tahoma" w:cs="Tahoma"/>
                <w:sz w:val="13"/>
                <w:lang w:val="it-IT"/>
              </w:rPr>
              <w:t>E, ST</w:t>
            </w:r>
          </w:p>
        </w:tc>
        <w:tc>
          <w:tcPr>
            <w:tcW w:w="540" w:type="dxa"/>
            <w:shd w:val="clear" w:color="auto" w:fill="FABF8F"/>
            <w:vAlign w:val="center"/>
          </w:tcPr>
          <w:p w:rsidR="00A92422" w:rsidRPr="00D87B79" w:rsidRDefault="00A92422" w:rsidP="00EA30FC">
            <w:pPr>
              <w:pStyle w:val="TableText"/>
              <w:rPr>
                <w:rFonts w:ascii="Tahoma" w:hAnsi="Tahoma" w:cs="Tahoma"/>
                <w:sz w:val="13"/>
              </w:rPr>
            </w:pPr>
          </w:p>
        </w:tc>
      </w:tr>
      <w:tr w:rsidR="00A92422" w:rsidRPr="00D87B79" w:rsidTr="00EA30FC">
        <w:trPr>
          <w:trHeight w:val="145"/>
        </w:trPr>
        <w:tc>
          <w:tcPr>
            <w:tcW w:w="2610" w:type="dxa"/>
            <w:shd w:val="clear" w:color="auto" w:fill="auto"/>
          </w:tcPr>
          <w:p w:rsidR="00A92422" w:rsidRPr="00C62C6F" w:rsidRDefault="00A92422" w:rsidP="00EA30FC">
            <w:pPr>
              <w:pStyle w:val="ProductNames"/>
              <w:rPr>
                <w:rFonts w:ascii="Tahoma" w:hAnsi="Tahoma" w:cs="Tahoma"/>
                <w:sz w:val="14"/>
                <w:szCs w:val="14"/>
              </w:rPr>
            </w:pPr>
            <w:bookmarkStart w:id="150" w:name="_Toc336337905"/>
            <w:bookmarkStart w:id="151" w:name="_Toc342899975"/>
            <w:bookmarkEnd w:id="150"/>
            <w:r w:rsidRPr="00C62C6F">
              <w:rPr>
                <w:rFonts w:ascii="Tahoma" w:hAnsi="Tahoma" w:cs="Tahoma"/>
                <w:sz w:val="14"/>
                <w:szCs w:val="14"/>
                <w:lang w:val="it-IT"/>
              </w:rPr>
              <w:t>Windows</w:t>
            </w:r>
            <w:r w:rsidRPr="003A0F2F">
              <w:rPr>
                <w:rFonts w:ascii="Tahoma" w:hAnsi="Tahoma" w:cs="Tahoma"/>
                <w:sz w:val="14"/>
                <w:szCs w:val="14"/>
                <w:vertAlign w:val="superscript"/>
                <w:lang w:val="it-IT"/>
              </w:rPr>
              <w:t>®</w:t>
            </w:r>
            <w:r w:rsidRPr="00C62C6F">
              <w:rPr>
                <w:rFonts w:ascii="Tahoma" w:hAnsi="Tahoma" w:cs="Tahoma"/>
                <w:sz w:val="14"/>
                <w:szCs w:val="14"/>
                <w:lang w:val="it-IT"/>
              </w:rPr>
              <w:t xml:space="preserve"> 8 Pro con MDOP</w:t>
            </w:r>
            <w:bookmarkEnd w:id="151"/>
            <w:r w:rsidRPr="00C62C6F">
              <w:rPr>
                <w:rFonts w:ascii="Tahoma" w:hAnsi="Tahoma" w:cs="Tahoma"/>
                <w:sz w:val="14"/>
                <w:szCs w:val="14"/>
              </w:rPr>
              <w:t xml:space="preserve"> </w:t>
            </w:r>
          </w:p>
        </w:tc>
        <w:tc>
          <w:tcPr>
            <w:tcW w:w="360" w:type="dxa"/>
            <w:shd w:val="clear" w:color="auto" w:fill="auto"/>
            <w:vAlign w:val="center"/>
          </w:tcPr>
          <w:p w:rsidR="00A92422" w:rsidRPr="001E1017" w:rsidRDefault="00A92422" w:rsidP="00EA30FC">
            <w:pPr>
              <w:pStyle w:val="TableText"/>
              <w:widowControl w:val="0"/>
              <w:rPr>
                <w:rStyle w:val="EndnoteReference"/>
                <w:rFonts w:cs="Tahoma"/>
                <w:color w:val="0000FF"/>
                <w:sz w:val="13"/>
                <w:szCs w:val="13"/>
                <w:u w:val="single"/>
              </w:rPr>
            </w:pPr>
          </w:p>
        </w:tc>
        <w:tc>
          <w:tcPr>
            <w:tcW w:w="450" w:type="dxa"/>
            <w:shd w:val="clear" w:color="auto" w:fill="auto"/>
          </w:tcPr>
          <w:p w:rsidR="00A92422" w:rsidRPr="00D87B79" w:rsidRDefault="00A92422" w:rsidP="00EA30FC">
            <w:pPr>
              <w:pStyle w:val="TableText"/>
              <w:spacing w:before="120"/>
              <w:rPr>
                <w:rFonts w:ascii="Tahoma" w:hAnsi="Tahoma" w:cs="Tahoma"/>
                <w:sz w:val="13"/>
              </w:rPr>
            </w:pPr>
            <w:r w:rsidRPr="00D87B79">
              <w:rPr>
                <w:rFonts w:ascii="Tahoma" w:hAnsi="Tahoma" w:cs="Tahoma"/>
                <w:sz w:val="13"/>
              </w:rPr>
              <w:t>12/12</w:t>
            </w:r>
          </w:p>
        </w:tc>
        <w:tc>
          <w:tcPr>
            <w:tcW w:w="360" w:type="dxa"/>
            <w:tcBorders>
              <w:right w:val="single" w:sz="18" w:space="0" w:color="auto"/>
            </w:tcBorders>
            <w:shd w:val="clear" w:color="auto" w:fill="auto"/>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DT</w:t>
            </w:r>
          </w:p>
        </w:tc>
        <w:tc>
          <w:tcPr>
            <w:tcW w:w="450" w:type="dxa"/>
            <w:tcBorders>
              <w:left w:val="single" w:sz="18" w:space="0" w:color="auto"/>
            </w:tcBorders>
            <w:shd w:val="clear" w:color="auto" w:fill="auto"/>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50" w:type="dxa"/>
            <w:shd w:val="clear" w:color="auto" w:fill="auto"/>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5</w:t>
            </w:r>
          </w:p>
        </w:tc>
        <w:tc>
          <w:tcPr>
            <w:tcW w:w="450" w:type="dxa"/>
            <w:shd w:val="clear" w:color="auto" w:fill="auto"/>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4</w:t>
            </w:r>
          </w:p>
        </w:tc>
        <w:tc>
          <w:tcPr>
            <w:tcW w:w="450" w:type="dxa"/>
            <w:shd w:val="clear" w:color="auto" w:fill="auto"/>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3</w:t>
            </w:r>
          </w:p>
        </w:tc>
        <w:tc>
          <w:tcPr>
            <w:tcW w:w="450" w:type="dxa"/>
            <w:shd w:val="clear" w:color="auto" w:fill="auto"/>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3</w:t>
            </w:r>
          </w:p>
        </w:tc>
        <w:tc>
          <w:tcPr>
            <w:tcW w:w="450" w:type="dxa"/>
            <w:shd w:val="clear" w:color="auto" w:fill="auto"/>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360" w:type="dxa"/>
            <w:tcBorders>
              <w:right w:val="single" w:sz="18" w:space="0" w:color="auto"/>
            </w:tcBorders>
            <w:shd w:val="clear" w:color="auto" w:fill="auto"/>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50" w:type="dxa"/>
            <w:tcBorders>
              <w:left w:val="single" w:sz="18" w:space="0" w:color="auto"/>
            </w:tcBorders>
            <w:shd w:val="clear" w:color="auto" w:fill="auto"/>
            <w:vAlign w:val="center"/>
          </w:tcPr>
          <w:p w:rsidR="00A92422" w:rsidRPr="00D87B79" w:rsidRDefault="00A92422" w:rsidP="00EA30FC">
            <w:pPr>
              <w:pStyle w:val="TableText"/>
              <w:rPr>
                <w:rFonts w:ascii="Tahoma" w:hAnsi="Tahoma" w:cs="Tahoma"/>
                <w:sz w:val="13"/>
              </w:rPr>
            </w:pPr>
          </w:p>
        </w:tc>
        <w:tc>
          <w:tcPr>
            <w:tcW w:w="450" w:type="dxa"/>
            <w:shd w:val="clear" w:color="auto" w:fill="auto"/>
            <w:vAlign w:val="center"/>
          </w:tcPr>
          <w:p w:rsidR="00A92422" w:rsidRPr="00D87B79" w:rsidRDefault="00A92422" w:rsidP="00EA30FC">
            <w:pPr>
              <w:pStyle w:val="TableText"/>
              <w:rPr>
                <w:rFonts w:ascii="Tahoma" w:hAnsi="Tahoma" w:cs="Tahoma"/>
                <w:sz w:val="13"/>
              </w:rPr>
            </w:pPr>
          </w:p>
        </w:tc>
        <w:tc>
          <w:tcPr>
            <w:tcW w:w="450" w:type="dxa"/>
            <w:tcBorders>
              <w:right w:val="single" w:sz="18" w:space="0" w:color="auto"/>
            </w:tcBorders>
            <w:shd w:val="clear" w:color="auto" w:fill="auto"/>
            <w:vAlign w:val="center"/>
          </w:tcPr>
          <w:p w:rsidR="00A92422" w:rsidRPr="00D87B79" w:rsidRDefault="00A92422" w:rsidP="00EA30FC">
            <w:pPr>
              <w:pStyle w:val="TableText"/>
              <w:rPr>
                <w:rFonts w:ascii="Tahoma" w:hAnsi="Tahoma" w:cs="Tahoma"/>
                <w:sz w:val="13"/>
              </w:rPr>
            </w:pPr>
          </w:p>
        </w:tc>
        <w:tc>
          <w:tcPr>
            <w:tcW w:w="450" w:type="dxa"/>
            <w:tcBorders>
              <w:left w:val="single" w:sz="18" w:space="0" w:color="auto"/>
            </w:tcBorders>
            <w:shd w:val="clear" w:color="auto" w:fill="auto"/>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50" w:type="dxa"/>
            <w:tcBorders>
              <w:right w:val="single" w:sz="18" w:space="0" w:color="auto"/>
            </w:tcBorders>
            <w:shd w:val="clear" w:color="auto" w:fill="auto"/>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E</w:t>
            </w:r>
          </w:p>
        </w:tc>
        <w:tc>
          <w:tcPr>
            <w:tcW w:w="450" w:type="dxa"/>
            <w:tcBorders>
              <w:left w:val="single" w:sz="18" w:space="0" w:color="auto"/>
              <w:right w:val="single" w:sz="18" w:space="0" w:color="auto"/>
            </w:tcBorders>
            <w:shd w:val="clear" w:color="auto" w:fill="auto"/>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E, P</w:t>
            </w:r>
          </w:p>
        </w:tc>
        <w:tc>
          <w:tcPr>
            <w:tcW w:w="450" w:type="dxa"/>
            <w:shd w:val="clear" w:color="auto" w:fill="auto"/>
          </w:tcPr>
          <w:p w:rsidR="00A92422" w:rsidRPr="00D87B79" w:rsidRDefault="00A92422" w:rsidP="00EA30FC">
            <w:pPr>
              <w:pStyle w:val="TableText"/>
              <w:spacing w:after="120"/>
              <w:rPr>
                <w:rFonts w:ascii="Tahoma" w:hAnsi="Tahoma" w:cs="Tahoma"/>
                <w:sz w:val="13"/>
              </w:rPr>
            </w:pPr>
            <w:r w:rsidRPr="00D87B79">
              <w:rPr>
                <w:rFonts w:ascii="Tahoma" w:hAnsi="Tahoma" w:cs="Tahoma"/>
                <w:sz w:val="13"/>
                <w:lang w:val="it-IT"/>
              </w:rPr>
              <w:t>E, ST</w:t>
            </w:r>
          </w:p>
        </w:tc>
        <w:tc>
          <w:tcPr>
            <w:tcW w:w="540" w:type="dxa"/>
            <w:shd w:val="clear" w:color="auto" w:fill="auto"/>
            <w:vAlign w:val="center"/>
          </w:tcPr>
          <w:p w:rsidR="00A92422" w:rsidRPr="00D87B79" w:rsidRDefault="00A92422" w:rsidP="00EA30FC">
            <w:pPr>
              <w:pStyle w:val="TableText"/>
              <w:rPr>
                <w:rFonts w:ascii="Tahoma" w:hAnsi="Tahoma" w:cs="Tahoma"/>
                <w:sz w:val="13"/>
              </w:rPr>
            </w:pPr>
          </w:p>
        </w:tc>
      </w:tr>
      <w:tr w:rsidR="00A92422" w:rsidRPr="00D87B79" w:rsidTr="00EA30FC">
        <w:trPr>
          <w:trHeight w:val="123"/>
        </w:trPr>
        <w:tc>
          <w:tcPr>
            <w:tcW w:w="2610" w:type="dxa"/>
            <w:shd w:val="clear" w:color="auto" w:fill="FABF8F"/>
          </w:tcPr>
          <w:p w:rsidR="00A92422" w:rsidRPr="00C62C6F" w:rsidRDefault="00A92422" w:rsidP="00EA30FC">
            <w:pPr>
              <w:pStyle w:val="ProductNames"/>
              <w:rPr>
                <w:rFonts w:ascii="Tahoma" w:hAnsi="Tahoma" w:cs="Tahoma"/>
                <w:sz w:val="14"/>
                <w:szCs w:val="14"/>
              </w:rPr>
            </w:pPr>
            <w:bookmarkStart w:id="152" w:name="_Toc336337906"/>
            <w:bookmarkStart w:id="153" w:name="_Toc342899976"/>
            <w:bookmarkEnd w:id="152"/>
            <w:r w:rsidRPr="00C62C6F">
              <w:rPr>
                <w:rFonts w:ascii="Tahoma" w:hAnsi="Tahoma" w:cs="Tahoma"/>
                <w:sz w:val="14"/>
                <w:szCs w:val="14"/>
                <w:lang w:val="it-IT"/>
              </w:rPr>
              <w:t>Windows Virtual Desktop Access (VDA)</w:t>
            </w:r>
            <w:bookmarkEnd w:id="153"/>
          </w:p>
        </w:tc>
        <w:tc>
          <w:tcPr>
            <w:tcW w:w="360" w:type="dxa"/>
            <w:shd w:val="clear" w:color="auto" w:fill="FABF8F"/>
            <w:vAlign w:val="center"/>
          </w:tcPr>
          <w:p w:rsidR="00A92422" w:rsidRPr="001E1017" w:rsidRDefault="00A92422" w:rsidP="00EA30FC">
            <w:pPr>
              <w:pStyle w:val="TableText"/>
              <w:widowControl w:val="0"/>
              <w:rPr>
                <w:rStyle w:val="EndnoteReference"/>
                <w:rFonts w:cs="Tahoma"/>
                <w:color w:val="0000FF"/>
                <w:sz w:val="13"/>
                <w:szCs w:val="13"/>
              </w:rPr>
            </w:pPr>
          </w:p>
        </w:tc>
        <w:tc>
          <w:tcPr>
            <w:tcW w:w="450" w:type="dxa"/>
            <w:shd w:val="clear" w:color="auto" w:fill="FABF8F"/>
          </w:tcPr>
          <w:p w:rsidR="00A92422" w:rsidRPr="00D87B79" w:rsidRDefault="00A92422" w:rsidP="00EA30FC">
            <w:pPr>
              <w:pStyle w:val="TableText"/>
              <w:spacing w:before="120"/>
              <w:rPr>
                <w:rFonts w:ascii="Tahoma" w:hAnsi="Tahoma" w:cs="Tahoma"/>
                <w:sz w:val="13"/>
              </w:rPr>
            </w:pPr>
            <w:r w:rsidRPr="00D87B79">
              <w:rPr>
                <w:rFonts w:ascii="Tahoma" w:hAnsi="Tahoma" w:cs="Tahoma"/>
                <w:sz w:val="13"/>
              </w:rPr>
              <w:t>07/10</w:t>
            </w:r>
          </w:p>
        </w:tc>
        <w:tc>
          <w:tcPr>
            <w:tcW w:w="360"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DT</w:t>
            </w:r>
          </w:p>
        </w:tc>
        <w:tc>
          <w:tcPr>
            <w:tcW w:w="3060" w:type="dxa"/>
            <w:gridSpan w:val="7"/>
            <w:tcBorders>
              <w:left w:val="single" w:sz="18" w:space="0" w:color="auto"/>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2</w:t>
            </w:r>
          </w:p>
        </w:tc>
        <w:tc>
          <w:tcPr>
            <w:tcW w:w="450" w:type="dxa"/>
            <w:tcBorders>
              <w:lef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p>
        </w:tc>
        <w:tc>
          <w:tcPr>
            <w:tcW w:w="450" w:type="dxa"/>
            <w:shd w:val="clear" w:color="auto" w:fill="FABF8F"/>
            <w:vAlign w:val="center"/>
          </w:tcPr>
          <w:p w:rsidR="00A92422" w:rsidRPr="00D87B79" w:rsidRDefault="00A92422" w:rsidP="00EA30FC">
            <w:pPr>
              <w:pStyle w:val="TableText"/>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rPr>
              <w:t>1)</w:t>
            </w:r>
          </w:p>
        </w:tc>
        <w:tc>
          <w:tcPr>
            <w:tcW w:w="450"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E, A</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rPr>
                <w:rFonts w:ascii="Tahoma" w:hAnsi="Tahoma" w:cs="Tahoma"/>
                <w:sz w:val="13"/>
              </w:rPr>
            </w:pPr>
            <w:r w:rsidRPr="00D87B79">
              <w:rPr>
                <w:rFonts w:ascii="Tahoma" w:hAnsi="Tahoma" w:cs="Tahoma"/>
                <w:sz w:val="13"/>
                <w:lang w:val="it-IT"/>
              </w:rPr>
              <w:t>P</w:t>
            </w:r>
          </w:p>
        </w:tc>
        <w:tc>
          <w:tcPr>
            <w:tcW w:w="450" w:type="dxa"/>
            <w:shd w:val="clear" w:color="auto" w:fill="FABF8F"/>
          </w:tcPr>
          <w:p w:rsidR="00A92422" w:rsidRPr="00D87B79" w:rsidRDefault="00A92422" w:rsidP="00EA30FC">
            <w:pPr>
              <w:pStyle w:val="TableText"/>
              <w:rPr>
                <w:rFonts w:ascii="Tahoma" w:hAnsi="Tahoma" w:cs="Tahoma"/>
                <w:sz w:val="13"/>
              </w:rPr>
            </w:pPr>
            <w:r w:rsidRPr="00D87B79">
              <w:rPr>
                <w:rFonts w:ascii="Tahoma" w:hAnsi="Tahoma" w:cs="Tahoma"/>
                <w:sz w:val="13"/>
                <w:lang w:val="it-IT"/>
              </w:rPr>
              <w:t>A</w:t>
            </w:r>
          </w:p>
        </w:tc>
        <w:tc>
          <w:tcPr>
            <w:tcW w:w="540" w:type="dxa"/>
            <w:shd w:val="clear" w:color="auto" w:fill="FABF8F"/>
            <w:vAlign w:val="center"/>
          </w:tcPr>
          <w:p w:rsidR="00A92422" w:rsidRPr="00D87B79" w:rsidRDefault="00A92422" w:rsidP="00EA30FC">
            <w:pPr>
              <w:pStyle w:val="TableText"/>
              <w:rPr>
                <w:rFonts w:ascii="Tahoma" w:hAnsi="Tahoma" w:cs="Tahoma"/>
                <w:sz w:val="13"/>
              </w:rPr>
            </w:pPr>
          </w:p>
        </w:tc>
      </w:tr>
      <w:tr w:rsidR="00A92422" w:rsidRPr="00D87B79" w:rsidTr="00EA30FC">
        <w:trPr>
          <w:trHeight w:val="123"/>
        </w:trPr>
        <w:tc>
          <w:tcPr>
            <w:tcW w:w="2610" w:type="dxa"/>
            <w:shd w:val="clear" w:color="auto" w:fill="auto"/>
          </w:tcPr>
          <w:p w:rsidR="00A92422" w:rsidRPr="00C62C6F" w:rsidRDefault="00A92422" w:rsidP="00EA30FC">
            <w:pPr>
              <w:pStyle w:val="ProductNames"/>
              <w:rPr>
                <w:rFonts w:ascii="Tahoma" w:hAnsi="Tahoma" w:cs="Tahoma"/>
                <w:sz w:val="14"/>
                <w:szCs w:val="14"/>
              </w:rPr>
            </w:pPr>
            <w:bookmarkStart w:id="154" w:name="_Toc342899977"/>
            <w:r w:rsidRPr="00C62C6F">
              <w:rPr>
                <w:rFonts w:ascii="Tahoma" w:hAnsi="Tahoma" w:cs="Tahoma"/>
                <w:sz w:val="14"/>
                <w:szCs w:val="14"/>
                <w:lang w:val="it-IT"/>
              </w:rPr>
              <w:t>Windows Intune (Per Dispositivo)</w:t>
            </w:r>
            <w:bookmarkEnd w:id="154"/>
          </w:p>
        </w:tc>
        <w:tc>
          <w:tcPr>
            <w:tcW w:w="360" w:type="dxa"/>
            <w:shd w:val="clear" w:color="auto" w:fill="auto"/>
            <w:vAlign w:val="center"/>
          </w:tcPr>
          <w:p w:rsidR="00A92422" w:rsidRPr="001E1017" w:rsidRDefault="00A92422" w:rsidP="00EA30FC">
            <w:pPr>
              <w:pStyle w:val="TableText"/>
              <w:widowControl w:val="0"/>
              <w:rPr>
                <w:rStyle w:val="EndnoteReference"/>
                <w:rFonts w:cs="Tahoma"/>
                <w:color w:val="0000FF"/>
                <w:sz w:val="13"/>
                <w:szCs w:val="13"/>
              </w:rPr>
            </w:pPr>
            <w:hyperlink w:anchor="_98_Windows_HPC" w:history="1">
              <w:r w:rsidRPr="001E1017">
                <w:rPr>
                  <w:rStyle w:val="Hyperlink"/>
                  <w:rFonts w:cs="Tahoma"/>
                  <w:sz w:val="13"/>
                  <w:szCs w:val="13"/>
                </w:rPr>
                <w:t>98</w:t>
              </w:r>
            </w:hyperlink>
          </w:p>
        </w:tc>
        <w:tc>
          <w:tcPr>
            <w:tcW w:w="450" w:type="dxa"/>
            <w:shd w:val="clear" w:color="auto" w:fill="auto"/>
          </w:tcPr>
          <w:p w:rsidR="00A92422" w:rsidRPr="00D87B79" w:rsidRDefault="00A92422" w:rsidP="00EA30FC">
            <w:pPr>
              <w:pStyle w:val="TableText"/>
              <w:spacing w:before="120"/>
              <w:rPr>
                <w:rFonts w:ascii="Tahoma" w:hAnsi="Tahoma" w:cs="Tahoma"/>
                <w:sz w:val="13"/>
              </w:rPr>
            </w:pPr>
            <w:r w:rsidRPr="00D87B79">
              <w:rPr>
                <w:rFonts w:ascii="Tahoma" w:hAnsi="Tahoma" w:cs="Tahoma"/>
                <w:sz w:val="13"/>
              </w:rPr>
              <w:t>4/11</w:t>
            </w:r>
          </w:p>
        </w:tc>
        <w:tc>
          <w:tcPr>
            <w:tcW w:w="360" w:type="dxa"/>
            <w:tcBorders>
              <w:right w:val="single" w:sz="18" w:space="0" w:color="auto"/>
            </w:tcBorders>
            <w:shd w:val="clear" w:color="auto" w:fill="auto"/>
            <w:vAlign w:val="center"/>
          </w:tcPr>
          <w:p w:rsidR="00A92422" w:rsidRPr="00D87B79" w:rsidRDefault="00A92422" w:rsidP="00EA30FC">
            <w:pPr>
              <w:pStyle w:val="TableText"/>
              <w:rPr>
                <w:rFonts w:ascii="Tahoma" w:hAnsi="Tahoma" w:cs="Tahoma"/>
                <w:sz w:val="13"/>
              </w:rPr>
            </w:pPr>
          </w:p>
        </w:tc>
        <w:tc>
          <w:tcPr>
            <w:tcW w:w="3060" w:type="dxa"/>
            <w:gridSpan w:val="7"/>
            <w:tcBorders>
              <w:left w:val="single" w:sz="18" w:space="0" w:color="auto"/>
              <w:right w:val="single" w:sz="18" w:space="0" w:color="auto"/>
            </w:tcBorders>
            <w:shd w:val="clear" w:color="auto" w:fill="auto"/>
            <w:vAlign w:val="center"/>
          </w:tcPr>
          <w:p w:rsidR="00A92422" w:rsidRPr="00D87B79" w:rsidRDefault="00A92422" w:rsidP="00EA30FC">
            <w:pPr>
              <w:pStyle w:val="TableText"/>
              <w:rPr>
                <w:rFonts w:ascii="Tahoma" w:hAnsi="Tahoma" w:cs="Tahoma"/>
                <w:sz w:val="13"/>
              </w:rPr>
            </w:pPr>
          </w:p>
        </w:tc>
        <w:tc>
          <w:tcPr>
            <w:tcW w:w="450" w:type="dxa"/>
            <w:tcBorders>
              <w:left w:val="single" w:sz="18" w:space="0" w:color="auto"/>
            </w:tcBorders>
            <w:shd w:val="clear" w:color="auto" w:fill="auto"/>
            <w:vAlign w:val="center"/>
          </w:tcPr>
          <w:p w:rsidR="00A92422" w:rsidRPr="00D87B79" w:rsidRDefault="00A92422" w:rsidP="00EA30FC">
            <w:pPr>
              <w:pStyle w:val="TableText"/>
              <w:rPr>
                <w:rFonts w:ascii="Tahoma" w:hAnsi="Tahoma" w:cs="Tahoma"/>
                <w:sz w:val="13"/>
              </w:rPr>
            </w:pPr>
          </w:p>
        </w:tc>
        <w:tc>
          <w:tcPr>
            <w:tcW w:w="450" w:type="dxa"/>
            <w:shd w:val="clear" w:color="auto" w:fill="auto"/>
            <w:vAlign w:val="center"/>
          </w:tcPr>
          <w:p w:rsidR="00A92422" w:rsidRPr="00D87B79" w:rsidRDefault="00A92422" w:rsidP="00EA30FC">
            <w:pPr>
              <w:pStyle w:val="TableText"/>
              <w:rPr>
                <w:rFonts w:ascii="Tahoma" w:hAnsi="Tahoma" w:cs="Tahoma"/>
                <w:sz w:val="13"/>
              </w:rPr>
            </w:pPr>
          </w:p>
        </w:tc>
        <w:tc>
          <w:tcPr>
            <w:tcW w:w="450" w:type="dxa"/>
            <w:tcBorders>
              <w:right w:val="single" w:sz="18" w:space="0" w:color="auto"/>
            </w:tcBorders>
            <w:shd w:val="clear" w:color="auto" w:fill="auto"/>
            <w:vAlign w:val="center"/>
          </w:tcPr>
          <w:p w:rsidR="00A92422" w:rsidRPr="00D87B79" w:rsidRDefault="00A92422" w:rsidP="00EA30FC">
            <w:pPr>
              <w:pStyle w:val="TableText"/>
              <w:rPr>
                <w:rFonts w:ascii="Tahoma" w:hAnsi="Tahoma" w:cs="Tahoma"/>
                <w:sz w:val="13"/>
              </w:rPr>
            </w:pPr>
          </w:p>
        </w:tc>
        <w:tc>
          <w:tcPr>
            <w:tcW w:w="450" w:type="dxa"/>
            <w:tcBorders>
              <w:left w:val="single" w:sz="18" w:space="0" w:color="auto"/>
            </w:tcBorders>
            <w:shd w:val="clear" w:color="auto" w:fill="auto"/>
            <w:vAlign w:val="center"/>
          </w:tcPr>
          <w:p w:rsidR="00A92422" w:rsidRPr="00D87B79" w:rsidRDefault="00A92422" w:rsidP="00EA30FC">
            <w:pPr>
              <w:pStyle w:val="TableText"/>
              <w:rPr>
                <w:rFonts w:ascii="Tahoma" w:hAnsi="Tahoma" w:cs="Tahoma"/>
                <w:sz w:val="13"/>
              </w:rPr>
            </w:pPr>
          </w:p>
        </w:tc>
        <w:tc>
          <w:tcPr>
            <w:tcW w:w="450" w:type="dxa"/>
            <w:tcBorders>
              <w:right w:val="single" w:sz="18" w:space="0" w:color="auto"/>
            </w:tcBorders>
            <w:shd w:val="clear" w:color="auto" w:fill="auto"/>
            <w:vAlign w:val="center"/>
          </w:tcPr>
          <w:p w:rsidR="00A92422" w:rsidRPr="00D87B79" w:rsidRDefault="00A92422" w:rsidP="00EA30FC">
            <w:pPr>
              <w:pStyle w:val="TableText"/>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A92422" w:rsidRPr="00D87B79" w:rsidRDefault="00A92422" w:rsidP="00EA30FC">
            <w:pPr>
              <w:pStyle w:val="TableText"/>
              <w:rPr>
                <w:rFonts w:ascii="Tahoma" w:hAnsi="Tahoma" w:cs="Tahoma"/>
                <w:sz w:val="13"/>
              </w:rPr>
            </w:pPr>
          </w:p>
        </w:tc>
        <w:tc>
          <w:tcPr>
            <w:tcW w:w="450" w:type="dxa"/>
            <w:shd w:val="clear" w:color="auto" w:fill="auto"/>
          </w:tcPr>
          <w:p w:rsidR="00A92422" w:rsidRPr="00D87B79" w:rsidRDefault="00A92422" w:rsidP="00EA30FC">
            <w:pPr>
              <w:pStyle w:val="TableText"/>
              <w:rPr>
                <w:rFonts w:ascii="Tahoma" w:hAnsi="Tahoma" w:cs="Tahoma"/>
                <w:sz w:val="13"/>
              </w:rPr>
            </w:pPr>
          </w:p>
        </w:tc>
        <w:tc>
          <w:tcPr>
            <w:tcW w:w="540" w:type="dxa"/>
            <w:shd w:val="clear" w:color="auto" w:fill="auto"/>
            <w:vAlign w:val="center"/>
          </w:tcPr>
          <w:p w:rsidR="00A92422" w:rsidRPr="00D87B79" w:rsidRDefault="00A92422" w:rsidP="00EA30FC">
            <w:pPr>
              <w:pStyle w:val="TableText"/>
              <w:rPr>
                <w:rFonts w:ascii="Tahoma" w:hAnsi="Tahoma" w:cs="Tahoma"/>
                <w:sz w:val="13"/>
              </w:rPr>
            </w:pPr>
          </w:p>
        </w:tc>
      </w:tr>
    </w:tbl>
    <w:p w:rsidR="00A92422" w:rsidRPr="00D87B79" w:rsidRDefault="00A92422" w:rsidP="00A92422">
      <w:pPr>
        <w:pStyle w:val="ProductPool"/>
        <w:rPr>
          <w:rFonts w:ascii="Tahoma" w:hAnsi="Tahoma" w:cs="Tahoma"/>
        </w:rPr>
      </w:pPr>
    </w:p>
    <w:p w:rsidR="00A92422" w:rsidRPr="00D87B79" w:rsidRDefault="00A92422" w:rsidP="00A92422">
      <w:pPr>
        <w:pStyle w:val="Heading3"/>
        <w:rPr>
          <w:rFonts w:ascii="Tahoma" w:hAnsi="Tahoma" w:cs="Tahoma"/>
        </w:rPr>
      </w:pPr>
    </w:p>
    <w:p w:rsidR="00A92422" w:rsidRPr="00D87B79" w:rsidRDefault="00A92422" w:rsidP="00A92422">
      <w:pPr>
        <w:pStyle w:val="Heading3"/>
        <w:rPr>
          <w:rFonts w:ascii="Tahoma" w:hAnsi="Tahoma" w:cs="Tahoma"/>
        </w:rPr>
      </w:pPr>
      <w:bookmarkStart w:id="155" w:name="_Toc336337908"/>
      <w:bookmarkStart w:id="156" w:name="_Toc342899978"/>
      <w:bookmarkEnd w:id="155"/>
      <w:r w:rsidRPr="00D87B79">
        <w:rPr>
          <w:rFonts w:ascii="Tahoma" w:hAnsi="Tahoma" w:cs="Tahoma"/>
          <w:sz w:val="22"/>
          <w:lang w:val="it-IT"/>
        </w:rPr>
        <w:t>POOL DI SERVER</w:t>
      </w:r>
      <w:bookmarkEnd w:id="156"/>
    </w:p>
    <w:p w:rsidR="00A92422" w:rsidRPr="00D87B79" w:rsidRDefault="00A92422" w:rsidP="00A92422">
      <w:pPr>
        <w:rPr>
          <w:rFonts w:cs="Tahoma"/>
        </w:rPr>
      </w:pP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450"/>
        <w:gridCol w:w="450"/>
        <w:gridCol w:w="360"/>
        <w:gridCol w:w="360"/>
        <w:gridCol w:w="450"/>
        <w:gridCol w:w="450"/>
        <w:gridCol w:w="450"/>
        <w:gridCol w:w="450"/>
        <w:gridCol w:w="450"/>
        <w:gridCol w:w="360"/>
        <w:gridCol w:w="450"/>
        <w:gridCol w:w="450"/>
        <w:gridCol w:w="450"/>
        <w:gridCol w:w="450"/>
        <w:gridCol w:w="450"/>
        <w:gridCol w:w="450"/>
        <w:gridCol w:w="504"/>
        <w:gridCol w:w="486"/>
      </w:tblGrid>
      <w:tr w:rsidR="00A92422" w:rsidRPr="00D87B79" w:rsidTr="00EA30FC">
        <w:trPr>
          <w:cantSplit/>
          <w:trHeight w:val="389"/>
          <w:tblHeader/>
        </w:trPr>
        <w:tc>
          <w:tcPr>
            <w:tcW w:w="2714" w:type="dxa"/>
            <w:vMerge w:val="restart"/>
            <w:tcBorders>
              <w:top w:val="single" w:sz="4" w:space="0" w:color="FFFFFF"/>
              <w:left w:val="single" w:sz="4" w:space="0" w:color="FFFFFF"/>
            </w:tcBorders>
          </w:tcPr>
          <w:p w:rsidR="00A92422" w:rsidRDefault="00A92422" w:rsidP="00EA30FC">
            <w:pPr>
              <w:rPr>
                <w:rFonts w:cs="Tahoma"/>
                <w:sz w:val="20"/>
              </w:rPr>
            </w:pPr>
          </w:p>
          <w:p w:rsidR="00A92422" w:rsidRDefault="00A92422" w:rsidP="00EA30FC">
            <w:pPr>
              <w:rPr>
                <w:rFonts w:cs="Tahoma"/>
                <w:sz w:val="20"/>
              </w:rPr>
            </w:pPr>
          </w:p>
          <w:p w:rsidR="00A92422" w:rsidRPr="00D87B79" w:rsidRDefault="00A92422" w:rsidP="00EA30FC">
            <w:pPr>
              <w:rPr>
                <w:rFonts w:cs="Tahoma"/>
                <w:sz w:val="20"/>
              </w:rPr>
            </w:pPr>
            <w:r>
              <w:rPr>
                <w:rFonts w:cs="Tahoma"/>
                <w:noProof/>
              </w:rPr>
              <mc:AlternateContent>
                <mc:Choice Requires="wps">
                  <w:drawing>
                    <wp:anchor distT="0" distB="0" distL="114300" distR="114300" simplePos="0" relativeHeight="251662336" behindDoc="0" locked="0" layoutInCell="1" allowOverlap="1" wp14:anchorId="5261B8D2" wp14:editId="09FC2304">
                      <wp:simplePos x="0" y="0"/>
                      <wp:positionH relativeFrom="column">
                        <wp:posOffset>1643380</wp:posOffset>
                      </wp:positionH>
                      <wp:positionV relativeFrom="paragraph">
                        <wp:posOffset>400050</wp:posOffset>
                      </wp:positionV>
                      <wp:extent cx="367030" cy="213995"/>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92422" w:rsidRDefault="00A92422" w:rsidP="00A92422">
                                  <w:pPr>
                                    <w:rPr>
                                      <w:color w:val="0000FF"/>
                                      <w:sz w:val="20"/>
                                    </w:rPr>
                                  </w:pPr>
                                  <w:r>
                                    <w:rPr>
                                      <w:b/>
                                      <w:color w:val="0000FF"/>
                                      <w:sz w:val="8"/>
                                      <w:lang w:val="it-IT"/>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4" o:spid="_x0000_s1028" type="#_x0000_t202" style="position:absolute;margin-left:129.4pt;margin-top:31.5pt;width:28.9pt;height:16.85pt;z-index:25166233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KRctwIAAMA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" filled="f" stroked="f">
                      <v:textbox style="mso-fit-shape-to-text:t">
                        <w:txbxContent>
                          <w:p w:rsidR="00A92422" w:rsidRDefault="00A92422" w:rsidP="00A92422">
                            <w:pPr>
                              <w:rPr>
                                <w:color w:val="0000FF"/>
                                <w:sz w:val="20"/>
                              </w:rPr>
                            </w:pPr>
                            <w:r>
                              <w:rPr>
                                <w:b/>
                                <w:color w:val="0000FF"/>
                                <w:sz w:val="8"/>
                                <w:lang w:val="it-IT"/>
                              </w:rPr>
                              <w:t>(Ctrl + Clic)</w:t>
                            </w:r>
                          </w:p>
                        </w:txbxContent>
                      </v:textbox>
                    </v:shape>
                  </w:pict>
                </mc:Fallback>
              </mc:AlternateContent>
            </w:r>
          </w:p>
        </w:tc>
        <w:tc>
          <w:tcPr>
            <w:tcW w:w="450" w:type="dxa"/>
            <w:vMerge w:val="restart"/>
            <w:tcBorders>
              <w:top w:val="single" w:sz="12" w:space="0" w:color="auto"/>
            </w:tcBorders>
            <w:textDirection w:val="btLr"/>
            <w:vAlign w:val="center"/>
          </w:tcPr>
          <w:p w:rsidR="00A92422" w:rsidRPr="00D87B79" w:rsidRDefault="00A92422" w:rsidP="00EA30FC">
            <w:pPr>
              <w:pStyle w:val="TableVerticalText"/>
              <w:rPr>
                <w:rFonts w:ascii="Tahoma" w:hAnsi="Tahoma" w:cs="Tahoma"/>
                <w:sz w:val="9"/>
              </w:rPr>
            </w:pPr>
            <w:r w:rsidRPr="00D87B79">
              <w:rPr>
                <w:rFonts w:ascii="Tahoma" w:hAnsi="Tahoma" w:cs="Tahoma"/>
                <w:sz w:val="9"/>
                <w:lang w:val="it-IT"/>
              </w:rPr>
              <w:t>Note del Prodotto</w:t>
            </w:r>
          </w:p>
        </w:tc>
        <w:tc>
          <w:tcPr>
            <w:tcW w:w="450" w:type="dxa"/>
            <w:vMerge w:val="restart"/>
            <w:tcBorders>
              <w:top w:val="single" w:sz="12" w:space="0" w:color="auto"/>
            </w:tcBorders>
            <w:textDirection w:val="btLr"/>
          </w:tcPr>
          <w:p w:rsidR="00A92422" w:rsidRPr="00D87B79" w:rsidRDefault="00A92422" w:rsidP="00EA30FC">
            <w:pPr>
              <w:pStyle w:val="TableVerticalText"/>
              <w:rPr>
                <w:rFonts w:ascii="Tahoma" w:hAnsi="Tahoma" w:cs="Tahoma"/>
              </w:rPr>
            </w:pPr>
          </w:p>
          <w:p w:rsidR="00A92422" w:rsidRPr="00D87B79" w:rsidRDefault="00A92422" w:rsidP="00EA30FC">
            <w:pPr>
              <w:pStyle w:val="TableVerticalText"/>
              <w:rPr>
                <w:rFonts w:ascii="Tahoma" w:hAnsi="Tahoma" w:cs="Tahoma"/>
                <w:sz w:val="9"/>
              </w:rPr>
            </w:pPr>
            <w:r w:rsidRPr="00D87B79">
              <w:rPr>
                <w:rFonts w:ascii="Tahoma" w:hAnsi="Tahoma" w:cs="Tahoma"/>
                <w:sz w:val="9"/>
                <w:lang w:val="it-IT"/>
              </w:rPr>
              <w:t>Data Disponibilità</w:t>
            </w:r>
          </w:p>
        </w:tc>
        <w:tc>
          <w:tcPr>
            <w:tcW w:w="360" w:type="dxa"/>
            <w:vMerge w:val="restart"/>
            <w:tcBorders>
              <w:top w:val="single" w:sz="12" w:space="0" w:color="auto"/>
              <w:right w:val="single" w:sz="18" w:space="0" w:color="auto"/>
            </w:tcBorders>
            <w:textDirection w:val="btLr"/>
            <w:vAlign w:val="center"/>
          </w:tcPr>
          <w:p w:rsidR="00A92422" w:rsidRPr="00D87B79" w:rsidRDefault="00A92422" w:rsidP="00EA30FC">
            <w:pPr>
              <w:pStyle w:val="TableVerticalText"/>
              <w:rPr>
                <w:rFonts w:ascii="Tahoma" w:hAnsi="Tahoma" w:cs="Tahoma"/>
                <w:sz w:val="9"/>
              </w:rPr>
            </w:pPr>
            <w:r w:rsidRPr="00D87B79">
              <w:rPr>
                <w:rFonts w:ascii="Tahoma" w:hAnsi="Tahoma" w:cs="Tahoma"/>
                <w:sz w:val="9"/>
                <w:lang w:val="it-IT"/>
              </w:rPr>
              <w:t>SAB / OLB</w:t>
            </w:r>
          </w:p>
        </w:tc>
        <w:tc>
          <w:tcPr>
            <w:tcW w:w="2970" w:type="dxa"/>
            <w:gridSpan w:val="7"/>
            <w:tcBorders>
              <w:top w:val="single" w:sz="12" w:space="0" w:color="auto"/>
              <w:left w:val="single" w:sz="18" w:space="0" w:color="auto"/>
              <w:right w:val="single" w:sz="18" w:space="0" w:color="auto"/>
            </w:tcBorders>
            <w:vAlign w:val="center"/>
          </w:tcPr>
          <w:p w:rsidR="00A92422" w:rsidRPr="00D87B79" w:rsidRDefault="00A92422" w:rsidP="00EA30FC">
            <w:pPr>
              <w:pStyle w:val="TableHeadingsBlack"/>
              <w:rPr>
                <w:rFonts w:ascii="Tahoma" w:hAnsi="Tahoma" w:cs="Tahoma"/>
              </w:rPr>
            </w:pPr>
            <w:r w:rsidRPr="00D87B79">
              <w:rPr>
                <w:rFonts w:ascii="Tahoma" w:hAnsi="Tahoma" w:cs="Tahoma"/>
                <w:lang w:val="it-IT"/>
              </w:rPr>
              <w:t>Select / Select Plus*</w:t>
            </w:r>
          </w:p>
        </w:tc>
        <w:tc>
          <w:tcPr>
            <w:tcW w:w="1350" w:type="dxa"/>
            <w:gridSpan w:val="3"/>
            <w:tcBorders>
              <w:top w:val="single" w:sz="12" w:space="0" w:color="auto"/>
              <w:left w:val="single" w:sz="18" w:space="0" w:color="auto"/>
              <w:right w:val="single" w:sz="18" w:space="0" w:color="auto"/>
            </w:tcBorders>
            <w:vAlign w:val="center"/>
          </w:tcPr>
          <w:p w:rsidR="00A92422" w:rsidRPr="00D87B79" w:rsidRDefault="00A92422" w:rsidP="00EA30FC">
            <w:pPr>
              <w:pStyle w:val="TableHeadingsBlack"/>
              <w:rPr>
                <w:rFonts w:ascii="Tahoma" w:hAnsi="Tahoma" w:cs="Tahoma"/>
                <w:szCs w:val="11"/>
              </w:rPr>
            </w:pPr>
            <w:r w:rsidRPr="00D87B79">
              <w:rPr>
                <w:rFonts w:ascii="Tahoma" w:hAnsi="Tahoma" w:cs="Tahoma"/>
                <w:lang w:val="it-IT"/>
              </w:rPr>
              <w:t>Licenza Open</w:t>
            </w:r>
          </w:p>
        </w:tc>
        <w:tc>
          <w:tcPr>
            <w:tcW w:w="450" w:type="dxa"/>
            <w:vMerge w:val="restart"/>
            <w:tcBorders>
              <w:top w:val="single" w:sz="12" w:space="0" w:color="auto"/>
              <w:left w:val="single" w:sz="18" w:space="0" w:color="auto"/>
            </w:tcBorders>
            <w:textDirection w:val="btLr"/>
            <w:vAlign w:val="center"/>
          </w:tcPr>
          <w:p w:rsidR="00A92422" w:rsidRPr="00D87B79" w:rsidRDefault="00A92422" w:rsidP="00EA30FC">
            <w:pPr>
              <w:pStyle w:val="TableVerticalText"/>
              <w:rPr>
                <w:rFonts w:ascii="Tahoma" w:hAnsi="Tahoma" w:cs="Tahoma"/>
                <w:sz w:val="9"/>
              </w:rPr>
            </w:pPr>
            <w:r w:rsidRPr="00D87B79">
              <w:rPr>
                <w:rFonts w:ascii="Tahoma" w:hAnsi="Tahoma" w:cs="Tahoma"/>
                <w:sz w:val="9"/>
                <w:lang w:val="it-IT"/>
              </w:rPr>
              <w:t>Unità Campus/School</w:t>
            </w:r>
          </w:p>
        </w:tc>
        <w:tc>
          <w:tcPr>
            <w:tcW w:w="450" w:type="dxa"/>
            <w:vMerge w:val="restart"/>
            <w:tcBorders>
              <w:top w:val="single" w:sz="12" w:space="0" w:color="auto"/>
              <w:right w:val="single" w:sz="18" w:space="0" w:color="auto"/>
            </w:tcBorders>
            <w:textDirection w:val="btLr"/>
            <w:vAlign w:val="center"/>
          </w:tcPr>
          <w:p w:rsidR="00A92422" w:rsidRPr="00D87B79" w:rsidRDefault="00A92422" w:rsidP="00EA30FC">
            <w:pPr>
              <w:pStyle w:val="TableVerticalText"/>
              <w:rPr>
                <w:rFonts w:ascii="Tahoma" w:hAnsi="Tahoma" w:cs="Tahoma"/>
                <w:sz w:val="9"/>
              </w:rPr>
            </w:pPr>
            <w:r w:rsidRPr="00D87B79">
              <w:rPr>
                <w:rFonts w:ascii="Tahoma" w:hAnsi="Tahoma" w:cs="Tahoma"/>
                <w:sz w:val="9"/>
                <w:lang w:val="it-IT"/>
              </w:rPr>
              <w:t>EA ed EA Sub</w:t>
            </w:r>
          </w:p>
        </w:tc>
        <w:tc>
          <w:tcPr>
            <w:tcW w:w="450" w:type="dxa"/>
            <w:vMerge w:val="restart"/>
            <w:tcBorders>
              <w:top w:val="single" w:sz="12" w:space="0" w:color="auto"/>
              <w:left w:val="single" w:sz="18" w:space="0" w:color="auto"/>
              <w:right w:val="single" w:sz="18" w:space="0" w:color="auto"/>
            </w:tcBorders>
            <w:textDirection w:val="btLr"/>
            <w:vAlign w:val="center"/>
          </w:tcPr>
          <w:p w:rsidR="00A92422" w:rsidRPr="00D87B79" w:rsidRDefault="00A92422" w:rsidP="00EA30FC">
            <w:pPr>
              <w:pStyle w:val="TableVerticalText"/>
              <w:rPr>
                <w:rFonts w:ascii="Tahoma" w:hAnsi="Tahoma" w:cs="Tahoma"/>
                <w:sz w:val="9"/>
              </w:rPr>
            </w:pPr>
            <w:r w:rsidRPr="00D87B79">
              <w:rPr>
                <w:rFonts w:ascii="Tahoma" w:hAnsi="Tahoma" w:cs="Tahoma"/>
                <w:sz w:val="9"/>
                <w:lang w:val="it-IT"/>
              </w:rPr>
              <w:t>OV / OVS</w:t>
            </w:r>
          </w:p>
        </w:tc>
        <w:tc>
          <w:tcPr>
            <w:tcW w:w="504" w:type="dxa"/>
            <w:vMerge w:val="restart"/>
            <w:tcBorders>
              <w:top w:val="single" w:sz="12" w:space="0" w:color="auto"/>
            </w:tcBorders>
            <w:textDirection w:val="btLr"/>
          </w:tcPr>
          <w:p w:rsidR="00A92422" w:rsidRPr="00D87B79" w:rsidRDefault="00A92422" w:rsidP="00EA30FC">
            <w:pPr>
              <w:pStyle w:val="TableVerticalText"/>
              <w:spacing w:before="120"/>
              <w:rPr>
                <w:rFonts w:ascii="Tahoma" w:hAnsi="Tahoma" w:cs="Tahoma"/>
                <w:sz w:val="9"/>
              </w:rPr>
            </w:pPr>
            <w:r w:rsidRPr="00D87B79">
              <w:rPr>
                <w:rFonts w:ascii="Tahoma" w:hAnsi="Tahoma" w:cs="Tahoma"/>
                <w:sz w:val="9"/>
                <w:lang w:val="it-IT"/>
              </w:rPr>
              <w:t>EES / OVS - ES</w:t>
            </w:r>
          </w:p>
        </w:tc>
        <w:tc>
          <w:tcPr>
            <w:tcW w:w="486" w:type="dxa"/>
            <w:vMerge w:val="restart"/>
            <w:tcBorders>
              <w:top w:val="single" w:sz="12" w:space="0" w:color="auto"/>
            </w:tcBorders>
            <w:textDirection w:val="btLr"/>
            <w:vAlign w:val="center"/>
          </w:tcPr>
          <w:p w:rsidR="00A92422" w:rsidRPr="00D87B79" w:rsidRDefault="00A92422" w:rsidP="00EA30FC">
            <w:pPr>
              <w:pStyle w:val="TableVerticalText"/>
              <w:rPr>
                <w:rFonts w:ascii="Tahoma" w:hAnsi="Tahoma" w:cs="Tahoma"/>
                <w:sz w:val="9"/>
              </w:rPr>
            </w:pPr>
            <w:r w:rsidRPr="00D87B79">
              <w:rPr>
                <w:rFonts w:ascii="Tahoma" w:hAnsi="Tahoma" w:cs="Tahoma"/>
                <w:sz w:val="9"/>
                <w:lang w:val="it-IT"/>
              </w:rPr>
              <w:t>Requisito minimo per i Programmi Open</w:t>
            </w:r>
          </w:p>
        </w:tc>
      </w:tr>
      <w:tr w:rsidR="00A92422" w:rsidRPr="00D87B79" w:rsidTr="00EA30FC">
        <w:trPr>
          <w:cantSplit/>
          <w:trHeight w:val="262"/>
          <w:tblHeader/>
        </w:trPr>
        <w:tc>
          <w:tcPr>
            <w:tcW w:w="2714" w:type="dxa"/>
            <w:vMerge/>
            <w:tcBorders>
              <w:left w:val="single" w:sz="4" w:space="0" w:color="FFFFFF"/>
            </w:tcBorders>
          </w:tcPr>
          <w:p w:rsidR="00A92422" w:rsidRPr="00D87B79" w:rsidRDefault="00A92422" w:rsidP="00EA30FC">
            <w:pPr>
              <w:rPr>
                <w:rFonts w:cs="Tahoma"/>
                <w:sz w:val="20"/>
              </w:rPr>
            </w:pPr>
          </w:p>
        </w:tc>
        <w:tc>
          <w:tcPr>
            <w:tcW w:w="450" w:type="dxa"/>
            <w:vMerge/>
          </w:tcPr>
          <w:p w:rsidR="00A92422" w:rsidRPr="00D87B79" w:rsidRDefault="00A92422" w:rsidP="00EA30FC">
            <w:pPr>
              <w:rPr>
                <w:rFonts w:cs="Tahoma"/>
                <w:b/>
                <w:sz w:val="20"/>
              </w:rPr>
            </w:pPr>
          </w:p>
        </w:tc>
        <w:tc>
          <w:tcPr>
            <w:tcW w:w="450" w:type="dxa"/>
            <w:vMerge/>
          </w:tcPr>
          <w:p w:rsidR="00A92422" w:rsidRPr="00D87B79" w:rsidRDefault="00A92422" w:rsidP="00EA30FC">
            <w:pPr>
              <w:rPr>
                <w:rFonts w:cs="Tahoma"/>
                <w:sz w:val="20"/>
              </w:rPr>
            </w:pPr>
          </w:p>
        </w:tc>
        <w:tc>
          <w:tcPr>
            <w:tcW w:w="360" w:type="dxa"/>
            <w:vMerge/>
            <w:tcBorders>
              <w:right w:val="single" w:sz="18" w:space="0" w:color="auto"/>
            </w:tcBorders>
          </w:tcPr>
          <w:p w:rsidR="00A92422" w:rsidRPr="00D87B79" w:rsidRDefault="00A92422" w:rsidP="00EA30FC">
            <w:pPr>
              <w:rPr>
                <w:rFonts w:cs="Tahoma"/>
                <w:sz w:val="20"/>
              </w:rPr>
            </w:pPr>
          </w:p>
        </w:tc>
        <w:tc>
          <w:tcPr>
            <w:tcW w:w="360" w:type="dxa"/>
            <w:vMerge w:val="restart"/>
            <w:tcBorders>
              <w:left w:val="single" w:sz="18" w:space="0" w:color="auto"/>
            </w:tcBorders>
            <w:vAlign w:val="center"/>
          </w:tcPr>
          <w:p w:rsidR="00A92422" w:rsidRPr="00D87B79" w:rsidRDefault="00A92422" w:rsidP="00EA30FC">
            <w:pPr>
              <w:pStyle w:val="TableHeadingsRed"/>
              <w:rPr>
                <w:rFonts w:ascii="Tahoma" w:hAnsi="Tahoma" w:cs="Tahoma"/>
                <w:sz w:val="9"/>
              </w:rPr>
            </w:pPr>
            <w:r w:rsidRPr="00D87B79">
              <w:rPr>
                <w:rFonts w:ascii="Tahoma" w:hAnsi="Tahoma" w:cs="Tahoma"/>
                <w:sz w:val="9"/>
                <w:lang w:val="it-IT"/>
              </w:rPr>
              <w:t>L</w:t>
            </w:r>
          </w:p>
        </w:tc>
        <w:tc>
          <w:tcPr>
            <w:tcW w:w="1350" w:type="dxa"/>
            <w:gridSpan w:val="3"/>
            <w:vAlign w:val="center"/>
          </w:tcPr>
          <w:p w:rsidR="00A92422" w:rsidRPr="00D87B79" w:rsidRDefault="00A92422" w:rsidP="00EA30FC">
            <w:pPr>
              <w:pStyle w:val="TableHeadingsGreen"/>
              <w:rPr>
                <w:rFonts w:ascii="Tahoma" w:hAnsi="Tahoma" w:cs="Tahoma"/>
                <w:sz w:val="9"/>
              </w:rPr>
            </w:pPr>
            <w:r w:rsidRPr="00D87B79">
              <w:rPr>
                <w:rFonts w:ascii="Tahoma" w:hAnsi="Tahoma" w:cs="Tahoma"/>
                <w:sz w:val="9"/>
                <w:lang w:val="it-IT"/>
              </w:rPr>
              <w:t>L&amp;SA</w:t>
            </w:r>
          </w:p>
        </w:tc>
        <w:tc>
          <w:tcPr>
            <w:tcW w:w="1260" w:type="dxa"/>
            <w:gridSpan w:val="3"/>
            <w:tcBorders>
              <w:right w:val="single" w:sz="18" w:space="0" w:color="auto"/>
            </w:tcBorders>
            <w:vAlign w:val="center"/>
          </w:tcPr>
          <w:p w:rsidR="00A92422" w:rsidRPr="00D87B79" w:rsidRDefault="00A92422" w:rsidP="00EA30FC">
            <w:pPr>
              <w:pStyle w:val="TableHeadingsBlue"/>
              <w:rPr>
                <w:rFonts w:ascii="Tahoma" w:hAnsi="Tahoma" w:cs="Tahoma"/>
                <w:sz w:val="9"/>
              </w:rPr>
            </w:pPr>
            <w:r w:rsidRPr="00D87B79">
              <w:rPr>
                <w:rFonts w:ascii="Tahoma" w:hAnsi="Tahoma" w:cs="Tahoma"/>
                <w:sz w:val="9"/>
                <w:lang w:val="it-IT"/>
              </w:rPr>
              <w:t>SA</w:t>
            </w:r>
          </w:p>
        </w:tc>
        <w:tc>
          <w:tcPr>
            <w:tcW w:w="450" w:type="dxa"/>
            <w:vMerge w:val="restart"/>
            <w:tcBorders>
              <w:left w:val="single" w:sz="18" w:space="0" w:color="auto"/>
            </w:tcBorders>
            <w:vAlign w:val="center"/>
          </w:tcPr>
          <w:p w:rsidR="00A92422" w:rsidRPr="00D87B79" w:rsidRDefault="00A92422" w:rsidP="00EA30FC">
            <w:pPr>
              <w:pStyle w:val="TableHeadingsRed"/>
              <w:rPr>
                <w:rFonts w:ascii="Tahoma" w:hAnsi="Tahoma" w:cs="Tahoma"/>
                <w:sz w:val="9"/>
              </w:rPr>
            </w:pPr>
            <w:r w:rsidRPr="00D87B79">
              <w:rPr>
                <w:rFonts w:ascii="Tahoma" w:hAnsi="Tahoma" w:cs="Tahoma"/>
                <w:sz w:val="9"/>
                <w:lang w:val="it-IT"/>
              </w:rPr>
              <w:t>L</w:t>
            </w:r>
          </w:p>
        </w:tc>
        <w:tc>
          <w:tcPr>
            <w:tcW w:w="450" w:type="dxa"/>
            <w:vAlign w:val="center"/>
          </w:tcPr>
          <w:p w:rsidR="00A92422" w:rsidRPr="00D87B79" w:rsidRDefault="00A92422" w:rsidP="00EA30FC">
            <w:pPr>
              <w:pStyle w:val="TableHeadingsGreen"/>
              <w:rPr>
                <w:rFonts w:ascii="Tahoma" w:hAnsi="Tahoma" w:cs="Tahoma"/>
                <w:sz w:val="9"/>
              </w:rPr>
            </w:pPr>
            <w:r w:rsidRPr="00D87B79">
              <w:rPr>
                <w:rFonts w:ascii="Tahoma" w:hAnsi="Tahoma" w:cs="Tahoma"/>
                <w:sz w:val="9"/>
                <w:lang w:val="it-IT"/>
              </w:rPr>
              <w:t>L&amp;SA</w:t>
            </w:r>
          </w:p>
        </w:tc>
        <w:tc>
          <w:tcPr>
            <w:tcW w:w="450" w:type="dxa"/>
            <w:vMerge w:val="restart"/>
            <w:tcBorders>
              <w:right w:val="single" w:sz="18" w:space="0" w:color="auto"/>
            </w:tcBorders>
            <w:vAlign w:val="center"/>
          </w:tcPr>
          <w:p w:rsidR="00A92422" w:rsidRPr="00D87B79" w:rsidRDefault="00A92422" w:rsidP="00EA30FC">
            <w:pPr>
              <w:pStyle w:val="TableHeadingsBlue"/>
              <w:rPr>
                <w:rFonts w:ascii="Tahoma" w:hAnsi="Tahoma" w:cs="Tahoma"/>
                <w:sz w:val="9"/>
              </w:rPr>
            </w:pPr>
            <w:r w:rsidRPr="00D87B79">
              <w:rPr>
                <w:rFonts w:ascii="Tahoma" w:hAnsi="Tahoma" w:cs="Tahoma"/>
                <w:sz w:val="9"/>
                <w:lang w:val="it-IT"/>
              </w:rPr>
              <w:t>SA</w:t>
            </w:r>
          </w:p>
        </w:tc>
        <w:tc>
          <w:tcPr>
            <w:tcW w:w="450" w:type="dxa"/>
            <w:vMerge/>
            <w:tcBorders>
              <w:left w:val="single" w:sz="18" w:space="0" w:color="auto"/>
            </w:tcBorders>
          </w:tcPr>
          <w:p w:rsidR="00A92422" w:rsidRPr="00D87B79" w:rsidRDefault="00A92422" w:rsidP="00EA30FC">
            <w:pPr>
              <w:rPr>
                <w:rFonts w:cs="Tahoma"/>
                <w:sz w:val="20"/>
              </w:rPr>
            </w:pPr>
          </w:p>
        </w:tc>
        <w:tc>
          <w:tcPr>
            <w:tcW w:w="450" w:type="dxa"/>
            <w:vMerge/>
            <w:tcBorders>
              <w:right w:val="single" w:sz="18" w:space="0" w:color="auto"/>
            </w:tcBorders>
          </w:tcPr>
          <w:p w:rsidR="00A92422" w:rsidRPr="00D87B79" w:rsidRDefault="00A92422" w:rsidP="00EA30FC">
            <w:pPr>
              <w:rPr>
                <w:rFonts w:cs="Tahoma"/>
                <w:sz w:val="20"/>
              </w:rPr>
            </w:pPr>
          </w:p>
        </w:tc>
        <w:tc>
          <w:tcPr>
            <w:tcW w:w="450" w:type="dxa"/>
            <w:vMerge/>
            <w:tcBorders>
              <w:left w:val="single" w:sz="18" w:space="0" w:color="auto"/>
              <w:right w:val="single" w:sz="18" w:space="0" w:color="auto"/>
            </w:tcBorders>
          </w:tcPr>
          <w:p w:rsidR="00A92422" w:rsidRPr="00D87B79" w:rsidRDefault="00A92422" w:rsidP="00EA30FC">
            <w:pPr>
              <w:rPr>
                <w:rFonts w:cs="Tahoma"/>
                <w:sz w:val="20"/>
              </w:rPr>
            </w:pPr>
          </w:p>
        </w:tc>
        <w:tc>
          <w:tcPr>
            <w:tcW w:w="504" w:type="dxa"/>
            <w:vMerge/>
          </w:tcPr>
          <w:p w:rsidR="00A92422" w:rsidRPr="00D87B79" w:rsidRDefault="00A92422" w:rsidP="00EA30FC">
            <w:pPr>
              <w:rPr>
                <w:rFonts w:cs="Tahoma"/>
                <w:sz w:val="20"/>
              </w:rPr>
            </w:pPr>
          </w:p>
        </w:tc>
        <w:tc>
          <w:tcPr>
            <w:tcW w:w="486" w:type="dxa"/>
            <w:vMerge/>
          </w:tcPr>
          <w:p w:rsidR="00A92422" w:rsidRPr="00D87B79" w:rsidRDefault="00A92422" w:rsidP="00EA30FC">
            <w:pPr>
              <w:rPr>
                <w:rFonts w:cs="Tahoma"/>
                <w:sz w:val="20"/>
              </w:rPr>
            </w:pPr>
          </w:p>
        </w:tc>
      </w:tr>
      <w:tr w:rsidR="00A92422" w:rsidRPr="00D87B79" w:rsidTr="00EA30FC">
        <w:trPr>
          <w:cantSplit/>
          <w:trHeight w:val="732"/>
          <w:tblHeader/>
        </w:trPr>
        <w:tc>
          <w:tcPr>
            <w:tcW w:w="2714" w:type="dxa"/>
            <w:vMerge/>
            <w:tcBorders>
              <w:left w:val="single" w:sz="4" w:space="0" w:color="FFFFFF"/>
            </w:tcBorders>
          </w:tcPr>
          <w:p w:rsidR="00A92422" w:rsidRPr="00D87B79" w:rsidRDefault="00A92422" w:rsidP="00EA30FC">
            <w:pPr>
              <w:rPr>
                <w:rFonts w:cs="Tahoma"/>
                <w:sz w:val="20"/>
              </w:rPr>
            </w:pPr>
          </w:p>
        </w:tc>
        <w:tc>
          <w:tcPr>
            <w:tcW w:w="450" w:type="dxa"/>
            <w:vMerge/>
          </w:tcPr>
          <w:p w:rsidR="00A92422" w:rsidRPr="00D87B79" w:rsidRDefault="00A92422" w:rsidP="00EA30FC">
            <w:pPr>
              <w:rPr>
                <w:rFonts w:cs="Tahoma"/>
                <w:b/>
                <w:sz w:val="20"/>
              </w:rPr>
            </w:pPr>
          </w:p>
        </w:tc>
        <w:tc>
          <w:tcPr>
            <w:tcW w:w="450" w:type="dxa"/>
            <w:vMerge/>
          </w:tcPr>
          <w:p w:rsidR="00A92422" w:rsidRPr="00D87B79" w:rsidRDefault="00A92422" w:rsidP="00EA30FC">
            <w:pPr>
              <w:rPr>
                <w:rFonts w:cs="Tahoma"/>
                <w:sz w:val="20"/>
              </w:rPr>
            </w:pPr>
          </w:p>
        </w:tc>
        <w:tc>
          <w:tcPr>
            <w:tcW w:w="360" w:type="dxa"/>
            <w:vMerge/>
            <w:tcBorders>
              <w:right w:val="single" w:sz="18" w:space="0" w:color="auto"/>
            </w:tcBorders>
          </w:tcPr>
          <w:p w:rsidR="00A92422" w:rsidRPr="00D87B79" w:rsidRDefault="00A92422" w:rsidP="00EA30FC">
            <w:pPr>
              <w:rPr>
                <w:rFonts w:cs="Tahoma"/>
                <w:sz w:val="20"/>
              </w:rPr>
            </w:pPr>
          </w:p>
        </w:tc>
        <w:tc>
          <w:tcPr>
            <w:tcW w:w="360" w:type="dxa"/>
            <w:vMerge/>
            <w:tcBorders>
              <w:left w:val="single" w:sz="18" w:space="0" w:color="auto"/>
            </w:tcBorders>
            <w:vAlign w:val="center"/>
          </w:tcPr>
          <w:p w:rsidR="00A92422" w:rsidRPr="00D87B79" w:rsidRDefault="00A92422" w:rsidP="00EA30FC">
            <w:pPr>
              <w:jc w:val="center"/>
              <w:rPr>
                <w:rFonts w:cs="Tahoma"/>
                <w:sz w:val="20"/>
              </w:rPr>
            </w:pPr>
          </w:p>
        </w:tc>
        <w:tc>
          <w:tcPr>
            <w:tcW w:w="450" w:type="dxa"/>
            <w:vAlign w:val="center"/>
          </w:tcPr>
          <w:p w:rsidR="00A92422" w:rsidRPr="00D87B79" w:rsidRDefault="00A92422" w:rsidP="00EA30FC">
            <w:pPr>
              <w:pStyle w:val="TableHeadingsGreen"/>
              <w:rPr>
                <w:rFonts w:ascii="Tahoma" w:hAnsi="Tahoma" w:cs="Tahoma"/>
                <w:sz w:val="9"/>
              </w:rPr>
            </w:pPr>
            <w:r w:rsidRPr="00D87B79">
              <w:rPr>
                <w:rFonts w:ascii="Tahoma" w:hAnsi="Tahoma" w:cs="Tahoma"/>
                <w:sz w:val="9"/>
                <w:lang w:val="it-IT"/>
              </w:rPr>
              <w:t>3An</w:t>
            </w:r>
          </w:p>
        </w:tc>
        <w:tc>
          <w:tcPr>
            <w:tcW w:w="450" w:type="dxa"/>
            <w:vAlign w:val="center"/>
          </w:tcPr>
          <w:p w:rsidR="00A92422" w:rsidRPr="00D87B79" w:rsidRDefault="00A92422" w:rsidP="00EA30FC">
            <w:pPr>
              <w:pStyle w:val="TableHeadingsGreen"/>
              <w:rPr>
                <w:rFonts w:ascii="Tahoma" w:hAnsi="Tahoma" w:cs="Tahoma"/>
                <w:sz w:val="9"/>
              </w:rPr>
            </w:pPr>
            <w:r w:rsidRPr="00D87B79">
              <w:rPr>
                <w:rFonts w:ascii="Tahoma" w:hAnsi="Tahoma" w:cs="Tahoma"/>
                <w:sz w:val="9"/>
                <w:lang w:val="it-IT"/>
              </w:rPr>
              <w:t>2An</w:t>
            </w:r>
          </w:p>
        </w:tc>
        <w:tc>
          <w:tcPr>
            <w:tcW w:w="450" w:type="dxa"/>
            <w:vAlign w:val="center"/>
          </w:tcPr>
          <w:p w:rsidR="00A92422" w:rsidRPr="00D87B79" w:rsidRDefault="00A92422" w:rsidP="00EA30FC">
            <w:pPr>
              <w:pStyle w:val="TableHeadingsGreen"/>
              <w:rPr>
                <w:rFonts w:ascii="Tahoma" w:hAnsi="Tahoma" w:cs="Tahoma"/>
                <w:sz w:val="9"/>
              </w:rPr>
            </w:pPr>
            <w:r w:rsidRPr="00D87B79">
              <w:rPr>
                <w:rFonts w:ascii="Tahoma" w:hAnsi="Tahoma" w:cs="Tahoma"/>
                <w:sz w:val="9"/>
                <w:lang w:val="it-IT"/>
              </w:rPr>
              <w:t>1An</w:t>
            </w:r>
          </w:p>
        </w:tc>
        <w:tc>
          <w:tcPr>
            <w:tcW w:w="450" w:type="dxa"/>
            <w:vAlign w:val="center"/>
          </w:tcPr>
          <w:p w:rsidR="00A92422" w:rsidRPr="00D87B79" w:rsidRDefault="00A92422" w:rsidP="00EA30FC">
            <w:pPr>
              <w:pStyle w:val="TableHeadingsBlue"/>
              <w:rPr>
                <w:rFonts w:ascii="Tahoma" w:hAnsi="Tahoma" w:cs="Tahoma"/>
                <w:sz w:val="9"/>
              </w:rPr>
            </w:pPr>
            <w:r w:rsidRPr="00D87B79">
              <w:rPr>
                <w:rFonts w:ascii="Tahoma" w:hAnsi="Tahoma" w:cs="Tahoma"/>
                <w:sz w:val="9"/>
                <w:lang w:val="it-IT"/>
              </w:rPr>
              <w:t>3An</w:t>
            </w:r>
          </w:p>
        </w:tc>
        <w:tc>
          <w:tcPr>
            <w:tcW w:w="450" w:type="dxa"/>
            <w:vAlign w:val="center"/>
          </w:tcPr>
          <w:p w:rsidR="00A92422" w:rsidRPr="00D87B79" w:rsidRDefault="00A92422" w:rsidP="00EA30FC">
            <w:pPr>
              <w:pStyle w:val="TableHeadingsBlue"/>
              <w:rPr>
                <w:rFonts w:ascii="Tahoma" w:hAnsi="Tahoma" w:cs="Tahoma"/>
                <w:sz w:val="9"/>
              </w:rPr>
            </w:pPr>
            <w:r w:rsidRPr="00D87B79">
              <w:rPr>
                <w:rFonts w:ascii="Tahoma" w:hAnsi="Tahoma" w:cs="Tahoma"/>
                <w:sz w:val="9"/>
                <w:lang w:val="it-IT"/>
              </w:rPr>
              <w:t>2An</w:t>
            </w:r>
          </w:p>
        </w:tc>
        <w:tc>
          <w:tcPr>
            <w:tcW w:w="360" w:type="dxa"/>
            <w:tcBorders>
              <w:right w:val="single" w:sz="18" w:space="0" w:color="auto"/>
            </w:tcBorders>
            <w:vAlign w:val="center"/>
          </w:tcPr>
          <w:p w:rsidR="00A92422" w:rsidRPr="00D87B79" w:rsidRDefault="00A92422" w:rsidP="00EA30FC">
            <w:pPr>
              <w:pStyle w:val="TableHeadingsBlue"/>
              <w:rPr>
                <w:rFonts w:ascii="Tahoma" w:hAnsi="Tahoma" w:cs="Tahoma"/>
                <w:sz w:val="9"/>
              </w:rPr>
            </w:pPr>
            <w:r w:rsidRPr="00D87B79">
              <w:rPr>
                <w:rFonts w:ascii="Tahoma" w:hAnsi="Tahoma" w:cs="Tahoma"/>
                <w:sz w:val="9"/>
                <w:lang w:val="it-IT"/>
              </w:rPr>
              <w:t>1An</w:t>
            </w:r>
          </w:p>
        </w:tc>
        <w:tc>
          <w:tcPr>
            <w:tcW w:w="450" w:type="dxa"/>
            <w:vMerge/>
            <w:tcBorders>
              <w:left w:val="single" w:sz="18" w:space="0" w:color="auto"/>
            </w:tcBorders>
            <w:vAlign w:val="center"/>
          </w:tcPr>
          <w:p w:rsidR="00A92422" w:rsidRPr="00D87B79" w:rsidRDefault="00A92422" w:rsidP="00EA30FC">
            <w:pPr>
              <w:jc w:val="center"/>
              <w:rPr>
                <w:rFonts w:cs="Tahoma"/>
                <w:sz w:val="20"/>
              </w:rPr>
            </w:pPr>
          </w:p>
        </w:tc>
        <w:tc>
          <w:tcPr>
            <w:tcW w:w="450" w:type="dxa"/>
            <w:vAlign w:val="center"/>
          </w:tcPr>
          <w:p w:rsidR="00A92422" w:rsidRPr="00D87B79" w:rsidRDefault="00A92422" w:rsidP="00EA30FC">
            <w:pPr>
              <w:pStyle w:val="TableHeadingsGreen"/>
              <w:rPr>
                <w:rFonts w:ascii="Tahoma" w:hAnsi="Tahoma" w:cs="Tahoma"/>
                <w:sz w:val="9"/>
              </w:rPr>
            </w:pPr>
            <w:r w:rsidRPr="00D87B79">
              <w:rPr>
                <w:rFonts w:ascii="Tahoma" w:hAnsi="Tahoma" w:cs="Tahoma"/>
                <w:sz w:val="9"/>
                <w:lang w:val="it-IT"/>
              </w:rPr>
              <w:t>P</w:t>
            </w:r>
          </w:p>
        </w:tc>
        <w:tc>
          <w:tcPr>
            <w:tcW w:w="450" w:type="dxa"/>
            <w:vMerge/>
            <w:tcBorders>
              <w:right w:val="single" w:sz="18" w:space="0" w:color="auto"/>
            </w:tcBorders>
            <w:vAlign w:val="center"/>
          </w:tcPr>
          <w:p w:rsidR="00A92422" w:rsidRPr="00D87B79" w:rsidRDefault="00A92422" w:rsidP="00EA30FC">
            <w:pPr>
              <w:jc w:val="center"/>
              <w:rPr>
                <w:rFonts w:cs="Tahoma"/>
                <w:sz w:val="20"/>
              </w:rPr>
            </w:pPr>
          </w:p>
        </w:tc>
        <w:tc>
          <w:tcPr>
            <w:tcW w:w="450" w:type="dxa"/>
            <w:vMerge/>
            <w:tcBorders>
              <w:left w:val="single" w:sz="18" w:space="0" w:color="auto"/>
            </w:tcBorders>
          </w:tcPr>
          <w:p w:rsidR="00A92422" w:rsidRPr="00D87B79" w:rsidRDefault="00A92422" w:rsidP="00EA30FC">
            <w:pPr>
              <w:rPr>
                <w:rFonts w:cs="Tahoma"/>
                <w:sz w:val="20"/>
              </w:rPr>
            </w:pPr>
          </w:p>
        </w:tc>
        <w:tc>
          <w:tcPr>
            <w:tcW w:w="450" w:type="dxa"/>
            <w:vMerge/>
            <w:tcBorders>
              <w:right w:val="single" w:sz="18" w:space="0" w:color="auto"/>
            </w:tcBorders>
          </w:tcPr>
          <w:p w:rsidR="00A92422" w:rsidRPr="00D87B79" w:rsidRDefault="00A92422" w:rsidP="00EA30FC">
            <w:pPr>
              <w:rPr>
                <w:rFonts w:cs="Tahoma"/>
                <w:sz w:val="20"/>
              </w:rPr>
            </w:pPr>
          </w:p>
        </w:tc>
        <w:tc>
          <w:tcPr>
            <w:tcW w:w="450" w:type="dxa"/>
            <w:vMerge/>
            <w:tcBorders>
              <w:left w:val="single" w:sz="18" w:space="0" w:color="auto"/>
              <w:right w:val="single" w:sz="18" w:space="0" w:color="auto"/>
            </w:tcBorders>
          </w:tcPr>
          <w:p w:rsidR="00A92422" w:rsidRPr="00D87B79" w:rsidRDefault="00A92422" w:rsidP="00EA30FC">
            <w:pPr>
              <w:rPr>
                <w:rFonts w:cs="Tahoma"/>
                <w:sz w:val="20"/>
              </w:rPr>
            </w:pPr>
          </w:p>
        </w:tc>
        <w:tc>
          <w:tcPr>
            <w:tcW w:w="504" w:type="dxa"/>
            <w:vMerge/>
          </w:tcPr>
          <w:p w:rsidR="00A92422" w:rsidRPr="00D87B79" w:rsidRDefault="00A92422" w:rsidP="00EA30FC">
            <w:pPr>
              <w:rPr>
                <w:rFonts w:cs="Tahoma"/>
                <w:sz w:val="20"/>
              </w:rPr>
            </w:pPr>
          </w:p>
        </w:tc>
        <w:tc>
          <w:tcPr>
            <w:tcW w:w="486" w:type="dxa"/>
            <w:vMerge/>
          </w:tcPr>
          <w:p w:rsidR="00A92422" w:rsidRPr="00D87B79" w:rsidRDefault="00A92422" w:rsidP="00EA30FC">
            <w:pPr>
              <w:rPr>
                <w:rFonts w:cs="Tahoma"/>
                <w:sz w:val="20"/>
              </w:rPr>
            </w:pPr>
          </w:p>
        </w:tc>
      </w:tr>
      <w:tr w:rsidR="00A92422" w:rsidRPr="00D87B79" w:rsidTr="00EA30FC">
        <w:trPr>
          <w:trHeight w:val="145"/>
        </w:trPr>
        <w:tc>
          <w:tcPr>
            <w:tcW w:w="2714" w:type="dxa"/>
            <w:shd w:val="clear" w:color="auto" w:fill="FFFFFF"/>
          </w:tcPr>
          <w:p w:rsidR="00A92422" w:rsidRPr="00873B3F" w:rsidRDefault="00A92422" w:rsidP="00EA30FC">
            <w:pPr>
              <w:pStyle w:val="ProductNames"/>
              <w:spacing w:beforeLines="20" w:before="48" w:afterLines="20" w:after="48"/>
              <w:rPr>
                <w:rFonts w:ascii="Tahoma" w:hAnsi="Tahoma" w:cs="Tahoma"/>
                <w:sz w:val="14"/>
                <w:szCs w:val="14"/>
              </w:rPr>
            </w:pPr>
            <w:bookmarkStart w:id="157" w:name="_Toc336337909"/>
            <w:bookmarkStart w:id="158" w:name="_Toc342899979"/>
            <w:bookmarkEnd w:id="157"/>
            <w:r w:rsidRPr="00873B3F">
              <w:rPr>
                <w:rFonts w:ascii="Tahoma" w:hAnsi="Tahoma" w:cs="Tahoma"/>
                <w:sz w:val="14"/>
                <w:szCs w:val="14"/>
                <w:lang w:val="it-IT"/>
              </w:rPr>
              <w:t>Bing Maps Server</w:t>
            </w:r>
            <w:bookmarkEnd w:id="158"/>
          </w:p>
        </w:tc>
        <w:tc>
          <w:tcPr>
            <w:tcW w:w="450" w:type="dxa"/>
            <w:shd w:val="clear" w:color="auto" w:fill="FFFFFF"/>
            <w:vAlign w:val="center"/>
          </w:tcPr>
          <w:p w:rsidR="00A92422" w:rsidRPr="001E1017" w:rsidRDefault="00A92422" w:rsidP="00EA30FC">
            <w:pPr>
              <w:pStyle w:val="TableText"/>
              <w:widowControl w:val="0"/>
              <w:rPr>
                <w:rStyle w:val="EndnoteReference"/>
                <w:rFonts w:cs="Tahoma"/>
                <w:b w:val="0"/>
                <w:sz w:val="13"/>
                <w:szCs w:val="13"/>
                <w:u w:val="single"/>
              </w:rPr>
            </w:pPr>
            <w:hyperlink w:anchor="Srv_27BingMapsSvrandContentPack" w:history="1">
              <w:r w:rsidRPr="001E1017">
                <w:rPr>
                  <w:rStyle w:val="Hyperlink"/>
                  <w:rFonts w:cs="Tahoma"/>
                  <w:b/>
                  <w:sz w:val="13"/>
                  <w:szCs w:val="13"/>
                </w:rPr>
                <w:t>27</w:t>
              </w:r>
            </w:hyperlink>
          </w:p>
        </w:tc>
        <w:tc>
          <w:tcPr>
            <w:tcW w:w="450" w:type="dxa"/>
            <w:shd w:val="clear" w:color="auto" w:fill="FFFFFF"/>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08/09</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200 crediti</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200</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FFFFF"/>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86" w:type="dxa"/>
            <w:shd w:val="clear" w:color="auto" w:fill="FFFFF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ABF8F"/>
          </w:tcPr>
          <w:p w:rsidR="00A92422" w:rsidRPr="00873B3F" w:rsidRDefault="00A92422" w:rsidP="00EA30FC">
            <w:pPr>
              <w:pStyle w:val="ProductNames"/>
              <w:spacing w:beforeLines="20" w:before="48" w:afterLines="20" w:after="48"/>
              <w:rPr>
                <w:rFonts w:ascii="Tahoma" w:hAnsi="Tahoma" w:cs="Tahoma"/>
                <w:sz w:val="14"/>
                <w:szCs w:val="14"/>
              </w:rPr>
            </w:pPr>
            <w:bookmarkStart w:id="159" w:name="_Toc336337910"/>
            <w:bookmarkStart w:id="160" w:name="_Toc342899980"/>
            <w:bookmarkEnd w:id="159"/>
            <w:r w:rsidRPr="00873B3F">
              <w:rPr>
                <w:rFonts w:ascii="Tahoma" w:hAnsi="Tahoma" w:cs="Tahoma"/>
                <w:sz w:val="14"/>
                <w:szCs w:val="14"/>
                <w:lang w:val="it-IT"/>
              </w:rPr>
              <w:t>CAL per Bing Maps Server</w:t>
            </w:r>
            <w:bookmarkEnd w:id="160"/>
          </w:p>
        </w:tc>
        <w:tc>
          <w:tcPr>
            <w:tcW w:w="450" w:type="dxa"/>
            <w:shd w:val="clear" w:color="auto" w:fill="FABF8F"/>
            <w:vAlign w:val="center"/>
          </w:tcPr>
          <w:p w:rsidR="00A92422" w:rsidRPr="001E1017" w:rsidRDefault="00A92422" w:rsidP="00EA30FC">
            <w:pPr>
              <w:pStyle w:val="TableText"/>
              <w:widowControl w:val="0"/>
              <w:rPr>
                <w:rStyle w:val="EndnoteReference"/>
                <w:rFonts w:cs="Tahoma"/>
                <w:b w:val="0"/>
                <w:sz w:val="13"/>
                <w:szCs w:val="13"/>
                <w:u w:val="single"/>
              </w:rPr>
            </w:pPr>
            <w:hyperlink w:anchor="Srv_27BingMapsSvrandContentPack" w:history="1">
              <w:r w:rsidRPr="001E1017">
                <w:rPr>
                  <w:rStyle w:val="Hyperlink"/>
                  <w:rFonts w:cs="Tahoma"/>
                  <w:b/>
                  <w:sz w:val="13"/>
                  <w:szCs w:val="13"/>
                </w:rPr>
                <w:t>27</w:t>
              </w:r>
            </w:hyperlink>
          </w:p>
        </w:tc>
        <w:tc>
          <w:tcPr>
            <w:tcW w:w="450" w:type="dxa"/>
            <w:shd w:val="clear" w:color="auto" w:fill="FABF8F"/>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08/09</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1 punto</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ABF8F"/>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FFFFF"/>
          </w:tcPr>
          <w:p w:rsidR="00A92422" w:rsidRPr="00873B3F" w:rsidRDefault="00A92422" w:rsidP="00EA30FC">
            <w:pPr>
              <w:pStyle w:val="ProductNames"/>
              <w:spacing w:beforeLines="20" w:before="48" w:afterLines="20" w:after="48"/>
              <w:rPr>
                <w:rFonts w:ascii="Tahoma" w:hAnsi="Tahoma" w:cs="Tahoma"/>
                <w:sz w:val="14"/>
                <w:szCs w:val="14"/>
              </w:rPr>
            </w:pPr>
            <w:bookmarkStart w:id="161" w:name="_Toc336337911"/>
            <w:bookmarkStart w:id="162" w:name="_Toc342899981"/>
            <w:bookmarkEnd w:id="161"/>
            <w:r w:rsidRPr="00873B3F">
              <w:rPr>
                <w:rFonts w:ascii="Tahoma" w:hAnsi="Tahoma" w:cs="Tahoma"/>
                <w:sz w:val="14"/>
                <w:szCs w:val="14"/>
                <w:lang w:val="it-IT"/>
              </w:rPr>
              <w:t>Bing Maps Server con Enhanced Content Pack</w:t>
            </w:r>
            <w:bookmarkEnd w:id="162"/>
            <w:r w:rsidRPr="00873B3F">
              <w:rPr>
                <w:rFonts w:ascii="Tahoma" w:hAnsi="Tahoma" w:cs="Tahoma"/>
                <w:sz w:val="14"/>
                <w:szCs w:val="14"/>
              </w:rPr>
              <w:t xml:space="preserve"> </w:t>
            </w:r>
          </w:p>
        </w:tc>
        <w:tc>
          <w:tcPr>
            <w:tcW w:w="450" w:type="dxa"/>
            <w:shd w:val="clear" w:color="auto" w:fill="FFFFFF"/>
            <w:vAlign w:val="center"/>
          </w:tcPr>
          <w:p w:rsidR="00A92422" w:rsidRPr="001E1017" w:rsidRDefault="00A92422" w:rsidP="00EA30FC">
            <w:pPr>
              <w:pStyle w:val="TableText"/>
              <w:widowControl w:val="0"/>
              <w:rPr>
                <w:rStyle w:val="EndnoteReference"/>
                <w:rFonts w:cs="Tahoma"/>
                <w:b w:val="0"/>
                <w:sz w:val="13"/>
                <w:szCs w:val="13"/>
                <w:u w:val="single"/>
              </w:rPr>
            </w:pPr>
            <w:hyperlink w:anchor="Srv_27BingMapsSvrandContentPack" w:history="1">
              <w:r w:rsidRPr="001E1017">
                <w:rPr>
                  <w:rStyle w:val="Hyperlink"/>
                  <w:rFonts w:cs="Tahoma"/>
                  <w:b/>
                  <w:sz w:val="13"/>
                  <w:szCs w:val="13"/>
                </w:rPr>
                <w:t>27</w:t>
              </w:r>
            </w:hyperlink>
          </w:p>
        </w:tc>
        <w:tc>
          <w:tcPr>
            <w:tcW w:w="450" w:type="dxa"/>
            <w:shd w:val="clear" w:color="auto" w:fill="FFFFFF"/>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08/09</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200 crediti</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200</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FFFFF"/>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86" w:type="dxa"/>
            <w:shd w:val="clear" w:color="auto" w:fill="FFFFF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ABF8F"/>
          </w:tcPr>
          <w:p w:rsidR="00A92422" w:rsidRPr="00873B3F" w:rsidRDefault="00A92422" w:rsidP="00EA30FC">
            <w:pPr>
              <w:pStyle w:val="Heading3"/>
              <w:spacing w:beforeLines="20" w:before="48" w:afterLines="20" w:after="48"/>
              <w:rPr>
                <w:rFonts w:ascii="Tahoma" w:hAnsi="Tahoma" w:cs="Tahoma"/>
                <w:b w:val="0"/>
                <w:sz w:val="14"/>
                <w:szCs w:val="14"/>
              </w:rPr>
            </w:pPr>
            <w:bookmarkStart w:id="163" w:name="_Toc315288746"/>
            <w:bookmarkStart w:id="164" w:name="_Toc336337912"/>
            <w:bookmarkStart w:id="165" w:name="_Toc342899982"/>
            <w:bookmarkEnd w:id="163"/>
            <w:bookmarkEnd w:id="164"/>
            <w:r w:rsidRPr="00873B3F">
              <w:rPr>
                <w:rFonts w:ascii="Tahoma" w:hAnsi="Tahoma" w:cs="Tahoma"/>
                <w:b w:val="0"/>
                <w:sz w:val="14"/>
                <w:szCs w:val="14"/>
                <w:lang w:val="it-IT"/>
              </w:rPr>
              <w:t>CAL per Bing Maps Server con Enhanced Content Pack</w:t>
            </w:r>
            <w:bookmarkEnd w:id="165"/>
          </w:p>
        </w:tc>
        <w:tc>
          <w:tcPr>
            <w:tcW w:w="450" w:type="dxa"/>
            <w:shd w:val="clear" w:color="auto" w:fill="FABF8F"/>
            <w:vAlign w:val="center"/>
          </w:tcPr>
          <w:p w:rsidR="00A92422" w:rsidRPr="001E1017" w:rsidRDefault="00A92422" w:rsidP="00EA30FC">
            <w:pPr>
              <w:pStyle w:val="TableText"/>
              <w:widowControl w:val="0"/>
              <w:rPr>
                <w:rStyle w:val="EndnoteReference"/>
                <w:rFonts w:cs="Tahoma"/>
                <w:b w:val="0"/>
                <w:sz w:val="13"/>
                <w:szCs w:val="13"/>
                <w:u w:val="single"/>
              </w:rPr>
            </w:pPr>
            <w:hyperlink w:anchor="Srv_27BingMapsSvrandContentPack" w:history="1">
              <w:r w:rsidRPr="001E1017">
                <w:rPr>
                  <w:rStyle w:val="Hyperlink"/>
                  <w:rFonts w:cs="Tahoma"/>
                  <w:b/>
                  <w:sz w:val="13"/>
                  <w:szCs w:val="13"/>
                </w:rPr>
                <w:t>27</w:t>
              </w:r>
            </w:hyperlink>
          </w:p>
        </w:tc>
        <w:tc>
          <w:tcPr>
            <w:tcW w:w="450" w:type="dxa"/>
            <w:shd w:val="clear" w:color="auto" w:fill="FABF8F"/>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08/09</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27 crediti</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27</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ABF8F"/>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FFFFF"/>
          </w:tcPr>
          <w:p w:rsidR="00A92422" w:rsidRPr="00873B3F" w:rsidRDefault="00A92422" w:rsidP="00EA30FC">
            <w:pPr>
              <w:pStyle w:val="ProductNames"/>
              <w:spacing w:beforeLines="20" w:before="48" w:afterLines="20" w:after="48"/>
              <w:rPr>
                <w:rFonts w:ascii="Tahoma" w:hAnsi="Tahoma" w:cs="Tahoma"/>
                <w:sz w:val="14"/>
                <w:szCs w:val="14"/>
              </w:rPr>
            </w:pPr>
            <w:bookmarkStart w:id="166" w:name="_Toc315288747"/>
            <w:bookmarkStart w:id="167" w:name="_Toc336337913"/>
            <w:bookmarkStart w:id="168" w:name="_Toc342899983"/>
            <w:bookmarkEnd w:id="166"/>
            <w:bookmarkEnd w:id="167"/>
            <w:r w:rsidRPr="00873B3F">
              <w:rPr>
                <w:rFonts w:ascii="Tahoma" w:hAnsi="Tahoma" w:cs="Tahoma"/>
                <w:sz w:val="14"/>
                <w:szCs w:val="14"/>
                <w:lang w:val="it-IT"/>
              </w:rPr>
              <w:t xml:space="preserve">Bing Maps Standard o Professional </w:t>
            </w:r>
            <w:r>
              <w:rPr>
                <w:rFonts w:ascii="Tahoma" w:hAnsi="Tahoma" w:cs="Tahoma"/>
                <w:sz w:val="14"/>
                <w:szCs w:val="14"/>
                <w:lang w:val="it-IT"/>
              </w:rPr>
              <w:br/>
            </w:r>
            <w:r w:rsidRPr="00873B3F">
              <w:rPr>
                <w:rFonts w:ascii="Tahoma" w:hAnsi="Tahoma" w:cs="Tahoma"/>
                <w:sz w:val="14"/>
                <w:szCs w:val="14"/>
                <w:lang w:val="it-IT"/>
              </w:rPr>
              <w:t>(SL Utente)</w:t>
            </w:r>
            <w:bookmarkEnd w:id="168"/>
          </w:p>
        </w:tc>
        <w:tc>
          <w:tcPr>
            <w:tcW w:w="450" w:type="dxa"/>
            <w:shd w:val="clear" w:color="auto" w:fill="FFFFFF"/>
            <w:vAlign w:val="center"/>
          </w:tcPr>
          <w:p w:rsidR="00A92422" w:rsidRPr="001E1017" w:rsidRDefault="00A92422" w:rsidP="00EA30FC">
            <w:pPr>
              <w:pStyle w:val="TableText"/>
              <w:widowControl w:val="0"/>
              <w:rPr>
                <w:rStyle w:val="EndnoteReference"/>
                <w:rFonts w:cs="Tahoma"/>
                <w:sz w:val="13"/>
                <w:szCs w:val="13"/>
                <w:u w:val="single"/>
              </w:rPr>
            </w:pPr>
          </w:p>
        </w:tc>
        <w:tc>
          <w:tcPr>
            <w:tcW w:w="450" w:type="dxa"/>
            <w:shd w:val="clear" w:color="auto" w:fill="FFFFFF"/>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01/08</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1 punto</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FFFFF"/>
          </w:tcPr>
          <w:p w:rsidR="00A92422" w:rsidRPr="00D87B79" w:rsidRDefault="00A92422" w:rsidP="00EA30FC">
            <w:pPr>
              <w:pStyle w:val="TableText"/>
              <w:widowControl w:val="0"/>
              <w:rPr>
                <w:rFonts w:ascii="Tahoma" w:hAnsi="Tahoma" w:cs="Tahoma"/>
                <w:sz w:val="13"/>
              </w:rPr>
            </w:pPr>
          </w:p>
        </w:tc>
        <w:tc>
          <w:tcPr>
            <w:tcW w:w="486"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OL/OV</w:t>
            </w:r>
          </w:p>
        </w:tc>
      </w:tr>
      <w:tr w:rsidR="00A92422" w:rsidRPr="00D87B79" w:rsidTr="00EA30FC">
        <w:trPr>
          <w:trHeight w:val="145"/>
        </w:trPr>
        <w:tc>
          <w:tcPr>
            <w:tcW w:w="2714" w:type="dxa"/>
            <w:shd w:val="clear" w:color="auto" w:fill="FABF8F"/>
          </w:tcPr>
          <w:p w:rsidR="00A92422" w:rsidRPr="00873B3F" w:rsidRDefault="00A92422" w:rsidP="00EA30FC">
            <w:pPr>
              <w:pStyle w:val="ProductNames"/>
              <w:spacing w:beforeLines="20" w:before="48" w:afterLines="20" w:after="48"/>
              <w:rPr>
                <w:rFonts w:ascii="Tahoma" w:hAnsi="Tahoma" w:cs="Tahoma"/>
                <w:sz w:val="14"/>
                <w:szCs w:val="14"/>
              </w:rPr>
            </w:pPr>
            <w:bookmarkStart w:id="169" w:name="_Toc336337914"/>
            <w:bookmarkStart w:id="170" w:name="_Toc342899984"/>
            <w:bookmarkEnd w:id="169"/>
            <w:r w:rsidRPr="00873B3F">
              <w:rPr>
                <w:rFonts w:ascii="Tahoma" w:hAnsi="Tahoma" w:cs="Tahoma"/>
                <w:sz w:val="14"/>
                <w:szCs w:val="14"/>
                <w:lang w:val="it-IT"/>
              </w:rPr>
              <w:t>Bing Maps Standard (SL Servizi)</w:t>
            </w:r>
            <w:bookmarkEnd w:id="170"/>
          </w:p>
        </w:tc>
        <w:tc>
          <w:tcPr>
            <w:tcW w:w="450" w:type="dxa"/>
            <w:shd w:val="clear" w:color="auto" w:fill="FABF8F"/>
            <w:vAlign w:val="center"/>
          </w:tcPr>
          <w:p w:rsidR="00A92422" w:rsidRPr="001E1017" w:rsidRDefault="00A92422" w:rsidP="00EA30FC">
            <w:pPr>
              <w:pStyle w:val="TableText"/>
              <w:widowControl w:val="0"/>
              <w:rPr>
                <w:rStyle w:val="EndnoteReference"/>
                <w:rFonts w:cs="Tahoma"/>
                <w:sz w:val="13"/>
                <w:szCs w:val="13"/>
                <w:u w:val="single"/>
              </w:rPr>
            </w:pPr>
          </w:p>
        </w:tc>
        <w:tc>
          <w:tcPr>
            <w:tcW w:w="450" w:type="dxa"/>
            <w:shd w:val="clear" w:color="auto" w:fill="FABF8F"/>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01/08</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rPr>
            </w:pPr>
            <w:r w:rsidRPr="00D87B79">
              <w:rPr>
                <w:rFonts w:ascii="Tahoma" w:hAnsi="Tahoma" w:cs="Tahoma"/>
                <w:sz w:val="13"/>
                <w:lang w:val="it-IT"/>
              </w:rPr>
              <w:t>75 crediti</w:t>
            </w:r>
          </w:p>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ABF8F"/>
          </w:tcPr>
          <w:p w:rsidR="00A92422" w:rsidRPr="00D87B79" w:rsidRDefault="00A92422" w:rsidP="00EA30FC">
            <w:pPr>
              <w:pStyle w:val="TableText"/>
              <w:widowControl w:val="0"/>
              <w:rPr>
                <w:rFonts w:ascii="Tahoma" w:hAnsi="Tahoma" w:cs="Tahoma"/>
                <w:sz w:val="13"/>
              </w:rPr>
            </w:pP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OL/OV</w:t>
            </w:r>
          </w:p>
        </w:tc>
      </w:tr>
      <w:tr w:rsidR="00A92422" w:rsidRPr="00D87B79" w:rsidTr="00EA30FC">
        <w:trPr>
          <w:trHeight w:val="145"/>
        </w:trPr>
        <w:tc>
          <w:tcPr>
            <w:tcW w:w="2714" w:type="dxa"/>
            <w:shd w:val="clear" w:color="auto" w:fill="FFFFFF"/>
          </w:tcPr>
          <w:p w:rsidR="00A92422" w:rsidRPr="00873B3F" w:rsidRDefault="00A92422" w:rsidP="00EA30FC">
            <w:pPr>
              <w:pStyle w:val="ProductNames"/>
              <w:spacing w:beforeLines="20" w:before="48" w:afterLines="20" w:after="48"/>
              <w:rPr>
                <w:rFonts w:ascii="Tahoma" w:hAnsi="Tahoma" w:cs="Tahoma"/>
                <w:sz w:val="14"/>
                <w:szCs w:val="14"/>
              </w:rPr>
            </w:pPr>
            <w:bookmarkStart w:id="171" w:name="_Toc336337915"/>
            <w:bookmarkStart w:id="172" w:name="_Toc342899985"/>
            <w:bookmarkEnd w:id="171"/>
            <w:r w:rsidRPr="00873B3F">
              <w:rPr>
                <w:rFonts w:ascii="Tahoma" w:hAnsi="Tahoma" w:cs="Tahoma"/>
                <w:sz w:val="14"/>
                <w:szCs w:val="14"/>
                <w:lang w:val="it-IT"/>
              </w:rPr>
              <w:t>Bing Maps Professional (SL Servizi)</w:t>
            </w:r>
            <w:bookmarkEnd w:id="172"/>
          </w:p>
        </w:tc>
        <w:tc>
          <w:tcPr>
            <w:tcW w:w="450" w:type="dxa"/>
            <w:shd w:val="clear" w:color="auto" w:fill="FFFFFF"/>
            <w:vAlign w:val="center"/>
          </w:tcPr>
          <w:p w:rsidR="00A92422" w:rsidRPr="001E1017" w:rsidRDefault="00A92422" w:rsidP="00EA30FC">
            <w:pPr>
              <w:pStyle w:val="TableText"/>
              <w:widowControl w:val="0"/>
              <w:rPr>
                <w:rStyle w:val="EndnoteReference"/>
                <w:rFonts w:cs="Tahoma"/>
                <w:sz w:val="13"/>
                <w:szCs w:val="13"/>
                <w:u w:val="single"/>
              </w:rPr>
            </w:pPr>
          </w:p>
        </w:tc>
        <w:tc>
          <w:tcPr>
            <w:tcW w:w="450" w:type="dxa"/>
            <w:shd w:val="clear" w:color="auto" w:fill="FFFFFF"/>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01/08</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rPr>
            </w:pPr>
            <w:r w:rsidRPr="00D87B79">
              <w:rPr>
                <w:rFonts w:ascii="Tahoma" w:hAnsi="Tahoma" w:cs="Tahoma"/>
                <w:sz w:val="13"/>
                <w:lang w:val="it-IT"/>
              </w:rPr>
              <w:t>125 crediti</w:t>
            </w:r>
          </w:p>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FFFFF"/>
          </w:tcPr>
          <w:p w:rsidR="00A92422" w:rsidRPr="00D87B79" w:rsidRDefault="00A92422" w:rsidP="00EA30FC">
            <w:pPr>
              <w:pStyle w:val="TableText"/>
              <w:widowControl w:val="0"/>
              <w:rPr>
                <w:rFonts w:ascii="Tahoma" w:hAnsi="Tahoma" w:cs="Tahoma"/>
                <w:sz w:val="13"/>
              </w:rPr>
            </w:pPr>
          </w:p>
        </w:tc>
        <w:tc>
          <w:tcPr>
            <w:tcW w:w="486"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OL/OV</w:t>
            </w:r>
          </w:p>
        </w:tc>
      </w:tr>
      <w:tr w:rsidR="00A92422" w:rsidRPr="00D87B79" w:rsidTr="00EA30FC">
        <w:trPr>
          <w:trHeight w:val="305"/>
        </w:trPr>
        <w:tc>
          <w:tcPr>
            <w:tcW w:w="2714" w:type="dxa"/>
            <w:shd w:val="clear" w:color="auto" w:fill="FABF8F"/>
            <w:vAlign w:val="center"/>
          </w:tcPr>
          <w:p w:rsidR="00A92422" w:rsidRPr="00873B3F" w:rsidRDefault="00A92422" w:rsidP="00EA30FC">
            <w:pPr>
              <w:pStyle w:val="ProductNames"/>
              <w:spacing w:before="0" w:after="0"/>
              <w:rPr>
                <w:rFonts w:ascii="Tahoma" w:hAnsi="Tahoma" w:cs="Tahoma"/>
                <w:sz w:val="14"/>
                <w:szCs w:val="14"/>
              </w:rPr>
            </w:pPr>
            <w:bookmarkStart w:id="173" w:name="_Toc336337916"/>
            <w:bookmarkStart w:id="174" w:name="_Toc342899986"/>
            <w:bookmarkEnd w:id="173"/>
            <w:r w:rsidRPr="00873B3F">
              <w:rPr>
                <w:rFonts w:ascii="Tahoma" w:hAnsi="Tahoma" w:cs="Tahoma"/>
                <w:sz w:val="14"/>
                <w:szCs w:val="14"/>
                <w:lang w:val="it-IT"/>
              </w:rPr>
              <w:t>Bing Maps 25KTrx (SL Add-on)</w:t>
            </w:r>
            <w:bookmarkEnd w:id="174"/>
          </w:p>
        </w:tc>
        <w:tc>
          <w:tcPr>
            <w:tcW w:w="450" w:type="dxa"/>
            <w:shd w:val="clear" w:color="auto" w:fill="FABF8F"/>
            <w:vAlign w:val="center"/>
          </w:tcPr>
          <w:p w:rsidR="00A92422" w:rsidRPr="001E1017" w:rsidRDefault="00A92422" w:rsidP="00EA30FC">
            <w:pPr>
              <w:pStyle w:val="TableText"/>
              <w:widowControl w:val="0"/>
              <w:rPr>
                <w:rStyle w:val="EndnoteReference"/>
                <w:rFonts w:cs="Tahoma"/>
                <w:b w:val="0"/>
                <w:color w:val="0000FF"/>
                <w:sz w:val="13"/>
                <w:szCs w:val="13"/>
                <w:u w:val="single"/>
              </w:rPr>
            </w:pPr>
            <w:hyperlink w:anchor="_28_Bing_Maps" w:history="1">
              <w:r w:rsidRPr="001E1017">
                <w:rPr>
                  <w:rStyle w:val="Hyperlink"/>
                  <w:rFonts w:cs="Tahoma"/>
                  <w:b/>
                  <w:sz w:val="13"/>
                  <w:szCs w:val="13"/>
                </w:rPr>
                <w:t>28</w:t>
              </w:r>
            </w:hyperlink>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01/08</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rPr>
            </w:pPr>
            <w:r w:rsidRPr="00D87B79">
              <w:rPr>
                <w:rFonts w:ascii="Tahoma" w:hAnsi="Tahoma" w:cs="Tahoma"/>
                <w:sz w:val="13"/>
                <w:lang w:val="it-IT"/>
              </w:rPr>
              <w:t>200 crediti</w:t>
            </w:r>
          </w:p>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OL/OV</w:t>
            </w:r>
          </w:p>
        </w:tc>
      </w:tr>
      <w:tr w:rsidR="00A92422" w:rsidRPr="00D87B79" w:rsidTr="00EA30FC">
        <w:trPr>
          <w:trHeight w:val="145"/>
        </w:trPr>
        <w:tc>
          <w:tcPr>
            <w:tcW w:w="2714" w:type="dxa"/>
            <w:shd w:val="clear" w:color="auto" w:fill="FFFFFF"/>
          </w:tcPr>
          <w:p w:rsidR="00A92422" w:rsidRPr="00873B3F" w:rsidRDefault="00A92422" w:rsidP="00EA30FC">
            <w:pPr>
              <w:pStyle w:val="ProductNames"/>
              <w:spacing w:beforeLines="20" w:before="48" w:afterLines="20" w:after="48"/>
              <w:rPr>
                <w:rFonts w:ascii="Tahoma" w:hAnsi="Tahoma" w:cs="Tahoma"/>
                <w:sz w:val="14"/>
                <w:szCs w:val="14"/>
              </w:rPr>
            </w:pPr>
            <w:bookmarkStart w:id="175" w:name="_Toc336337917"/>
            <w:bookmarkStart w:id="176" w:name="_Toc342899987"/>
            <w:bookmarkEnd w:id="175"/>
            <w:r w:rsidRPr="00873B3F">
              <w:rPr>
                <w:rFonts w:ascii="Tahoma" w:hAnsi="Tahoma" w:cs="Tahoma"/>
                <w:sz w:val="14"/>
                <w:szCs w:val="14"/>
                <w:lang w:val="it-IT"/>
              </w:rPr>
              <w:t>Bing Maps 250KTrx (SL Add-on)</w:t>
            </w:r>
            <w:bookmarkEnd w:id="176"/>
          </w:p>
        </w:tc>
        <w:bookmarkStart w:id="177" w:name="_Hlt336250962"/>
        <w:bookmarkEnd w:id="177"/>
        <w:tc>
          <w:tcPr>
            <w:tcW w:w="450" w:type="dxa"/>
            <w:shd w:val="clear" w:color="auto" w:fill="FFFFFF"/>
            <w:vAlign w:val="center"/>
          </w:tcPr>
          <w:p w:rsidR="00A92422" w:rsidRPr="001E1017" w:rsidRDefault="00A92422" w:rsidP="00EA30FC">
            <w:pPr>
              <w:pStyle w:val="TableText"/>
              <w:widowControl w:val="0"/>
              <w:rPr>
                <w:rStyle w:val="EndnoteReference"/>
                <w:rFonts w:cs="Tahoma"/>
                <w:b w:val="0"/>
                <w:color w:val="0000FF"/>
                <w:sz w:val="13"/>
                <w:szCs w:val="13"/>
                <w:u w:val="single"/>
              </w:rPr>
            </w:pPr>
            <w:r w:rsidRPr="001E1017">
              <w:rPr>
                <w:rFonts w:cs="Tahoma"/>
                <w:sz w:val="13"/>
                <w:szCs w:val="13"/>
              </w:rPr>
              <w:fldChar w:fldCharType="begin"/>
            </w:r>
            <w:r w:rsidRPr="001E1017">
              <w:rPr>
                <w:rFonts w:cs="Tahoma"/>
                <w:sz w:val="13"/>
                <w:szCs w:val="13"/>
              </w:rPr>
              <w:instrText>HYPERLINK  \l "_Toc336338289"</w:instrText>
            </w:r>
            <w:r w:rsidRPr="001E1017">
              <w:rPr>
                <w:rFonts w:cs="Tahoma"/>
                <w:sz w:val="13"/>
                <w:szCs w:val="13"/>
              </w:rPr>
              <w:fldChar w:fldCharType="separate"/>
            </w:r>
            <w:r w:rsidRPr="001E1017">
              <w:rPr>
                <w:rStyle w:val="Hyperlink"/>
                <w:rFonts w:cs="Tahoma"/>
                <w:b/>
                <w:sz w:val="13"/>
                <w:szCs w:val="13"/>
              </w:rPr>
              <w:t>28</w:t>
            </w:r>
            <w:r w:rsidRPr="001E1017">
              <w:rPr>
                <w:rFonts w:cs="Tahoma"/>
                <w:sz w:val="13"/>
                <w:szCs w:val="13"/>
              </w:rPr>
              <w:fldChar w:fldCharType="end"/>
            </w:r>
          </w:p>
        </w:tc>
        <w:tc>
          <w:tcPr>
            <w:tcW w:w="450" w:type="dxa"/>
            <w:shd w:val="clear" w:color="auto" w:fill="FFFFFF"/>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01/08</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rPr>
            </w:pPr>
            <w:r w:rsidRPr="00D87B79">
              <w:rPr>
                <w:rFonts w:ascii="Tahoma" w:hAnsi="Tahoma" w:cs="Tahoma"/>
                <w:sz w:val="13"/>
                <w:lang w:val="it-IT"/>
              </w:rPr>
              <w:t>50 crediti</w:t>
            </w:r>
          </w:p>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FFFFF"/>
          </w:tcPr>
          <w:p w:rsidR="00A92422" w:rsidRPr="00D87B79" w:rsidRDefault="00A92422" w:rsidP="00EA30FC">
            <w:pPr>
              <w:pStyle w:val="TableText"/>
              <w:widowControl w:val="0"/>
              <w:rPr>
                <w:rFonts w:ascii="Tahoma" w:hAnsi="Tahoma" w:cs="Tahoma"/>
                <w:sz w:val="13"/>
              </w:rPr>
            </w:pPr>
          </w:p>
        </w:tc>
        <w:tc>
          <w:tcPr>
            <w:tcW w:w="486"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OL/OV</w:t>
            </w:r>
          </w:p>
        </w:tc>
      </w:tr>
      <w:tr w:rsidR="00A92422" w:rsidRPr="00D87B79" w:rsidTr="00EA30FC">
        <w:trPr>
          <w:trHeight w:val="145"/>
        </w:trPr>
        <w:tc>
          <w:tcPr>
            <w:tcW w:w="2714" w:type="dxa"/>
            <w:shd w:val="clear" w:color="auto" w:fill="FABF8F"/>
          </w:tcPr>
          <w:p w:rsidR="00A92422" w:rsidRPr="00873B3F" w:rsidDel="00180075" w:rsidRDefault="00A92422" w:rsidP="00EA30FC">
            <w:pPr>
              <w:pStyle w:val="ProductNames"/>
              <w:spacing w:beforeLines="20" w:before="48" w:afterLines="20" w:after="48"/>
              <w:rPr>
                <w:rFonts w:ascii="Tahoma" w:hAnsi="Tahoma" w:cs="Tahoma"/>
                <w:sz w:val="14"/>
                <w:szCs w:val="14"/>
              </w:rPr>
            </w:pPr>
            <w:bookmarkStart w:id="178" w:name="_Toc336337918"/>
            <w:bookmarkStart w:id="179" w:name="_Toc342899988"/>
            <w:bookmarkEnd w:id="178"/>
            <w:r w:rsidRPr="00873B3F">
              <w:rPr>
                <w:rFonts w:ascii="Tahoma" w:hAnsi="Tahoma" w:cs="Tahoma"/>
                <w:sz w:val="14"/>
                <w:szCs w:val="14"/>
                <w:lang w:val="it-IT"/>
              </w:rPr>
              <w:t>Bing Maps Unlimited Trx (SL Add-on)</w:t>
            </w:r>
            <w:bookmarkEnd w:id="179"/>
          </w:p>
        </w:tc>
        <w:tc>
          <w:tcPr>
            <w:tcW w:w="450" w:type="dxa"/>
            <w:shd w:val="clear" w:color="auto" w:fill="FABF8F"/>
            <w:vAlign w:val="center"/>
          </w:tcPr>
          <w:p w:rsidR="00A92422" w:rsidRPr="001E1017" w:rsidRDefault="00A92422" w:rsidP="00EA30FC">
            <w:pPr>
              <w:pStyle w:val="TableText"/>
              <w:widowControl w:val="0"/>
              <w:rPr>
                <w:rFonts w:cs="Tahoma"/>
                <w:b/>
                <w:sz w:val="13"/>
                <w:szCs w:val="13"/>
                <w:u w:val="single"/>
              </w:rPr>
            </w:pPr>
          </w:p>
        </w:tc>
        <w:tc>
          <w:tcPr>
            <w:tcW w:w="450" w:type="dxa"/>
            <w:shd w:val="clear" w:color="auto" w:fill="FABF8F"/>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1/10</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200 crediti</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ABF8F"/>
          </w:tcPr>
          <w:p w:rsidR="00A92422" w:rsidRPr="00D87B79" w:rsidRDefault="00A92422" w:rsidP="00EA30FC">
            <w:pPr>
              <w:pStyle w:val="TableText"/>
              <w:widowControl w:val="0"/>
              <w:rPr>
                <w:rFonts w:ascii="Tahoma" w:hAnsi="Tahoma" w:cs="Tahoma"/>
                <w:sz w:val="13"/>
              </w:rPr>
            </w:pP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OL/OV</w:t>
            </w:r>
          </w:p>
        </w:tc>
      </w:tr>
      <w:tr w:rsidR="00A92422" w:rsidRPr="00D87B79" w:rsidTr="00EA30FC">
        <w:trPr>
          <w:trHeight w:val="145"/>
        </w:trPr>
        <w:tc>
          <w:tcPr>
            <w:tcW w:w="2714" w:type="dxa"/>
            <w:shd w:val="clear" w:color="auto" w:fill="FFFFFF"/>
            <w:vAlign w:val="center"/>
          </w:tcPr>
          <w:p w:rsidR="00A92422" w:rsidRPr="00873B3F" w:rsidRDefault="00A92422" w:rsidP="00EA30FC">
            <w:pPr>
              <w:pStyle w:val="ProductNames"/>
              <w:spacing w:beforeLines="20" w:before="48" w:afterLines="20" w:after="48"/>
              <w:rPr>
                <w:rFonts w:ascii="Tahoma" w:hAnsi="Tahoma" w:cs="Tahoma"/>
                <w:sz w:val="14"/>
                <w:szCs w:val="14"/>
              </w:rPr>
            </w:pPr>
            <w:bookmarkStart w:id="180" w:name="_Toc336337919"/>
            <w:bookmarkStart w:id="181" w:name="_Toc342899989"/>
            <w:bookmarkEnd w:id="180"/>
            <w:r w:rsidRPr="00873B3F">
              <w:rPr>
                <w:rFonts w:ascii="Tahoma" w:hAnsi="Tahoma" w:cs="Tahoma"/>
                <w:sz w:val="14"/>
                <w:szCs w:val="14"/>
                <w:lang w:val="it-IT"/>
              </w:rPr>
              <w:t>BizTalk</w:t>
            </w:r>
            <w:r w:rsidRPr="003A0F2F">
              <w:rPr>
                <w:rFonts w:ascii="Tahoma" w:hAnsi="Tahoma" w:cs="Tahoma"/>
                <w:sz w:val="14"/>
                <w:szCs w:val="14"/>
                <w:vertAlign w:val="superscript"/>
                <w:lang w:val="it-IT"/>
              </w:rPr>
              <w:t>®</w:t>
            </w:r>
            <w:r w:rsidRPr="00873B3F">
              <w:rPr>
                <w:rFonts w:ascii="Tahoma" w:hAnsi="Tahoma" w:cs="Tahoma"/>
                <w:sz w:val="14"/>
                <w:szCs w:val="14"/>
                <w:lang w:val="it-IT"/>
              </w:rPr>
              <w:t xml:space="preserve"> Server 2010 Branch Edition</w:t>
            </w:r>
            <w:bookmarkEnd w:id="181"/>
            <w:r w:rsidRPr="00873B3F">
              <w:rPr>
                <w:rFonts w:ascii="Tahoma" w:hAnsi="Tahoma" w:cs="Tahoma"/>
                <w:sz w:val="14"/>
                <w:szCs w:val="14"/>
              </w:rPr>
              <w:t xml:space="preserve"> </w:t>
            </w:r>
          </w:p>
        </w:tc>
        <w:tc>
          <w:tcPr>
            <w:tcW w:w="450" w:type="dxa"/>
            <w:shd w:val="clear" w:color="auto" w:fill="FFFFFF"/>
            <w:vAlign w:val="center"/>
          </w:tcPr>
          <w:p w:rsidR="00A92422" w:rsidRPr="001E1017" w:rsidRDefault="00A92422" w:rsidP="00EA30FC">
            <w:pPr>
              <w:pStyle w:val="TableText"/>
              <w:widowControl w:val="0"/>
              <w:rPr>
                <w:rStyle w:val="EndnoteReference"/>
                <w:rFonts w:cs="Tahoma"/>
                <w:b w:val="0"/>
                <w:color w:val="0000FF"/>
                <w:sz w:val="13"/>
                <w:szCs w:val="13"/>
                <w:u w:val="single"/>
              </w:rPr>
            </w:pPr>
            <w:hyperlink w:anchor="Srv_26_BizTalkServerBranch" w:history="1">
              <w:r w:rsidRPr="001E1017">
                <w:rPr>
                  <w:rStyle w:val="Hyperlink"/>
                  <w:rFonts w:cs="Tahoma"/>
                  <w:b/>
                  <w:sz w:val="13"/>
                  <w:szCs w:val="13"/>
                </w:rPr>
                <w:t>29</w:t>
              </w:r>
            </w:hyperlink>
          </w:p>
        </w:tc>
        <w:tc>
          <w:tcPr>
            <w:tcW w:w="450" w:type="dxa"/>
            <w:shd w:val="clear" w:color="auto" w:fill="FFFFFF"/>
          </w:tcPr>
          <w:p w:rsidR="00A92422" w:rsidRPr="00D87B79" w:rsidRDefault="00A92422" w:rsidP="00EA30FC">
            <w:pPr>
              <w:pStyle w:val="TableText"/>
              <w:widowControl w:val="0"/>
              <w:spacing w:before="120"/>
              <w:rPr>
                <w:rFonts w:ascii="Tahoma" w:hAnsi="Tahoma" w:cs="Tahoma"/>
                <w:color w:val="000000"/>
                <w:sz w:val="13"/>
              </w:rPr>
            </w:pPr>
            <w:r w:rsidRPr="00D87B79">
              <w:rPr>
                <w:rFonts w:ascii="Tahoma" w:hAnsi="Tahoma" w:cs="Tahoma"/>
                <w:color w:val="000000"/>
                <w:sz w:val="13"/>
              </w:rPr>
              <w:t>10/10</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SRV</w:t>
            </w: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25</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63</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38</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38</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25</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13</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25</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25</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25</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A,S,D</w:t>
            </w: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FFFFF"/>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lang w:val="it-IT"/>
              </w:rPr>
              <w:t>A</w:t>
            </w:r>
          </w:p>
        </w:tc>
        <w:tc>
          <w:tcPr>
            <w:tcW w:w="486"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OL/OV</w:t>
            </w:r>
          </w:p>
        </w:tc>
      </w:tr>
      <w:tr w:rsidR="00A92422" w:rsidRPr="00D87B79" w:rsidTr="00EA30FC">
        <w:trPr>
          <w:trHeight w:val="145"/>
        </w:trPr>
        <w:tc>
          <w:tcPr>
            <w:tcW w:w="2714" w:type="dxa"/>
            <w:shd w:val="clear" w:color="auto" w:fill="FABF8F"/>
            <w:vAlign w:val="center"/>
          </w:tcPr>
          <w:p w:rsidR="00A92422" w:rsidRPr="00873B3F" w:rsidRDefault="00A92422" w:rsidP="00EA30FC">
            <w:pPr>
              <w:pStyle w:val="ProductNames"/>
              <w:spacing w:beforeLines="20" w:before="48" w:afterLines="20" w:after="48"/>
              <w:rPr>
                <w:rFonts w:ascii="Tahoma" w:hAnsi="Tahoma" w:cs="Tahoma"/>
                <w:sz w:val="14"/>
                <w:szCs w:val="14"/>
              </w:rPr>
            </w:pPr>
            <w:bookmarkStart w:id="182" w:name="_Toc336337920"/>
            <w:bookmarkStart w:id="183" w:name="_Toc342899990"/>
            <w:bookmarkEnd w:id="182"/>
            <w:r w:rsidRPr="00873B3F">
              <w:rPr>
                <w:rFonts w:ascii="Tahoma" w:hAnsi="Tahoma" w:cs="Tahoma"/>
                <w:sz w:val="14"/>
                <w:szCs w:val="14"/>
                <w:lang w:val="it-IT"/>
              </w:rPr>
              <w:t>BizTalk</w:t>
            </w:r>
            <w:r w:rsidRPr="003A0F2F">
              <w:rPr>
                <w:rFonts w:ascii="Tahoma" w:hAnsi="Tahoma" w:cs="Tahoma"/>
                <w:sz w:val="14"/>
                <w:szCs w:val="14"/>
                <w:vertAlign w:val="superscript"/>
                <w:lang w:val="it-IT"/>
              </w:rPr>
              <w:t>®</w:t>
            </w:r>
            <w:r w:rsidRPr="00873B3F">
              <w:rPr>
                <w:rFonts w:ascii="Tahoma" w:hAnsi="Tahoma" w:cs="Tahoma"/>
                <w:sz w:val="14"/>
                <w:szCs w:val="14"/>
                <w:lang w:val="it-IT"/>
              </w:rPr>
              <w:t xml:space="preserve"> Server 2010 Enterprise Edition</w:t>
            </w:r>
            <w:bookmarkEnd w:id="183"/>
          </w:p>
        </w:tc>
        <w:tc>
          <w:tcPr>
            <w:tcW w:w="450" w:type="dxa"/>
            <w:shd w:val="clear" w:color="auto" w:fill="FABF8F"/>
            <w:vAlign w:val="center"/>
          </w:tcPr>
          <w:p w:rsidR="00A92422" w:rsidRPr="001E1017" w:rsidRDefault="00A92422" w:rsidP="00EA30FC">
            <w:pPr>
              <w:pStyle w:val="TableText"/>
              <w:widowControl w:val="0"/>
              <w:rPr>
                <w:rStyle w:val="EndnoteReference"/>
                <w:rFonts w:cs="Tahoma"/>
                <w:b w:val="0"/>
                <w:color w:val="0000FF"/>
                <w:sz w:val="13"/>
                <w:szCs w:val="13"/>
                <w:u w:val="single"/>
              </w:rPr>
            </w:pPr>
            <w:hyperlink w:anchor="Srv_27BizTalkSvr2009EntEd" w:history="1">
              <w:r w:rsidRPr="001E1017">
                <w:rPr>
                  <w:rStyle w:val="Hyperlink"/>
                  <w:rFonts w:cs="Tahoma"/>
                  <w:b/>
                  <w:sz w:val="13"/>
                  <w:szCs w:val="13"/>
                </w:rPr>
                <w:t>30</w:t>
              </w:r>
            </w:hyperlink>
          </w:p>
        </w:tc>
        <w:tc>
          <w:tcPr>
            <w:tcW w:w="450" w:type="dxa"/>
            <w:shd w:val="clear" w:color="auto" w:fill="FABF8F"/>
          </w:tcPr>
          <w:p w:rsidR="00A92422" w:rsidRPr="00D87B79" w:rsidRDefault="00A92422" w:rsidP="00EA30FC">
            <w:pPr>
              <w:pStyle w:val="TableText"/>
              <w:widowControl w:val="0"/>
              <w:spacing w:before="120"/>
              <w:rPr>
                <w:rFonts w:ascii="Tahoma" w:hAnsi="Tahoma" w:cs="Tahoma"/>
                <w:color w:val="000000"/>
                <w:sz w:val="13"/>
              </w:rPr>
            </w:pPr>
            <w:r w:rsidRPr="00D87B79">
              <w:rPr>
                <w:rFonts w:ascii="Tahoma" w:hAnsi="Tahoma" w:cs="Tahoma"/>
                <w:color w:val="000000"/>
                <w:sz w:val="13"/>
              </w:rPr>
              <w:t>10/10</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200</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500</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400</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300</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300</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200</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100</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200</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400</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200</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200</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A,S</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ABF8F"/>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lang w:val="it-IT"/>
              </w:rPr>
              <w:t>A</w:t>
            </w:r>
          </w:p>
        </w:tc>
        <w:tc>
          <w:tcPr>
            <w:tcW w:w="486"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OL/OV</w:t>
            </w:r>
            <w:r w:rsidRPr="00D87B79">
              <w:rPr>
                <w:rFonts w:ascii="Tahoma" w:hAnsi="Tahoma" w:cs="Tahoma"/>
              </w:rPr>
              <w:t xml:space="preserve"> </w:t>
            </w:r>
          </w:p>
        </w:tc>
      </w:tr>
      <w:tr w:rsidR="00A92422" w:rsidRPr="00D87B79" w:rsidTr="00EA30FC">
        <w:trPr>
          <w:trHeight w:val="145"/>
        </w:trPr>
        <w:tc>
          <w:tcPr>
            <w:tcW w:w="2714" w:type="dxa"/>
            <w:shd w:val="clear" w:color="auto" w:fill="FFFFFF"/>
            <w:vAlign w:val="center"/>
          </w:tcPr>
          <w:p w:rsidR="00A92422" w:rsidRPr="00873B3F" w:rsidRDefault="00A92422" w:rsidP="00EA30FC">
            <w:pPr>
              <w:pStyle w:val="ProductNames"/>
              <w:spacing w:beforeLines="20" w:before="48" w:afterLines="20" w:after="48"/>
              <w:rPr>
                <w:rFonts w:ascii="Tahoma" w:hAnsi="Tahoma" w:cs="Tahoma"/>
                <w:sz w:val="14"/>
                <w:szCs w:val="14"/>
              </w:rPr>
            </w:pPr>
            <w:bookmarkStart w:id="184" w:name="_Toc336337921"/>
            <w:bookmarkStart w:id="185" w:name="_Toc342899991"/>
            <w:bookmarkEnd w:id="184"/>
            <w:r w:rsidRPr="00873B3F">
              <w:rPr>
                <w:rFonts w:ascii="Tahoma" w:hAnsi="Tahoma" w:cs="Tahoma"/>
                <w:sz w:val="14"/>
                <w:szCs w:val="14"/>
                <w:lang w:val="it-IT"/>
              </w:rPr>
              <w:t>BizTalk</w:t>
            </w:r>
            <w:r w:rsidRPr="003A0F2F">
              <w:rPr>
                <w:rFonts w:ascii="Tahoma" w:hAnsi="Tahoma" w:cs="Tahoma"/>
                <w:sz w:val="14"/>
                <w:szCs w:val="14"/>
                <w:vertAlign w:val="superscript"/>
                <w:lang w:val="it-IT"/>
              </w:rPr>
              <w:t>®</w:t>
            </w:r>
            <w:r w:rsidRPr="00873B3F">
              <w:rPr>
                <w:rFonts w:ascii="Tahoma" w:hAnsi="Tahoma" w:cs="Tahoma"/>
                <w:sz w:val="14"/>
                <w:szCs w:val="14"/>
                <w:lang w:val="it-IT"/>
              </w:rPr>
              <w:t xml:space="preserve"> Server 2010 Enterprise RFID</w:t>
            </w:r>
            <w:bookmarkEnd w:id="185"/>
          </w:p>
        </w:tc>
        <w:tc>
          <w:tcPr>
            <w:tcW w:w="450" w:type="dxa"/>
            <w:shd w:val="clear" w:color="auto" w:fill="FFFFFF"/>
            <w:vAlign w:val="center"/>
          </w:tcPr>
          <w:p w:rsidR="00A92422" w:rsidRPr="001E1017" w:rsidRDefault="00A92422" w:rsidP="00EA30FC">
            <w:pPr>
              <w:pStyle w:val="TableText"/>
              <w:widowControl w:val="0"/>
              <w:rPr>
                <w:rFonts w:cs="Tahoma"/>
                <w:b/>
                <w:color w:val="0000FF"/>
                <w:sz w:val="13"/>
                <w:szCs w:val="13"/>
                <w:u w:val="single"/>
              </w:rPr>
            </w:pPr>
          </w:p>
        </w:tc>
        <w:tc>
          <w:tcPr>
            <w:tcW w:w="450" w:type="dxa"/>
            <w:shd w:val="clear" w:color="auto" w:fill="FFFFFF"/>
          </w:tcPr>
          <w:p w:rsidR="00A92422" w:rsidRPr="00D87B79" w:rsidRDefault="00A92422" w:rsidP="00EA30FC">
            <w:pPr>
              <w:pStyle w:val="TableText"/>
              <w:widowControl w:val="0"/>
              <w:spacing w:before="120"/>
              <w:rPr>
                <w:rFonts w:ascii="Tahoma" w:hAnsi="Tahoma" w:cs="Tahoma"/>
                <w:color w:val="000000"/>
                <w:sz w:val="13"/>
              </w:rPr>
            </w:pPr>
            <w:r w:rsidRPr="00D87B79">
              <w:rPr>
                <w:rFonts w:ascii="Tahoma" w:hAnsi="Tahoma" w:cs="Tahoma"/>
                <w:color w:val="000000"/>
                <w:sz w:val="13"/>
              </w:rPr>
              <w:t>10/10</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SRV</w:t>
            </w: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125</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100</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75</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75</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25</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100</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FFFFF"/>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lang w:val="it-IT"/>
              </w:rPr>
              <w:t>A</w:t>
            </w:r>
          </w:p>
        </w:tc>
        <w:tc>
          <w:tcPr>
            <w:tcW w:w="486"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OL/OV</w:t>
            </w:r>
          </w:p>
        </w:tc>
      </w:tr>
      <w:tr w:rsidR="00A92422" w:rsidRPr="00D87B79" w:rsidTr="00EA30FC">
        <w:trPr>
          <w:trHeight w:val="145"/>
        </w:trPr>
        <w:tc>
          <w:tcPr>
            <w:tcW w:w="2714" w:type="dxa"/>
            <w:shd w:val="clear" w:color="auto" w:fill="FABF8F"/>
            <w:vAlign w:val="center"/>
          </w:tcPr>
          <w:p w:rsidR="00A92422" w:rsidRPr="00873B3F" w:rsidRDefault="00A92422" w:rsidP="00EA30FC">
            <w:pPr>
              <w:pStyle w:val="ProductNames"/>
              <w:spacing w:beforeLines="20" w:before="48" w:afterLines="20" w:after="48"/>
              <w:rPr>
                <w:rFonts w:ascii="Tahoma" w:hAnsi="Tahoma" w:cs="Tahoma"/>
                <w:sz w:val="14"/>
                <w:szCs w:val="14"/>
              </w:rPr>
            </w:pPr>
            <w:bookmarkStart w:id="186" w:name="_Toc336337922"/>
            <w:bookmarkStart w:id="187" w:name="_Toc342899992"/>
            <w:bookmarkEnd w:id="186"/>
            <w:r w:rsidRPr="00873B3F">
              <w:rPr>
                <w:rFonts w:ascii="Tahoma" w:hAnsi="Tahoma" w:cs="Tahoma"/>
                <w:sz w:val="14"/>
                <w:szCs w:val="14"/>
                <w:lang w:val="it-IT"/>
              </w:rPr>
              <w:t>BizTalk</w:t>
            </w:r>
            <w:r w:rsidRPr="003A0F2F">
              <w:rPr>
                <w:rFonts w:ascii="Tahoma" w:hAnsi="Tahoma" w:cs="Tahoma"/>
                <w:sz w:val="14"/>
                <w:szCs w:val="14"/>
                <w:vertAlign w:val="superscript"/>
                <w:lang w:val="it-IT"/>
              </w:rPr>
              <w:t>®</w:t>
            </w:r>
            <w:r w:rsidRPr="00873B3F">
              <w:rPr>
                <w:rFonts w:ascii="Tahoma" w:hAnsi="Tahoma" w:cs="Tahoma"/>
                <w:sz w:val="14"/>
                <w:szCs w:val="14"/>
                <w:lang w:val="it-IT"/>
              </w:rPr>
              <w:t xml:space="preserve"> Server 2010 Standard Edition</w:t>
            </w:r>
            <w:bookmarkEnd w:id="187"/>
            <w:r w:rsidRPr="00873B3F">
              <w:rPr>
                <w:rFonts w:ascii="Tahoma" w:hAnsi="Tahoma" w:cs="Tahoma"/>
                <w:sz w:val="14"/>
                <w:szCs w:val="14"/>
              </w:rPr>
              <w:t xml:space="preserve"> </w:t>
            </w:r>
          </w:p>
        </w:tc>
        <w:tc>
          <w:tcPr>
            <w:tcW w:w="450" w:type="dxa"/>
            <w:shd w:val="clear" w:color="auto" w:fill="FABF8F"/>
            <w:vAlign w:val="center"/>
          </w:tcPr>
          <w:p w:rsidR="00A92422" w:rsidRPr="001E1017" w:rsidRDefault="00A92422" w:rsidP="00EA30FC">
            <w:pPr>
              <w:pStyle w:val="TableText"/>
              <w:widowControl w:val="0"/>
              <w:rPr>
                <w:rStyle w:val="EndnoteReference"/>
                <w:rFonts w:cs="Tahoma"/>
                <w:b w:val="0"/>
                <w:color w:val="0000FF"/>
                <w:sz w:val="13"/>
                <w:szCs w:val="13"/>
                <w:u w:val="single"/>
              </w:rPr>
            </w:pPr>
            <w:hyperlink w:anchor="Srv_28BizTalkSvr2009StandEd" w:history="1">
              <w:r w:rsidRPr="001E1017">
                <w:rPr>
                  <w:rStyle w:val="Hyperlink"/>
                  <w:rFonts w:cs="Tahoma"/>
                  <w:b/>
                  <w:sz w:val="13"/>
                  <w:szCs w:val="13"/>
                </w:rPr>
                <w:t>31</w:t>
              </w:r>
            </w:hyperlink>
          </w:p>
        </w:tc>
        <w:tc>
          <w:tcPr>
            <w:tcW w:w="450" w:type="dxa"/>
            <w:shd w:val="clear" w:color="auto" w:fill="FABF8F"/>
          </w:tcPr>
          <w:p w:rsidR="00A92422" w:rsidRPr="00D87B79" w:rsidRDefault="00A92422" w:rsidP="00EA30FC">
            <w:pPr>
              <w:pStyle w:val="TableText"/>
              <w:widowControl w:val="0"/>
              <w:spacing w:before="120"/>
              <w:rPr>
                <w:rFonts w:ascii="Tahoma" w:hAnsi="Tahoma" w:cs="Tahoma"/>
                <w:color w:val="000000"/>
                <w:sz w:val="13"/>
              </w:rPr>
            </w:pPr>
            <w:r w:rsidRPr="00D87B79">
              <w:rPr>
                <w:rFonts w:ascii="Tahoma" w:hAnsi="Tahoma" w:cs="Tahoma"/>
                <w:color w:val="000000"/>
                <w:sz w:val="13"/>
              </w:rPr>
              <w:t>10/10</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75</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188</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150</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113</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113</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75</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38</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75</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150</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75</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75</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A,S</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ABF8F"/>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lang w:val="it-IT"/>
              </w:rPr>
              <w:t>A</w:t>
            </w:r>
          </w:p>
        </w:tc>
        <w:tc>
          <w:tcPr>
            <w:tcW w:w="486"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OL/OV</w:t>
            </w:r>
            <w:r w:rsidRPr="00D87B79">
              <w:rPr>
                <w:rFonts w:ascii="Tahoma" w:hAnsi="Tahoma" w:cs="Tahoma"/>
              </w:rPr>
              <w:t xml:space="preserve"> </w:t>
            </w:r>
          </w:p>
        </w:tc>
      </w:tr>
      <w:tr w:rsidR="00A92422" w:rsidRPr="00D87B79" w:rsidTr="00EA30FC">
        <w:trPr>
          <w:trHeight w:val="145"/>
        </w:trPr>
        <w:tc>
          <w:tcPr>
            <w:tcW w:w="2714" w:type="dxa"/>
            <w:shd w:val="clear" w:color="auto" w:fill="FFFFFF"/>
            <w:vAlign w:val="center"/>
          </w:tcPr>
          <w:p w:rsidR="00A92422" w:rsidRPr="00873B3F" w:rsidRDefault="00A92422" w:rsidP="00EA30FC">
            <w:pPr>
              <w:pStyle w:val="ProductNames"/>
              <w:spacing w:beforeLines="20" w:before="48" w:afterLines="20" w:after="48"/>
              <w:rPr>
                <w:rFonts w:ascii="Tahoma" w:hAnsi="Tahoma" w:cs="Tahoma"/>
                <w:sz w:val="14"/>
                <w:szCs w:val="14"/>
              </w:rPr>
            </w:pPr>
            <w:bookmarkStart w:id="188" w:name="_Toc336337923"/>
            <w:bookmarkStart w:id="189" w:name="_Toc342899993"/>
            <w:bookmarkEnd w:id="188"/>
            <w:r w:rsidRPr="00873B3F">
              <w:rPr>
                <w:rFonts w:ascii="Tahoma" w:hAnsi="Tahoma" w:cs="Tahoma"/>
                <w:sz w:val="14"/>
                <w:szCs w:val="14"/>
                <w:lang w:val="it-IT"/>
              </w:rPr>
              <w:t>BizTalk</w:t>
            </w:r>
            <w:r w:rsidRPr="003A0F2F">
              <w:rPr>
                <w:rFonts w:ascii="Tahoma" w:hAnsi="Tahoma" w:cs="Tahoma"/>
                <w:sz w:val="14"/>
                <w:szCs w:val="14"/>
                <w:vertAlign w:val="superscript"/>
                <w:lang w:val="it-IT"/>
              </w:rPr>
              <w:t>®</w:t>
            </w:r>
            <w:r w:rsidRPr="00873B3F">
              <w:rPr>
                <w:rFonts w:ascii="Tahoma" w:hAnsi="Tahoma" w:cs="Tahoma"/>
                <w:sz w:val="14"/>
                <w:szCs w:val="14"/>
                <w:lang w:val="it-IT"/>
              </w:rPr>
              <w:t xml:space="preserve"> Server 2010 Branch IDC</w:t>
            </w:r>
            <w:bookmarkEnd w:id="189"/>
            <w:r w:rsidRPr="00873B3F">
              <w:rPr>
                <w:rFonts w:ascii="Tahoma" w:hAnsi="Tahoma" w:cs="Tahoma"/>
                <w:sz w:val="14"/>
                <w:szCs w:val="14"/>
              </w:rPr>
              <w:t xml:space="preserve"> </w:t>
            </w:r>
          </w:p>
        </w:tc>
        <w:tc>
          <w:tcPr>
            <w:tcW w:w="450" w:type="dxa"/>
            <w:shd w:val="clear" w:color="auto" w:fill="FFFFFF"/>
            <w:vAlign w:val="center"/>
          </w:tcPr>
          <w:p w:rsidR="00A92422" w:rsidRPr="001E1017" w:rsidRDefault="00A92422" w:rsidP="00EA30FC">
            <w:pPr>
              <w:pStyle w:val="TableText"/>
              <w:widowControl w:val="0"/>
              <w:rPr>
                <w:rFonts w:cs="Tahoma"/>
                <w:b/>
                <w:sz w:val="13"/>
                <w:szCs w:val="13"/>
                <w:u w:val="single"/>
              </w:rPr>
            </w:pPr>
          </w:p>
        </w:tc>
        <w:tc>
          <w:tcPr>
            <w:tcW w:w="450" w:type="dxa"/>
            <w:shd w:val="clear" w:color="auto" w:fill="FFFFFF"/>
          </w:tcPr>
          <w:p w:rsidR="00A92422" w:rsidRPr="00D87B79" w:rsidRDefault="00A92422" w:rsidP="00EA30FC">
            <w:pPr>
              <w:pStyle w:val="TableText"/>
              <w:widowControl w:val="0"/>
              <w:spacing w:before="120"/>
              <w:rPr>
                <w:rFonts w:ascii="Tahoma" w:hAnsi="Tahoma" w:cs="Tahoma"/>
                <w:color w:val="000000"/>
                <w:sz w:val="13"/>
              </w:rPr>
            </w:pPr>
            <w:r w:rsidRPr="00D87B79">
              <w:rPr>
                <w:rFonts w:ascii="Tahoma" w:hAnsi="Tahoma" w:cs="Tahoma"/>
                <w:color w:val="000000"/>
                <w:sz w:val="13"/>
              </w:rPr>
              <w:t>10/10</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D</w:t>
            </w: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FFFFF"/>
          </w:tcPr>
          <w:p w:rsidR="00A92422" w:rsidRPr="00D87B79" w:rsidRDefault="00A92422" w:rsidP="00EA30FC">
            <w:pPr>
              <w:pStyle w:val="TableText"/>
              <w:widowControl w:val="0"/>
              <w:rPr>
                <w:rFonts w:ascii="Tahoma" w:hAnsi="Tahoma" w:cs="Tahoma"/>
                <w:color w:val="000000"/>
                <w:sz w:val="13"/>
              </w:rPr>
            </w:pPr>
          </w:p>
        </w:tc>
        <w:tc>
          <w:tcPr>
            <w:tcW w:w="486"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r>
      <w:tr w:rsidR="00A92422" w:rsidRPr="00D87B79" w:rsidTr="00EA30FC">
        <w:trPr>
          <w:trHeight w:val="145"/>
        </w:trPr>
        <w:tc>
          <w:tcPr>
            <w:tcW w:w="2714" w:type="dxa"/>
            <w:shd w:val="clear" w:color="auto" w:fill="FABF8F"/>
            <w:vAlign w:val="center"/>
          </w:tcPr>
          <w:p w:rsidR="00A92422" w:rsidRPr="00873B3F" w:rsidRDefault="00A92422" w:rsidP="00EA30FC">
            <w:pPr>
              <w:pStyle w:val="ProductNames"/>
              <w:spacing w:beforeLines="20" w:before="48" w:afterLines="20" w:after="48"/>
              <w:rPr>
                <w:rFonts w:ascii="Tahoma" w:hAnsi="Tahoma" w:cs="Tahoma"/>
                <w:sz w:val="14"/>
                <w:szCs w:val="14"/>
              </w:rPr>
            </w:pPr>
            <w:bookmarkStart w:id="190" w:name="_Toc336337924"/>
            <w:bookmarkStart w:id="191" w:name="_Toc342899994"/>
            <w:bookmarkEnd w:id="190"/>
            <w:r w:rsidRPr="00873B3F">
              <w:rPr>
                <w:rFonts w:ascii="Tahoma" w:hAnsi="Tahoma" w:cs="Tahoma"/>
                <w:sz w:val="14"/>
                <w:szCs w:val="14"/>
                <w:lang w:val="it-IT"/>
              </w:rPr>
              <w:t>BizTalk</w:t>
            </w:r>
            <w:r w:rsidRPr="003A0F2F">
              <w:rPr>
                <w:rFonts w:ascii="Tahoma" w:hAnsi="Tahoma" w:cs="Tahoma"/>
                <w:sz w:val="14"/>
                <w:szCs w:val="14"/>
                <w:vertAlign w:val="superscript"/>
                <w:lang w:val="it-IT"/>
              </w:rPr>
              <w:t>®</w:t>
            </w:r>
            <w:r w:rsidRPr="00873B3F">
              <w:rPr>
                <w:rFonts w:ascii="Tahoma" w:hAnsi="Tahoma" w:cs="Tahoma"/>
                <w:sz w:val="14"/>
                <w:szCs w:val="14"/>
                <w:lang w:val="it-IT"/>
              </w:rPr>
              <w:t xml:space="preserve"> Server 2010 Developer IDC</w:t>
            </w:r>
            <w:bookmarkEnd w:id="191"/>
            <w:r w:rsidRPr="00873B3F">
              <w:rPr>
                <w:rFonts w:ascii="Tahoma" w:hAnsi="Tahoma" w:cs="Tahoma"/>
                <w:sz w:val="14"/>
                <w:szCs w:val="14"/>
              </w:rPr>
              <w:t xml:space="preserve"> </w:t>
            </w:r>
          </w:p>
        </w:tc>
        <w:tc>
          <w:tcPr>
            <w:tcW w:w="450" w:type="dxa"/>
            <w:shd w:val="clear" w:color="auto" w:fill="FABF8F"/>
            <w:vAlign w:val="center"/>
          </w:tcPr>
          <w:p w:rsidR="00A92422" w:rsidRPr="00D87B79" w:rsidRDefault="00A92422" w:rsidP="00EA30FC">
            <w:pPr>
              <w:pStyle w:val="TableText"/>
              <w:widowControl w:val="0"/>
              <w:rPr>
                <w:rFonts w:ascii="Tahoma" w:hAnsi="Tahoma" w:cs="Tahoma"/>
                <w:b/>
                <w:sz w:val="13"/>
                <w:szCs w:val="13"/>
                <w:u w:val="single"/>
              </w:rPr>
            </w:pPr>
          </w:p>
        </w:tc>
        <w:tc>
          <w:tcPr>
            <w:tcW w:w="450" w:type="dxa"/>
            <w:shd w:val="clear" w:color="auto" w:fill="FABF8F"/>
          </w:tcPr>
          <w:p w:rsidR="00A92422" w:rsidRPr="00D87B79" w:rsidRDefault="00A92422" w:rsidP="00EA30FC">
            <w:pPr>
              <w:pStyle w:val="TableText"/>
              <w:widowControl w:val="0"/>
              <w:spacing w:before="120"/>
              <w:rPr>
                <w:rFonts w:ascii="Tahoma" w:hAnsi="Tahoma" w:cs="Tahoma"/>
                <w:color w:val="000000"/>
                <w:sz w:val="13"/>
              </w:rPr>
            </w:pPr>
            <w:r w:rsidRPr="00D87B79">
              <w:rPr>
                <w:rFonts w:ascii="Tahoma" w:hAnsi="Tahoma" w:cs="Tahoma"/>
                <w:color w:val="000000"/>
                <w:sz w:val="13"/>
              </w:rPr>
              <w:t>10/10</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D</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tcPr>
          <w:p w:rsidR="00A92422" w:rsidRPr="00D87B79" w:rsidRDefault="00A92422" w:rsidP="00EA30FC">
            <w:pPr>
              <w:pStyle w:val="TableText"/>
              <w:widowControl w:val="0"/>
              <w:rPr>
                <w:rFonts w:ascii="Tahoma" w:hAnsi="Tahoma" w:cs="Tahoma"/>
                <w:color w:val="000000"/>
                <w:sz w:val="13"/>
              </w:rPr>
            </w:pPr>
          </w:p>
        </w:tc>
        <w:tc>
          <w:tcPr>
            <w:tcW w:w="486"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r>
      <w:tr w:rsidR="00A92422" w:rsidRPr="00D87B79" w:rsidTr="00EA30FC">
        <w:trPr>
          <w:trHeight w:val="145"/>
        </w:trPr>
        <w:tc>
          <w:tcPr>
            <w:tcW w:w="2714" w:type="dxa"/>
            <w:shd w:val="clear" w:color="auto" w:fill="FFFFFF"/>
            <w:vAlign w:val="center"/>
          </w:tcPr>
          <w:p w:rsidR="00A92422" w:rsidRPr="00873B3F" w:rsidRDefault="00A92422" w:rsidP="00EA30FC">
            <w:pPr>
              <w:pStyle w:val="Heading2"/>
              <w:spacing w:beforeLines="20" w:before="48" w:afterLines="20" w:after="48"/>
              <w:ind w:left="0"/>
              <w:rPr>
                <w:rFonts w:ascii="Tahoma" w:hAnsi="Tahoma" w:cs="Tahoma"/>
                <w:b w:val="0"/>
                <w:sz w:val="14"/>
                <w:szCs w:val="14"/>
              </w:rPr>
            </w:pPr>
            <w:bookmarkStart w:id="192" w:name="_Toc336337925"/>
            <w:bookmarkStart w:id="193" w:name="_Toc342899995"/>
            <w:bookmarkEnd w:id="192"/>
            <w:r w:rsidRPr="00873B3F">
              <w:rPr>
                <w:rFonts w:ascii="Tahoma" w:hAnsi="Tahoma" w:cs="Tahoma"/>
                <w:b w:val="0"/>
                <w:sz w:val="14"/>
                <w:szCs w:val="14"/>
                <w:lang w:val="it-IT"/>
              </w:rPr>
              <w:lastRenderedPageBreak/>
              <w:t>Business Intelligence Appliance 2012</w:t>
            </w:r>
            <w:bookmarkEnd w:id="193"/>
          </w:p>
        </w:tc>
        <w:tc>
          <w:tcPr>
            <w:tcW w:w="450" w:type="dxa"/>
            <w:shd w:val="clear" w:color="auto" w:fill="FFFFFF"/>
            <w:vAlign w:val="center"/>
          </w:tcPr>
          <w:p w:rsidR="00A92422" w:rsidRPr="001E1017" w:rsidRDefault="00A92422" w:rsidP="00EA30FC">
            <w:pPr>
              <w:pStyle w:val="TableText"/>
              <w:widowControl w:val="0"/>
              <w:rPr>
                <w:rStyle w:val="EndnoteReference"/>
                <w:rFonts w:cs="Tahoma"/>
                <w:b w:val="0"/>
                <w:color w:val="0000FF"/>
                <w:sz w:val="13"/>
                <w:szCs w:val="13"/>
                <w:u w:val="single"/>
              </w:rPr>
            </w:pPr>
            <w:hyperlink w:anchor="Srv_35BusinessIntellApp2012" w:history="1">
              <w:r w:rsidRPr="001E1017">
                <w:rPr>
                  <w:rStyle w:val="Hyperlink"/>
                  <w:rFonts w:cs="Tahoma"/>
                  <w:b/>
                  <w:sz w:val="13"/>
                  <w:szCs w:val="13"/>
                </w:rPr>
                <w:t>32</w:t>
              </w:r>
            </w:hyperlink>
          </w:p>
        </w:tc>
        <w:tc>
          <w:tcPr>
            <w:tcW w:w="450" w:type="dxa"/>
            <w:shd w:val="clear" w:color="auto" w:fill="FFFFFF"/>
          </w:tcPr>
          <w:p w:rsidR="00A92422" w:rsidRPr="00D87B79" w:rsidRDefault="00A92422" w:rsidP="00EA30FC">
            <w:pPr>
              <w:pStyle w:val="TableText"/>
              <w:widowControl w:val="0"/>
              <w:spacing w:before="40"/>
              <w:rPr>
                <w:rFonts w:ascii="Tahoma" w:hAnsi="Tahoma" w:cs="Tahoma"/>
                <w:color w:val="000000"/>
                <w:sz w:val="13"/>
              </w:rPr>
            </w:pPr>
            <w:r w:rsidRPr="00D87B79">
              <w:rPr>
                <w:rFonts w:ascii="Tahoma" w:hAnsi="Tahoma" w:cs="Tahoma"/>
                <w:color w:val="000000"/>
                <w:sz w:val="13"/>
              </w:rPr>
              <w:t>11/11</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SRV</w:t>
            </w: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125</w:t>
            </w:r>
          </w:p>
        </w:tc>
        <w:tc>
          <w:tcPr>
            <w:tcW w:w="450" w:type="dxa"/>
            <w:shd w:val="clear" w:color="auto" w:fill="FFFFFF"/>
            <w:vAlign w:val="bottom"/>
          </w:tcPr>
          <w:p w:rsidR="00A92422" w:rsidRPr="00D87B79" w:rsidRDefault="00A92422" w:rsidP="00EA30FC">
            <w:pPr>
              <w:pStyle w:val="TableText"/>
              <w:widowControl w:val="0"/>
              <w:rPr>
                <w:rFonts w:ascii="Tahoma" w:hAnsi="Tahoma" w:cs="Tahoma"/>
                <w:sz w:val="13"/>
                <w:szCs w:val="13"/>
              </w:rPr>
            </w:pPr>
            <w:r w:rsidRPr="00D87B79">
              <w:rPr>
                <w:rFonts w:ascii="Tahoma" w:hAnsi="Tahoma" w:cs="Tahoma"/>
                <w:sz w:val="13"/>
              </w:rPr>
              <w:t>313</w:t>
            </w:r>
          </w:p>
        </w:tc>
        <w:tc>
          <w:tcPr>
            <w:tcW w:w="450" w:type="dxa"/>
            <w:shd w:val="clear" w:color="auto" w:fill="FFFFFF"/>
            <w:vAlign w:val="bottom"/>
          </w:tcPr>
          <w:p w:rsidR="00A92422" w:rsidRPr="00D87B79" w:rsidRDefault="00A92422" w:rsidP="00EA30FC">
            <w:pPr>
              <w:pStyle w:val="TableText"/>
              <w:widowControl w:val="0"/>
              <w:rPr>
                <w:rFonts w:ascii="Tahoma" w:hAnsi="Tahoma" w:cs="Tahoma"/>
                <w:sz w:val="13"/>
                <w:szCs w:val="13"/>
              </w:rPr>
            </w:pPr>
            <w:r w:rsidRPr="00D87B79">
              <w:rPr>
                <w:rFonts w:ascii="Tahoma" w:hAnsi="Tahoma" w:cs="Tahoma"/>
                <w:sz w:val="13"/>
              </w:rPr>
              <w:t>250</w:t>
            </w:r>
          </w:p>
        </w:tc>
        <w:tc>
          <w:tcPr>
            <w:tcW w:w="450" w:type="dxa"/>
            <w:shd w:val="clear" w:color="auto" w:fill="FFFFFF"/>
            <w:vAlign w:val="bottom"/>
          </w:tcPr>
          <w:p w:rsidR="00A92422" w:rsidRPr="00D87B79" w:rsidRDefault="00A92422" w:rsidP="00EA30FC">
            <w:pPr>
              <w:pStyle w:val="TableText"/>
              <w:widowControl w:val="0"/>
              <w:rPr>
                <w:rFonts w:ascii="Tahoma" w:hAnsi="Tahoma" w:cs="Tahoma"/>
                <w:sz w:val="13"/>
                <w:szCs w:val="13"/>
              </w:rPr>
            </w:pPr>
            <w:r w:rsidRPr="00D87B79">
              <w:rPr>
                <w:rFonts w:ascii="Tahoma" w:hAnsi="Tahoma" w:cs="Tahoma"/>
                <w:sz w:val="13"/>
              </w:rPr>
              <w:t>188</w:t>
            </w:r>
          </w:p>
        </w:tc>
        <w:tc>
          <w:tcPr>
            <w:tcW w:w="450" w:type="dxa"/>
            <w:shd w:val="clear" w:color="auto" w:fill="FFFFFF"/>
            <w:vAlign w:val="bottom"/>
          </w:tcPr>
          <w:p w:rsidR="00A92422" w:rsidRPr="00D87B79" w:rsidRDefault="00A92422" w:rsidP="00EA30FC">
            <w:pPr>
              <w:pStyle w:val="TableText"/>
              <w:widowControl w:val="0"/>
              <w:rPr>
                <w:rFonts w:ascii="Tahoma" w:hAnsi="Tahoma" w:cs="Tahoma"/>
                <w:sz w:val="13"/>
                <w:szCs w:val="13"/>
              </w:rPr>
            </w:pPr>
            <w:r w:rsidRPr="00D87B79">
              <w:rPr>
                <w:rFonts w:ascii="Tahoma" w:hAnsi="Tahoma" w:cs="Tahoma"/>
                <w:sz w:val="13"/>
              </w:rPr>
              <w:t>188</w:t>
            </w:r>
          </w:p>
        </w:tc>
        <w:tc>
          <w:tcPr>
            <w:tcW w:w="450" w:type="dxa"/>
            <w:shd w:val="clear" w:color="auto" w:fill="FFFFFF"/>
            <w:vAlign w:val="bottom"/>
          </w:tcPr>
          <w:p w:rsidR="00A92422" w:rsidRPr="00D87B79" w:rsidRDefault="00A92422" w:rsidP="00EA30FC">
            <w:pPr>
              <w:pStyle w:val="TableText"/>
              <w:widowControl w:val="0"/>
              <w:rPr>
                <w:rFonts w:ascii="Tahoma" w:hAnsi="Tahoma" w:cs="Tahoma"/>
                <w:sz w:val="13"/>
                <w:szCs w:val="13"/>
              </w:rPr>
            </w:pPr>
            <w:r w:rsidRPr="00D87B79">
              <w:rPr>
                <w:rFonts w:ascii="Tahoma" w:hAnsi="Tahoma" w:cs="Tahoma"/>
                <w:sz w:val="13"/>
              </w:rPr>
              <w:t>125</w:t>
            </w:r>
          </w:p>
        </w:tc>
        <w:tc>
          <w:tcPr>
            <w:tcW w:w="360" w:type="dxa"/>
            <w:tcBorders>
              <w:right w:val="single" w:sz="18" w:space="0" w:color="auto"/>
            </w:tcBorders>
            <w:shd w:val="clear" w:color="auto" w:fill="FFFFFF"/>
            <w:vAlign w:val="bottom"/>
          </w:tcPr>
          <w:p w:rsidR="00A92422" w:rsidRPr="00D87B79" w:rsidRDefault="00A92422" w:rsidP="00EA30FC">
            <w:pPr>
              <w:pStyle w:val="TableText"/>
              <w:widowControl w:val="0"/>
              <w:rPr>
                <w:rFonts w:ascii="Tahoma" w:hAnsi="Tahoma" w:cs="Tahoma"/>
                <w:sz w:val="13"/>
                <w:szCs w:val="13"/>
              </w:rPr>
            </w:pPr>
            <w:r w:rsidRPr="00D87B79">
              <w:rPr>
                <w:rFonts w:ascii="Tahoma" w:hAnsi="Tahoma" w:cs="Tahoma"/>
                <w:sz w:val="13"/>
              </w:rPr>
              <w:t>63</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FFFFF"/>
          </w:tcPr>
          <w:p w:rsidR="00A92422" w:rsidRPr="00D87B79" w:rsidRDefault="00A92422" w:rsidP="00EA30FC">
            <w:pPr>
              <w:pStyle w:val="TableText"/>
              <w:widowControl w:val="0"/>
              <w:spacing w:before="120"/>
              <w:rPr>
                <w:rFonts w:ascii="Tahoma" w:hAnsi="Tahoma" w:cs="Tahoma"/>
                <w:sz w:val="13"/>
              </w:rPr>
            </w:pPr>
          </w:p>
        </w:tc>
        <w:tc>
          <w:tcPr>
            <w:tcW w:w="486"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r>
      <w:tr w:rsidR="00A92422" w:rsidRPr="00D87B79" w:rsidTr="00EA30FC">
        <w:trPr>
          <w:trHeight w:val="145"/>
        </w:trPr>
        <w:tc>
          <w:tcPr>
            <w:tcW w:w="2714" w:type="dxa"/>
            <w:shd w:val="clear" w:color="auto" w:fill="FABF8F"/>
            <w:vAlign w:val="center"/>
          </w:tcPr>
          <w:p w:rsidR="00A92422" w:rsidRPr="00873B3F" w:rsidRDefault="00A92422" w:rsidP="00EA30FC">
            <w:pPr>
              <w:pStyle w:val="ProductNames"/>
              <w:spacing w:beforeLines="20" w:before="48" w:afterLines="20" w:after="48"/>
              <w:rPr>
                <w:rFonts w:ascii="Tahoma" w:hAnsi="Tahoma" w:cs="Tahoma"/>
                <w:sz w:val="14"/>
                <w:szCs w:val="14"/>
              </w:rPr>
            </w:pPr>
            <w:bookmarkStart w:id="194" w:name="_Toc336337926"/>
            <w:bookmarkStart w:id="195" w:name="_Toc342899996"/>
            <w:bookmarkEnd w:id="194"/>
            <w:r w:rsidRPr="00873B3F">
              <w:rPr>
                <w:rFonts w:ascii="Tahoma" w:hAnsi="Tahoma" w:cs="Tahoma"/>
                <w:sz w:val="14"/>
                <w:szCs w:val="14"/>
                <w:lang w:val="it-IT"/>
              </w:rPr>
              <w:t>Core CAL Suite Bridge per Office 365 (Utente e Dispositivo)</w:t>
            </w:r>
            <w:bookmarkEnd w:id="195"/>
          </w:p>
        </w:tc>
        <w:tc>
          <w:tcPr>
            <w:tcW w:w="450" w:type="dxa"/>
            <w:shd w:val="clear" w:color="auto" w:fill="FABF8F"/>
            <w:vAlign w:val="center"/>
          </w:tcPr>
          <w:p w:rsidR="00A92422" w:rsidRPr="001E1017" w:rsidRDefault="00A92422" w:rsidP="00EA30FC">
            <w:pPr>
              <w:pStyle w:val="TableText"/>
              <w:widowControl w:val="0"/>
              <w:rPr>
                <w:rFonts w:cs="Tahoma"/>
                <w:b/>
                <w:color w:val="0000FF"/>
                <w:sz w:val="13"/>
                <w:szCs w:val="13"/>
                <w:u w:val="single"/>
              </w:rPr>
            </w:pPr>
            <w:hyperlink w:anchor="_33_Core_CAL" w:history="1">
              <w:r w:rsidRPr="001E1017">
                <w:rPr>
                  <w:rStyle w:val="Hyperlink"/>
                  <w:rFonts w:cs="Tahoma"/>
                  <w:b/>
                  <w:sz w:val="13"/>
                  <w:szCs w:val="13"/>
                </w:rPr>
                <w:t>33</w:t>
              </w:r>
            </w:hyperlink>
          </w:p>
        </w:tc>
        <w:tc>
          <w:tcPr>
            <w:tcW w:w="450" w:type="dxa"/>
            <w:shd w:val="clear" w:color="auto" w:fill="FABF8F"/>
          </w:tcPr>
          <w:p w:rsidR="00A92422" w:rsidRPr="00D87B79" w:rsidRDefault="00A92422" w:rsidP="00EA30FC">
            <w:pPr>
              <w:pStyle w:val="TableText"/>
              <w:widowControl w:val="0"/>
              <w:spacing w:before="40"/>
              <w:rPr>
                <w:rFonts w:ascii="Tahoma" w:hAnsi="Tahoma" w:cs="Tahoma"/>
                <w:sz w:val="13"/>
              </w:rPr>
            </w:pPr>
            <w:r w:rsidRPr="00D87B79">
              <w:rPr>
                <w:rFonts w:ascii="Tahoma" w:hAnsi="Tahoma" w:cs="Tahoma"/>
                <w:sz w:val="13"/>
              </w:rPr>
              <w:t>06/11</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FABF8F"/>
            <w:vAlign w:val="bottom"/>
          </w:tcPr>
          <w:p w:rsidR="00A92422" w:rsidRPr="00D87B79" w:rsidRDefault="00A92422" w:rsidP="00EA30FC">
            <w:pPr>
              <w:pStyle w:val="TableText"/>
              <w:widowControl w:val="0"/>
              <w:rPr>
                <w:rFonts w:ascii="Tahoma" w:hAnsi="Tahoma" w:cs="Tahoma"/>
                <w:sz w:val="13"/>
                <w:szCs w:val="13"/>
              </w:rPr>
            </w:pPr>
          </w:p>
        </w:tc>
        <w:tc>
          <w:tcPr>
            <w:tcW w:w="450" w:type="dxa"/>
            <w:shd w:val="clear" w:color="auto" w:fill="FABF8F"/>
            <w:vAlign w:val="bottom"/>
          </w:tcPr>
          <w:p w:rsidR="00A92422" w:rsidRPr="00D87B79" w:rsidRDefault="00A92422" w:rsidP="00EA30FC">
            <w:pPr>
              <w:pStyle w:val="TableText"/>
              <w:widowControl w:val="0"/>
              <w:rPr>
                <w:rFonts w:ascii="Tahoma" w:hAnsi="Tahoma" w:cs="Tahoma"/>
                <w:sz w:val="13"/>
                <w:szCs w:val="13"/>
              </w:rPr>
            </w:pPr>
          </w:p>
        </w:tc>
        <w:tc>
          <w:tcPr>
            <w:tcW w:w="450" w:type="dxa"/>
            <w:shd w:val="clear" w:color="auto" w:fill="FABF8F"/>
            <w:vAlign w:val="bottom"/>
          </w:tcPr>
          <w:p w:rsidR="00A92422" w:rsidRPr="00D87B79" w:rsidRDefault="00A92422" w:rsidP="00EA30FC">
            <w:pPr>
              <w:pStyle w:val="TableText"/>
              <w:widowControl w:val="0"/>
              <w:rPr>
                <w:rFonts w:ascii="Tahoma" w:hAnsi="Tahoma" w:cs="Tahoma"/>
                <w:sz w:val="13"/>
                <w:szCs w:val="13"/>
              </w:rPr>
            </w:pPr>
          </w:p>
        </w:tc>
        <w:tc>
          <w:tcPr>
            <w:tcW w:w="450" w:type="dxa"/>
            <w:shd w:val="clear" w:color="auto" w:fill="FABF8F"/>
            <w:vAlign w:val="bottom"/>
          </w:tcPr>
          <w:p w:rsidR="00A92422" w:rsidRPr="00D87B79" w:rsidRDefault="00A92422" w:rsidP="00EA30FC">
            <w:pPr>
              <w:pStyle w:val="TableText"/>
              <w:widowControl w:val="0"/>
              <w:rPr>
                <w:rFonts w:ascii="Tahoma" w:hAnsi="Tahoma" w:cs="Tahoma"/>
                <w:sz w:val="13"/>
                <w:szCs w:val="13"/>
              </w:rPr>
            </w:pPr>
          </w:p>
        </w:tc>
        <w:tc>
          <w:tcPr>
            <w:tcW w:w="450" w:type="dxa"/>
            <w:shd w:val="clear" w:color="auto" w:fill="FABF8F"/>
            <w:vAlign w:val="bottom"/>
          </w:tcPr>
          <w:p w:rsidR="00A92422" w:rsidRPr="00D87B79" w:rsidRDefault="00A92422" w:rsidP="00EA30FC">
            <w:pPr>
              <w:pStyle w:val="TableText"/>
              <w:widowControl w:val="0"/>
              <w:rPr>
                <w:rFonts w:ascii="Tahoma" w:hAnsi="Tahoma" w:cs="Tahoma"/>
                <w:sz w:val="13"/>
                <w:szCs w:val="13"/>
              </w:rPr>
            </w:pPr>
          </w:p>
        </w:tc>
        <w:tc>
          <w:tcPr>
            <w:tcW w:w="450" w:type="dxa"/>
            <w:shd w:val="clear" w:color="auto" w:fill="FABF8F"/>
            <w:vAlign w:val="bottom"/>
          </w:tcPr>
          <w:p w:rsidR="00A92422" w:rsidRPr="00D87B79" w:rsidRDefault="00A92422" w:rsidP="00EA30FC">
            <w:pPr>
              <w:pStyle w:val="TableText"/>
              <w:widowControl w:val="0"/>
              <w:rPr>
                <w:rFonts w:ascii="Tahoma" w:hAnsi="Tahoma" w:cs="Tahoma"/>
                <w:sz w:val="13"/>
                <w:szCs w:val="13"/>
              </w:rPr>
            </w:pPr>
          </w:p>
        </w:tc>
        <w:tc>
          <w:tcPr>
            <w:tcW w:w="360" w:type="dxa"/>
            <w:tcBorders>
              <w:right w:val="single" w:sz="18" w:space="0" w:color="auto"/>
            </w:tcBorders>
            <w:shd w:val="clear" w:color="auto" w:fill="FABF8F"/>
            <w:vAlign w:val="bottom"/>
          </w:tcPr>
          <w:p w:rsidR="00A92422" w:rsidRPr="00D87B79" w:rsidRDefault="00A92422" w:rsidP="00EA30FC">
            <w:pPr>
              <w:pStyle w:val="TableText"/>
              <w:widowControl w:val="0"/>
              <w:rPr>
                <w:rFonts w:ascii="Tahoma" w:hAnsi="Tahoma" w:cs="Tahoma"/>
                <w:sz w:val="13"/>
                <w:szCs w:val="13"/>
              </w:rPr>
            </w:pPr>
          </w:p>
        </w:tc>
        <w:tc>
          <w:tcPr>
            <w:tcW w:w="450" w:type="dxa"/>
            <w:tcBorders>
              <w:left w:val="single" w:sz="18" w:space="0" w:color="auto"/>
            </w:tcBorders>
            <w:shd w:val="clear" w:color="auto" w:fill="FABF8F"/>
            <w:vAlign w:val="bottom"/>
          </w:tcPr>
          <w:p w:rsidR="00A92422" w:rsidRPr="00D87B79" w:rsidRDefault="00A92422" w:rsidP="00EA30FC">
            <w:pPr>
              <w:pStyle w:val="TableText"/>
              <w:widowControl w:val="0"/>
              <w:rPr>
                <w:rFonts w:ascii="Tahoma" w:hAnsi="Tahoma" w:cs="Tahoma"/>
                <w:sz w:val="13"/>
                <w:szCs w:val="13"/>
              </w:rPr>
            </w:pPr>
          </w:p>
        </w:tc>
        <w:tc>
          <w:tcPr>
            <w:tcW w:w="450" w:type="dxa"/>
            <w:shd w:val="clear" w:color="auto" w:fill="FABF8F"/>
            <w:vAlign w:val="bottom"/>
          </w:tcPr>
          <w:p w:rsidR="00A92422" w:rsidRPr="00D87B79" w:rsidRDefault="00A92422" w:rsidP="00EA30FC">
            <w:pPr>
              <w:pStyle w:val="TableText"/>
              <w:widowControl w:val="0"/>
              <w:rPr>
                <w:rFonts w:ascii="Tahoma" w:hAnsi="Tahoma" w:cs="Tahoma"/>
                <w:sz w:val="13"/>
                <w:szCs w:val="13"/>
              </w:rPr>
            </w:pPr>
          </w:p>
        </w:tc>
        <w:tc>
          <w:tcPr>
            <w:tcW w:w="450" w:type="dxa"/>
            <w:tcBorders>
              <w:right w:val="single" w:sz="18" w:space="0" w:color="auto"/>
            </w:tcBorders>
            <w:shd w:val="clear" w:color="auto" w:fill="FABF8F"/>
            <w:vAlign w:val="bottom"/>
          </w:tcPr>
          <w:p w:rsidR="00A92422" w:rsidRPr="00D87B79" w:rsidRDefault="00A92422" w:rsidP="00EA30FC">
            <w:pPr>
              <w:pStyle w:val="TableText"/>
              <w:widowControl w:val="0"/>
              <w:rPr>
                <w:rFonts w:ascii="Tahoma" w:hAnsi="Tahoma" w:cs="Tahoma"/>
                <w:sz w:val="13"/>
                <w:szCs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szCs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E</w:t>
            </w:r>
          </w:p>
        </w:tc>
        <w:tc>
          <w:tcPr>
            <w:tcW w:w="504" w:type="dxa"/>
            <w:shd w:val="clear" w:color="auto" w:fill="FABF8F"/>
          </w:tcPr>
          <w:p w:rsidR="00A92422" w:rsidRPr="00D87B79" w:rsidRDefault="00A92422" w:rsidP="00EA30FC">
            <w:pPr>
              <w:pStyle w:val="TableText"/>
              <w:widowControl w:val="0"/>
              <w:rPr>
                <w:rFonts w:ascii="Tahoma" w:hAnsi="Tahoma" w:cs="Tahoma"/>
                <w:sz w:val="13"/>
              </w:rPr>
            </w:pP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FFFFF"/>
            <w:vAlign w:val="center"/>
          </w:tcPr>
          <w:p w:rsidR="00A92422" w:rsidRPr="00873B3F" w:rsidRDefault="00A92422" w:rsidP="00EA30FC">
            <w:pPr>
              <w:pStyle w:val="ProductNames"/>
              <w:spacing w:beforeLines="20" w:before="48" w:afterLines="20" w:after="48"/>
              <w:rPr>
                <w:rFonts w:ascii="Tahoma" w:hAnsi="Tahoma" w:cs="Tahoma"/>
                <w:sz w:val="14"/>
                <w:szCs w:val="14"/>
              </w:rPr>
            </w:pPr>
            <w:bookmarkStart w:id="196" w:name="_Toc336337927"/>
            <w:bookmarkStart w:id="197" w:name="_Toc342899997"/>
            <w:bookmarkEnd w:id="196"/>
            <w:r w:rsidRPr="00873B3F">
              <w:rPr>
                <w:rFonts w:ascii="Tahoma" w:hAnsi="Tahoma" w:cs="Tahoma"/>
                <w:sz w:val="14"/>
                <w:szCs w:val="14"/>
                <w:lang w:val="it-IT"/>
              </w:rPr>
              <w:t>Core CAL Suite Bridge per Office 365 e</w:t>
            </w:r>
            <w:r>
              <w:rPr>
                <w:rFonts w:ascii="Tahoma" w:hAnsi="Tahoma" w:cs="Tahoma"/>
                <w:sz w:val="14"/>
                <w:szCs w:val="14"/>
                <w:lang w:val="it-IT"/>
              </w:rPr>
              <w:t> </w:t>
            </w:r>
            <w:r w:rsidRPr="00873B3F">
              <w:rPr>
                <w:rFonts w:ascii="Tahoma" w:hAnsi="Tahoma" w:cs="Tahoma"/>
                <w:sz w:val="14"/>
                <w:szCs w:val="14"/>
                <w:lang w:val="it-IT"/>
              </w:rPr>
              <w:t>Windows</w:t>
            </w:r>
            <w:r w:rsidRPr="003A0F2F">
              <w:rPr>
                <w:rFonts w:ascii="Tahoma" w:hAnsi="Tahoma" w:cs="Tahoma"/>
                <w:sz w:val="14"/>
                <w:szCs w:val="14"/>
                <w:vertAlign w:val="superscript"/>
                <w:lang w:val="it-IT"/>
              </w:rPr>
              <w:t>®</w:t>
            </w:r>
            <w:r w:rsidRPr="00873B3F">
              <w:rPr>
                <w:rFonts w:ascii="Tahoma" w:hAnsi="Tahoma" w:cs="Tahoma"/>
                <w:sz w:val="14"/>
                <w:szCs w:val="14"/>
                <w:lang w:val="it-IT"/>
              </w:rPr>
              <w:t xml:space="preserve"> Intune (Utente e Dispositivo)</w:t>
            </w:r>
            <w:bookmarkEnd w:id="197"/>
          </w:p>
        </w:tc>
        <w:tc>
          <w:tcPr>
            <w:tcW w:w="450" w:type="dxa"/>
            <w:shd w:val="clear" w:color="auto" w:fill="FFFFFF"/>
            <w:vAlign w:val="center"/>
          </w:tcPr>
          <w:p w:rsidR="00A92422" w:rsidRPr="001E1017" w:rsidRDefault="00A92422" w:rsidP="00EA30FC">
            <w:pPr>
              <w:pStyle w:val="TableText"/>
              <w:widowControl w:val="0"/>
              <w:rPr>
                <w:rFonts w:cs="Tahoma"/>
                <w:b/>
                <w:color w:val="0000FF"/>
                <w:sz w:val="13"/>
                <w:szCs w:val="13"/>
                <w:u w:val="single"/>
              </w:rPr>
            </w:pPr>
            <w:hyperlink w:anchor="_33_Core_CAL" w:history="1">
              <w:r w:rsidRPr="001E1017">
                <w:rPr>
                  <w:rStyle w:val="Hyperlink"/>
                  <w:rFonts w:cs="Tahoma"/>
                  <w:b/>
                  <w:sz w:val="13"/>
                  <w:szCs w:val="13"/>
                </w:rPr>
                <w:t>33</w:t>
              </w:r>
            </w:hyperlink>
          </w:p>
        </w:tc>
        <w:tc>
          <w:tcPr>
            <w:tcW w:w="450" w:type="dxa"/>
            <w:shd w:val="clear" w:color="auto" w:fill="FFFFFF"/>
          </w:tcPr>
          <w:p w:rsidR="00A92422" w:rsidRPr="00D87B79" w:rsidRDefault="00A92422" w:rsidP="00EA30FC">
            <w:pPr>
              <w:pStyle w:val="TableText"/>
              <w:widowControl w:val="0"/>
              <w:spacing w:before="40"/>
              <w:rPr>
                <w:rFonts w:ascii="Tahoma" w:hAnsi="Tahoma" w:cs="Tahoma"/>
                <w:sz w:val="13"/>
              </w:rPr>
            </w:pPr>
            <w:r w:rsidRPr="00D87B79">
              <w:rPr>
                <w:rFonts w:ascii="Tahoma" w:hAnsi="Tahoma" w:cs="Tahoma"/>
                <w:sz w:val="13"/>
              </w:rPr>
              <w:t>06/11</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FFFFFF"/>
            <w:vAlign w:val="bottom"/>
          </w:tcPr>
          <w:p w:rsidR="00A92422" w:rsidRPr="00D87B79" w:rsidRDefault="00A92422" w:rsidP="00EA30FC">
            <w:pPr>
              <w:pStyle w:val="TableText"/>
              <w:widowControl w:val="0"/>
              <w:rPr>
                <w:rFonts w:ascii="Tahoma" w:hAnsi="Tahoma" w:cs="Tahoma"/>
                <w:sz w:val="13"/>
                <w:szCs w:val="13"/>
              </w:rPr>
            </w:pPr>
          </w:p>
        </w:tc>
        <w:tc>
          <w:tcPr>
            <w:tcW w:w="450" w:type="dxa"/>
            <w:shd w:val="clear" w:color="auto" w:fill="FFFFFF"/>
            <w:vAlign w:val="bottom"/>
          </w:tcPr>
          <w:p w:rsidR="00A92422" w:rsidRPr="00D87B79" w:rsidRDefault="00A92422" w:rsidP="00EA30FC">
            <w:pPr>
              <w:pStyle w:val="TableText"/>
              <w:widowControl w:val="0"/>
              <w:rPr>
                <w:rFonts w:ascii="Tahoma" w:hAnsi="Tahoma" w:cs="Tahoma"/>
                <w:sz w:val="13"/>
                <w:szCs w:val="13"/>
              </w:rPr>
            </w:pPr>
          </w:p>
        </w:tc>
        <w:tc>
          <w:tcPr>
            <w:tcW w:w="450" w:type="dxa"/>
            <w:shd w:val="clear" w:color="auto" w:fill="FFFFFF"/>
            <w:vAlign w:val="bottom"/>
          </w:tcPr>
          <w:p w:rsidR="00A92422" w:rsidRPr="00D87B79" w:rsidRDefault="00A92422" w:rsidP="00EA30FC">
            <w:pPr>
              <w:pStyle w:val="TableText"/>
              <w:widowControl w:val="0"/>
              <w:rPr>
                <w:rFonts w:ascii="Tahoma" w:hAnsi="Tahoma" w:cs="Tahoma"/>
                <w:sz w:val="13"/>
                <w:szCs w:val="13"/>
              </w:rPr>
            </w:pPr>
          </w:p>
        </w:tc>
        <w:tc>
          <w:tcPr>
            <w:tcW w:w="450" w:type="dxa"/>
            <w:shd w:val="clear" w:color="auto" w:fill="FFFFFF"/>
            <w:vAlign w:val="bottom"/>
          </w:tcPr>
          <w:p w:rsidR="00A92422" w:rsidRPr="00D87B79" w:rsidRDefault="00A92422" w:rsidP="00EA30FC">
            <w:pPr>
              <w:pStyle w:val="TableText"/>
              <w:widowControl w:val="0"/>
              <w:rPr>
                <w:rFonts w:ascii="Tahoma" w:hAnsi="Tahoma" w:cs="Tahoma"/>
                <w:sz w:val="13"/>
                <w:szCs w:val="13"/>
              </w:rPr>
            </w:pPr>
          </w:p>
        </w:tc>
        <w:tc>
          <w:tcPr>
            <w:tcW w:w="450" w:type="dxa"/>
            <w:shd w:val="clear" w:color="auto" w:fill="FFFFFF"/>
            <w:vAlign w:val="bottom"/>
          </w:tcPr>
          <w:p w:rsidR="00A92422" w:rsidRPr="00D87B79" w:rsidRDefault="00A92422" w:rsidP="00EA30FC">
            <w:pPr>
              <w:pStyle w:val="TableText"/>
              <w:widowControl w:val="0"/>
              <w:rPr>
                <w:rFonts w:ascii="Tahoma" w:hAnsi="Tahoma" w:cs="Tahoma"/>
                <w:sz w:val="13"/>
                <w:szCs w:val="13"/>
              </w:rPr>
            </w:pPr>
          </w:p>
        </w:tc>
        <w:tc>
          <w:tcPr>
            <w:tcW w:w="450" w:type="dxa"/>
            <w:shd w:val="clear" w:color="auto" w:fill="FFFFFF"/>
            <w:vAlign w:val="bottom"/>
          </w:tcPr>
          <w:p w:rsidR="00A92422" w:rsidRPr="00D87B79" w:rsidRDefault="00A92422" w:rsidP="00EA30FC">
            <w:pPr>
              <w:pStyle w:val="TableText"/>
              <w:widowControl w:val="0"/>
              <w:rPr>
                <w:rFonts w:ascii="Tahoma" w:hAnsi="Tahoma" w:cs="Tahoma"/>
                <w:sz w:val="13"/>
                <w:szCs w:val="13"/>
              </w:rPr>
            </w:pPr>
          </w:p>
        </w:tc>
        <w:tc>
          <w:tcPr>
            <w:tcW w:w="360" w:type="dxa"/>
            <w:tcBorders>
              <w:right w:val="single" w:sz="18" w:space="0" w:color="auto"/>
            </w:tcBorders>
            <w:shd w:val="clear" w:color="auto" w:fill="FFFFFF"/>
            <w:vAlign w:val="bottom"/>
          </w:tcPr>
          <w:p w:rsidR="00A92422" w:rsidRPr="00D87B79" w:rsidRDefault="00A92422" w:rsidP="00EA30FC">
            <w:pPr>
              <w:pStyle w:val="TableText"/>
              <w:widowControl w:val="0"/>
              <w:rPr>
                <w:rFonts w:ascii="Tahoma" w:hAnsi="Tahoma" w:cs="Tahoma"/>
                <w:sz w:val="13"/>
                <w:szCs w:val="13"/>
              </w:rPr>
            </w:pPr>
          </w:p>
        </w:tc>
        <w:tc>
          <w:tcPr>
            <w:tcW w:w="450" w:type="dxa"/>
            <w:tcBorders>
              <w:left w:val="single" w:sz="18" w:space="0" w:color="auto"/>
            </w:tcBorders>
            <w:shd w:val="clear" w:color="auto" w:fill="FFFFFF"/>
            <w:vAlign w:val="bottom"/>
          </w:tcPr>
          <w:p w:rsidR="00A92422" w:rsidRPr="00D87B79" w:rsidRDefault="00A92422" w:rsidP="00EA30FC">
            <w:pPr>
              <w:pStyle w:val="TableText"/>
              <w:widowControl w:val="0"/>
              <w:rPr>
                <w:rFonts w:ascii="Tahoma" w:hAnsi="Tahoma" w:cs="Tahoma"/>
                <w:sz w:val="13"/>
                <w:szCs w:val="13"/>
              </w:rPr>
            </w:pPr>
          </w:p>
        </w:tc>
        <w:tc>
          <w:tcPr>
            <w:tcW w:w="450" w:type="dxa"/>
            <w:shd w:val="clear" w:color="auto" w:fill="FFFFFF"/>
            <w:vAlign w:val="bottom"/>
          </w:tcPr>
          <w:p w:rsidR="00A92422" w:rsidRPr="00D87B79" w:rsidRDefault="00A92422" w:rsidP="00EA30FC">
            <w:pPr>
              <w:pStyle w:val="TableText"/>
              <w:widowControl w:val="0"/>
              <w:rPr>
                <w:rFonts w:ascii="Tahoma" w:hAnsi="Tahoma" w:cs="Tahoma"/>
                <w:sz w:val="13"/>
                <w:szCs w:val="13"/>
              </w:rPr>
            </w:pPr>
          </w:p>
        </w:tc>
        <w:tc>
          <w:tcPr>
            <w:tcW w:w="450" w:type="dxa"/>
            <w:tcBorders>
              <w:right w:val="single" w:sz="18" w:space="0" w:color="auto"/>
            </w:tcBorders>
            <w:shd w:val="clear" w:color="auto" w:fill="FFFFFF"/>
            <w:vAlign w:val="bottom"/>
          </w:tcPr>
          <w:p w:rsidR="00A92422" w:rsidRPr="00D87B79" w:rsidRDefault="00A92422" w:rsidP="00EA30FC">
            <w:pPr>
              <w:pStyle w:val="TableText"/>
              <w:widowControl w:val="0"/>
              <w:rPr>
                <w:rFonts w:ascii="Tahoma" w:hAnsi="Tahoma" w:cs="Tahoma"/>
                <w:sz w:val="13"/>
                <w:szCs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szCs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E</w:t>
            </w:r>
          </w:p>
        </w:tc>
        <w:tc>
          <w:tcPr>
            <w:tcW w:w="504" w:type="dxa"/>
            <w:shd w:val="clear" w:color="auto" w:fill="FFFFFF"/>
          </w:tcPr>
          <w:p w:rsidR="00A92422" w:rsidRPr="00D87B79" w:rsidRDefault="00A92422" w:rsidP="00EA30FC">
            <w:pPr>
              <w:pStyle w:val="TableText"/>
              <w:widowControl w:val="0"/>
              <w:rPr>
                <w:rFonts w:ascii="Tahoma" w:hAnsi="Tahoma" w:cs="Tahoma"/>
                <w:sz w:val="13"/>
              </w:rPr>
            </w:pPr>
          </w:p>
        </w:tc>
        <w:tc>
          <w:tcPr>
            <w:tcW w:w="486" w:type="dxa"/>
            <w:shd w:val="clear" w:color="auto" w:fill="FFFFF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ABF8F"/>
            <w:vAlign w:val="center"/>
          </w:tcPr>
          <w:p w:rsidR="00A92422" w:rsidRPr="00873B3F" w:rsidRDefault="00A92422" w:rsidP="00EA30FC">
            <w:pPr>
              <w:pStyle w:val="ProductNames"/>
              <w:spacing w:beforeLines="20" w:before="48" w:afterLines="20" w:after="48"/>
              <w:rPr>
                <w:rFonts w:ascii="Tahoma" w:hAnsi="Tahoma" w:cs="Tahoma"/>
                <w:sz w:val="14"/>
                <w:szCs w:val="14"/>
              </w:rPr>
            </w:pPr>
            <w:bookmarkStart w:id="198" w:name="_Toc336337928"/>
            <w:bookmarkStart w:id="199" w:name="_Toc342899998"/>
            <w:bookmarkEnd w:id="198"/>
            <w:r w:rsidRPr="00873B3F">
              <w:rPr>
                <w:rFonts w:ascii="Tahoma" w:hAnsi="Tahoma" w:cs="Tahoma"/>
                <w:sz w:val="14"/>
                <w:szCs w:val="14"/>
                <w:lang w:val="it-IT"/>
              </w:rPr>
              <w:t>Core CAL Bridge per Windows</w:t>
            </w:r>
            <w:r w:rsidRPr="003A0F2F">
              <w:rPr>
                <w:rFonts w:ascii="Tahoma" w:hAnsi="Tahoma" w:cs="Tahoma"/>
                <w:sz w:val="14"/>
                <w:szCs w:val="14"/>
                <w:vertAlign w:val="superscript"/>
                <w:lang w:val="it-IT"/>
              </w:rPr>
              <w:t>®</w:t>
            </w:r>
            <w:r w:rsidRPr="00873B3F">
              <w:rPr>
                <w:rFonts w:ascii="Tahoma" w:hAnsi="Tahoma" w:cs="Tahoma"/>
                <w:sz w:val="14"/>
                <w:szCs w:val="14"/>
                <w:lang w:val="it-IT"/>
              </w:rPr>
              <w:t xml:space="preserve"> Intune (Utente e Dispositivo)</w:t>
            </w:r>
            <w:bookmarkEnd w:id="199"/>
          </w:p>
        </w:tc>
        <w:tc>
          <w:tcPr>
            <w:tcW w:w="450" w:type="dxa"/>
            <w:shd w:val="clear" w:color="auto" w:fill="FABF8F"/>
            <w:vAlign w:val="center"/>
          </w:tcPr>
          <w:p w:rsidR="00A92422" w:rsidRPr="001E1017" w:rsidRDefault="00A92422" w:rsidP="00EA30FC">
            <w:pPr>
              <w:pStyle w:val="TableText"/>
              <w:widowControl w:val="0"/>
              <w:rPr>
                <w:rFonts w:cs="Tahoma"/>
                <w:b/>
                <w:color w:val="0000FF"/>
                <w:sz w:val="13"/>
                <w:szCs w:val="13"/>
                <w:u w:val="single"/>
              </w:rPr>
            </w:pPr>
            <w:hyperlink w:anchor="_33_Core_CAL" w:history="1">
              <w:r w:rsidRPr="001E1017">
                <w:rPr>
                  <w:rStyle w:val="Hyperlink"/>
                  <w:rFonts w:cs="Tahoma"/>
                  <w:b/>
                  <w:sz w:val="13"/>
                  <w:szCs w:val="13"/>
                </w:rPr>
                <w:t>33</w:t>
              </w:r>
            </w:hyperlink>
          </w:p>
        </w:tc>
        <w:tc>
          <w:tcPr>
            <w:tcW w:w="450" w:type="dxa"/>
            <w:shd w:val="clear" w:color="auto" w:fill="FABF8F"/>
          </w:tcPr>
          <w:p w:rsidR="00A92422" w:rsidRPr="00D87B79" w:rsidRDefault="00A92422" w:rsidP="00EA30FC">
            <w:pPr>
              <w:pStyle w:val="TableText"/>
              <w:widowControl w:val="0"/>
              <w:spacing w:before="40"/>
              <w:rPr>
                <w:rFonts w:ascii="Tahoma" w:hAnsi="Tahoma" w:cs="Tahoma"/>
                <w:sz w:val="13"/>
              </w:rPr>
            </w:pPr>
            <w:r w:rsidRPr="00D87B79">
              <w:rPr>
                <w:rFonts w:ascii="Tahoma" w:hAnsi="Tahoma" w:cs="Tahoma"/>
                <w:sz w:val="13"/>
              </w:rPr>
              <w:t>04/11</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FABF8F"/>
            <w:vAlign w:val="bottom"/>
          </w:tcPr>
          <w:p w:rsidR="00A92422" w:rsidRPr="00D87B79" w:rsidRDefault="00A92422" w:rsidP="00EA30FC">
            <w:pPr>
              <w:pStyle w:val="TableText"/>
              <w:widowControl w:val="0"/>
              <w:rPr>
                <w:rFonts w:ascii="Tahoma" w:hAnsi="Tahoma" w:cs="Tahoma"/>
                <w:sz w:val="13"/>
                <w:szCs w:val="13"/>
              </w:rPr>
            </w:pPr>
          </w:p>
        </w:tc>
        <w:tc>
          <w:tcPr>
            <w:tcW w:w="450" w:type="dxa"/>
            <w:shd w:val="clear" w:color="auto" w:fill="FABF8F"/>
            <w:vAlign w:val="bottom"/>
          </w:tcPr>
          <w:p w:rsidR="00A92422" w:rsidRPr="00D87B79" w:rsidRDefault="00A92422" w:rsidP="00EA30FC">
            <w:pPr>
              <w:pStyle w:val="TableText"/>
              <w:widowControl w:val="0"/>
              <w:rPr>
                <w:rFonts w:ascii="Tahoma" w:hAnsi="Tahoma" w:cs="Tahoma"/>
                <w:sz w:val="13"/>
                <w:szCs w:val="13"/>
              </w:rPr>
            </w:pPr>
          </w:p>
        </w:tc>
        <w:tc>
          <w:tcPr>
            <w:tcW w:w="450" w:type="dxa"/>
            <w:shd w:val="clear" w:color="auto" w:fill="FABF8F"/>
            <w:vAlign w:val="bottom"/>
          </w:tcPr>
          <w:p w:rsidR="00A92422" w:rsidRPr="00D87B79" w:rsidRDefault="00A92422" w:rsidP="00EA30FC">
            <w:pPr>
              <w:pStyle w:val="TableText"/>
              <w:widowControl w:val="0"/>
              <w:rPr>
                <w:rFonts w:ascii="Tahoma" w:hAnsi="Tahoma" w:cs="Tahoma"/>
                <w:sz w:val="13"/>
                <w:szCs w:val="13"/>
              </w:rPr>
            </w:pPr>
          </w:p>
        </w:tc>
        <w:tc>
          <w:tcPr>
            <w:tcW w:w="450" w:type="dxa"/>
            <w:shd w:val="clear" w:color="auto" w:fill="FABF8F"/>
            <w:vAlign w:val="bottom"/>
          </w:tcPr>
          <w:p w:rsidR="00A92422" w:rsidRPr="00D87B79" w:rsidRDefault="00A92422" w:rsidP="00EA30FC">
            <w:pPr>
              <w:pStyle w:val="TableText"/>
              <w:widowControl w:val="0"/>
              <w:rPr>
                <w:rFonts w:ascii="Tahoma" w:hAnsi="Tahoma" w:cs="Tahoma"/>
                <w:sz w:val="13"/>
                <w:szCs w:val="13"/>
              </w:rPr>
            </w:pPr>
          </w:p>
        </w:tc>
        <w:tc>
          <w:tcPr>
            <w:tcW w:w="450" w:type="dxa"/>
            <w:shd w:val="clear" w:color="auto" w:fill="FABF8F"/>
            <w:vAlign w:val="bottom"/>
          </w:tcPr>
          <w:p w:rsidR="00A92422" w:rsidRPr="00D87B79" w:rsidRDefault="00A92422" w:rsidP="00EA30FC">
            <w:pPr>
              <w:pStyle w:val="TableText"/>
              <w:widowControl w:val="0"/>
              <w:rPr>
                <w:rFonts w:ascii="Tahoma" w:hAnsi="Tahoma" w:cs="Tahoma"/>
                <w:sz w:val="13"/>
                <w:szCs w:val="13"/>
              </w:rPr>
            </w:pPr>
          </w:p>
        </w:tc>
        <w:tc>
          <w:tcPr>
            <w:tcW w:w="450" w:type="dxa"/>
            <w:shd w:val="clear" w:color="auto" w:fill="FABF8F"/>
            <w:vAlign w:val="bottom"/>
          </w:tcPr>
          <w:p w:rsidR="00A92422" w:rsidRPr="00D87B79" w:rsidRDefault="00A92422" w:rsidP="00EA30FC">
            <w:pPr>
              <w:pStyle w:val="TableText"/>
              <w:widowControl w:val="0"/>
              <w:rPr>
                <w:rFonts w:ascii="Tahoma" w:hAnsi="Tahoma" w:cs="Tahoma"/>
                <w:sz w:val="13"/>
                <w:szCs w:val="13"/>
              </w:rPr>
            </w:pPr>
          </w:p>
        </w:tc>
        <w:tc>
          <w:tcPr>
            <w:tcW w:w="360" w:type="dxa"/>
            <w:tcBorders>
              <w:right w:val="single" w:sz="18" w:space="0" w:color="auto"/>
            </w:tcBorders>
            <w:shd w:val="clear" w:color="auto" w:fill="FABF8F"/>
            <w:vAlign w:val="bottom"/>
          </w:tcPr>
          <w:p w:rsidR="00A92422" w:rsidRPr="00D87B79" w:rsidRDefault="00A92422" w:rsidP="00EA30FC">
            <w:pPr>
              <w:pStyle w:val="TableText"/>
              <w:widowControl w:val="0"/>
              <w:rPr>
                <w:rFonts w:ascii="Tahoma" w:hAnsi="Tahoma" w:cs="Tahoma"/>
                <w:sz w:val="13"/>
                <w:szCs w:val="13"/>
              </w:rPr>
            </w:pPr>
          </w:p>
        </w:tc>
        <w:tc>
          <w:tcPr>
            <w:tcW w:w="450" w:type="dxa"/>
            <w:tcBorders>
              <w:left w:val="single" w:sz="18" w:space="0" w:color="auto"/>
            </w:tcBorders>
            <w:shd w:val="clear" w:color="auto" w:fill="FABF8F"/>
            <w:vAlign w:val="bottom"/>
          </w:tcPr>
          <w:p w:rsidR="00A92422" w:rsidRPr="00D87B79" w:rsidRDefault="00A92422" w:rsidP="00EA30FC">
            <w:pPr>
              <w:pStyle w:val="TableText"/>
              <w:widowControl w:val="0"/>
              <w:rPr>
                <w:rFonts w:ascii="Tahoma" w:hAnsi="Tahoma" w:cs="Tahoma"/>
                <w:sz w:val="13"/>
                <w:szCs w:val="13"/>
              </w:rPr>
            </w:pPr>
          </w:p>
        </w:tc>
        <w:tc>
          <w:tcPr>
            <w:tcW w:w="450" w:type="dxa"/>
            <w:shd w:val="clear" w:color="auto" w:fill="FABF8F"/>
            <w:vAlign w:val="bottom"/>
          </w:tcPr>
          <w:p w:rsidR="00A92422" w:rsidRPr="00D87B79" w:rsidRDefault="00A92422" w:rsidP="00EA30FC">
            <w:pPr>
              <w:pStyle w:val="TableText"/>
              <w:widowControl w:val="0"/>
              <w:rPr>
                <w:rFonts w:ascii="Tahoma" w:hAnsi="Tahoma" w:cs="Tahoma"/>
                <w:sz w:val="13"/>
                <w:szCs w:val="13"/>
              </w:rPr>
            </w:pPr>
          </w:p>
        </w:tc>
        <w:tc>
          <w:tcPr>
            <w:tcW w:w="450" w:type="dxa"/>
            <w:tcBorders>
              <w:right w:val="single" w:sz="18" w:space="0" w:color="auto"/>
            </w:tcBorders>
            <w:shd w:val="clear" w:color="auto" w:fill="FABF8F"/>
            <w:vAlign w:val="bottom"/>
          </w:tcPr>
          <w:p w:rsidR="00A92422" w:rsidRPr="00D87B79" w:rsidRDefault="00A92422" w:rsidP="00EA30FC">
            <w:pPr>
              <w:pStyle w:val="TableText"/>
              <w:widowControl w:val="0"/>
              <w:rPr>
                <w:rFonts w:ascii="Tahoma" w:hAnsi="Tahoma" w:cs="Tahoma"/>
                <w:sz w:val="13"/>
                <w:szCs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szCs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tcPr>
          <w:p w:rsidR="00A92422" w:rsidRPr="00D87B79" w:rsidRDefault="00A92422" w:rsidP="00EA30FC">
            <w:pPr>
              <w:pStyle w:val="TableText"/>
              <w:widowControl w:val="0"/>
              <w:rPr>
                <w:rFonts w:ascii="Tahoma" w:hAnsi="Tahoma" w:cs="Tahoma"/>
                <w:sz w:val="13"/>
              </w:rPr>
            </w:pP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FFFFF"/>
            <w:vAlign w:val="center"/>
          </w:tcPr>
          <w:p w:rsidR="00A92422" w:rsidRPr="00873B3F" w:rsidRDefault="00A92422" w:rsidP="00EA30FC">
            <w:pPr>
              <w:pStyle w:val="ProductNames"/>
              <w:spacing w:beforeLines="20" w:before="48" w:afterLines="20" w:after="48"/>
              <w:rPr>
                <w:rFonts w:ascii="Tahoma" w:hAnsi="Tahoma" w:cs="Tahoma"/>
                <w:sz w:val="14"/>
                <w:szCs w:val="14"/>
              </w:rPr>
            </w:pPr>
            <w:bookmarkStart w:id="200" w:name="_Toc336337929"/>
            <w:bookmarkStart w:id="201" w:name="_Toc342899999"/>
            <w:bookmarkEnd w:id="200"/>
            <w:r w:rsidRPr="00873B3F">
              <w:rPr>
                <w:rFonts w:ascii="Tahoma" w:hAnsi="Tahoma" w:cs="Tahoma"/>
                <w:sz w:val="14"/>
                <w:szCs w:val="14"/>
                <w:lang w:val="it-IT"/>
              </w:rPr>
              <w:t>Core CAL Suite (Utente e Dispositivo)</w:t>
            </w:r>
            <w:bookmarkEnd w:id="201"/>
          </w:p>
        </w:tc>
        <w:tc>
          <w:tcPr>
            <w:tcW w:w="450" w:type="dxa"/>
            <w:shd w:val="clear" w:color="auto" w:fill="FFFFFF"/>
            <w:vAlign w:val="center"/>
          </w:tcPr>
          <w:p w:rsidR="00A92422" w:rsidRPr="001E1017" w:rsidRDefault="00A92422" w:rsidP="00EA30FC">
            <w:pPr>
              <w:pStyle w:val="TableText"/>
              <w:widowControl w:val="0"/>
              <w:rPr>
                <w:rStyle w:val="EndnoteReference"/>
                <w:rFonts w:cs="Tahoma"/>
                <w:color w:val="0000FF"/>
                <w:sz w:val="13"/>
                <w:szCs w:val="13"/>
                <w:u w:val="single"/>
              </w:rPr>
            </w:pPr>
            <w:hyperlink w:anchor="_34_Core_CAL" w:history="1">
              <w:r w:rsidRPr="001E1017">
                <w:rPr>
                  <w:rStyle w:val="Hyperlink"/>
                  <w:rFonts w:cs="Tahoma"/>
                  <w:b/>
                  <w:sz w:val="13"/>
                  <w:szCs w:val="13"/>
                </w:rPr>
                <w:t>34</w:t>
              </w:r>
            </w:hyperlink>
          </w:p>
        </w:tc>
        <w:tc>
          <w:tcPr>
            <w:tcW w:w="450" w:type="dxa"/>
            <w:shd w:val="clear" w:color="auto" w:fill="FFFFFF"/>
          </w:tcPr>
          <w:p w:rsidR="00A92422" w:rsidRPr="00D87B79" w:rsidRDefault="00A92422" w:rsidP="00EA30FC">
            <w:pPr>
              <w:pStyle w:val="TableText"/>
              <w:widowControl w:val="0"/>
              <w:spacing w:before="40"/>
              <w:rPr>
                <w:rFonts w:ascii="Tahoma" w:hAnsi="Tahoma" w:cs="Tahoma"/>
                <w:color w:val="000000"/>
                <w:sz w:val="13"/>
              </w:rPr>
            </w:pPr>
            <w:r w:rsidRPr="00D87B79">
              <w:rPr>
                <w:rFonts w:ascii="Tahoma" w:hAnsi="Tahoma" w:cs="Tahoma"/>
                <w:color w:val="000000"/>
                <w:sz w:val="13"/>
              </w:rPr>
              <w:t>10/06</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SRV</w:t>
            </w: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szCs w:val="13"/>
              </w:rPr>
            </w:pPr>
          </w:p>
        </w:tc>
        <w:tc>
          <w:tcPr>
            <w:tcW w:w="450" w:type="dxa"/>
            <w:shd w:val="clear" w:color="auto" w:fill="FFFFFF"/>
            <w:vAlign w:val="bottom"/>
          </w:tcPr>
          <w:p w:rsidR="00A92422" w:rsidRPr="00D87B79" w:rsidRDefault="00A92422" w:rsidP="00EA30FC">
            <w:pPr>
              <w:pStyle w:val="TableText"/>
              <w:widowControl w:val="0"/>
              <w:rPr>
                <w:rFonts w:ascii="Tahoma" w:hAnsi="Tahoma" w:cs="Tahoma"/>
                <w:sz w:val="13"/>
                <w:szCs w:val="13"/>
              </w:rPr>
            </w:pPr>
            <w:r w:rsidRPr="00D87B79">
              <w:rPr>
                <w:rFonts w:ascii="Tahoma" w:hAnsi="Tahoma" w:cs="Tahoma"/>
                <w:sz w:val="13"/>
                <w:szCs w:val="13"/>
              </w:rPr>
              <w:t>3</w:t>
            </w:r>
          </w:p>
        </w:tc>
        <w:tc>
          <w:tcPr>
            <w:tcW w:w="450" w:type="dxa"/>
            <w:shd w:val="clear" w:color="auto" w:fill="FFFFFF"/>
            <w:vAlign w:val="bottom"/>
          </w:tcPr>
          <w:p w:rsidR="00A92422" w:rsidRPr="00D87B79" w:rsidRDefault="00A92422" w:rsidP="00EA30FC">
            <w:pPr>
              <w:pStyle w:val="TableText"/>
              <w:widowControl w:val="0"/>
              <w:rPr>
                <w:rFonts w:ascii="Tahoma" w:hAnsi="Tahoma" w:cs="Tahoma"/>
                <w:sz w:val="13"/>
                <w:szCs w:val="13"/>
              </w:rPr>
            </w:pPr>
            <w:r w:rsidRPr="00D87B79">
              <w:rPr>
                <w:rFonts w:ascii="Tahoma" w:hAnsi="Tahoma" w:cs="Tahoma"/>
                <w:sz w:val="13"/>
                <w:szCs w:val="13"/>
              </w:rPr>
              <w:t>2</w:t>
            </w:r>
          </w:p>
        </w:tc>
        <w:tc>
          <w:tcPr>
            <w:tcW w:w="450" w:type="dxa"/>
            <w:shd w:val="clear" w:color="auto" w:fill="FFFFFF"/>
            <w:vAlign w:val="bottom"/>
          </w:tcPr>
          <w:p w:rsidR="00A92422" w:rsidRPr="00D87B79" w:rsidRDefault="00A92422" w:rsidP="00EA30FC">
            <w:pPr>
              <w:pStyle w:val="TableText"/>
              <w:widowControl w:val="0"/>
              <w:rPr>
                <w:rFonts w:ascii="Tahoma" w:hAnsi="Tahoma" w:cs="Tahoma"/>
                <w:sz w:val="13"/>
                <w:szCs w:val="13"/>
              </w:rPr>
            </w:pPr>
            <w:r w:rsidRPr="00D87B79">
              <w:rPr>
                <w:rFonts w:ascii="Tahoma" w:hAnsi="Tahoma" w:cs="Tahoma"/>
                <w:sz w:val="13"/>
                <w:szCs w:val="13"/>
              </w:rPr>
              <w:t>2</w:t>
            </w:r>
          </w:p>
        </w:tc>
        <w:tc>
          <w:tcPr>
            <w:tcW w:w="450" w:type="dxa"/>
            <w:shd w:val="clear" w:color="auto" w:fill="FFFFFF"/>
            <w:vAlign w:val="bottom"/>
          </w:tcPr>
          <w:p w:rsidR="00A92422" w:rsidRPr="00D87B79" w:rsidRDefault="00A92422" w:rsidP="00EA30FC">
            <w:pPr>
              <w:pStyle w:val="TableText"/>
              <w:widowControl w:val="0"/>
              <w:rPr>
                <w:rFonts w:ascii="Tahoma" w:hAnsi="Tahoma" w:cs="Tahoma"/>
                <w:sz w:val="13"/>
                <w:szCs w:val="13"/>
              </w:rPr>
            </w:pPr>
            <w:r w:rsidRPr="00D87B79">
              <w:rPr>
                <w:rFonts w:ascii="Tahoma" w:hAnsi="Tahoma" w:cs="Tahoma"/>
                <w:sz w:val="13"/>
                <w:szCs w:val="13"/>
              </w:rPr>
              <w:t>2</w:t>
            </w:r>
          </w:p>
        </w:tc>
        <w:tc>
          <w:tcPr>
            <w:tcW w:w="450" w:type="dxa"/>
            <w:shd w:val="clear" w:color="auto" w:fill="FFFFFF"/>
            <w:vAlign w:val="bottom"/>
          </w:tcPr>
          <w:p w:rsidR="00A92422" w:rsidRPr="00D87B79" w:rsidRDefault="00A92422" w:rsidP="00EA30FC">
            <w:pPr>
              <w:pStyle w:val="TableText"/>
              <w:widowControl w:val="0"/>
              <w:rPr>
                <w:rFonts w:ascii="Tahoma" w:hAnsi="Tahoma" w:cs="Tahoma"/>
                <w:sz w:val="13"/>
                <w:szCs w:val="13"/>
              </w:rPr>
            </w:pPr>
            <w:r w:rsidRPr="00D87B79">
              <w:rPr>
                <w:rFonts w:ascii="Tahoma" w:hAnsi="Tahoma" w:cs="Tahoma"/>
                <w:sz w:val="13"/>
                <w:szCs w:val="13"/>
              </w:rPr>
              <w:t>1</w:t>
            </w:r>
          </w:p>
        </w:tc>
        <w:tc>
          <w:tcPr>
            <w:tcW w:w="360" w:type="dxa"/>
            <w:tcBorders>
              <w:right w:val="single" w:sz="18" w:space="0" w:color="auto"/>
            </w:tcBorders>
            <w:shd w:val="clear" w:color="auto" w:fill="FFFFFF"/>
            <w:vAlign w:val="bottom"/>
          </w:tcPr>
          <w:p w:rsidR="00A92422" w:rsidRPr="00D87B79" w:rsidRDefault="00A92422" w:rsidP="00EA30FC">
            <w:pPr>
              <w:pStyle w:val="TableText"/>
              <w:widowControl w:val="0"/>
              <w:rPr>
                <w:rFonts w:ascii="Tahoma" w:hAnsi="Tahoma" w:cs="Tahoma"/>
                <w:sz w:val="13"/>
                <w:szCs w:val="13"/>
              </w:rPr>
            </w:pPr>
            <w:r w:rsidRPr="00D87B79">
              <w:rPr>
                <w:rFonts w:ascii="Tahoma" w:hAnsi="Tahoma" w:cs="Tahoma"/>
                <w:sz w:val="13"/>
                <w:szCs w:val="13"/>
              </w:rPr>
              <w:t>1</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szCs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szCs w:val="13"/>
              </w:rPr>
            </w:pPr>
            <w:r w:rsidRPr="00D87B79">
              <w:rPr>
                <w:rFonts w:ascii="Tahoma" w:hAnsi="Tahoma" w:cs="Tahoma"/>
                <w:sz w:val="13"/>
                <w:szCs w:val="13"/>
              </w:rPr>
              <w:t>2</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szCs w:val="13"/>
              </w:rPr>
            </w:pPr>
            <w:r w:rsidRPr="00D87B79">
              <w:rPr>
                <w:rFonts w:ascii="Tahoma" w:hAnsi="Tahoma" w:cs="Tahoma"/>
                <w:sz w:val="13"/>
                <w:szCs w:val="13"/>
              </w:rPr>
              <w:t>1</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szCs w:val="13"/>
              </w:rPr>
            </w:pPr>
            <w:r w:rsidRPr="00D87B79">
              <w:rPr>
                <w:rFonts w:ascii="Tahoma" w:hAnsi="Tahoma" w:cs="Tahoma"/>
                <w:sz w:val="13"/>
                <w:szCs w:val="13"/>
              </w:rPr>
              <w:t>1</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E</w:t>
            </w: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E, P</w:t>
            </w:r>
          </w:p>
        </w:tc>
        <w:tc>
          <w:tcPr>
            <w:tcW w:w="504"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lang w:val="it-IT"/>
              </w:rPr>
              <w:t>E, ST</w:t>
            </w:r>
          </w:p>
        </w:tc>
        <w:tc>
          <w:tcPr>
            <w:tcW w:w="486"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r>
      <w:tr w:rsidR="00A92422" w:rsidRPr="00D87B79" w:rsidTr="00EA30FC">
        <w:trPr>
          <w:trHeight w:val="145"/>
        </w:trPr>
        <w:tc>
          <w:tcPr>
            <w:tcW w:w="2714" w:type="dxa"/>
            <w:shd w:val="clear" w:color="auto" w:fill="FABF8F"/>
            <w:vAlign w:val="center"/>
          </w:tcPr>
          <w:p w:rsidR="00A92422" w:rsidRPr="00873B3F" w:rsidRDefault="00A92422" w:rsidP="00EA30FC">
            <w:pPr>
              <w:pStyle w:val="ProductNames"/>
              <w:spacing w:beforeLines="20" w:before="48" w:afterLines="20" w:after="48"/>
              <w:rPr>
                <w:rFonts w:ascii="Tahoma" w:hAnsi="Tahoma" w:cs="Tahoma"/>
                <w:sz w:val="14"/>
                <w:szCs w:val="14"/>
              </w:rPr>
            </w:pPr>
            <w:bookmarkStart w:id="202" w:name="_Toc336337930"/>
            <w:bookmarkStart w:id="203" w:name="_Toc342900000"/>
            <w:bookmarkEnd w:id="202"/>
            <w:r w:rsidRPr="00873B3F">
              <w:rPr>
                <w:rFonts w:ascii="Tahoma" w:hAnsi="Tahoma" w:cs="Tahoma"/>
                <w:sz w:val="14"/>
                <w:szCs w:val="14"/>
                <w:lang w:val="it-IT"/>
              </w:rPr>
              <w:t>Core Infrastructure Server Suite Standard</w:t>
            </w:r>
            <w:bookmarkEnd w:id="203"/>
          </w:p>
        </w:tc>
        <w:tc>
          <w:tcPr>
            <w:tcW w:w="450" w:type="dxa"/>
            <w:shd w:val="clear" w:color="auto" w:fill="FABF8F"/>
            <w:vAlign w:val="center"/>
          </w:tcPr>
          <w:p w:rsidR="00A92422" w:rsidRPr="001E1017" w:rsidRDefault="00A92422" w:rsidP="00EA30FC">
            <w:pPr>
              <w:pStyle w:val="TableText"/>
              <w:widowControl w:val="0"/>
              <w:rPr>
                <w:rStyle w:val="EndnoteReference"/>
                <w:rFonts w:cs="Tahoma"/>
                <w:color w:val="0000FF"/>
                <w:sz w:val="13"/>
                <w:szCs w:val="13"/>
                <w:u w:val="single"/>
              </w:rPr>
            </w:pPr>
            <w:hyperlink w:anchor="_35_Core_Infrastructure" w:history="1">
              <w:r w:rsidRPr="001E1017">
                <w:rPr>
                  <w:rStyle w:val="Hyperlink"/>
                  <w:rFonts w:cs="Tahoma"/>
                  <w:b/>
                  <w:sz w:val="13"/>
                  <w:szCs w:val="13"/>
                </w:rPr>
                <w:t>35</w:t>
              </w:r>
            </w:hyperlink>
          </w:p>
        </w:tc>
        <w:tc>
          <w:tcPr>
            <w:tcW w:w="450" w:type="dxa"/>
            <w:shd w:val="clear" w:color="auto" w:fill="FABF8F"/>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rPr>
              <w:t>04/12</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ABF8F"/>
            <w:vAlign w:val="bottom"/>
          </w:tcPr>
          <w:p w:rsidR="00A92422" w:rsidRPr="00D87B79" w:rsidRDefault="00A92422" w:rsidP="00EA30FC">
            <w:pPr>
              <w:pStyle w:val="TableText"/>
              <w:widowControl w:val="0"/>
              <w:spacing w:before="120" w:after="120"/>
              <w:rPr>
                <w:rFonts w:ascii="Tahoma" w:hAnsi="Tahoma" w:cs="Tahoma"/>
                <w:sz w:val="13"/>
                <w:szCs w:val="13"/>
              </w:rPr>
            </w:pPr>
            <w:r w:rsidRPr="00D87B79">
              <w:rPr>
                <w:rFonts w:ascii="Tahoma" w:hAnsi="Tahoma" w:cs="Tahoma"/>
                <w:sz w:val="13"/>
              </w:rPr>
              <w:t>25</w:t>
            </w:r>
          </w:p>
        </w:tc>
        <w:tc>
          <w:tcPr>
            <w:tcW w:w="450" w:type="dxa"/>
            <w:shd w:val="clear" w:color="auto" w:fill="FABF8F"/>
            <w:vAlign w:val="bottom"/>
          </w:tcPr>
          <w:p w:rsidR="00A92422" w:rsidRPr="00D87B79" w:rsidRDefault="00A92422" w:rsidP="00EA30FC">
            <w:pPr>
              <w:pStyle w:val="TableText"/>
              <w:widowControl w:val="0"/>
              <w:spacing w:before="120" w:after="120"/>
              <w:rPr>
                <w:rFonts w:ascii="Tahoma" w:hAnsi="Tahoma" w:cs="Tahoma"/>
                <w:sz w:val="13"/>
                <w:szCs w:val="13"/>
              </w:rPr>
            </w:pPr>
            <w:r w:rsidRPr="00D87B79">
              <w:rPr>
                <w:rFonts w:ascii="Tahoma" w:hAnsi="Tahoma" w:cs="Tahoma"/>
                <w:sz w:val="13"/>
              </w:rPr>
              <w:t>63</w:t>
            </w:r>
          </w:p>
        </w:tc>
        <w:tc>
          <w:tcPr>
            <w:tcW w:w="450" w:type="dxa"/>
            <w:shd w:val="clear" w:color="auto" w:fill="FABF8F"/>
            <w:vAlign w:val="bottom"/>
          </w:tcPr>
          <w:p w:rsidR="00A92422" w:rsidRPr="00D87B79" w:rsidRDefault="00A92422" w:rsidP="00EA30FC">
            <w:pPr>
              <w:pStyle w:val="TableText"/>
              <w:widowControl w:val="0"/>
              <w:spacing w:before="120" w:after="120"/>
              <w:rPr>
                <w:rFonts w:ascii="Tahoma" w:hAnsi="Tahoma" w:cs="Tahoma"/>
                <w:sz w:val="13"/>
                <w:szCs w:val="13"/>
              </w:rPr>
            </w:pPr>
            <w:r w:rsidRPr="00D87B79">
              <w:rPr>
                <w:rFonts w:ascii="Tahoma" w:hAnsi="Tahoma" w:cs="Tahoma"/>
                <w:sz w:val="13"/>
              </w:rPr>
              <w:t>50</w:t>
            </w:r>
          </w:p>
        </w:tc>
        <w:tc>
          <w:tcPr>
            <w:tcW w:w="450" w:type="dxa"/>
            <w:shd w:val="clear" w:color="auto" w:fill="FABF8F"/>
            <w:vAlign w:val="bottom"/>
          </w:tcPr>
          <w:p w:rsidR="00A92422" w:rsidRPr="00D87B79" w:rsidRDefault="00A92422" w:rsidP="00EA30FC">
            <w:pPr>
              <w:pStyle w:val="TableText"/>
              <w:widowControl w:val="0"/>
              <w:spacing w:before="120" w:after="120"/>
              <w:rPr>
                <w:rFonts w:ascii="Tahoma" w:hAnsi="Tahoma" w:cs="Tahoma"/>
                <w:sz w:val="13"/>
                <w:szCs w:val="13"/>
              </w:rPr>
            </w:pPr>
            <w:r w:rsidRPr="00D87B79">
              <w:rPr>
                <w:rFonts w:ascii="Tahoma" w:hAnsi="Tahoma" w:cs="Tahoma"/>
                <w:sz w:val="13"/>
              </w:rPr>
              <w:t>38</w:t>
            </w:r>
          </w:p>
        </w:tc>
        <w:tc>
          <w:tcPr>
            <w:tcW w:w="450" w:type="dxa"/>
            <w:shd w:val="clear" w:color="auto" w:fill="FABF8F"/>
            <w:vAlign w:val="bottom"/>
          </w:tcPr>
          <w:p w:rsidR="00A92422" w:rsidRPr="00D87B79" w:rsidRDefault="00A92422" w:rsidP="00EA30FC">
            <w:pPr>
              <w:pStyle w:val="TableText"/>
              <w:widowControl w:val="0"/>
              <w:spacing w:before="120" w:after="120"/>
              <w:rPr>
                <w:rFonts w:ascii="Tahoma" w:hAnsi="Tahoma" w:cs="Tahoma"/>
                <w:sz w:val="13"/>
                <w:szCs w:val="13"/>
              </w:rPr>
            </w:pPr>
            <w:r w:rsidRPr="00D87B79">
              <w:rPr>
                <w:rFonts w:ascii="Tahoma" w:hAnsi="Tahoma" w:cs="Tahoma"/>
                <w:sz w:val="13"/>
              </w:rPr>
              <w:t>38</w:t>
            </w:r>
          </w:p>
        </w:tc>
        <w:tc>
          <w:tcPr>
            <w:tcW w:w="450" w:type="dxa"/>
            <w:shd w:val="clear" w:color="auto" w:fill="FABF8F"/>
            <w:vAlign w:val="bottom"/>
          </w:tcPr>
          <w:p w:rsidR="00A92422" w:rsidRPr="00D87B79" w:rsidRDefault="00A92422" w:rsidP="00EA30FC">
            <w:pPr>
              <w:pStyle w:val="TableText"/>
              <w:widowControl w:val="0"/>
              <w:spacing w:before="120" w:after="120"/>
              <w:rPr>
                <w:rFonts w:ascii="Tahoma" w:hAnsi="Tahoma" w:cs="Tahoma"/>
                <w:sz w:val="13"/>
                <w:szCs w:val="13"/>
              </w:rPr>
            </w:pPr>
            <w:r w:rsidRPr="00D87B79">
              <w:rPr>
                <w:rFonts w:ascii="Tahoma" w:hAnsi="Tahoma" w:cs="Tahoma"/>
                <w:sz w:val="13"/>
              </w:rPr>
              <w:t>25</w:t>
            </w:r>
          </w:p>
        </w:tc>
        <w:tc>
          <w:tcPr>
            <w:tcW w:w="360" w:type="dxa"/>
            <w:tcBorders>
              <w:right w:val="single" w:sz="18" w:space="0" w:color="auto"/>
            </w:tcBorders>
            <w:shd w:val="clear" w:color="auto" w:fill="FABF8F"/>
            <w:vAlign w:val="bottom"/>
          </w:tcPr>
          <w:p w:rsidR="00A92422" w:rsidRPr="00D87B79" w:rsidRDefault="00A92422" w:rsidP="00EA30FC">
            <w:pPr>
              <w:pStyle w:val="TableText"/>
              <w:widowControl w:val="0"/>
              <w:spacing w:before="120" w:after="120"/>
              <w:rPr>
                <w:rFonts w:ascii="Tahoma" w:hAnsi="Tahoma" w:cs="Tahoma"/>
                <w:sz w:val="13"/>
                <w:szCs w:val="13"/>
              </w:rPr>
            </w:pPr>
            <w:r w:rsidRPr="00D87B79">
              <w:rPr>
                <w:rFonts w:ascii="Tahoma" w:hAnsi="Tahoma" w:cs="Tahoma"/>
                <w:sz w:val="13"/>
              </w:rPr>
              <w:t>13</w:t>
            </w:r>
          </w:p>
        </w:tc>
        <w:tc>
          <w:tcPr>
            <w:tcW w:w="450" w:type="dxa"/>
            <w:tcBorders>
              <w:left w:val="single" w:sz="18" w:space="0" w:color="auto"/>
            </w:tcBorders>
            <w:shd w:val="clear" w:color="auto" w:fill="FABF8F"/>
            <w:vAlign w:val="bottom"/>
          </w:tcPr>
          <w:p w:rsidR="00A92422" w:rsidRPr="00D87B79" w:rsidRDefault="00A92422" w:rsidP="00EA30FC">
            <w:pPr>
              <w:pStyle w:val="TableText"/>
              <w:widowControl w:val="0"/>
              <w:spacing w:before="120" w:after="120"/>
              <w:rPr>
                <w:rFonts w:ascii="Tahoma" w:hAnsi="Tahoma" w:cs="Tahoma"/>
                <w:sz w:val="13"/>
                <w:szCs w:val="13"/>
              </w:rPr>
            </w:pPr>
            <w:r w:rsidRPr="00D87B79">
              <w:rPr>
                <w:rFonts w:ascii="Tahoma" w:hAnsi="Tahoma" w:cs="Tahoma"/>
                <w:sz w:val="13"/>
              </w:rPr>
              <w:t>25</w:t>
            </w:r>
          </w:p>
        </w:tc>
        <w:tc>
          <w:tcPr>
            <w:tcW w:w="450" w:type="dxa"/>
            <w:shd w:val="clear" w:color="auto" w:fill="FABF8F"/>
            <w:vAlign w:val="bottom"/>
          </w:tcPr>
          <w:p w:rsidR="00A92422" w:rsidRPr="00D87B79" w:rsidRDefault="00A92422" w:rsidP="00EA30FC">
            <w:pPr>
              <w:pStyle w:val="TableText"/>
              <w:widowControl w:val="0"/>
              <w:spacing w:before="120" w:after="120"/>
              <w:rPr>
                <w:rFonts w:ascii="Tahoma" w:hAnsi="Tahoma" w:cs="Tahoma"/>
                <w:sz w:val="13"/>
                <w:szCs w:val="13"/>
              </w:rPr>
            </w:pPr>
            <w:r w:rsidRPr="00D87B79">
              <w:rPr>
                <w:rFonts w:ascii="Tahoma" w:hAnsi="Tahoma" w:cs="Tahoma"/>
                <w:sz w:val="13"/>
              </w:rPr>
              <w:t>50</w:t>
            </w:r>
          </w:p>
        </w:tc>
        <w:tc>
          <w:tcPr>
            <w:tcW w:w="450" w:type="dxa"/>
            <w:tcBorders>
              <w:right w:val="single" w:sz="18" w:space="0" w:color="auto"/>
            </w:tcBorders>
            <w:shd w:val="clear" w:color="auto" w:fill="FABF8F"/>
            <w:vAlign w:val="bottom"/>
          </w:tcPr>
          <w:p w:rsidR="00A92422" w:rsidRPr="00D87B79" w:rsidRDefault="00A92422" w:rsidP="00EA30FC">
            <w:pPr>
              <w:pStyle w:val="TableText"/>
              <w:widowControl w:val="0"/>
              <w:spacing w:before="120" w:after="120"/>
              <w:rPr>
                <w:rFonts w:ascii="Tahoma" w:hAnsi="Tahoma" w:cs="Tahoma"/>
                <w:sz w:val="13"/>
                <w:szCs w:val="13"/>
              </w:rPr>
            </w:pPr>
            <w:r w:rsidRPr="00D87B79">
              <w:rPr>
                <w:rFonts w:ascii="Tahoma" w:hAnsi="Tahoma" w:cs="Tahoma"/>
                <w:sz w:val="13"/>
              </w:rPr>
              <w:t>25</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szCs w:val="13"/>
              </w:rPr>
            </w:pPr>
            <w:r w:rsidRPr="00D87B79">
              <w:rPr>
                <w:rFonts w:ascii="Tahoma" w:hAnsi="Tahoma" w:cs="Tahoma"/>
                <w:sz w:val="13"/>
              </w:rPr>
              <w:t>25</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C</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tcPr>
          <w:p w:rsidR="00A92422" w:rsidRPr="00D87B79" w:rsidRDefault="00A92422" w:rsidP="00EA30FC">
            <w:pPr>
              <w:pStyle w:val="TableText"/>
              <w:widowControl w:val="0"/>
              <w:rPr>
                <w:rFonts w:ascii="Tahoma" w:hAnsi="Tahoma" w:cs="Tahoma"/>
                <w:sz w:val="13"/>
              </w:rPr>
            </w:pP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r>
              <w:rPr>
                <w:rFonts w:ascii="Tahoma" w:hAnsi="Tahoma" w:cs="Tahoma"/>
                <w:sz w:val="13"/>
                <w:lang w:val="it-IT"/>
              </w:rPr>
              <w:t>OL/</w:t>
            </w:r>
            <w:r w:rsidRPr="00D87B79">
              <w:rPr>
                <w:rFonts w:ascii="Tahoma" w:hAnsi="Tahoma" w:cs="Tahoma"/>
                <w:sz w:val="13"/>
                <w:lang w:val="it-IT"/>
              </w:rPr>
              <w:t>OV</w:t>
            </w:r>
          </w:p>
        </w:tc>
      </w:tr>
      <w:tr w:rsidR="00A92422" w:rsidRPr="00D87B79" w:rsidTr="00EA30FC">
        <w:trPr>
          <w:trHeight w:val="145"/>
        </w:trPr>
        <w:tc>
          <w:tcPr>
            <w:tcW w:w="2714" w:type="dxa"/>
            <w:shd w:val="clear" w:color="auto" w:fill="FFFFFF"/>
            <w:vAlign w:val="center"/>
          </w:tcPr>
          <w:p w:rsidR="00A92422" w:rsidRPr="00873B3F" w:rsidRDefault="00A92422" w:rsidP="00EA30FC">
            <w:pPr>
              <w:pStyle w:val="ProductNames"/>
              <w:spacing w:beforeLines="20" w:before="48" w:afterLines="20" w:after="48"/>
              <w:rPr>
                <w:rFonts w:ascii="Tahoma" w:hAnsi="Tahoma" w:cs="Tahoma"/>
                <w:sz w:val="14"/>
                <w:szCs w:val="14"/>
              </w:rPr>
            </w:pPr>
            <w:bookmarkStart w:id="204" w:name="_Toc336337931"/>
            <w:bookmarkStart w:id="205" w:name="_Toc342900001"/>
            <w:bookmarkEnd w:id="204"/>
            <w:r w:rsidRPr="00873B3F">
              <w:rPr>
                <w:rFonts w:ascii="Tahoma" w:hAnsi="Tahoma" w:cs="Tahoma"/>
                <w:sz w:val="14"/>
                <w:szCs w:val="14"/>
                <w:lang w:val="it-IT"/>
              </w:rPr>
              <w:t>Core Infrastructure Server Suite Enterprise</w:t>
            </w:r>
            <w:bookmarkEnd w:id="205"/>
          </w:p>
        </w:tc>
        <w:tc>
          <w:tcPr>
            <w:tcW w:w="450" w:type="dxa"/>
            <w:shd w:val="clear" w:color="auto" w:fill="FFFFFF"/>
            <w:vAlign w:val="center"/>
          </w:tcPr>
          <w:p w:rsidR="00A92422" w:rsidRPr="001E1017" w:rsidRDefault="00A92422" w:rsidP="00EA30FC">
            <w:pPr>
              <w:pStyle w:val="TableText"/>
              <w:widowControl w:val="0"/>
              <w:rPr>
                <w:rStyle w:val="EndnoteReference"/>
                <w:rFonts w:cs="Tahoma"/>
                <w:color w:val="0000FF"/>
                <w:sz w:val="13"/>
                <w:szCs w:val="13"/>
                <w:u w:val="single"/>
              </w:rPr>
            </w:pPr>
            <w:hyperlink w:anchor="_36_Core_Infrastructure" w:history="1">
              <w:r w:rsidRPr="001E1017">
                <w:rPr>
                  <w:rStyle w:val="Hyperlink"/>
                  <w:rFonts w:cs="Tahoma"/>
                  <w:b/>
                  <w:sz w:val="13"/>
                  <w:szCs w:val="13"/>
                </w:rPr>
                <w:t>36</w:t>
              </w:r>
            </w:hyperlink>
          </w:p>
        </w:tc>
        <w:tc>
          <w:tcPr>
            <w:tcW w:w="450" w:type="dxa"/>
            <w:shd w:val="clear" w:color="auto" w:fill="FFFFFF"/>
          </w:tcPr>
          <w:p w:rsidR="00A92422" w:rsidRPr="00D87B79" w:rsidRDefault="00A92422" w:rsidP="00EA30FC">
            <w:pPr>
              <w:pStyle w:val="TableText"/>
              <w:widowControl w:val="0"/>
              <w:spacing w:before="40"/>
              <w:rPr>
                <w:rFonts w:ascii="Tahoma" w:hAnsi="Tahoma" w:cs="Tahoma"/>
                <w:sz w:val="13"/>
              </w:rPr>
            </w:pPr>
            <w:r w:rsidRPr="00D87B79">
              <w:rPr>
                <w:rFonts w:ascii="Tahoma" w:hAnsi="Tahoma" w:cs="Tahoma"/>
                <w:sz w:val="13"/>
              </w:rPr>
              <w:t>04/12</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FFFFFF"/>
            <w:vAlign w:val="bottom"/>
          </w:tcPr>
          <w:p w:rsidR="00A92422" w:rsidRPr="00D87B79" w:rsidRDefault="00A92422" w:rsidP="00EA30FC">
            <w:pPr>
              <w:pStyle w:val="TableText"/>
              <w:widowControl w:val="0"/>
              <w:rPr>
                <w:rFonts w:ascii="Tahoma" w:hAnsi="Tahoma" w:cs="Tahoma"/>
                <w:sz w:val="13"/>
                <w:szCs w:val="13"/>
              </w:rPr>
            </w:pPr>
          </w:p>
        </w:tc>
        <w:tc>
          <w:tcPr>
            <w:tcW w:w="450" w:type="dxa"/>
            <w:shd w:val="clear" w:color="auto" w:fill="FFFFFF"/>
            <w:vAlign w:val="bottom"/>
          </w:tcPr>
          <w:p w:rsidR="00A92422" w:rsidRPr="00D87B79" w:rsidRDefault="00A92422" w:rsidP="00EA30FC">
            <w:pPr>
              <w:pStyle w:val="TableText"/>
              <w:widowControl w:val="0"/>
              <w:rPr>
                <w:rFonts w:ascii="Tahoma" w:hAnsi="Tahoma" w:cs="Tahoma"/>
                <w:sz w:val="13"/>
                <w:szCs w:val="13"/>
              </w:rPr>
            </w:pPr>
          </w:p>
        </w:tc>
        <w:tc>
          <w:tcPr>
            <w:tcW w:w="450" w:type="dxa"/>
            <w:shd w:val="clear" w:color="auto" w:fill="FFFFFF"/>
            <w:vAlign w:val="bottom"/>
          </w:tcPr>
          <w:p w:rsidR="00A92422" w:rsidRPr="00D87B79" w:rsidRDefault="00A92422" w:rsidP="00EA30FC">
            <w:pPr>
              <w:pStyle w:val="TableText"/>
              <w:widowControl w:val="0"/>
              <w:rPr>
                <w:rFonts w:ascii="Tahoma" w:hAnsi="Tahoma" w:cs="Tahoma"/>
                <w:sz w:val="13"/>
                <w:szCs w:val="13"/>
              </w:rPr>
            </w:pPr>
          </w:p>
        </w:tc>
        <w:tc>
          <w:tcPr>
            <w:tcW w:w="450" w:type="dxa"/>
            <w:shd w:val="clear" w:color="auto" w:fill="FFFFFF"/>
            <w:vAlign w:val="bottom"/>
          </w:tcPr>
          <w:p w:rsidR="00A92422" w:rsidRPr="00D87B79" w:rsidRDefault="00A92422" w:rsidP="00EA30FC">
            <w:pPr>
              <w:pStyle w:val="TableText"/>
              <w:widowControl w:val="0"/>
              <w:rPr>
                <w:rFonts w:ascii="Tahoma" w:hAnsi="Tahoma" w:cs="Tahoma"/>
                <w:sz w:val="13"/>
                <w:szCs w:val="13"/>
              </w:rPr>
            </w:pPr>
          </w:p>
        </w:tc>
        <w:tc>
          <w:tcPr>
            <w:tcW w:w="450" w:type="dxa"/>
            <w:shd w:val="clear" w:color="auto" w:fill="FFFFFF"/>
            <w:vAlign w:val="bottom"/>
          </w:tcPr>
          <w:p w:rsidR="00A92422" w:rsidRPr="00D87B79" w:rsidRDefault="00A92422" w:rsidP="00EA30FC">
            <w:pPr>
              <w:pStyle w:val="TableText"/>
              <w:widowControl w:val="0"/>
              <w:rPr>
                <w:rFonts w:ascii="Tahoma" w:hAnsi="Tahoma" w:cs="Tahoma"/>
                <w:sz w:val="13"/>
                <w:szCs w:val="13"/>
              </w:rPr>
            </w:pPr>
          </w:p>
        </w:tc>
        <w:tc>
          <w:tcPr>
            <w:tcW w:w="450" w:type="dxa"/>
            <w:shd w:val="clear" w:color="auto" w:fill="FFFFFF"/>
            <w:vAlign w:val="bottom"/>
          </w:tcPr>
          <w:p w:rsidR="00A92422" w:rsidRPr="00D87B79" w:rsidRDefault="00A92422" w:rsidP="00EA30FC">
            <w:pPr>
              <w:pStyle w:val="TableText"/>
              <w:widowControl w:val="0"/>
              <w:rPr>
                <w:rFonts w:ascii="Tahoma" w:hAnsi="Tahoma" w:cs="Tahoma"/>
                <w:sz w:val="13"/>
                <w:szCs w:val="13"/>
              </w:rPr>
            </w:pPr>
          </w:p>
        </w:tc>
        <w:tc>
          <w:tcPr>
            <w:tcW w:w="360" w:type="dxa"/>
            <w:tcBorders>
              <w:right w:val="single" w:sz="18" w:space="0" w:color="auto"/>
            </w:tcBorders>
            <w:shd w:val="clear" w:color="auto" w:fill="FFFFFF"/>
            <w:vAlign w:val="bottom"/>
          </w:tcPr>
          <w:p w:rsidR="00A92422" w:rsidRPr="00D87B79" w:rsidRDefault="00A92422" w:rsidP="00EA30FC">
            <w:pPr>
              <w:pStyle w:val="TableText"/>
              <w:widowControl w:val="0"/>
              <w:rPr>
                <w:rFonts w:ascii="Tahoma" w:hAnsi="Tahoma" w:cs="Tahoma"/>
                <w:sz w:val="13"/>
                <w:szCs w:val="13"/>
              </w:rPr>
            </w:pPr>
          </w:p>
        </w:tc>
        <w:tc>
          <w:tcPr>
            <w:tcW w:w="450" w:type="dxa"/>
            <w:tcBorders>
              <w:left w:val="single" w:sz="18" w:space="0" w:color="auto"/>
            </w:tcBorders>
            <w:shd w:val="clear" w:color="auto" w:fill="FFFFFF"/>
            <w:vAlign w:val="bottom"/>
          </w:tcPr>
          <w:p w:rsidR="00A92422" w:rsidRPr="00D87B79" w:rsidRDefault="00A92422" w:rsidP="00EA30FC">
            <w:pPr>
              <w:pStyle w:val="TableText"/>
              <w:widowControl w:val="0"/>
              <w:rPr>
                <w:rFonts w:ascii="Tahoma" w:hAnsi="Tahoma" w:cs="Tahoma"/>
                <w:sz w:val="13"/>
                <w:szCs w:val="13"/>
              </w:rPr>
            </w:pPr>
          </w:p>
        </w:tc>
        <w:tc>
          <w:tcPr>
            <w:tcW w:w="450" w:type="dxa"/>
            <w:shd w:val="clear" w:color="auto" w:fill="FFFFFF"/>
            <w:vAlign w:val="bottom"/>
          </w:tcPr>
          <w:p w:rsidR="00A92422" w:rsidRPr="00D87B79" w:rsidRDefault="00A92422" w:rsidP="00EA30FC">
            <w:pPr>
              <w:pStyle w:val="TableText"/>
              <w:widowControl w:val="0"/>
              <w:rPr>
                <w:rFonts w:ascii="Tahoma" w:hAnsi="Tahoma" w:cs="Tahoma"/>
                <w:sz w:val="13"/>
                <w:szCs w:val="13"/>
              </w:rPr>
            </w:pPr>
          </w:p>
        </w:tc>
        <w:tc>
          <w:tcPr>
            <w:tcW w:w="450" w:type="dxa"/>
            <w:tcBorders>
              <w:right w:val="single" w:sz="18" w:space="0" w:color="auto"/>
            </w:tcBorders>
            <w:shd w:val="clear" w:color="auto" w:fill="FFFFFF"/>
            <w:vAlign w:val="bottom"/>
          </w:tcPr>
          <w:p w:rsidR="00A92422" w:rsidRPr="00D87B79" w:rsidRDefault="00A92422" w:rsidP="00EA30FC">
            <w:pPr>
              <w:pStyle w:val="TableText"/>
              <w:widowControl w:val="0"/>
              <w:rPr>
                <w:rFonts w:ascii="Tahoma" w:hAnsi="Tahoma" w:cs="Tahoma"/>
                <w:sz w:val="13"/>
                <w:szCs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szCs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FFFFF"/>
          </w:tcPr>
          <w:p w:rsidR="00A92422" w:rsidRPr="00D87B79" w:rsidRDefault="00A92422" w:rsidP="00EA30FC">
            <w:pPr>
              <w:pStyle w:val="TableText"/>
              <w:widowControl w:val="0"/>
              <w:rPr>
                <w:rFonts w:ascii="Tahoma" w:hAnsi="Tahoma" w:cs="Tahoma"/>
                <w:sz w:val="13"/>
              </w:rPr>
            </w:pPr>
          </w:p>
        </w:tc>
        <w:tc>
          <w:tcPr>
            <w:tcW w:w="486" w:type="dxa"/>
            <w:shd w:val="clear" w:color="auto" w:fill="FFFFF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ABF8F"/>
            <w:vAlign w:val="center"/>
          </w:tcPr>
          <w:p w:rsidR="00A92422" w:rsidRPr="00D87B79" w:rsidRDefault="00A92422" w:rsidP="00EA30FC">
            <w:pPr>
              <w:pStyle w:val="ProductNames"/>
              <w:spacing w:beforeLines="20" w:before="48" w:afterLines="20" w:after="48"/>
              <w:rPr>
                <w:rFonts w:ascii="Tahoma" w:hAnsi="Tahoma" w:cs="Tahoma"/>
                <w:sz w:val="14"/>
              </w:rPr>
            </w:pPr>
            <w:bookmarkStart w:id="206" w:name="_Toc336337932"/>
            <w:bookmarkStart w:id="207" w:name="_Toc342900002"/>
            <w:bookmarkEnd w:id="206"/>
            <w:r w:rsidRPr="00D87B79">
              <w:rPr>
                <w:rFonts w:ascii="Tahoma" w:hAnsi="Tahoma" w:cs="Tahoma"/>
                <w:sz w:val="14"/>
                <w:lang w:val="it-IT"/>
              </w:rPr>
              <w:t>Core Infrastructure Server Suite Datacenter</w:t>
            </w:r>
            <w:bookmarkEnd w:id="207"/>
          </w:p>
        </w:tc>
        <w:tc>
          <w:tcPr>
            <w:tcW w:w="450" w:type="dxa"/>
            <w:shd w:val="clear" w:color="auto" w:fill="FABF8F"/>
            <w:vAlign w:val="center"/>
          </w:tcPr>
          <w:p w:rsidR="00A92422" w:rsidRPr="001E1017" w:rsidRDefault="00A92422" w:rsidP="00EA30FC">
            <w:pPr>
              <w:pStyle w:val="TableText"/>
              <w:widowControl w:val="0"/>
              <w:rPr>
                <w:rStyle w:val="EndnoteReference"/>
                <w:rFonts w:cs="Tahoma"/>
                <w:color w:val="0000FF"/>
                <w:sz w:val="13"/>
                <w:szCs w:val="13"/>
                <w:u w:val="single"/>
              </w:rPr>
            </w:pPr>
            <w:hyperlink w:anchor="_37_Core_Infrastructure" w:history="1">
              <w:r w:rsidRPr="001E1017">
                <w:rPr>
                  <w:rStyle w:val="Hyperlink"/>
                  <w:rFonts w:cs="Tahoma"/>
                  <w:b/>
                  <w:sz w:val="13"/>
                  <w:szCs w:val="13"/>
                </w:rPr>
                <w:t>37</w:t>
              </w:r>
            </w:hyperlink>
          </w:p>
        </w:tc>
        <w:tc>
          <w:tcPr>
            <w:tcW w:w="450" w:type="dxa"/>
            <w:shd w:val="clear" w:color="auto" w:fill="FABF8F"/>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04/12</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75</w:t>
            </w:r>
          </w:p>
        </w:tc>
        <w:tc>
          <w:tcPr>
            <w:tcW w:w="450" w:type="dxa"/>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188</w:t>
            </w:r>
          </w:p>
        </w:tc>
        <w:tc>
          <w:tcPr>
            <w:tcW w:w="450" w:type="dxa"/>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150</w:t>
            </w:r>
          </w:p>
        </w:tc>
        <w:tc>
          <w:tcPr>
            <w:tcW w:w="450" w:type="dxa"/>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113</w:t>
            </w:r>
          </w:p>
        </w:tc>
        <w:tc>
          <w:tcPr>
            <w:tcW w:w="450" w:type="dxa"/>
            <w:shd w:val="clear" w:color="auto" w:fill="FABF8F"/>
            <w:vAlign w:val="bottom"/>
          </w:tcPr>
          <w:p w:rsidR="00A92422" w:rsidRPr="00D87B79" w:rsidRDefault="00A92422" w:rsidP="00EA30FC">
            <w:pPr>
              <w:pStyle w:val="TableText"/>
              <w:widowControl w:val="0"/>
              <w:spacing w:after="120"/>
              <w:rPr>
                <w:rFonts w:ascii="Tahoma" w:hAnsi="Tahoma" w:cs="Tahoma"/>
                <w:sz w:val="13"/>
                <w:szCs w:val="13"/>
                <w:lang w:eastAsia="ja-JP"/>
              </w:rPr>
            </w:pPr>
            <w:r w:rsidRPr="00D87B79">
              <w:rPr>
                <w:rFonts w:ascii="Tahoma" w:hAnsi="Tahoma" w:cs="Tahoma"/>
                <w:sz w:val="13"/>
              </w:rPr>
              <w:t>113</w:t>
            </w:r>
          </w:p>
        </w:tc>
        <w:tc>
          <w:tcPr>
            <w:tcW w:w="450" w:type="dxa"/>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75</w:t>
            </w:r>
          </w:p>
        </w:tc>
        <w:tc>
          <w:tcPr>
            <w:tcW w:w="360" w:type="dxa"/>
            <w:tcBorders>
              <w:right w:val="single" w:sz="18" w:space="0" w:color="auto"/>
            </w:tcBorders>
            <w:shd w:val="clear" w:color="auto" w:fill="FABF8F"/>
            <w:vAlign w:val="bottom"/>
          </w:tcPr>
          <w:p w:rsidR="00A92422" w:rsidRPr="00D87B79" w:rsidRDefault="00A92422" w:rsidP="00EA30FC">
            <w:pPr>
              <w:pStyle w:val="TableText"/>
              <w:widowControl w:val="0"/>
              <w:spacing w:after="120"/>
              <w:rPr>
                <w:rFonts w:ascii="Tahoma" w:hAnsi="Tahoma" w:cs="Tahoma"/>
                <w:sz w:val="13"/>
                <w:szCs w:val="13"/>
                <w:lang w:eastAsia="ja-JP"/>
              </w:rPr>
            </w:pPr>
            <w:r w:rsidRPr="00D87B79">
              <w:rPr>
                <w:rFonts w:ascii="Tahoma" w:hAnsi="Tahoma" w:cs="Tahoma"/>
                <w:sz w:val="13"/>
              </w:rPr>
              <w:t>38</w:t>
            </w:r>
          </w:p>
        </w:tc>
        <w:tc>
          <w:tcPr>
            <w:tcW w:w="450" w:type="dxa"/>
            <w:tcBorders>
              <w:left w:val="single" w:sz="18" w:space="0" w:color="auto"/>
            </w:tcBorders>
            <w:shd w:val="clear" w:color="auto" w:fill="FABF8F"/>
            <w:vAlign w:val="bottom"/>
          </w:tcPr>
          <w:p w:rsidR="00A92422" w:rsidRPr="00D87B79" w:rsidRDefault="00A92422" w:rsidP="00EA30FC">
            <w:pPr>
              <w:pStyle w:val="TableText"/>
              <w:widowControl w:val="0"/>
              <w:spacing w:after="120"/>
              <w:rPr>
                <w:rFonts w:ascii="Tahoma" w:hAnsi="Tahoma" w:cs="Tahoma"/>
                <w:sz w:val="13"/>
                <w:szCs w:val="13"/>
                <w:lang w:eastAsia="ja-JP"/>
              </w:rPr>
            </w:pPr>
            <w:r w:rsidRPr="00D87B79">
              <w:rPr>
                <w:rFonts w:ascii="Tahoma" w:hAnsi="Tahoma" w:cs="Tahoma"/>
                <w:sz w:val="13"/>
              </w:rPr>
              <w:t>75</w:t>
            </w:r>
          </w:p>
        </w:tc>
        <w:tc>
          <w:tcPr>
            <w:tcW w:w="450" w:type="dxa"/>
            <w:shd w:val="clear" w:color="auto" w:fill="FABF8F"/>
            <w:vAlign w:val="bottom"/>
          </w:tcPr>
          <w:p w:rsidR="00A92422" w:rsidRPr="00D87B79" w:rsidRDefault="00A92422" w:rsidP="00EA30FC">
            <w:pPr>
              <w:pStyle w:val="TableText"/>
              <w:widowControl w:val="0"/>
              <w:spacing w:after="120"/>
              <w:rPr>
                <w:rFonts w:ascii="Tahoma" w:hAnsi="Tahoma" w:cs="Tahoma"/>
                <w:sz w:val="13"/>
                <w:szCs w:val="13"/>
                <w:lang w:eastAsia="ja-JP"/>
              </w:rPr>
            </w:pPr>
            <w:r w:rsidRPr="00D87B79">
              <w:rPr>
                <w:rFonts w:ascii="Tahoma" w:hAnsi="Tahoma" w:cs="Tahoma"/>
                <w:sz w:val="13"/>
              </w:rPr>
              <w:t>150</w:t>
            </w:r>
          </w:p>
        </w:tc>
        <w:tc>
          <w:tcPr>
            <w:tcW w:w="450" w:type="dxa"/>
            <w:tcBorders>
              <w:right w:val="single" w:sz="18" w:space="0" w:color="auto"/>
            </w:tcBorders>
            <w:shd w:val="clear" w:color="auto" w:fill="FABF8F"/>
            <w:vAlign w:val="bottom"/>
          </w:tcPr>
          <w:p w:rsidR="00A92422" w:rsidRPr="00D87B79" w:rsidRDefault="00A92422" w:rsidP="00EA30FC">
            <w:pPr>
              <w:pStyle w:val="TableText"/>
              <w:widowControl w:val="0"/>
              <w:spacing w:after="120"/>
              <w:rPr>
                <w:rFonts w:ascii="Tahoma" w:hAnsi="Tahoma" w:cs="Tahoma"/>
                <w:sz w:val="13"/>
                <w:szCs w:val="13"/>
                <w:lang w:eastAsia="ja-JP"/>
              </w:rPr>
            </w:pPr>
            <w:r w:rsidRPr="00D87B79">
              <w:rPr>
                <w:rFonts w:ascii="Tahoma" w:hAnsi="Tahoma" w:cs="Tahoma"/>
                <w:sz w:val="13"/>
              </w:rPr>
              <w:t>75</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szCs w:val="13"/>
                <w:lang w:eastAsia="ja-JP"/>
              </w:rPr>
            </w:pPr>
            <w:r w:rsidRPr="00D87B79">
              <w:rPr>
                <w:rFonts w:ascii="Tahoma" w:hAnsi="Tahoma" w:cs="Tahoma"/>
                <w:sz w:val="13"/>
              </w:rPr>
              <w:t>75</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C</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tcPr>
          <w:p w:rsidR="00A92422" w:rsidRPr="00D87B79" w:rsidRDefault="00A92422" w:rsidP="00EA30FC">
            <w:pPr>
              <w:pStyle w:val="TableText"/>
              <w:widowControl w:val="0"/>
              <w:rPr>
                <w:rFonts w:ascii="Tahoma" w:hAnsi="Tahoma" w:cs="Tahoma"/>
                <w:sz w:val="13"/>
              </w:rPr>
            </w:pP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r>
              <w:rPr>
                <w:rFonts w:ascii="Tahoma" w:hAnsi="Tahoma" w:cs="Tahoma"/>
                <w:sz w:val="13"/>
                <w:lang w:val="it-IT"/>
              </w:rPr>
              <w:t>OL/</w:t>
            </w:r>
            <w:r w:rsidRPr="00D87B79">
              <w:rPr>
                <w:rFonts w:ascii="Tahoma" w:hAnsi="Tahoma" w:cs="Tahoma"/>
                <w:sz w:val="13"/>
                <w:lang w:val="it-IT"/>
              </w:rPr>
              <w:t>OV</w:t>
            </w:r>
          </w:p>
        </w:tc>
      </w:tr>
      <w:tr w:rsidR="00A92422" w:rsidRPr="00D87B79" w:rsidTr="00EA30FC">
        <w:trPr>
          <w:trHeight w:val="145"/>
        </w:trPr>
        <w:tc>
          <w:tcPr>
            <w:tcW w:w="2714" w:type="dxa"/>
            <w:shd w:val="clear" w:color="auto" w:fill="FFFFFF"/>
            <w:vAlign w:val="center"/>
          </w:tcPr>
          <w:p w:rsidR="00A92422" w:rsidRPr="00D87B79" w:rsidRDefault="00A92422" w:rsidP="00EA30FC">
            <w:pPr>
              <w:pStyle w:val="ProductNames"/>
              <w:spacing w:beforeLines="20" w:before="48" w:afterLines="20" w:after="48"/>
              <w:rPr>
                <w:rFonts w:ascii="Tahoma" w:hAnsi="Tahoma" w:cs="Tahoma"/>
                <w:color w:val="000000"/>
                <w:sz w:val="14"/>
              </w:rPr>
            </w:pPr>
            <w:bookmarkStart w:id="208" w:name="_Toc336337933"/>
            <w:bookmarkStart w:id="209" w:name="_Toc342900003"/>
            <w:bookmarkEnd w:id="208"/>
            <w:r w:rsidRPr="00D87B79">
              <w:rPr>
                <w:rFonts w:ascii="Tahoma" w:hAnsi="Tahoma" w:cs="Tahoma"/>
                <w:sz w:val="14"/>
                <w:lang w:val="it-IT"/>
              </w:rPr>
              <w:t>Data Warehouse Appliance 2012</w:t>
            </w:r>
            <w:bookmarkEnd w:id="209"/>
          </w:p>
        </w:tc>
        <w:tc>
          <w:tcPr>
            <w:tcW w:w="450" w:type="dxa"/>
            <w:shd w:val="clear" w:color="auto" w:fill="FFFFFF"/>
            <w:vAlign w:val="center"/>
          </w:tcPr>
          <w:p w:rsidR="00A92422" w:rsidRPr="001E1017" w:rsidRDefault="00A92422" w:rsidP="00EA30FC">
            <w:pPr>
              <w:pStyle w:val="TableText"/>
              <w:widowControl w:val="0"/>
              <w:rPr>
                <w:rFonts w:cs="Tahoma"/>
                <w:b/>
                <w:color w:val="0000FF"/>
                <w:sz w:val="13"/>
                <w:szCs w:val="13"/>
                <w:u w:val="single"/>
              </w:rPr>
            </w:pPr>
            <w:hyperlink w:anchor="_38_Data_Warehouse" w:history="1">
              <w:r w:rsidRPr="001E1017">
                <w:rPr>
                  <w:rStyle w:val="Hyperlink"/>
                  <w:rFonts w:cs="Tahoma"/>
                  <w:b/>
                  <w:sz w:val="13"/>
                  <w:szCs w:val="13"/>
                </w:rPr>
                <w:t>38</w:t>
              </w:r>
            </w:hyperlink>
          </w:p>
        </w:tc>
        <w:tc>
          <w:tcPr>
            <w:tcW w:w="450" w:type="dxa"/>
            <w:shd w:val="clear" w:color="auto" w:fill="FFFFFF"/>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11/11</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200</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500</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400</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300</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300</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200</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100</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FFFFF"/>
          </w:tcPr>
          <w:p w:rsidR="00A92422" w:rsidRPr="00D87B79" w:rsidRDefault="00A92422" w:rsidP="00EA30FC">
            <w:pPr>
              <w:pStyle w:val="TableText"/>
              <w:widowControl w:val="0"/>
              <w:rPr>
                <w:rFonts w:ascii="Tahoma" w:hAnsi="Tahoma" w:cs="Tahoma"/>
                <w:sz w:val="13"/>
              </w:rPr>
            </w:pPr>
          </w:p>
        </w:tc>
        <w:tc>
          <w:tcPr>
            <w:tcW w:w="486" w:type="dxa"/>
            <w:shd w:val="clear" w:color="auto" w:fill="FFFFFF"/>
            <w:vAlign w:val="center"/>
          </w:tcPr>
          <w:p w:rsidR="00A92422" w:rsidRPr="00D87B79" w:rsidRDefault="00A92422" w:rsidP="00EA30FC">
            <w:pPr>
              <w:pStyle w:val="TableText"/>
              <w:widowControl w:val="0"/>
              <w:jc w:val="left"/>
              <w:rPr>
                <w:rFonts w:ascii="Tahoma" w:hAnsi="Tahoma" w:cs="Tahoma"/>
                <w:sz w:val="13"/>
              </w:rPr>
            </w:pPr>
          </w:p>
        </w:tc>
      </w:tr>
      <w:tr w:rsidR="00A92422" w:rsidRPr="00D87B79" w:rsidTr="00EA30FC">
        <w:trPr>
          <w:trHeight w:val="145"/>
        </w:trPr>
        <w:tc>
          <w:tcPr>
            <w:tcW w:w="2714" w:type="dxa"/>
            <w:shd w:val="clear" w:color="auto" w:fill="FABF8F"/>
            <w:vAlign w:val="center"/>
          </w:tcPr>
          <w:p w:rsidR="00A92422" w:rsidRPr="00D87B79" w:rsidRDefault="00A92422" w:rsidP="00EA30FC">
            <w:pPr>
              <w:pStyle w:val="ProductNames"/>
              <w:spacing w:beforeLines="20" w:before="48" w:afterLines="20" w:after="48"/>
              <w:rPr>
                <w:rFonts w:ascii="Tahoma" w:hAnsi="Tahoma" w:cs="Tahoma"/>
                <w:sz w:val="14"/>
                <w:szCs w:val="18"/>
              </w:rPr>
            </w:pPr>
            <w:bookmarkStart w:id="210" w:name="_Toc336337935"/>
            <w:bookmarkStart w:id="211" w:name="_Toc342900004"/>
            <w:bookmarkEnd w:id="210"/>
            <w:r w:rsidRPr="00D87B79">
              <w:rPr>
                <w:rFonts w:ascii="Tahoma" w:hAnsi="Tahoma" w:cs="Tahoma"/>
                <w:color w:val="000000"/>
                <w:sz w:val="14"/>
                <w:lang w:val="it-IT"/>
              </w:rPr>
              <w:t>Dynamics CRM Online Extra Storage</w:t>
            </w:r>
            <w:bookmarkEnd w:id="211"/>
          </w:p>
        </w:tc>
        <w:tc>
          <w:tcPr>
            <w:tcW w:w="450" w:type="dxa"/>
            <w:shd w:val="clear" w:color="auto" w:fill="FABF8F"/>
            <w:vAlign w:val="center"/>
          </w:tcPr>
          <w:p w:rsidR="00A92422" w:rsidRPr="001E1017" w:rsidRDefault="00A92422" w:rsidP="00EA30FC">
            <w:pPr>
              <w:pStyle w:val="TableText"/>
              <w:widowControl w:val="0"/>
              <w:rPr>
                <w:rStyle w:val="EndnoteReference"/>
                <w:rFonts w:cs="Tahoma"/>
                <w:color w:val="0000FF"/>
                <w:sz w:val="13"/>
                <w:szCs w:val="13"/>
                <w:u w:val="single"/>
              </w:rPr>
            </w:pPr>
            <w:hyperlink w:anchor="_39_Dynamics_CRM" w:history="1">
              <w:r w:rsidRPr="001E1017">
                <w:rPr>
                  <w:rStyle w:val="Hyperlink"/>
                  <w:rFonts w:cs="Tahoma"/>
                  <w:b/>
                  <w:sz w:val="13"/>
                  <w:szCs w:val="13"/>
                </w:rPr>
                <w:t>39</w:t>
              </w:r>
            </w:hyperlink>
          </w:p>
        </w:tc>
        <w:tc>
          <w:tcPr>
            <w:tcW w:w="450" w:type="dxa"/>
            <w:shd w:val="clear" w:color="auto" w:fill="FABF8F"/>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12/09</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 ST</w:t>
            </w:r>
          </w:p>
        </w:tc>
        <w:tc>
          <w:tcPr>
            <w:tcW w:w="486" w:type="dxa"/>
            <w:shd w:val="clear" w:color="auto" w:fill="FABF8F"/>
            <w:vAlign w:val="center"/>
          </w:tcPr>
          <w:p w:rsidR="00A92422" w:rsidRPr="00D87B79" w:rsidRDefault="00A92422" w:rsidP="00EA30FC">
            <w:pPr>
              <w:pStyle w:val="TableText"/>
              <w:widowControl w:val="0"/>
              <w:jc w:val="left"/>
              <w:rPr>
                <w:rFonts w:ascii="Tahoma" w:hAnsi="Tahoma" w:cs="Tahoma"/>
                <w:sz w:val="13"/>
              </w:rPr>
            </w:pPr>
          </w:p>
        </w:tc>
      </w:tr>
      <w:tr w:rsidR="00A92422" w:rsidRPr="00D87B79" w:rsidTr="00EA30FC">
        <w:trPr>
          <w:trHeight w:val="145"/>
        </w:trPr>
        <w:tc>
          <w:tcPr>
            <w:tcW w:w="2714" w:type="dxa"/>
            <w:vAlign w:val="center"/>
          </w:tcPr>
          <w:p w:rsidR="00A92422" w:rsidRPr="00D87B79" w:rsidRDefault="00A92422" w:rsidP="00EA30FC">
            <w:pPr>
              <w:pStyle w:val="ProductNames"/>
              <w:spacing w:beforeLines="20" w:before="48" w:afterLines="20" w:after="48"/>
              <w:rPr>
                <w:rFonts w:ascii="Tahoma" w:hAnsi="Tahoma" w:cs="Tahoma"/>
                <w:sz w:val="14"/>
                <w:szCs w:val="18"/>
              </w:rPr>
            </w:pPr>
            <w:bookmarkStart w:id="212" w:name="_Toc336337936"/>
            <w:bookmarkStart w:id="213" w:name="_Toc342900005"/>
            <w:bookmarkEnd w:id="212"/>
            <w:r w:rsidRPr="00D87B79">
              <w:rPr>
                <w:rFonts w:ascii="Tahoma" w:hAnsi="Tahoma" w:cs="Tahoma"/>
                <w:color w:val="000000"/>
                <w:sz w:val="14"/>
                <w:lang w:val="it-IT"/>
              </w:rPr>
              <w:t>Dynamics CRM Online Per Utente</w:t>
            </w:r>
            <w:bookmarkEnd w:id="213"/>
          </w:p>
        </w:tc>
        <w:tc>
          <w:tcPr>
            <w:tcW w:w="450" w:type="dxa"/>
            <w:vAlign w:val="center"/>
          </w:tcPr>
          <w:p w:rsidR="00A92422" w:rsidRPr="001E1017" w:rsidRDefault="00A92422" w:rsidP="00EA30FC">
            <w:pPr>
              <w:pStyle w:val="TableText"/>
              <w:widowControl w:val="0"/>
              <w:rPr>
                <w:rStyle w:val="EndnoteReference"/>
                <w:rFonts w:cs="Tahoma"/>
                <w:color w:val="0000FF"/>
                <w:sz w:val="13"/>
                <w:szCs w:val="13"/>
                <w:u w:val="single"/>
              </w:rPr>
            </w:pPr>
            <w:hyperlink w:anchor="_39_Dynamics_CRM" w:history="1">
              <w:r w:rsidRPr="001E1017">
                <w:rPr>
                  <w:rStyle w:val="Hyperlink"/>
                  <w:rFonts w:cs="Tahoma"/>
                  <w:b/>
                  <w:sz w:val="13"/>
                  <w:szCs w:val="13"/>
                </w:rPr>
                <w:t>39</w:t>
              </w:r>
            </w:hyperlink>
          </w:p>
        </w:tc>
        <w:tc>
          <w:tcPr>
            <w:tcW w:w="450" w:type="dxa"/>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12/09</w:t>
            </w:r>
          </w:p>
        </w:tc>
        <w:tc>
          <w:tcPr>
            <w:tcW w:w="360"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450" w:type="dxa"/>
            <w:vAlign w:val="center"/>
          </w:tcPr>
          <w:p w:rsidR="00A92422" w:rsidRPr="00D87B79" w:rsidRDefault="00A92422" w:rsidP="00EA30FC">
            <w:pPr>
              <w:pStyle w:val="TableText"/>
              <w:widowControl w:val="0"/>
              <w:rPr>
                <w:rFonts w:ascii="Tahoma" w:hAnsi="Tahoma" w:cs="Tahoma"/>
                <w:sz w:val="13"/>
              </w:rPr>
            </w:pPr>
          </w:p>
        </w:tc>
        <w:tc>
          <w:tcPr>
            <w:tcW w:w="450" w:type="dxa"/>
            <w:vAlign w:val="center"/>
          </w:tcPr>
          <w:p w:rsidR="00A92422" w:rsidRPr="00D87B79" w:rsidRDefault="00A92422" w:rsidP="00EA30FC">
            <w:pPr>
              <w:pStyle w:val="TableText"/>
              <w:widowControl w:val="0"/>
              <w:rPr>
                <w:rFonts w:ascii="Tahoma" w:hAnsi="Tahoma" w:cs="Tahoma"/>
                <w:sz w:val="13"/>
              </w:rPr>
            </w:pPr>
          </w:p>
        </w:tc>
        <w:tc>
          <w:tcPr>
            <w:tcW w:w="450" w:type="dxa"/>
            <w:vAlign w:val="center"/>
          </w:tcPr>
          <w:p w:rsidR="00A92422" w:rsidRPr="00D87B79" w:rsidRDefault="00A92422" w:rsidP="00EA30FC">
            <w:pPr>
              <w:pStyle w:val="TableText"/>
              <w:widowControl w:val="0"/>
              <w:rPr>
                <w:rFonts w:ascii="Tahoma" w:hAnsi="Tahoma" w:cs="Tahoma"/>
                <w:sz w:val="13"/>
              </w:rPr>
            </w:pPr>
          </w:p>
        </w:tc>
        <w:tc>
          <w:tcPr>
            <w:tcW w:w="450" w:type="dxa"/>
            <w:vAlign w:val="center"/>
          </w:tcPr>
          <w:p w:rsidR="00A92422" w:rsidRPr="00D87B79" w:rsidRDefault="00A92422" w:rsidP="00EA30FC">
            <w:pPr>
              <w:pStyle w:val="TableText"/>
              <w:widowControl w:val="0"/>
              <w:rPr>
                <w:rFonts w:ascii="Tahoma" w:hAnsi="Tahoma" w:cs="Tahoma"/>
                <w:sz w:val="13"/>
              </w:rPr>
            </w:pPr>
          </w:p>
        </w:tc>
        <w:tc>
          <w:tcPr>
            <w:tcW w:w="450" w:type="dxa"/>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450" w:type="dxa"/>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504" w:type="dxa"/>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 ST</w:t>
            </w:r>
          </w:p>
        </w:tc>
        <w:tc>
          <w:tcPr>
            <w:tcW w:w="486" w:type="dxa"/>
            <w:vAlign w:val="center"/>
          </w:tcPr>
          <w:p w:rsidR="00A92422" w:rsidRPr="00D87B79" w:rsidRDefault="00A92422" w:rsidP="00EA30FC">
            <w:pPr>
              <w:pStyle w:val="TableText"/>
              <w:widowControl w:val="0"/>
              <w:jc w:val="left"/>
              <w:rPr>
                <w:rFonts w:ascii="Tahoma" w:hAnsi="Tahoma" w:cs="Tahoma"/>
                <w:sz w:val="13"/>
              </w:rPr>
            </w:pPr>
          </w:p>
        </w:tc>
      </w:tr>
      <w:tr w:rsidR="00A92422" w:rsidRPr="00D87B79" w:rsidTr="00EA30FC">
        <w:trPr>
          <w:trHeight w:val="145"/>
        </w:trPr>
        <w:tc>
          <w:tcPr>
            <w:tcW w:w="2714" w:type="dxa"/>
            <w:shd w:val="clear" w:color="auto" w:fill="FABF8F"/>
            <w:vAlign w:val="center"/>
          </w:tcPr>
          <w:p w:rsidR="00A92422" w:rsidRPr="00D87B79" w:rsidRDefault="00A92422" w:rsidP="00EA30FC">
            <w:pPr>
              <w:pStyle w:val="ProductNames"/>
              <w:spacing w:beforeLines="20" w:before="48" w:afterLines="20" w:after="48"/>
              <w:rPr>
                <w:rFonts w:ascii="Tahoma" w:hAnsi="Tahoma" w:cs="Tahoma"/>
                <w:sz w:val="14"/>
                <w:szCs w:val="18"/>
              </w:rPr>
            </w:pPr>
            <w:bookmarkStart w:id="214" w:name="_Toc336337937"/>
            <w:bookmarkStart w:id="215" w:name="_Toc342900006"/>
            <w:bookmarkEnd w:id="214"/>
            <w:r w:rsidRPr="00D87B79">
              <w:rPr>
                <w:rFonts w:ascii="Tahoma" w:hAnsi="Tahoma" w:cs="Tahoma"/>
                <w:color w:val="000000"/>
                <w:sz w:val="14"/>
                <w:lang w:val="it-IT"/>
              </w:rPr>
              <w:t>Dynamics CRM Online per SA</w:t>
            </w:r>
            <w:bookmarkEnd w:id="215"/>
          </w:p>
        </w:tc>
        <w:bookmarkStart w:id="216" w:name="_Hlt336250996"/>
        <w:bookmarkEnd w:id="216"/>
        <w:tc>
          <w:tcPr>
            <w:tcW w:w="450" w:type="dxa"/>
            <w:shd w:val="clear" w:color="auto" w:fill="FABF8F"/>
            <w:vAlign w:val="center"/>
          </w:tcPr>
          <w:p w:rsidR="00A92422" w:rsidRPr="001E1017" w:rsidRDefault="00A92422" w:rsidP="00EA30FC">
            <w:pPr>
              <w:pStyle w:val="TableText"/>
              <w:widowControl w:val="0"/>
              <w:rPr>
                <w:rStyle w:val="EndnoteReference"/>
                <w:rFonts w:cs="Tahoma"/>
                <w:color w:val="0000FF"/>
                <w:sz w:val="13"/>
                <w:szCs w:val="13"/>
                <w:u w:val="single"/>
              </w:rPr>
            </w:pPr>
            <w:r w:rsidRPr="001E1017">
              <w:rPr>
                <w:sz w:val="13"/>
                <w:szCs w:val="13"/>
              </w:rPr>
              <w:fldChar w:fldCharType="begin"/>
            </w:r>
            <w:r w:rsidRPr="001E1017">
              <w:rPr>
                <w:sz w:val="13"/>
                <w:szCs w:val="13"/>
              </w:rPr>
              <w:instrText>HYPERLINK  \l "_39_Dynamics_CRM"</w:instrText>
            </w:r>
            <w:r w:rsidRPr="001E1017">
              <w:rPr>
                <w:sz w:val="13"/>
                <w:szCs w:val="13"/>
              </w:rPr>
              <w:fldChar w:fldCharType="separate"/>
            </w:r>
            <w:r w:rsidRPr="001E1017">
              <w:rPr>
                <w:rStyle w:val="Hyperlink"/>
                <w:rFonts w:cs="Tahoma"/>
                <w:b/>
                <w:sz w:val="13"/>
                <w:szCs w:val="13"/>
              </w:rPr>
              <w:t>39</w:t>
            </w:r>
            <w:r w:rsidRPr="001E1017">
              <w:rPr>
                <w:sz w:val="13"/>
                <w:szCs w:val="13"/>
              </w:rPr>
              <w:fldChar w:fldCharType="end"/>
            </w:r>
          </w:p>
        </w:tc>
        <w:tc>
          <w:tcPr>
            <w:tcW w:w="450" w:type="dxa"/>
            <w:shd w:val="clear" w:color="auto" w:fill="FABF8F"/>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12/09</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 ST</w:t>
            </w:r>
          </w:p>
        </w:tc>
        <w:tc>
          <w:tcPr>
            <w:tcW w:w="486" w:type="dxa"/>
            <w:shd w:val="clear" w:color="auto" w:fill="FABF8F"/>
            <w:vAlign w:val="center"/>
          </w:tcPr>
          <w:p w:rsidR="00A92422" w:rsidRPr="00D87B79" w:rsidRDefault="00A92422" w:rsidP="00EA30FC">
            <w:pPr>
              <w:pStyle w:val="TableText"/>
              <w:widowControl w:val="0"/>
              <w:jc w:val="left"/>
              <w:rPr>
                <w:rFonts w:ascii="Tahoma" w:hAnsi="Tahoma" w:cs="Tahoma"/>
                <w:sz w:val="13"/>
              </w:rPr>
            </w:pPr>
          </w:p>
        </w:tc>
      </w:tr>
      <w:tr w:rsidR="00A92422" w:rsidRPr="00D87B79" w:rsidTr="00EA30FC">
        <w:trPr>
          <w:trHeight w:val="145"/>
        </w:trPr>
        <w:tc>
          <w:tcPr>
            <w:tcW w:w="2714" w:type="dxa"/>
            <w:vAlign w:val="center"/>
          </w:tcPr>
          <w:p w:rsidR="00A92422" w:rsidRPr="00D87B79" w:rsidRDefault="00A92422" w:rsidP="00EA30FC">
            <w:pPr>
              <w:pStyle w:val="ProductNames"/>
              <w:spacing w:beforeLines="20" w:before="48" w:afterLines="20" w:after="48"/>
              <w:rPr>
                <w:rFonts w:ascii="Tahoma" w:hAnsi="Tahoma" w:cs="Tahoma"/>
                <w:sz w:val="14"/>
              </w:rPr>
            </w:pPr>
            <w:bookmarkStart w:id="217" w:name="_Toc336337942"/>
            <w:bookmarkStart w:id="218" w:name="_Toc342900007"/>
            <w:bookmarkEnd w:id="217"/>
            <w:r w:rsidRPr="00D87B79">
              <w:rPr>
                <w:rFonts w:ascii="Tahoma" w:hAnsi="Tahoma" w:cs="Tahoma"/>
                <w:sz w:val="14"/>
                <w:lang w:val="it-IT"/>
              </w:rPr>
              <w:t>Enterprise CAL Suite Bridge per Office 365 (Utente e Dispositivo)</w:t>
            </w:r>
            <w:bookmarkEnd w:id="218"/>
          </w:p>
        </w:tc>
        <w:tc>
          <w:tcPr>
            <w:tcW w:w="450" w:type="dxa"/>
            <w:vAlign w:val="center"/>
          </w:tcPr>
          <w:p w:rsidR="00A92422" w:rsidRPr="001E1017" w:rsidRDefault="00A92422" w:rsidP="00EA30FC">
            <w:pPr>
              <w:pStyle w:val="TableText"/>
              <w:widowControl w:val="0"/>
              <w:rPr>
                <w:rFonts w:cs="Tahoma"/>
                <w:b/>
                <w:color w:val="0000FF"/>
                <w:sz w:val="13"/>
                <w:szCs w:val="13"/>
                <w:u w:val="single"/>
              </w:rPr>
            </w:pPr>
            <w:hyperlink w:anchor="_40_Enterprise_CAL" w:history="1">
              <w:r w:rsidRPr="001E1017">
                <w:rPr>
                  <w:rStyle w:val="Hyperlink"/>
                  <w:rFonts w:cs="Tahoma"/>
                  <w:b/>
                  <w:sz w:val="13"/>
                  <w:szCs w:val="13"/>
                </w:rPr>
                <w:t>40</w:t>
              </w:r>
            </w:hyperlink>
          </w:p>
        </w:tc>
        <w:tc>
          <w:tcPr>
            <w:tcW w:w="450" w:type="dxa"/>
          </w:tcPr>
          <w:p w:rsidR="00A92422" w:rsidRPr="00D87B79" w:rsidRDefault="00A92422" w:rsidP="00EA30FC">
            <w:pPr>
              <w:pStyle w:val="TableText"/>
              <w:widowControl w:val="0"/>
              <w:spacing w:before="40"/>
              <w:rPr>
                <w:rFonts w:ascii="Tahoma" w:hAnsi="Tahoma" w:cs="Tahoma"/>
                <w:sz w:val="13"/>
              </w:rPr>
            </w:pPr>
            <w:r w:rsidRPr="00D87B79">
              <w:rPr>
                <w:rFonts w:ascii="Tahoma" w:hAnsi="Tahoma" w:cs="Tahoma"/>
                <w:sz w:val="13"/>
              </w:rPr>
              <w:t>06/11</w:t>
            </w:r>
          </w:p>
        </w:tc>
        <w:tc>
          <w:tcPr>
            <w:tcW w:w="360"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vAlign w:val="bottom"/>
          </w:tcPr>
          <w:p w:rsidR="00A92422" w:rsidRPr="00D87B79" w:rsidRDefault="00A92422" w:rsidP="00EA30FC">
            <w:pPr>
              <w:pStyle w:val="TableText"/>
              <w:widowControl w:val="0"/>
              <w:rPr>
                <w:rFonts w:ascii="Tahoma" w:hAnsi="Tahoma" w:cs="Tahoma"/>
                <w:sz w:val="13"/>
                <w:szCs w:val="13"/>
              </w:rPr>
            </w:pPr>
          </w:p>
        </w:tc>
        <w:tc>
          <w:tcPr>
            <w:tcW w:w="450" w:type="dxa"/>
            <w:vAlign w:val="bottom"/>
          </w:tcPr>
          <w:p w:rsidR="00A92422" w:rsidRPr="00D87B79" w:rsidRDefault="00A92422" w:rsidP="00EA30FC">
            <w:pPr>
              <w:pStyle w:val="TableText"/>
              <w:widowControl w:val="0"/>
              <w:rPr>
                <w:rFonts w:ascii="Tahoma" w:hAnsi="Tahoma" w:cs="Tahoma"/>
                <w:sz w:val="13"/>
                <w:szCs w:val="13"/>
              </w:rPr>
            </w:pPr>
          </w:p>
        </w:tc>
        <w:tc>
          <w:tcPr>
            <w:tcW w:w="450" w:type="dxa"/>
            <w:vAlign w:val="bottom"/>
          </w:tcPr>
          <w:p w:rsidR="00A92422" w:rsidRPr="00D87B79" w:rsidRDefault="00A92422" w:rsidP="00EA30FC">
            <w:pPr>
              <w:pStyle w:val="TableText"/>
              <w:widowControl w:val="0"/>
              <w:rPr>
                <w:rFonts w:ascii="Tahoma" w:hAnsi="Tahoma" w:cs="Tahoma"/>
                <w:sz w:val="13"/>
                <w:szCs w:val="13"/>
              </w:rPr>
            </w:pPr>
          </w:p>
        </w:tc>
        <w:tc>
          <w:tcPr>
            <w:tcW w:w="450" w:type="dxa"/>
            <w:vAlign w:val="bottom"/>
          </w:tcPr>
          <w:p w:rsidR="00A92422" w:rsidRPr="00D87B79" w:rsidRDefault="00A92422" w:rsidP="00EA30FC">
            <w:pPr>
              <w:pStyle w:val="TableText"/>
              <w:widowControl w:val="0"/>
              <w:rPr>
                <w:rFonts w:ascii="Tahoma" w:hAnsi="Tahoma" w:cs="Tahoma"/>
                <w:sz w:val="13"/>
                <w:szCs w:val="13"/>
              </w:rPr>
            </w:pPr>
          </w:p>
        </w:tc>
        <w:tc>
          <w:tcPr>
            <w:tcW w:w="450" w:type="dxa"/>
            <w:vAlign w:val="bottom"/>
          </w:tcPr>
          <w:p w:rsidR="00A92422" w:rsidRPr="00D87B79" w:rsidRDefault="00A92422" w:rsidP="00EA30FC">
            <w:pPr>
              <w:pStyle w:val="TableText"/>
              <w:widowControl w:val="0"/>
              <w:rPr>
                <w:rFonts w:ascii="Tahoma" w:hAnsi="Tahoma" w:cs="Tahoma"/>
                <w:sz w:val="13"/>
                <w:szCs w:val="13"/>
              </w:rPr>
            </w:pPr>
          </w:p>
        </w:tc>
        <w:tc>
          <w:tcPr>
            <w:tcW w:w="450" w:type="dxa"/>
            <w:vAlign w:val="bottom"/>
          </w:tcPr>
          <w:p w:rsidR="00A92422" w:rsidRPr="00D87B79" w:rsidRDefault="00A92422" w:rsidP="00EA30FC">
            <w:pPr>
              <w:pStyle w:val="TableText"/>
              <w:widowControl w:val="0"/>
              <w:rPr>
                <w:rFonts w:ascii="Tahoma" w:hAnsi="Tahoma" w:cs="Tahoma"/>
                <w:sz w:val="13"/>
                <w:szCs w:val="13"/>
              </w:rPr>
            </w:pPr>
          </w:p>
        </w:tc>
        <w:tc>
          <w:tcPr>
            <w:tcW w:w="360" w:type="dxa"/>
            <w:tcBorders>
              <w:right w:val="single" w:sz="18" w:space="0" w:color="auto"/>
            </w:tcBorders>
            <w:vAlign w:val="bottom"/>
          </w:tcPr>
          <w:p w:rsidR="00A92422" w:rsidRPr="00D87B79" w:rsidRDefault="00A92422" w:rsidP="00EA30FC">
            <w:pPr>
              <w:pStyle w:val="TableText"/>
              <w:widowControl w:val="0"/>
              <w:rPr>
                <w:rFonts w:ascii="Tahoma" w:hAnsi="Tahoma" w:cs="Tahoma"/>
                <w:sz w:val="13"/>
                <w:szCs w:val="13"/>
              </w:rPr>
            </w:pPr>
          </w:p>
        </w:tc>
        <w:tc>
          <w:tcPr>
            <w:tcW w:w="450" w:type="dxa"/>
            <w:tcBorders>
              <w:left w:val="single" w:sz="18" w:space="0" w:color="auto"/>
            </w:tcBorders>
            <w:vAlign w:val="bottom"/>
          </w:tcPr>
          <w:p w:rsidR="00A92422" w:rsidRPr="00D87B79" w:rsidRDefault="00A92422" w:rsidP="00EA30FC">
            <w:pPr>
              <w:pStyle w:val="TableText"/>
              <w:widowControl w:val="0"/>
              <w:rPr>
                <w:rFonts w:ascii="Tahoma" w:hAnsi="Tahoma" w:cs="Tahoma"/>
                <w:sz w:val="13"/>
                <w:szCs w:val="13"/>
              </w:rPr>
            </w:pPr>
          </w:p>
        </w:tc>
        <w:tc>
          <w:tcPr>
            <w:tcW w:w="450" w:type="dxa"/>
            <w:vAlign w:val="bottom"/>
          </w:tcPr>
          <w:p w:rsidR="00A92422" w:rsidRPr="00D87B79" w:rsidRDefault="00A92422" w:rsidP="00EA30FC">
            <w:pPr>
              <w:pStyle w:val="TableText"/>
              <w:widowControl w:val="0"/>
              <w:rPr>
                <w:rFonts w:ascii="Tahoma" w:hAnsi="Tahoma" w:cs="Tahoma"/>
                <w:sz w:val="13"/>
                <w:szCs w:val="13"/>
              </w:rPr>
            </w:pPr>
          </w:p>
        </w:tc>
        <w:tc>
          <w:tcPr>
            <w:tcW w:w="450" w:type="dxa"/>
            <w:tcBorders>
              <w:right w:val="single" w:sz="18" w:space="0" w:color="auto"/>
            </w:tcBorders>
            <w:vAlign w:val="bottom"/>
          </w:tcPr>
          <w:p w:rsidR="00A92422" w:rsidRPr="00D87B79" w:rsidRDefault="00A92422" w:rsidP="00EA30FC">
            <w:pPr>
              <w:pStyle w:val="TableText"/>
              <w:widowControl w:val="0"/>
              <w:rPr>
                <w:rFonts w:ascii="Tahoma" w:hAnsi="Tahoma" w:cs="Tahoma"/>
                <w:sz w:val="13"/>
                <w:szCs w:val="13"/>
              </w:rPr>
            </w:pPr>
          </w:p>
        </w:tc>
        <w:tc>
          <w:tcPr>
            <w:tcW w:w="450" w:type="dxa"/>
            <w:tcBorders>
              <w:left w:val="single" w:sz="18" w:space="0" w:color="auto"/>
            </w:tcBorders>
            <w:vAlign w:val="center"/>
          </w:tcPr>
          <w:p w:rsidR="00A92422" w:rsidRPr="00D87B79" w:rsidRDefault="00A92422" w:rsidP="00EA30FC">
            <w:pPr>
              <w:pStyle w:val="TableText"/>
              <w:widowControl w:val="0"/>
              <w:rPr>
                <w:rFonts w:ascii="Tahoma" w:hAnsi="Tahoma" w:cs="Tahoma"/>
                <w:sz w:val="13"/>
                <w:szCs w:val="13"/>
              </w:rPr>
            </w:pPr>
          </w:p>
        </w:tc>
        <w:tc>
          <w:tcPr>
            <w:tcW w:w="450"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E</w:t>
            </w:r>
          </w:p>
        </w:tc>
        <w:tc>
          <w:tcPr>
            <w:tcW w:w="504" w:type="dxa"/>
          </w:tcPr>
          <w:p w:rsidR="00A92422" w:rsidRPr="00D87B79" w:rsidRDefault="00A92422" w:rsidP="00EA30FC">
            <w:pPr>
              <w:pStyle w:val="TableText"/>
              <w:widowControl w:val="0"/>
              <w:rPr>
                <w:rFonts w:ascii="Tahoma" w:hAnsi="Tahoma" w:cs="Tahoma"/>
                <w:sz w:val="13"/>
              </w:rPr>
            </w:pPr>
          </w:p>
        </w:tc>
        <w:tc>
          <w:tcPr>
            <w:tcW w:w="486" w:type="dxa"/>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ABF8F"/>
            <w:vAlign w:val="center"/>
          </w:tcPr>
          <w:p w:rsidR="00A92422" w:rsidRPr="00D87B79" w:rsidRDefault="00A92422" w:rsidP="00EA30FC">
            <w:pPr>
              <w:pStyle w:val="ProductNames"/>
              <w:spacing w:beforeLines="20" w:before="48" w:afterLines="20" w:after="48"/>
              <w:rPr>
                <w:rFonts w:ascii="Tahoma" w:hAnsi="Tahoma" w:cs="Tahoma"/>
                <w:sz w:val="14"/>
              </w:rPr>
            </w:pPr>
            <w:bookmarkStart w:id="219" w:name="_Toc336337943"/>
            <w:bookmarkStart w:id="220" w:name="_Toc342900008"/>
            <w:bookmarkEnd w:id="219"/>
            <w:r w:rsidRPr="00D87B79">
              <w:rPr>
                <w:rFonts w:ascii="Tahoma" w:hAnsi="Tahoma" w:cs="Tahoma"/>
                <w:sz w:val="14"/>
                <w:lang w:val="it-IT"/>
              </w:rPr>
              <w:t>Enterprise CAL Suite Bridge per Office 365 e Windows</w:t>
            </w:r>
            <w:r w:rsidRPr="003A0F2F">
              <w:rPr>
                <w:rFonts w:ascii="Tahoma" w:hAnsi="Tahoma" w:cs="Tahoma"/>
                <w:sz w:val="14"/>
                <w:vertAlign w:val="superscript"/>
                <w:lang w:val="it-IT"/>
              </w:rPr>
              <w:t>®</w:t>
            </w:r>
            <w:r w:rsidRPr="00D87B79">
              <w:rPr>
                <w:rFonts w:ascii="Tahoma" w:hAnsi="Tahoma" w:cs="Tahoma"/>
                <w:sz w:val="14"/>
                <w:lang w:val="it-IT"/>
              </w:rPr>
              <w:t xml:space="preserve"> Intune (Utente e Dispositivo)</w:t>
            </w:r>
            <w:bookmarkEnd w:id="220"/>
          </w:p>
        </w:tc>
        <w:tc>
          <w:tcPr>
            <w:tcW w:w="450" w:type="dxa"/>
            <w:shd w:val="clear" w:color="auto" w:fill="FABF8F"/>
            <w:vAlign w:val="center"/>
          </w:tcPr>
          <w:p w:rsidR="00A92422" w:rsidRPr="001E1017" w:rsidRDefault="00A92422" w:rsidP="00EA30FC">
            <w:pPr>
              <w:pStyle w:val="TableText"/>
              <w:widowControl w:val="0"/>
              <w:rPr>
                <w:rFonts w:cs="Tahoma"/>
                <w:b/>
                <w:color w:val="0000FF"/>
                <w:sz w:val="13"/>
                <w:szCs w:val="13"/>
                <w:u w:val="single"/>
              </w:rPr>
            </w:pPr>
            <w:hyperlink w:anchor="_40_Enterprise_CAL" w:history="1">
              <w:r w:rsidRPr="001E1017">
                <w:rPr>
                  <w:rStyle w:val="Hyperlink"/>
                  <w:rFonts w:cs="Tahoma"/>
                  <w:b/>
                  <w:sz w:val="13"/>
                  <w:szCs w:val="13"/>
                </w:rPr>
                <w:t>40</w:t>
              </w:r>
            </w:hyperlink>
          </w:p>
        </w:tc>
        <w:tc>
          <w:tcPr>
            <w:tcW w:w="450" w:type="dxa"/>
            <w:shd w:val="clear" w:color="auto" w:fill="FABF8F"/>
          </w:tcPr>
          <w:p w:rsidR="00A92422" w:rsidRPr="00D87B79" w:rsidRDefault="00A92422" w:rsidP="00EA30FC">
            <w:pPr>
              <w:pStyle w:val="TableText"/>
              <w:widowControl w:val="0"/>
              <w:spacing w:before="40"/>
              <w:rPr>
                <w:rFonts w:ascii="Tahoma" w:hAnsi="Tahoma" w:cs="Tahoma"/>
                <w:sz w:val="13"/>
              </w:rPr>
            </w:pPr>
            <w:r w:rsidRPr="00D87B79">
              <w:rPr>
                <w:rFonts w:ascii="Tahoma" w:hAnsi="Tahoma" w:cs="Tahoma"/>
                <w:sz w:val="13"/>
              </w:rPr>
              <w:t>06/11</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FABF8F"/>
            <w:vAlign w:val="bottom"/>
          </w:tcPr>
          <w:p w:rsidR="00A92422" w:rsidRPr="00D87B79" w:rsidRDefault="00A92422" w:rsidP="00EA30FC">
            <w:pPr>
              <w:pStyle w:val="TableText"/>
              <w:widowControl w:val="0"/>
              <w:rPr>
                <w:rFonts w:ascii="Tahoma" w:hAnsi="Tahoma" w:cs="Tahoma"/>
                <w:sz w:val="13"/>
                <w:szCs w:val="13"/>
              </w:rPr>
            </w:pPr>
          </w:p>
        </w:tc>
        <w:tc>
          <w:tcPr>
            <w:tcW w:w="450" w:type="dxa"/>
            <w:shd w:val="clear" w:color="auto" w:fill="FABF8F"/>
            <w:vAlign w:val="bottom"/>
          </w:tcPr>
          <w:p w:rsidR="00A92422" w:rsidRPr="00D87B79" w:rsidRDefault="00A92422" w:rsidP="00EA30FC">
            <w:pPr>
              <w:pStyle w:val="TableText"/>
              <w:widowControl w:val="0"/>
              <w:rPr>
                <w:rFonts w:ascii="Tahoma" w:hAnsi="Tahoma" w:cs="Tahoma"/>
                <w:sz w:val="13"/>
                <w:szCs w:val="13"/>
              </w:rPr>
            </w:pPr>
          </w:p>
        </w:tc>
        <w:tc>
          <w:tcPr>
            <w:tcW w:w="450" w:type="dxa"/>
            <w:shd w:val="clear" w:color="auto" w:fill="FABF8F"/>
            <w:vAlign w:val="bottom"/>
          </w:tcPr>
          <w:p w:rsidR="00A92422" w:rsidRPr="00D87B79" w:rsidRDefault="00A92422" w:rsidP="00EA30FC">
            <w:pPr>
              <w:pStyle w:val="TableText"/>
              <w:widowControl w:val="0"/>
              <w:rPr>
                <w:rFonts w:ascii="Tahoma" w:hAnsi="Tahoma" w:cs="Tahoma"/>
                <w:sz w:val="13"/>
                <w:szCs w:val="13"/>
              </w:rPr>
            </w:pPr>
          </w:p>
        </w:tc>
        <w:tc>
          <w:tcPr>
            <w:tcW w:w="450" w:type="dxa"/>
            <w:shd w:val="clear" w:color="auto" w:fill="FABF8F"/>
            <w:vAlign w:val="bottom"/>
          </w:tcPr>
          <w:p w:rsidR="00A92422" w:rsidRPr="00D87B79" w:rsidRDefault="00A92422" w:rsidP="00EA30FC">
            <w:pPr>
              <w:pStyle w:val="TableText"/>
              <w:widowControl w:val="0"/>
              <w:rPr>
                <w:rFonts w:ascii="Tahoma" w:hAnsi="Tahoma" w:cs="Tahoma"/>
                <w:sz w:val="13"/>
                <w:szCs w:val="13"/>
              </w:rPr>
            </w:pPr>
          </w:p>
        </w:tc>
        <w:tc>
          <w:tcPr>
            <w:tcW w:w="450" w:type="dxa"/>
            <w:shd w:val="clear" w:color="auto" w:fill="FABF8F"/>
            <w:vAlign w:val="bottom"/>
          </w:tcPr>
          <w:p w:rsidR="00A92422" w:rsidRPr="00D87B79" w:rsidRDefault="00A92422" w:rsidP="00EA30FC">
            <w:pPr>
              <w:pStyle w:val="TableText"/>
              <w:widowControl w:val="0"/>
              <w:rPr>
                <w:rFonts w:ascii="Tahoma" w:hAnsi="Tahoma" w:cs="Tahoma"/>
                <w:sz w:val="13"/>
                <w:szCs w:val="13"/>
              </w:rPr>
            </w:pPr>
          </w:p>
        </w:tc>
        <w:tc>
          <w:tcPr>
            <w:tcW w:w="450" w:type="dxa"/>
            <w:shd w:val="clear" w:color="auto" w:fill="FABF8F"/>
            <w:vAlign w:val="bottom"/>
          </w:tcPr>
          <w:p w:rsidR="00A92422" w:rsidRPr="00D87B79" w:rsidRDefault="00A92422" w:rsidP="00EA30FC">
            <w:pPr>
              <w:pStyle w:val="TableText"/>
              <w:widowControl w:val="0"/>
              <w:rPr>
                <w:rFonts w:ascii="Tahoma" w:hAnsi="Tahoma" w:cs="Tahoma"/>
                <w:sz w:val="13"/>
                <w:szCs w:val="13"/>
              </w:rPr>
            </w:pPr>
          </w:p>
        </w:tc>
        <w:tc>
          <w:tcPr>
            <w:tcW w:w="360" w:type="dxa"/>
            <w:tcBorders>
              <w:right w:val="single" w:sz="18" w:space="0" w:color="auto"/>
            </w:tcBorders>
            <w:shd w:val="clear" w:color="auto" w:fill="FABF8F"/>
            <w:vAlign w:val="bottom"/>
          </w:tcPr>
          <w:p w:rsidR="00A92422" w:rsidRPr="00D87B79" w:rsidRDefault="00A92422" w:rsidP="00EA30FC">
            <w:pPr>
              <w:pStyle w:val="TableText"/>
              <w:widowControl w:val="0"/>
              <w:rPr>
                <w:rFonts w:ascii="Tahoma" w:hAnsi="Tahoma" w:cs="Tahoma"/>
                <w:sz w:val="13"/>
                <w:szCs w:val="13"/>
              </w:rPr>
            </w:pPr>
          </w:p>
        </w:tc>
        <w:tc>
          <w:tcPr>
            <w:tcW w:w="450" w:type="dxa"/>
            <w:tcBorders>
              <w:left w:val="single" w:sz="18" w:space="0" w:color="auto"/>
            </w:tcBorders>
            <w:shd w:val="clear" w:color="auto" w:fill="FABF8F"/>
            <w:vAlign w:val="bottom"/>
          </w:tcPr>
          <w:p w:rsidR="00A92422" w:rsidRPr="00D87B79" w:rsidRDefault="00A92422" w:rsidP="00EA30FC">
            <w:pPr>
              <w:pStyle w:val="TableText"/>
              <w:widowControl w:val="0"/>
              <w:rPr>
                <w:rFonts w:ascii="Tahoma" w:hAnsi="Tahoma" w:cs="Tahoma"/>
                <w:sz w:val="13"/>
                <w:szCs w:val="13"/>
              </w:rPr>
            </w:pPr>
          </w:p>
        </w:tc>
        <w:tc>
          <w:tcPr>
            <w:tcW w:w="450" w:type="dxa"/>
            <w:shd w:val="clear" w:color="auto" w:fill="FABF8F"/>
            <w:vAlign w:val="bottom"/>
          </w:tcPr>
          <w:p w:rsidR="00A92422" w:rsidRPr="00D87B79" w:rsidRDefault="00A92422" w:rsidP="00EA30FC">
            <w:pPr>
              <w:pStyle w:val="TableText"/>
              <w:widowControl w:val="0"/>
              <w:rPr>
                <w:rFonts w:ascii="Tahoma" w:hAnsi="Tahoma" w:cs="Tahoma"/>
                <w:sz w:val="13"/>
                <w:szCs w:val="13"/>
              </w:rPr>
            </w:pPr>
          </w:p>
        </w:tc>
        <w:tc>
          <w:tcPr>
            <w:tcW w:w="450" w:type="dxa"/>
            <w:tcBorders>
              <w:right w:val="single" w:sz="18" w:space="0" w:color="auto"/>
            </w:tcBorders>
            <w:shd w:val="clear" w:color="auto" w:fill="FABF8F"/>
            <w:vAlign w:val="bottom"/>
          </w:tcPr>
          <w:p w:rsidR="00A92422" w:rsidRPr="00D87B79" w:rsidRDefault="00A92422" w:rsidP="00EA30FC">
            <w:pPr>
              <w:pStyle w:val="TableText"/>
              <w:widowControl w:val="0"/>
              <w:rPr>
                <w:rFonts w:ascii="Tahoma" w:hAnsi="Tahoma" w:cs="Tahoma"/>
                <w:sz w:val="13"/>
                <w:szCs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szCs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E</w:t>
            </w:r>
          </w:p>
        </w:tc>
        <w:tc>
          <w:tcPr>
            <w:tcW w:w="504" w:type="dxa"/>
            <w:shd w:val="clear" w:color="auto" w:fill="FABF8F"/>
          </w:tcPr>
          <w:p w:rsidR="00A92422" w:rsidRPr="00D87B79" w:rsidRDefault="00A92422" w:rsidP="00EA30FC">
            <w:pPr>
              <w:pStyle w:val="TableText"/>
              <w:widowControl w:val="0"/>
              <w:rPr>
                <w:rFonts w:ascii="Tahoma" w:hAnsi="Tahoma" w:cs="Tahoma"/>
                <w:sz w:val="13"/>
              </w:rPr>
            </w:pP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278"/>
        </w:trPr>
        <w:tc>
          <w:tcPr>
            <w:tcW w:w="2714" w:type="dxa"/>
            <w:vAlign w:val="center"/>
          </w:tcPr>
          <w:p w:rsidR="00A92422" w:rsidRPr="00D87B79" w:rsidRDefault="00A92422" w:rsidP="00EA30FC">
            <w:pPr>
              <w:pStyle w:val="ProductNames"/>
              <w:spacing w:beforeLines="20" w:before="48" w:afterLines="20" w:after="48"/>
              <w:rPr>
                <w:rFonts w:ascii="Tahoma" w:hAnsi="Tahoma" w:cs="Tahoma"/>
                <w:sz w:val="14"/>
              </w:rPr>
            </w:pPr>
            <w:bookmarkStart w:id="221" w:name="_Toc336337944"/>
            <w:bookmarkStart w:id="222" w:name="_Toc342900009"/>
            <w:bookmarkEnd w:id="221"/>
            <w:r w:rsidRPr="00D87B79">
              <w:rPr>
                <w:rFonts w:ascii="Tahoma" w:hAnsi="Tahoma" w:cs="Tahoma"/>
                <w:sz w:val="14"/>
                <w:lang w:val="it-IT"/>
              </w:rPr>
              <w:t>Enterprise CAL Suite Bridge per Windows</w:t>
            </w:r>
            <w:r w:rsidRPr="003A0F2F">
              <w:rPr>
                <w:rFonts w:ascii="Tahoma" w:hAnsi="Tahoma" w:cs="Tahoma"/>
                <w:sz w:val="14"/>
                <w:vertAlign w:val="superscript"/>
                <w:lang w:val="it-IT"/>
              </w:rPr>
              <w:t>®</w:t>
            </w:r>
            <w:r w:rsidRPr="00D87B79">
              <w:rPr>
                <w:rFonts w:ascii="Tahoma" w:hAnsi="Tahoma" w:cs="Tahoma"/>
                <w:sz w:val="14"/>
                <w:lang w:val="it-IT"/>
              </w:rPr>
              <w:t xml:space="preserve"> Intune (Utente e Dispositivo)</w:t>
            </w:r>
            <w:bookmarkEnd w:id="222"/>
          </w:p>
        </w:tc>
        <w:bookmarkStart w:id="223" w:name="_Hlt336251014"/>
        <w:bookmarkEnd w:id="223"/>
        <w:tc>
          <w:tcPr>
            <w:tcW w:w="450" w:type="dxa"/>
            <w:vAlign w:val="center"/>
          </w:tcPr>
          <w:p w:rsidR="00A92422" w:rsidRPr="001E1017" w:rsidRDefault="00A92422" w:rsidP="00EA30FC">
            <w:pPr>
              <w:pStyle w:val="TableText"/>
              <w:widowControl w:val="0"/>
              <w:rPr>
                <w:rFonts w:cs="Tahoma"/>
                <w:b/>
                <w:color w:val="0000FF"/>
                <w:sz w:val="13"/>
                <w:szCs w:val="13"/>
                <w:u w:val="single"/>
              </w:rPr>
            </w:pPr>
            <w:r w:rsidRPr="001E1017">
              <w:rPr>
                <w:sz w:val="13"/>
                <w:szCs w:val="13"/>
              </w:rPr>
              <w:fldChar w:fldCharType="begin"/>
            </w:r>
            <w:r w:rsidRPr="001E1017">
              <w:rPr>
                <w:sz w:val="13"/>
                <w:szCs w:val="13"/>
              </w:rPr>
              <w:instrText>HYPERLINK  \l "_40_Enterprise_CAL"</w:instrText>
            </w:r>
            <w:r w:rsidRPr="001E1017">
              <w:rPr>
                <w:sz w:val="13"/>
                <w:szCs w:val="13"/>
              </w:rPr>
              <w:fldChar w:fldCharType="separate"/>
            </w:r>
            <w:r w:rsidRPr="001E1017">
              <w:rPr>
                <w:rStyle w:val="Hyperlink"/>
                <w:rFonts w:cs="Tahoma"/>
                <w:b/>
                <w:sz w:val="13"/>
                <w:szCs w:val="13"/>
              </w:rPr>
              <w:t>40</w:t>
            </w:r>
            <w:r w:rsidRPr="001E1017">
              <w:rPr>
                <w:sz w:val="13"/>
                <w:szCs w:val="13"/>
              </w:rPr>
              <w:fldChar w:fldCharType="end"/>
            </w:r>
          </w:p>
        </w:tc>
        <w:tc>
          <w:tcPr>
            <w:tcW w:w="450" w:type="dxa"/>
          </w:tcPr>
          <w:p w:rsidR="00A92422" w:rsidRPr="00D87B79" w:rsidRDefault="00A92422" w:rsidP="00EA30FC">
            <w:pPr>
              <w:pStyle w:val="TableText"/>
              <w:widowControl w:val="0"/>
              <w:spacing w:before="40"/>
              <w:rPr>
                <w:rFonts w:ascii="Tahoma" w:hAnsi="Tahoma" w:cs="Tahoma"/>
                <w:sz w:val="13"/>
              </w:rPr>
            </w:pPr>
            <w:r w:rsidRPr="00D87B79">
              <w:rPr>
                <w:rFonts w:ascii="Tahoma" w:hAnsi="Tahoma" w:cs="Tahoma"/>
                <w:sz w:val="13"/>
              </w:rPr>
              <w:t>04/11</w:t>
            </w:r>
          </w:p>
        </w:tc>
        <w:tc>
          <w:tcPr>
            <w:tcW w:w="360"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450" w:type="dxa"/>
            <w:vAlign w:val="center"/>
          </w:tcPr>
          <w:p w:rsidR="00A92422" w:rsidRPr="00D87B79" w:rsidRDefault="00A92422" w:rsidP="00EA30FC">
            <w:pPr>
              <w:pStyle w:val="TableText"/>
              <w:widowControl w:val="0"/>
              <w:rPr>
                <w:rFonts w:ascii="Tahoma" w:hAnsi="Tahoma" w:cs="Tahoma"/>
                <w:bCs/>
                <w:color w:val="000000"/>
                <w:sz w:val="13"/>
              </w:rPr>
            </w:pPr>
          </w:p>
        </w:tc>
        <w:tc>
          <w:tcPr>
            <w:tcW w:w="450" w:type="dxa"/>
            <w:vAlign w:val="center"/>
          </w:tcPr>
          <w:p w:rsidR="00A92422" w:rsidRPr="00D87B79" w:rsidRDefault="00A92422" w:rsidP="00EA30FC">
            <w:pPr>
              <w:pStyle w:val="TableText"/>
              <w:widowControl w:val="0"/>
              <w:rPr>
                <w:rFonts w:ascii="Tahoma" w:hAnsi="Tahoma" w:cs="Tahoma"/>
                <w:bCs/>
                <w:color w:val="000000"/>
                <w:sz w:val="13"/>
              </w:rPr>
            </w:pPr>
          </w:p>
        </w:tc>
        <w:tc>
          <w:tcPr>
            <w:tcW w:w="450" w:type="dxa"/>
            <w:vAlign w:val="center"/>
          </w:tcPr>
          <w:p w:rsidR="00A92422" w:rsidRPr="00D87B79" w:rsidRDefault="00A92422" w:rsidP="00EA30FC">
            <w:pPr>
              <w:pStyle w:val="TableText"/>
              <w:widowControl w:val="0"/>
              <w:rPr>
                <w:rFonts w:ascii="Tahoma" w:hAnsi="Tahoma" w:cs="Tahoma"/>
                <w:bCs/>
                <w:color w:val="000000"/>
                <w:sz w:val="13"/>
              </w:rPr>
            </w:pPr>
          </w:p>
        </w:tc>
        <w:tc>
          <w:tcPr>
            <w:tcW w:w="450" w:type="dxa"/>
            <w:vAlign w:val="center"/>
          </w:tcPr>
          <w:p w:rsidR="00A92422" w:rsidRPr="00D87B79" w:rsidRDefault="00A92422" w:rsidP="00EA30FC">
            <w:pPr>
              <w:pStyle w:val="TableText"/>
              <w:widowControl w:val="0"/>
              <w:rPr>
                <w:rFonts w:ascii="Tahoma" w:hAnsi="Tahoma" w:cs="Tahoma"/>
                <w:bCs/>
                <w:color w:val="000000"/>
                <w:sz w:val="13"/>
              </w:rPr>
            </w:pPr>
          </w:p>
        </w:tc>
        <w:tc>
          <w:tcPr>
            <w:tcW w:w="450" w:type="dxa"/>
            <w:vAlign w:val="center"/>
          </w:tcPr>
          <w:p w:rsidR="00A92422" w:rsidRPr="00D87B79" w:rsidRDefault="00A92422" w:rsidP="00EA30FC">
            <w:pPr>
              <w:pStyle w:val="TableText"/>
              <w:widowControl w:val="0"/>
              <w:rPr>
                <w:rFonts w:ascii="Tahoma" w:hAnsi="Tahoma" w:cs="Tahoma"/>
                <w:bCs/>
                <w:color w:val="000000"/>
                <w:sz w:val="13"/>
              </w:rPr>
            </w:pPr>
          </w:p>
        </w:tc>
        <w:tc>
          <w:tcPr>
            <w:tcW w:w="360" w:type="dxa"/>
            <w:tcBorders>
              <w:right w:val="single" w:sz="18" w:space="0" w:color="auto"/>
            </w:tcBorders>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lef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450" w:type="dxa"/>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504" w:type="dxa"/>
            <w:vAlign w:val="center"/>
          </w:tcPr>
          <w:p w:rsidR="00A92422" w:rsidRPr="00D87B79" w:rsidRDefault="00A92422" w:rsidP="00EA30FC">
            <w:pPr>
              <w:pStyle w:val="TableText"/>
              <w:widowControl w:val="0"/>
              <w:rPr>
                <w:rFonts w:ascii="Tahoma" w:hAnsi="Tahoma" w:cs="Tahoma"/>
                <w:sz w:val="13"/>
              </w:rPr>
            </w:pPr>
          </w:p>
        </w:tc>
        <w:tc>
          <w:tcPr>
            <w:tcW w:w="486" w:type="dxa"/>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ABF8F"/>
            <w:vAlign w:val="center"/>
          </w:tcPr>
          <w:p w:rsidR="00A92422" w:rsidRPr="00D87B79" w:rsidRDefault="00A92422" w:rsidP="00EA30FC">
            <w:pPr>
              <w:pStyle w:val="ProductNames"/>
              <w:spacing w:beforeLines="20" w:before="48" w:afterLines="20" w:after="48"/>
              <w:rPr>
                <w:rFonts w:ascii="Tahoma" w:hAnsi="Tahoma" w:cs="Tahoma"/>
                <w:sz w:val="14"/>
              </w:rPr>
            </w:pPr>
            <w:bookmarkStart w:id="224" w:name="_Toc336337945"/>
            <w:bookmarkStart w:id="225" w:name="_Toc342900010"/>
            <w:bookmarkEnd w:id="224"/>
            <w:r w:rsidRPr="00D87B79">
              <w:rPr>
                <w:rFonts w:ascii="Tahoma" w:hAnsi="Tahoma" w:cs="Tahoma"/>
                <w:sz w:val="14"/>
                <w:lang w:val="it-IT"/>
              </w:rPr>
              <w:t>Enterprise CAL Suite (Utente e Dispositivo)</w:t>
            </w:r>
            <w:bookmarkEnd w:id="225"/>
            <w:r w:rsidRPr="00D87B79">
              <w:rPr>
                <w:rFonts w:ascii="Tahoma" w:hAnsi="Tahoma" w:cs="Tahoma"/>
                <w:sz w:val="14"/>
              </w:rPr>
              <w:t xml:space="preserve"> </w:t>
            </w:r>
          </w:p>
        </w:tc>
        <w:tc>
          <w:tcPr>
            <w:tcW w:w="450" w:type="dxa"/>
            <w:shd w:val="clear" w:color="auto" w:fill="FABF8F"/>
            <w:vAlign w:val="center"/>
          </w:tcPr>
          <w:p w:rsidR="00A92422" w:rsidRPr="001E1017" w:rsidRDefault="00A92422" w:rsidP="00EA30FC">
            <w:pPr>
              <w:pStyle w:val="TableText"/>
              <w:widowControl w:val="0"/>
              <w:rPr>
                <w:rStyle w:val="EndnoteReference"/>
                <w:rFonts w:cs="Tahoma"/>
                <w:color w:val="0000FF"/>
                <w:sz w:val="13"/>
                <w:szCs w:val="13"/>
                <w:u w:val="single"/>
              </w:rPr>
            </w:pPr>
            <w:hyperlink w:anchor="_41_Enterprise_CAL" w:history="1">
              <w:r w:rsidRPr="001E1017">
                <w:rPr>
                  <w:rStyle w:val="Hyperlink"/>
                  <w:rFonts w:cs="Tahoma"/>
                  <w:b/>
                  <w:sz w:val="13"/>
                  <w:szCs w:val="13"/>
                </w:rPr>
                <w:t>41</w:t>
              </w:r>
            </w:hyperlink>
          </w:p>
        </w:tc>
        <w:tc>
          <w:tcPr>
            <w:tcW w:w="450" w:type="dxa"/>
            <w:shd w:val="clear" w:color="auto" w:fill="FABF8F"/>
          </w:tcPr>
          <w:p w:rsidR="00A92422" w:rsidRPr="00D87B79" w:rsidRDefault="00A92422" w:rsidP="00EA30FC">
            <w:pPr>
              <w:pStyle w:val="TableText"/>
              <w:widowControl w:val="0"/>
              <w:spacing w:before="40"/>
              <w:rPr>
                <w:rFonts w:ascii="Tahoma" w:hAnsi="Tahoma" w:cs="Tahoma"/>
                <w:sz w:val="13"/>
              </w:rPr>
            </w:pPr>
            <w:r w:rsidRPr="00D87B79">
              <w:rPr>
                <w:rFonts w:ascii="Tahoma" w:hAnsi="Tahoma" w:cs="Tahoma"/>
                <w:sz w:val="13"/>
              </w:rPr>
              <w:t>10/06</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color w:val="000000"/>
                <w:sz w:val="13"/>
              </w:rPr>
              <w:t>13</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color w:val="000000"/>
                <w:sz w:val="13"/>
              </w:rPr>
              <w:t>10</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color w:val="000000"/>
                <w:sz w:val="13"/>
              </w:rPr>
              <w:t>8</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color w:val="000000"/>
                <w:sz w:val="13"/>
              </w:rPr>
              <w:t>8</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color w:val="000000"/>
                <w:sz w:val="13"/>
              </w:rPr>
              <w:t>5</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color w:val="000000"/>
                <w:sz w:val="13"/>
              </w:rPr>
              <w:t>3</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2, E</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E</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E, P</w:t>
            </w:r>
          </w:p>
        </w:tc>
        <w:tc>
          <w:tcPr>
            <w:tcW w:w="504"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E, ST</w:t>
            </w: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vAlign w:val="center"/>
          </w:tcPr>
          <w:p w:rsidR="00A92422" w:rsidRPr="00D87B79" w:rsidRDefault="00A92422" w:rsidP="00EA30FC">
            <w:pPr>
              <w:pStyle w:val="ProductNames"/>
              <w:rPr>
                <w:rFonts w:ascii="Tahoma" w:hAnsi="Tahoma" w:cs="Tahoma"/>
                <w:sz w:val="14"/>
              </w:rPr>
            </w:pPr>
            <w:bookmarkStart w:id="226" w:name="_Toc342900011"/>
            <w:r w:rsidRPr="00D87B79">
              <w:rPr>
                <w:rFonts w:ascii="Tahoma" w:hAnsi="Tahoma" w:cs="Tahoma"/>
                <w:sz w:val="14"/>
                <w:lang w:val="it-IT"/>
              </w:rPr>
              <w:t>Enterprise CAL per Exchange 2013 con Servizi</w:t>
            </w:r>
            <w:bookmarkEnd w:id="226"/>
          </w:p>
        </w:tc>
        <w:tc>
          <w:tcPr>
            <w:tcW w:w="450" w:type="dxa"/>
            <w:vAlign w:val="center"/>
          </w:tcPr>
          <w:p w:rsidR="00A92422" w:rsidRPr="001E1017" w:rsidRDefault="00A92422" w:rsidP="00EA30FC">
            <w:pPr>
              <w:pStyle w:val="TableText"/>
              <w:widowControl w:val="0"/>
              <w:rPr>
                <w:rFonts w:cs="Tahoma"/>
                <w:b/>
                <w:sz w:val="13"/>
                <w:szCs w:val="13"/>
                <w:u w:val="single"/>
              </w:rPr>
            </w:pPr>
          </w:p>
        </w:tc>
        <w:tc>
          <w:tcPr>
            <w:tcW w:w="450" w:type="dxa"/>
          </w:tcPr>
          <w:p w:rsidR="00A92422" w:rsidRPr="00D87B79" w:rsidRDefault="00A92422" w:rsidP="00EA30FC">
            <w:pPr>
              <w:pStyle w:val="TableText"/>
              <w:widowControl w:val="0"/>
              <w:spacing w:before="40"/>
              <w:rPr>
                <w:rFonts w:ascii="Tahoma" w:hAnsi="Tahoma" w:cs="Tahoma"/>
                <w:sz w:val="13"/>
              </w:rPr>
            </w:pPr>
            <w:r w:rsidRPr="00D87B79">
              <w:rPr>
                <w:rFonts w:ascii="Tahoma" w:hAnsi="Tahoma" w:cs="Tahoma"/>
                <w:sz w:val="13"/>
              </w:rPr>
              <w:t>10/12</w:t>
            </w:r>
          </w:p>
        </w:tc>
        <w:tc>
          <w:tcPr>
            <w:tcW w:w="360"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vAlign w:val="center"/>
          </w:tcPr>
          <w:p w:rsidR="00A92422" w:rsidRPr="00D87B79" w:rsidRDefault="00A92422" w:rsidP="00EA30FC">
            <w:pPr>
              <w:pStyle w:val="TableText"/>
              <w:widowControl w:val="0"/>
              <w:rPr>
                <w:rFonts w:ascii="Tahoma" w:hAnsi="Tahoma" w:cs="Tahoma"/>
                <w:bCs/>
                <w:color w:val="000000"/>
                <w:sz w:val="13"/>
              </w:rPr>
            </w:pPr>
            <w:r w:rsidRPr="00D87B79">
              <w:rPr>
                <w:rFonts w:ascii="Tahoma" w:hAnsi="Tahoma" w:cs="Tahoma"/>
                <w:color w:val="000000"/>
                <w:sz w:val="13"/>
              </w:rPr>
              <w:t>3</w:t>
            </w:r>
          </w:p>
        </w:tc>
        <w:tc>
          <w:tcPr>
            <w:tcW w:w="450" w:type="dxa"/>
            <w:vAlign w:val="center"/>
          </w:tcPr>
          <w:p w:rsidR="00A92422" w:rsidRPr="00D87B79" w:rsidRDefault="00A92422" w:rsidP="00EA30FC">
            <w:pPr>
              <w:pStyle w:val="TableText"/>
              <w:widowControl w:val="0"/>
              <w:rPr>
                <w:rFonts w:ascii="Tahoma" w:hAnsi="Tahoma" w:cs="Tahoma"/>
                <w:bCs/>
                <w:color w:val="000000"/>
                <w:sz w:val="13"/>
              </w:rPr>
            </w:pPr>
            <w:r w:rsidRPr="00D87B79">
              <w:rPr>
                <w:rFonts w:ascii="Tahoma" w:hAnsi="Tahoma" w:cs="Tahoma"/>
                <w:color w:val="000000"/>
                <w:sz w:val="13"/>
              </w:rPr>
              <w:t>2</w:t>
            </w:r>
          </w:p>
        </w:tc>
        <w:tc>
          <w:tcPr>
            <w:tcW w:w="450" w:type="dxa"/>
            <w:vAlign w:val="center"/>
          </w:tcPr>
          <w:p w:rsidR="00A92422" w:rsidRPr="00D87B79" w:rsidRDefault="00A92422" w:rsidP="00EA30FC">
            <w:pPr>
              <w:pStyle w:val="TableText"/>
              <w:widowControl w:val="0"/>
              <w:rPr>
                <w:rFonts w:ascii="Tahoma" w:hAnsi="Tahoma" w:cs="Tahoma"/>
                <w:bCs/>
                <w:color w:val="000000"/>
                <w:sz w:val="13"/>
              </w:rPr>
            </w:pPr>
            <w:r w:rsidRPr="00D87B79">
              <w:rPr>
                <w:rFonts w:ascii="Tahoma" w:hAnsi="Tahoma" w:cs="Tahoma"/>
                <w:color w:val="000000"/>
                <w:sz w:val="13"/>
              </w:rPr>
              <w:t>2</w:t>
            </w:r>
          </w:p>
        </w:tc>
        <w:tc>
          <w:tcPr>
            <w:tcW w:w="450" w:type="dxa"/>
            <w:vAlign w:val="center"/>
          </w:tcPr>
          <w:p w:rsidR="00A92422" w:rsidRPr="00D87B79" w:rsidRDefault="00A92422" w:rsidP="00EA30FC">
            <w:pPr>
              <w:pStyle w:val="TableText"/>
              <w:widowControl w:val="0"/>
              <w:rPr>
                <w:rFonts w:ascii="Tahoma" w:hAnsi="Tahoma" w:cs="Tahoma"/>
                <w:bCs/>
                <w:color w:val="000000"/>
                <w:sz w:val="13"/>
              </w:rPr>
            </w:pPr>
            <w:r w:rsidRPr="00D87B79">
              <w:rPr>
                <w:rFonts w:ascii="Tahoma" w:hAnsi="Tahoma" w:cs="Tahoma"/>
                <w:color w:val="000000"/>
                <w:sz w:val="13"/>
              </w:rPr>
              <w:t>2</w:t>
            </w:r>
          </w:p>
        </w:tc>
        <w:tc>
          <w:tcPr>
            <w:tcW w:w="450" w:type="dxa"/>
            <w:vAlign w:val="center"/>
          </w:tcPr>
          <w:p w:rsidR="00A92422" w:rsidRPr="00D87B79" w:rsidRDefault="00A92422" w:rsidP="00EA30FC">
            <w:pPr>
              <w:pStyle w:val="TableText"/>
              <w:widowControl w:val="0"/>
              <w:rPr>
                <w:rFonts w:ascii="Tahoma" w:hAnsi="Tahoma" w:cs="Tahoma"/>
                <w:bCs/>
                <w:color w:val="000000"/>
                <w:sz w:val="13"/>
              </w:rPr>
            </w:pPr>
            <w:r w:rsidRPr="00D87B79">
              <w:rPr>
                <w:rFonts w:ascii="Tahoma" w:hAnsi="Tahoma" w:cs="Tahoma"/>
                <w:color w:val="000000"/>
                <w:sz w:val="13"/>
              </w:rPr>
              <w:t>1</w:t>
            </w:r>
          </w:p>
        </w:tc>
        <w:tc>
          <w:tcPr>
            <w:tcW w:w="360" w:type="dxa"/>
            <w:tcBorders>
              <w:right w:val="single" w:sz="18" w:space="0" w:color="auto"/>
            </w:tcBorders>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tcBorders>
              <w:lef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450" w:type="dxa"/>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86" w:type="dxa"/>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ABF8F"/>
          </w:tcPr>
          <w:p w:rsidR="00A92422" w:rsidRPr="00D87B79" w:rsidRDefault="00A92422" w:rsidP="00EA30FC">
            <w:pPr>
              <w:pStyle w:val="Heading2"/>
              <w:ind w:left="0"/>
              <w:rPr>
                <w:rFonts w:ascii="Tahoma" w:hAnsi="Tahoma" w:cs="Tahoma"/>
                <w:b w:val="0"/>
                <w:sz w:val="14"/>
              </w:rPr>
            </w:pPr>
            <w:bookmarkStart w:id="227" w:name="_Toc342900012"/>
            <w:r w:rsidRPr="00D87B79">
              <w:rPr>
                <w:rFonts w:ascii="Tahoma" w:hAnsi="Tahoma" w:cs="Tahoma"/>
                <w:b w:val="0"/>
                <w:sz w:val="14"/>
                <w:lang w:val="it-IT"/>
              </w:rPr>
              <w:t>Enterprise CAL per Exchange 2013 senza Servizi</w:t>
            </w:r>
            <w:bookmarkEnd w:id="227"/>
          </w:p>
        </w:tc>
        <w:tc>
          <w:tcPr>
            <w:tcW w:w="450" w:type="dxa"/>
            <w:shd w:val="clear" w:color="auto" w:fill="FABF8F"/>
            <w:vAlign w:val="center"/>
          </w:tcPr>
          <w:p w:rsidR="00A92422" w:rsidRPr="001E1017" w:rsidRDefault="00A92422" w:rsidP="00EA30FC">
            <w:pPr>
              <w:pStyle w:val="TableText"/>
              <w:widowControl w:val="0"/>
              <w:rPr>
                <w:rFonts w:cs="Tahoma"/>
                <w:b/>
                <w:color w:val="0000FF"/>
                <w:sz w:val="13"/>
                <w:szCs w:val="13"/>
                <w:u w:val="single"/>
              </w:rPr>
            </w:pPr>
          </w:p>
        </w:tc>
        <w:tc>
          <w:tcPr>
            <w:tcW w:w="450" w:type="dxa"/>
            <w:shd w:val="clear" w:color="auto" w:fill="FABF8F"/>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10/12</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AO, ST</w:t>
            </w: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tcPr>
          <w:p w:rsidR="00A92422" w:rsidRPr="00D87B79" w:rsidRDefault="00A92422" w:rsidP="00EA30FC">
            <w:pPr>
              <w:pStyle w:val="Heading2"/>
              <w:ind w:left="0"/>
              <w:rPr>
                <w:rFonts w:ascii="Tahoma" w:hAnsi="Tahoma" w:cs="Tahoma"/>
                <w:b w:val="0"/>
                <w:sz w:val="14"/>
              </w:rPr>
            </w:pPr>
            <w:bookmarkStart w:id="228" w:name="_Toc336337946"/>
            <w:bookmarkStart w:id="229" w:name="_Toc342900013"/>
            <w:bookmarkEnd w:id="228"/>
            <w:r w:rsidRPr="00D87B79">
              <w:rPr>
                <w:rFonts w:ascii="Tahoma" w:hAnsi="Tahoma" w:cs="Tahoma"/>
                <w:b w:val="0"/>
                <w:sz w:val="14"/>
                <w:lang w:val="it-IT"/>
              </w:rPr>
              <w:t>Archiviazione Exchange Online</w:t>
            </w:r>
            <w:bookmarkEnd w:id="229"/>
          </w:p>
        </w:tc>
        <w:tc>
          <w:tcPr>
            <w:tcW w:w="450" w:type="dxa"/>
            <w:vAlign w:val="center"/>
          </w:tcPr>
          <w:p w:rsidR="00A92422" w:rsidRPr="001E1017" w:rsidRDefault="00A92422" w:rsidP="00EA30FC">
            <w:pPr>
              <w:pStyle w:val="TableText"/>
              <w:widowControl w:val="0"/>
              <w:rPr>
                <w:rFonts w:cs="Tahoma"/>
                <w:b/>
                <w:color w:val="0000FF"/>
                <w:sz w:val="13"/>
                <w:szCs w:val="13"/>
                <w:u w:val="single"/>
              </w:rPr>
            </w:pPr>
            <w:hyperlink w:anchor="_42_Archiviazione_Exchange" w:history="1">
              <w:r w:rsidRPr="001E1017">
                <w:rPr>
                  <w:rStyle w:val="Hyperlink"/>
                  <w:rFonts w:cs="Tahoma"/>
                  <w:b/>
                  <w:sz w:val="13"/>
                  <w:szCs w:val="13"/>
                </w:rPr>
                <w:t>42</w:t>
              </w:r>
            </w:hyperlink>
          </w:p>
        </w:tc>
        <w:tc>
          <w:tcPr>
            <w:tcW w:w="450" w:type="dxa"/>
          </w:tcPr>
          <w:p w:rsidR="00A92422" w:rsidRPr="00D87B79" w:rsidDel="00876599" w:rsidRDefault="00A92422" w:rsidP="00EA30FC">
            <w:pPr>
              <w:pStyle w:val="TableText"/>
              <w:widowControl w:val="0"/>
              <w:spacing w:before="80"/>
              <w:rPr>
                <w:rFonts w:ascii="Tahoma" w:hAnsi="Tahoma" w:cs="Tahoma"/>
                <w:sz w:val="13"/>
              </w:rPr>
            </w:pPr>
            <w:r w:rsidRPr="00D87B79">
              <w:rPr>
                <w:rFonts w:ascii="Tahoma" w:hAnsi="Tahoma" w:cs="Tahoma"/>
                <w:sz w:val="13"/>
              </w:rPr>
              <w:t>06/11</w:t>
            </w:r>
          </w:p>
        </w:tc>
        <w:tc>
          <w:tcPr>
            <w:tcW w:w="360"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450" w:type="dxa"/>
            <w:vAlign w:val="center"/>
          </w:tcPr>
          <w:p w:rsidR="00A92422" w:rsidRPr="00D87B79" w:rsidRDefault="00A92422" w:rsidP="00EA30FC">
            <w:pPr>
              <w:pStyle w:val="TableText"/>
              <w:widowControl w:val="0"/>
              <w:rPr>
                <w:rFonts w:ascii="Tahoma" w:hAnsi="Tahoma" w:cs="Tahoma"/>
                <w:sz w:val="13"/>
              </w:rPr>
            </w:pPr>
          </w:p>
        </w:tc>
        <w:tc>
          <w:tcPr>
            <w:tcW w:w="450" w:type="dxa"/>
            <w:vAlign w:val="center"/>
          </w:tcPr>
          <w:p w:rsidR="00A92422" w:rsidRPr="00D87B79" w:rsidRDefault="00A92422" w:rsidP="00EA30FC">
            <w:pPr>
              <w:pStyle w:val="TableText"/>
              <w:widowControl w:val="0"/>
              <w:rPr>
                <w:rFonts w:ascii="Tahoma" w:hAnsi="Tahoma" w:cs="Tahoma"/>
                <w:sz w:val="13"/>
              </w:rPr>
            </w:pPr>
          </w:p>
        </w:tc>
        <w:tc>
          <w:tcPr>
            <w:tcW w:w="450" w:type="dxa"/>
            <w:vAlign w:val="center"/>
          </w:tcPr>
          <w:p w:rsidR="00A92422" w:rsidRPr="00D87B79" w:rsidRDefault="00A92422" w:rsidP="00EA30FC">
            <w:pPr>
              <w:pStyle w:val="TableText"/>
              <w:widowControl w:val="0"/>
              <w:rPr>
                <w:rFonts w:ascii="Tahoma" w:hAnsi="Tahoma" w:cs="Tahoma"/>
                <w:sz w:val="13"/>
              </w:rPr>
            </w:pPr>
          </w:p>
        </w:tc>
        <w:tc>
          <w:tcPr>
            <w:tcW w:w="450" w:type="dxa"/>
            <w:vAlign w:val="center"/>
          </w:tcPr>
          <w:p w:rsidR="00A92422" w:rsidRPr="00D87B79" w:rsidRDefault="00A92422" w:rsidP="00EA30FC">
            <w:pPr>
              <w:pStyle w:val="TableText"/>
              <w:widowControl w:val="0"/>
              <w:rPr>
                <w:rFonts w:ascii="Tahoma" w:hAnsi="Tahoma" w:cs="Tahoma"/>
                <w:sz w:val="13"/>
              </w:rPr>
            </w:pPr>
          </w:p>
        </w:tc>
        <w:tc>
          <w:tcPr>
            <w:tcW w:w="450" w:type="dxa"/>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450" w:type="dxa"/>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504" w:type="dxa"/>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 ST</w:t>
            </w:r>
          </w:p>
        </w:tc>
        <w:tc>
          <w:tcPr>
            <w:tcW w:w="486" w:type="dxa"/>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ABF8F"/>
          </w:tcPr>
          <w:p w:rsidR="00A92422" w:rsidRPr="00D87B79" w:rsidRDefault="00A92422" w:rsidP="00EA30FC">
            <w:pPr>
              <w:pStyle w:val="Heading3"/>
              <w:rPr>
                <w:rFonts w:ascii="Tahoma" w:hAnsi="Tahoma" w:cs="Tahoma"/>
                <w:b w:val="0"/>
              </w:rPr>
            </w:pPr>
            <w:bookmarkStart w:id="230" w:name="_Toc336337947"/>
            <w:bookmarkStart w:id="231" w:name="_Toc342900014"/>
            <w:bookmarkEnd w:id="230"/>
            <w:r w:rsidRPr="00D87B79">
              <w:rPr>
                <w:rFonts w:ascii="Tahoma" w:hAnsi="Tahoma" w:cs="Tahoma"/>
                <w:b w:val="0"/>
                <w:sz w:val="14"/>
                <w:lang w:val="it-IT"/>
              </w:rPr>
              <w:t>Archiviazione Exchange Online per Exchange Server A (SL per Utente)</w:t>
            </w:r>
            <w:bookmarkEnd w:id="231"/>
          </w:p>
        </w:tc>
        <w:tc>
          <w:tcPr>
            <w:tcW w:w="450" w:type="dxa"/>
            <w:shd w:val="clear" w:color="auto" w:fill="FABF8F"/>
            <w:vAlign w:val="center"/>
          </w:tcPr>
          <w:p w:rsidR="00A92422" w:rsidRPr="001E1017" w:rsidRDefault="00A92422" w:rsidP="00EA30FC">
            <w:pPr>
              <w:pStyle w:val="TableText"/>
              <w:widowControl w:val="0"/>
              <w:rPr>
                <w:rFonts w:cs="Tahoma"/>
                <w:b/>
                <w:color w:val="000000"/>
                <w:sz w:val="13"/>
                <w:szCs w:val="13"/>
                <w:u w:val="single"/>
              </w:rPr>
            </w:pPr>
          </w:p>
        </w:tc>
        <w:tc>
          <w:tcPr>
            <w:tcW w:w="450" w:type="dxa"/>
            <w:shd w:val="clear" w:color="auto" w:fill="FABF8F"/>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06/12</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lang w:val="it-IT"/>
              </w:rPr>
              <w:t>A</w:t>
            </w: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auto"/>
          </w:tcPr>
          <w:p w:rsidR="00A92422" w:rsidRPr="00D87B79" w:rsidRDefault="00A92422" w:rsidP="00EA30FC">
            <w:pPr>
              <w:pStyle w:val="ProductNames"/>
              <w:rPr>
                <w:rFonts w:ascii="Tahoma" w:hAnsi="Tahoma" w:cs="Tahoma"/>
                <w:sz w:val="14"/>
              </w:rPr>
            </w:pPr>
            <w:bookmarkStart w:id="232" w:name="_Toc336337948"/>
            <w:bookmarkStart w:id="233" w:name="_Toc342900015"/>
            <w:bookmarkEnd w:id="232"/>
            <w:r w:rsidRPr="00D87B79">
              <w:rPr>
                <w:rFonts w:ascii="Tahoma" w:hAnsi="Tahoma" w:cs="Tahoma"/>
                <w:sz w:val="14"/>
                <w:lang w:val="it-IT"/>
              </w:rPr>
              <w:t>Exchange Hosted Archive (SL per Utente)</w:t>
            </w:r>
            <w:bookmarkEnd w:id="233"/>
          </w:p>
        </w:tc>
        <w:tc>
          <w:tcPr>
            <w:tcW w:w="450" w:type="dxa"/>
            <w:shd w:val="clear" w:color="auto" w:fill="auto"/>
            <w:vAlign w:val="center"/>
          </w:tcPr>
          <w:p w:rsidR="00A92422" w:rsidRPr="001E1017" w:rsidRDefault="00A92422" w:rsidP="00EA30FC">
            <w:pPr>
              <w:pStyle w:val="TableText"/>
              <w:widowControl w:val="0"/>
              <w:rPr>
                <w:rFonts w:cs="Tahoma"/>
                <w:b/>
                <w:color w:val="000000"/>
                <w:sz w:val="13"/>
                <w:szCs w:val="13"/>
                <w:u w:val="single"/>
              </w:rPr>
            </w:pPr>
            <w:hyperlink w:anchor="_43_Exchange_Hosted" w:history="1">
              <w:r w:rsidRPr="001E1017">
                <w:rPr>
                  <w:rStyle w:val="Hyperlink"/>
                  <w:rFonts w:cs="Tahoma"/>
                  <w:b/>
                  <w:sz w:val="13"/>
                  <w:szCs w:val="13"/>
                </w:rPr>
                <w:t>43</w:t>
              </w:r>
            </w:hyperlink>
          </w:p>
        </w:tc>
        <w:tc>
          <w:tcPr>
            <w:tcW w:w="450" w:type="dxa"/>
            <w:shd w:val="clear" w:color="auto" w:fill="auto"/>
          </w:tcPr>
          <w:p w:rsidR="00A92422" w:rsidRPr="00D87B79" w:rsidRDefault="00A92422" w:rsidP="00EA30FC">
            <w:pPr>
              <w:pStyle w:val="TableText"/>
              <w:widowControl w:val="0"/>
              <w:spacing w:before="80"/>
              <w:rPr>
                <w:rFonts w:ascii="Tahoma" w:hAnsi="Tahoma" w:cs="Tahoma"/>
                <w:sz w:val="13"/>
              </w:rPr>
            </w:pPr>
          </w:p>
        </w:tc>
        <w:tc>
          <w:tcPr>
            <w:tcW w:w="36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auto"/>
          </w:tcPr>
          <w:p w:rsidR="00A92422" w:rsidRPr="00D87B79" w:rsidRDefault="00A92422" w:rsidP="00EA30FC">
            <w:pPr>
              <w:pStyle w:val="TableText"/>
              <w:widowControl w:val="0"/>
              <w:rPr>
                <w:rFonts w:ascii="Tahoma" w:hAnsi="Tahoma" w:cs="Tahoma"/>
                <w:sz w:val="13"/>
              </w:rPr>
            </w:pPr>
          </w:p>
        </w:tc>
        <w:tc>
          <w:tcPr>
            <w:tcW w:w="486" w:type="dxa"/>
            <w:shd w:val="clear" w:color="auto" w:fill="auto"/>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ABF8F"/>
          </w:tcPr>
          <w:p w:rsidR="00A92422" w:rsidRPr="00D87B79" w:rsidRDefault="00A92422" w:rsidP="00EA30FC">
            <w:pPr>
              <w:pStyle w:val="ProductNames"/>
              <w:rPr>
                <w:rFonts w:ascii="Tahoma" w:hAnsi="Tahoma" w:cs="Tahoma"/>
                <w:sz w:val="14"/>
              </w:rPr>
            </w:pPr>
            <w:bookmarkStart w:id="234" w:name="_Toc336337949"/>
            <w:bookmarkStart w:id="235" w:name="_Toc342900016"/>
            <w:bookmarkEnd w:id="234"/>
            <w:r w:rsidRPr="00D87B79">
              <w:rPr>
                <w:rFonts w:ascii="Tahoma" w:hAnsi="Tahoma" w:cs="Tahoma"/>
                <w:sz w:val="14"/>
                <w:lang w:val="it-IT"/>
              </w:rPr>
              <w:t>Exchange Hosted Archive Extra Storage (SL per Utente)</w:t>
            </w:r>
            <w:bookmarkEnd w:id="235"/>
          </w:p>
        </w:tc>
        <w:tc>
          <w:tcPr>
            <w:tcW w:w="450" w:type="dxa"/>
            <w:shd w:val="clear" w:color="auto" w:fill="FABF8F"/>
            <w:vAlign w:val="center"/>
          </w:tcPr>
          <w:p w:rsidR="00A92422" w:rsidRPr="001E1017" w:rsidRDefault="00A92422" w:rsidP="00EA30FC">
            <w:pPr>
              <w:pStyle w:val="TableText"/>
              <w:widowControl w:val="0"/>
              <w:rPr>
                <w:rFonts w:cs="Tahoma"/>
                <w:b/>
                <w:color w:val="000000"/>
                <w:sz w:val="13"/>
                <w:szCs w:val="13"/>
                <w:u w:val="single"/>
              </w:rPr>
            </w:pPr>
            <w:hyperlink w:anchor="_43_Exchange_Hosted" w:history="1">
              <w:r w:rsidRPr="001E1017">
                <w:rPr>
                  <w:rStyle w:val="Hyperlink"/>
                  <w:rFonts w:cs="Tahoma"/>
                  <w:b/>
                  <w:sz w:val="13"/>
                  <w:szCs w:val="13"/>
                </w:rPr>
                <w:t>43</w:t>
              </w:r>
            </w:hyperlink>
          </w:p>
        </w:tc>
        <w:tc>
          <w:tcPr>
            <w:tcW w:w="450" w:type="dxa"/>
            <w:shd w:val="clear" w:color="auto" w:fill="FABF8F"/>
          </w:tcPr>
          <w:p w:rsidR="00A92422" w:rsidRPr="00D87B79" w:rsidRDefault="00A92422" w:rsidP="00EA30FC">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tcPr>
          <w:p w:rsidR="00A92422" w:rsidRPr="00D87B79" w:rsidRDefault="00A92422" w:rsidP="00EA30FC">
            <w:pPr>
              <w:pStyle w:val="TableText"/>
              <w:widowControl w:val="0"/>
              <w:rPr>
                <w:rFonts w:ascii="Tahoma" w:hAnsi="Tahoma" w:cs="Tahoma"/>
                <w:sz w:val="13"/>
              </w:rPr>
            </w:pP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auto"/>
          </w:tcPr>
          <w:p w:rsidR="00A92422" w:rsidRPr="00D87B79" w:rsidRDefault="00A92422" w:rsidP="00EA30FC">
            <w:pPr>
              <w:pStyle w:val="ProductNames"/>
              <w:rPr>
                <w:rFonts w:ascii="Tahoma" w:hAnsi="Tahoma" w:cs="Tahoma"/>
                <w:sz w:val="14"/>
              </w:rPr>
            </w:pPr>
            <w:bookmarkStart w:id="236" w:name="_Toc336337950"/>
            <w:bookmarkStart w:id="237" w:name="_Toc342900017"/>
            <w:bookmarkEnd w:id="236"/>
            <w:r w:rsidRPr="00D87B79">
              <w:rPr>
                <w:rFonts w:ascii="Tahoma" w:hAnsi="Tahoma" w:cs="Tahoma"/>
                <w:sz w:val="14"/>
                <w:lang w:val="it-IT"/>
              </w:rPr>
              <w:t xml:space="preserve">Exchange Hosted Encryption </w:t>
            </w:r>
            <w:r>
              <w:rPr>
                <w:rFonts w:ascii="Tahoma" w:hAnsi="Tahoma" w:cs="Tahoma"/>
                <w:sz w:val="14"/>
                <w:lang w:val="it-IT"/>
              </w:rPr>
              <w:br/>
            </w:r>
            <w:r w:rsidRPr="00D87B79">
              <w:rPr>
                <w:rFonts w:ascii="Tahoma" w:hAnsi="Tahoma" w:cs="Tahoma"/>
                <w:sz w:val="14"/>
                <w:lang w:val="it-IT"/>
              </w:rPr>
              <w:t>(SL per Utente)</w:t>
            </w:r>
            <w:bookmarkEnd w:id="237"/>
          </w:p>
        </w:tc>
        <w:tc>
          <w:tcPr>
            <w:tcW w:w="450" w:type="dxa"/>
            <w:shd w:val="clear" w:color="auto" w:fill="auto"/>
            <w:vAlign w:val="center"/>
          </w:tcPr>
          <w:p w:rsidR="00A92422" w:rsidRPr="001E1017" w:rsidRDefault="00A92422" w:rsidP="00EA30FC">
            <w:pPr>
              <w:pStyle w:val="TableText"/>
              <w:widowControl w:val="0"/>
              <w:rPr>
                <w:rStyle w:val="EndnoteReference"/>
                <w:rFonts w:cs="Tahoma"/>
                <w:color w:val="000000"/>
                <w:sz w:val="13"/>
                <w:szCs w:val="13"/>
                <w:u w:val="single"/>
              </w:rPr>
            </w:pPr>
            <w:hyperlink w:anchor="_44_Exchange_Hosted" w:history="1">
              <w:r w:rsidRPr="001E1017">
                <w:rPr>
                  <w:rStyle w:val="Hyperlink"/>
                  <w:rFonts w:cs="Tahoma"/>
                  <w:b/>
                  <w:sz w:val="13"/>
                  <w:szCs w:val="13"/>
                </w:rPr>
                <w:t>44</w:t>
              </w:r>
            </w:hyperlink>
          </w:p>
        </w:tc>
        <w:tc>
          <w:tcPr>
            <w:tcW w:w="450" w:type="dxa"/>
            <w:shd w:val="clear" w:color="auto" w:fill="auto"/>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04/06</w:t>
            </w:r>
          </w:p>
        </w:tc>
        <w:tc>
          <w:tcPr>
            <w:tcW w:w="36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1 punto</w:t>
            </w:r>
          </w:p>
        </w:tc>
        <w:tc>
          <w:tcPr>
            <w:tcW w:w="45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auto"/>
          </w:tcPr>
          <w:p w:rsidR="00A92422" w:rsidRPr="00D87B79" w:rsidRDefault="00A92422" w:rsidP="00EA30FC">
            <w:pPr>
              <w:pStyle w:val="TableText"/>
              <w:widowControl w:val="0"/>
              <w:rPr>
                <w:rFonts w:ascii="Tahoma" w:hAnsi="Tahoma" w:cs="Tahoma"/>
                <w:sz w:val="13"/>
              </w:rPr>
            </w:pPr>
          </w:p>
        </w:tc>
        <w:tc>
          <w:tcPr>
            <w:tcW w:w="486" w:type="dxa"/>
            <w:shd w:val="clear" w:color="auto" w:fill="auto"/>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ABF8F"/>
          </w:tcPr>
          <w:p w:rsidR="00A92422" w:rsidRPr="00D87B79" w:rsidRDefault="00A92422" w:rsidP="00EA30FC">
            <w:pPr>
              <w:pStyle w:val="Heading2"/>
              <w:ind w:left="0"/>
              <w:rPr>
                <w:rFonts w:ascii="Tahoma" w:hAnsi="Tahoma" w:cs="Tahoma"/>
                <w:b w:val="0"/>
                <w:sz w:val="14"/>
              </w:rPr>
            </w:pPr>
            <w:bookmarkStart w:id="238" w:name="_Toc336337951"/>
            <w:bookmarkStart w:id="239" w:name="_Toc342900018"/>
            <w:bookmarkEnd w:id="238"/>
            <w:r w:rsidRPr="00D87B79">
              <w:rPr>
                <w:rFonts w:ascii="Tahoma" w:hAnsi="Tahoma" w:cs="Tahoma"/>
                <w:b w:val="0"/>
                <w:sz w:val="14"/>
                <w:lang w:val="it-IT"/>
              </w:rPr>
              <w:t>Chiosco Exchange Online (SL per Utente)</w:t>
            </w:r>
            <w:bookmarkEnd w:id="239"/>
          </w:p>
        </w:tc>
        <w:tc>
          <w:tcPr>
            <w:tcW w:w="450" w:type="dxa"/>
            <w:shd w:val="clear" w:color="auto" w:fill="FABF8F"/>
            <w:vAlign w:val="center"/>
          </w:tcPr>
          <w:p w:rsidR="00A92422" w:rsidRPr="001E1017" w:rsidRDefault="00A92422" w:rsidP="00EA30FC">
            <w:pPr>
              <w:pStyle w:val="TableText"/>
              <w:widowControl w:val="0"/>
              <w:rPr>
                <w:rStyle w:val="EndnoteReference"/>
                <w:rFonts w:cs="Tahoma"/>
                <w:color w:val="000000"/>
                <w:sz w:val="13"/>
                <w:szCs w:val="13"/>
                <w:u w:val="single"/>
              </w:rPr>
            </w:pPr>
            <w:hyperlink w:anchor="_45_Chiosco_Exchange" w:history="1">
              <w:r w:rsidRPr="001E1017">
                <w:rPr>
                  <w:rStyle w:val="Hyperlink"/>
                  <w:rFonts w:cs="Tahoma"/>
                  <w:b/>
                  <w:sz w:val="13"/>
                  <w:szCs w:val="13"/>
                </w:rPr>
                <w:t>45</w:t>
              </w:r>
            </w:hyperlink>
          </w:p>
        </w:tc>
        <w:tc>
          <w:tcPr>
            <w:tcW w:w="450" w:type="dxa"/>
            <w:shd w:val="clear" w:color="auto" w:fill="FABF8F"/>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06/11</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 xml:space="preserve"> </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395"/>
        </w:trPr>
        <w:tc>
          <w:tcPr>
            <w:tcW w:w="2714" w:type="dxa"/>
            <w:shd w:val="clear" w:color="auto" w:fill="auto"/>
          </w:tcPr>
          <w:p w:rsidR="00A92422" w:rsidRPr="00D87B79" w:rsidRDefault="00A92422" w:rsidP="00EA30FC">
            <w:pPr>
              <w:pStyle w:val="Heading2"/>
              <w:ind w:left="0"/>
              <w:rPr>
                <w:rFonts w:ascii="Tahoma" w:hAnsi="Tahoma" w:cs="Tahoma"/>
                <w:b w:val="0"/>
                <w:sz w:val="14"/>
              </w:rPr>
            </w:pPr>
            <w:bookmarkStart w:id="240" w:name="_Toc336337952"/>
            <w:bookmarkStart w:id="241" w:name="_Toc342900019"/>
            <w:bookmarkEnd w:id="240"/>
            <w:r w:rsidRPr="00D87B79">
              <w:rPr>
                <w:rFonts w:ascii="Tahoma" w:hAnsi="Tahoma" w:cs="Tahoma"/>
                <w:b w:val="0"/>
                <w:sz w:val="14"/>
                <w:lang w:val="it-IT"/>
              </w:rPr>
              <w:t>Exchange Online Piano 1 (SL per Utente)</w:t>
            </w:r>
            <w:bookmarkEnd w:id="241"/>
          </w:p>
        </w:tc>
        <w:tc>
          <w:tcPr>
            <w:tcW w:w="450" w:type="dxa"/>
            <w:shd w:val="clear" w:color="auto" w:fill="auto"/>
            <w:vAlign w:val="center"/>
          </w:tcPr>
          <w:p w:rsidR="00A92422" w:rsidRPr="001E1017" w:rsidRDefault="00A92422" w:rsidP="00EA30FC">
            <w:pPr>
              <w:pStyle w:val="TableText"/>
              <w:widowControl w:val="0"/>
              <w:rPr>
                <w:rStyle w:val="EndnoteReference"/>
                <w:rFonts w:cs="Tahoma"/>
                <w:color w:val="0000FF"/>
                <w:sz w:val="13"/>
                <w:szCs w:val="13"/>
                <w:u w:val="single"/>
              </w:rPr>
            </w:pPr>
            <w:hyperlink w:anchor="_46_Exchange_Online" w:history="1">
              <w:r w:rsidRPr="001E1017">
                <w:rPr>
                  <w:rStyle w:val="Hyperlink"/>
                  <w:rFonts w:cs="Tahoma"/>
                  <w:b/>
                  <w:sz w:val="13"/>
                  <w:szCs w:val="13"/>
                </w:rPr>
                <w:t>46</w:t>
              </w:r>
            </w:hyperlink>
          </w:p>
        </w:tc>
        <w:tc>
          <w:tcPr>
            <w:tcW w:w="450" w:type="dxa"/>
            <w:shd w:val="clear" w:color="auto" w:fill="auto"/>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06/11</w:t>
            </w:r>
          </w:p>
        </w:tc>
        <w:tc>
          <w:tcPr>
            <w:tcW w:w="36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 (Solo EES), ST</w:t>
            </w:r>
          </w:p>
        </w:tc>
        <w:tc>
          <w:tcPr>
            <w:tcW w:w="486" w:type="dxa"/>
            <w:shd w:val="clear" w:color="auto" w:fill="auto"/>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ABF8F"/>
          </w:tcPr>
          <w:p w:rsidR="00A92422" w:rsidRPr="00D87B79" w:rsidRDefault="00A92422" w:rsidP="00EA30FC">
            <w:pPr>
              <w:pStyle w:val="Heading2"/>
              <w:ind w:left="0"/>
              <w:rPr>
                <w:rFonts w:ascii="Tahoma" w:hAnsi="Tahoma" w:cs="Tahoma"/>
                <w:b w:val="0"/>
                <w:sz w:val="14"/>
              </w:rPr>
            </w:pPr>
            <w:bookmarkStart w:id="242" w:name="_Toc336337953"/>
            <w:bookmarkStart w:id="243" w:name="_Toc342900020"/>
            <w:bookmarkEnd w:id="242"/>
            <w:r w:rsidRPr="00D87B79">
              <w:rPr>
                <w:rFonts w:ascii="Tahoma" w:hAnsi="Tahoma" w:cs="Tahoma"/>
                <w:b w:val="0"/>
                <w:sz w:val="14"/>
                <w:lang w:val="it-IT"/>
              </w:rPr>
              <w:t>Exchange Online Piano 2 (SL per Utente)</w:t>
            </w:r>
            <w:bookmarkEnd w:id="243"/>
          </w:p>
        </w:tc>
        <w:bookmarkStart w:id="244" w:name="_Hlt336251028"/>
        <w:bookmarkEnd w:id="244"/>
        <w:tc>
          <w:tcPr>
            <w:tcW w:w="450" w:type="dxa"/>
            <w:shd w:val="clear" w:color="auto" w:fill="FABF8F"/>
            <w:vAlign w:val="center"/>
          </w:tcPr>
          <w:p w:rsidR="00A92422" w:rsidRPr="001E1017" w:rsidRDefault="00A92422" w:rsidP="00EA30FC">
            <w:pPr>
              <w:pStyle w:val="TableText"/>
              <w:widowControl w:val="0"/>
              <w:rPr>
                <w:rStyle w:val="EndnoteReference"/>
                <w:rFonts w:cs="Tahoma"/>
                <w:color w:val="000000"/>
                <w:sz w:val="13"/>
                <w:szCs w:val="13"/>
                <w:u w:val="single"/>
              </w:rPr>
            </w:pPr>
            <w:r w:rsidRPr="001E1017">
              <w:rPr>
                <w:rFonts w:cs="Tahoma"/>
                <w:sz w:val="13"/>
                <w:szCs w:val="13"/>
              </w:rPr>
              <w:fldChar w:fldCharType="begin"/>
            </w:r>
            <w:r w:rsidRPr="001E1017">
              <w:rPr>
                <w:rFonts w:cs="Tahoma"/>
                <w:sz w:val="13"/>
                <w:szCs w:val="13"/>
              </w:rPr>
              <w:instrText>HYPERLINK  \l "_47_Exchange_Online"</w:instrText>
            </w:r>
            <w:r w:rsidRPr="001E1017">
              <w:rPr>
                <w:rFonts w:cs="Tahoma"/>
                <w:sz w:val="13"/>
                <w:szCs w:val="13"/>
              </w:rPr>
              <w:fldChar w:fldCharType="separate"/>
            </w:r>
            <w:r w:rsidRPr="001E1017">
              <w:rPr>
                <w:rStyle w:val="Hyperlink"/>
                <w:rFonts w:cs="Tahoma"/>
                <w:b/>
                <w:sz w:val="13"/>
                <w:szCs w:val="13"/>
              </w:rPr>
              <w:t>47</w:t>
            </w:r>
            <w:r w:rsidRPr="001E1017">
              <w:rPr>
                <w:rFonts w:cs="Tahoma"/>
                <w:sz w:val="13"/>
                <w:szCs w:val="13"/>
              </w:rPr>
              <w:fldChar w:fldCharType="end"/>
            </w:r>
          </w:p>
        </w:tc>
        <w:tc>
          <w:tcPr>
            <w:tcW w:w="450" w:type="dxa"/>
            <w:shd w:val="clear" w:color="auto" w:fill="FABF8F"/>
          </w:tcPr>
          <w:p w:rsidR="00A92422" w:rsidRPr="00D87B79" w:rsidRDefault="00A92422" w:rsidP="00EA30FC">
            <w:pPr>
              <w:pStyle w:val="TableText"/>
              <w:widowControl w:val="0"/>
              <w:spacing w:before="80"/>
              <w:jc w:val="left"/>
              <w:rPr>
                <w:rFonts w:ascii="Tahoma" w:hAnsi="Tahoma" w:cs="Tahoma"/>
                <w:sz w:val="13"/>
              </w:rPr>
            </w:pPr>
            <w:r w:rsidRPr="00D87B79">
              <w:rPr>
                <w:rFonts w:ascii="Tahoma" w:hAnsi="Tahoma" w:cs="Tahoma"/>
                <w:sz w:val="13"/>
              </w:rPr>
              <w:t>06/11</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 (Solo EES), ST</w:t>
            </w: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auto"/>
          </w:tcPr>
          <w:p w:rsidR="00A92422" w:rsidRPr="00D87B79" w:rsidRDefault="00A92422" w:rsidP="00EA30FC">
            <w:pPr>
              <w:pStyle w:val="Heading3"/>
              <w:rPr>
                <w:rFonts w:ascii="Tahoma" w:hAnsi="Tahoma" w:cs="Tahoma"/>
                <w:b w:val="0"/>
                <w:sz w:val="14"/>
              </w:rPr>
            </w:pPr>
            <w:bookmarkStart w:id="245" w:name="_Toc336337954"/>
            <w:bookmarkStart w:id="246" w:name="_Toc342900021"/>
            <w:bookmarkEnd w:id="245"/>
            <w:r w:rsidRPr="00D87B79">
              <w:rPr>
                <w:rFonts w:ascii="Tahoma" w:hAnsi="Tahoma" w:cs="Tahoma"/>
                <w:b w:val="0"/>
                <w:sz w:val="14"/>
                <w:lang w:val="it-IT"/>
              </w:rPr>
              <w:t>Exchange Online Piano 1A per Ex Allievi (SL per Utente)</w:t>
            </w:r>
            <w:bookmarkEnd w:id="246"/>
          </w:p>
        </w:tc>
        <w:tc>
          <w:tcPr>
            <w:tcW w:w="450" w:type="dxa"/>
            <w:shd w:val="clear" w:color="auto" w:fill="auto"/>
            <w:vAlign w:val="center"/>
          </w:tcPr>
          <w:p w:rsidR="00A92422" w:rsidRPr="001E1017" w:rsidRDefault="00A92422" w:rsidP="00EA30FC">
            <w:pPr>
              <w:pStyle w:val="TableText"/>
              <w:widowControl w:val="0"/>
              <w:rPr>
                <w:rFonts w:cs="Tahoma"/>
                <w:b/>
                <w:color w:val="000000"/>
                <w:sz w:val="13"/>
                <w:szCs w:val="13"/>
                <w:u w:val="single"/>
              </w:rPr>
            </w:pPr>
          </w:p>
        </w:tc>
        <w:tc>
          <w:tcPr>
            <w:tcW w:w="450" w:type="dxa"/>
            <w:shd w:val="clear" w:color="auto" w:fill="auto"/>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06/12</w:t>
            </w:r>
          </w:p>
        </w:tc>
        <w:tc>
          <w:tcPr>
            <w:tcW w:w="36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86" w:type="dxa"/>
            <w:shd w:val="clear" w:color="auto" w:fill="auto"/>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ABF8F"/>
          </w:tcPr>
          <w:p w:rsidR="00A92422" w:rsidRPr="00D87B79" w:rsidRDefault="00A92422" w:rsidP="00EA30FC">
            <w:pPr>
              <w:pStyle w:val="Heading3"/>
              <w:rPr>
                <w:rFonts w:ascii="Tahoma" w:hAnsi="Tahoma" w:cs="Tahoma"/>
                <w:b w:val="0"/>
                <w:sz w:val="14"/>
              </w:rPr>
            </w:pPr>
            <w:bookmarkStart w:id="247" w:name="_Toc336337955"/>
            <w:bookmarkStart w:id="248" w:name="_Toc342900022"/>
            <w:bookmarkEnd w:id="247"/>
            <w:r w:rsidRPr="00D87B79">
              <w:rPr>
                <w:rFonts w:ascii="Tahoma" w:hAnsi="Tahoma" w:cs="Tahoma"/>
                <w:b w:val="0"/>
                <w:sz w:val="14"/>
                <w:lang w:val="it-IT"/>
              </w:rPr>
              <w:t>Exchange Online Piano 2A (SL per Utente)</w:t>
            </w:r>
            <w:bookmarkEnd w:id="248"/>
          </w:p>
        </w:tc>
        <w:tc>
          <w:tcPr>
            <w:tcW w:w="450" w:type="dxa"/>
            <w:shd w:val="clear" w:color="auto" w:fill="FABF8F"/>
            <w:vAlign w:val="center"/>
          </w:tcPr>
          <w:p w:rsidR="00A92422" w:rsidRPr="001E1017" w:rsidRDefault="00A92422" w:rsidP="00EA30FC">
            <w:pPr>
              <w:pStyle w:val="TableText"/>
              <w:widowControl w:val="0"/>
              <w:rPr>
                <w:rFonts w:cs="Tahoma"/>
                <w:b/>
                <w:color w:val="000000"/>
                <w:sz w:val="13"/>
                <w:szCs w:val="13"/>
                <w:u w:val="single"/>
              </w:rPr>
            </w:pPr>
          </w:p>
        </w:tc>
        <w:tc>
          <w:tcPr>
            <w:tcW w:w="450" w:type="dxa"/>
            <w:shd w:val="clear" w:color="auto" w:fill="FABF8F"/>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06/12</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auto"/>
          </w:tcPr>
          <w:p w:rsidR="00A92422" w:rsidRPr="00D87B79" w:rsidRDefault="00A92422" w:rsidP="00EA30FC">
            <w:pPr>
              <w:pStyle w:val="ProductNames"/>
              <w:rPr>
                <w:rFonts w:ascii="Tahoma" w:hAnsi="Tahoma" w:cs="Tahoma"/>
                <w:sz w:val="14"/>
              </w:rPr>
            </w:pPr>
            <w:bookmarkStart w:id="249" w:name="_Toc336337958"/>
            <w:bookmarkStart w:id="250" w:name="_Toc342900023"/>
            <w:bookmarkEnd w:id="249"/>
            <w:r w:rsidRPr="00D87B79">
              <w:rPr>
                <w:rFonts w:ascii="Tahoma" w:hAnsi="Tahoma" w:cs="Tahoma"/>
                <w:sz w:val="14"/>
                <w:lang w:val="it-IT"/>
              </w:rPr>
              <w:t>Exchange Server Enterprise 2013</w:t>
            </w:r>
            <w:bookmarkEnd w:id="250"/>
          </w:p>
        </w:tc>
        <w:tc>
          <w:tcPr>
            <w:tcW w:w="450" w:type="dxa"/>
            <w:shd w:val="clear" w:color="auto" w:fill="auto"/>
            <w:vAlign w:val="center"/>
          </w:tcPr>
          <w:p w:rsidR="00A92422" w:rsidRPr="001E1017" w:rsidRDefault="00A92422" w:rsidP="00EA30FC">
            <w:pPr>
              <w:pStyle w:val="TableText"/>
              <w:widowControl w:val="0"/>
              <w:rPr>
                <w:rFonts w:cs="Tahoma"/>
                <w:b/>
                <w:color w:val="0000FF"/>
                <w:sz w:val="13"/>
                <w:szCs w:val="13"/>
                <w:u w:val="single"/>
              </w:rPr>
            </w:pPr>
            <w:hyperlink w:anchor="_48_Exchange_Server" w:history="1">
              <w:r w:rsidRPr="001E1017">
                <w:rPr>
                  <w:rStyle w:val="Hyperlink"/>
                  <w:rFonts w:cs="Tahoma"/>
                  <w:b/>
                  <w:sz w:val="13"/>
                  <w:szCs w:val="13"/>
                </w:rPr>
                <w:t>48</w:t>
              </w:r>
            </w:hyperlink>
          </w:p>
        </w:tc>
        <w:tc>
          <w:tcPr>
            <w:tcW w:w="450" w:type="dxa"/>
            <w:shd w:val="clear" w:color="auto" w:fill="auto"/>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10/12</w:t>
            </w:r>
          </w:p>
        </w:tc>
        <w:tc>
          <w:tcPr>
            <w:tcW w:w="36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125</w:t>
            </w: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100</w:t>
            </w: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75</w:t>
            </w: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75</w:t>
            </w: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36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25</w:t>
            </w:r>
          </w:p>
        </w:tc>
        <w:tc>
          <w:tcPr>
            <w:tcW w:w="45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100</w:t>
            </w:r>
          </w:p>
        </w:tc>
        <w:tc>
          <w:tcPr>
            <w:tcW w:w="45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45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45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auto"/>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86" w:type="dxa"/>
            <w:shd w:val="clear" w:color="auto" w:fill="auto"/>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ABF8F"/>
          </w:tcPr>
          <w:p w:rsidR="00A92422" w:rsidRPr="00D87B79" w:rsidRDefault="00A92422" w:rsidP="00EA30FC">
            <w:pPr>
              <w:pStyle w:val="ProductNames"/>
              <w:rPr>
                <w:rFonts w:ascii="Tahoma" w:hAnsi="Tahoma" w:cs="Tahoma"/>
                <w:sz w:val="14"/>
              </w:rPr>
            </w:pPr>
            <w:bookmarkStart w:id="251" w:name="_Toc336337959"/>
            <w:bookmarkStart w:id="252" w:name="_Toc342900024"/>
            <w:bookmarkEnd w:id="251"/>
            <w:r w:rsidRPr="00D87B79">
              <w:rPr>
                <w:rFonts w:ascii="Tahoma" w:hAnsi="Tahoma" w:cs="Tahoma"/>
                <w:sz w:val="14"/>
                <w:lang w:val="it-IT"/>
              </w:rPr>
              <w:t>Exchange Server Standard 2013</w:t>
            </w:r>
            <w:bookmarkEnd w:id="252"/>
          </w:p>
        </w:tc>
        <w:tc>
          <w:tcPr>
            <w:tcW w:w="450" w:type="dxa"/>
            <w:shd w:val="clear" w:color="auto" w:fill="FABF8F"/>
            <w:vAlign w:val="center"/>
          </w:tcPr>
          <w:p w:rsidR="00A92422" w:rsidRPr="001E1017" w:rsidRDefault="00A92422" w:rsidP="00EA30FC">
            <w:pPr>
              <w:pStyle w:val="TableText"/>
              <w:widowControl w:val="0"/>
              <w:rPr>
                <w:rFonts w:cs="Tahoma"/>
                <w:b/>
                <w:color w:val="0000FF"/>
                <w:sz w:val="13"/>
                <w:szCs w:val="13"/>
                <w:u w:val="single"/>
              </w:rPr>
            </w:pPr>
            <w:hyperlink w:anchor="_49_Exchange_Server" w:history="1">
              <w:r w:rsidRPr="001E1017">
                <w:rPr>
                  <w:rStyle w:val="Hyperlink"/>
                  <w:rFonts w:cs="Tahoma"/>
                  <w:b/>
                  <w:sz w:val="13"/>
                  <w:szCs w:val="13"/>
                </w:rPr>
                <w:t>48</w:t>
              </w:r>
            </w:hyperlink>
          </w:p>
        </w:tc>
        <w:tc>
          <w:tcPr>
            <w:tcW w:w="450" w:type="dxa"/>
            <w:shd w:val="clear" w:color="auto" w:fill="FABF8F"/>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10/12</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10</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25</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20</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15</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15</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10</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10</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20</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10</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10</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ABF8F"/>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auto"/>
          </w:tcPr>
          <w:p w:rsidR="00A92422" w:rsidRPr="00D87B79" w:rsidRDefault="00A92422" w:rsidP="00EA30FC">
            <w:pPr>
              <w:pStyle w:val="ProductNames"/>
              <w:rPr>
                <w:rFonts w:ascii="Tahoma" w:hAnsi="Tahoma" w:cs="Tahoma"/>
                <w:sz w:val="14"/>
              </w:rPr>
            </w:pPr>
            <w:bookmarkStart w:id="253" w:name="_Toc336337960"/>
            <w:bookmarkStart w:id="254" w:name="_Toc342900025"/>
            <w:bookmarkEnd w:id="253"/>
            <w:r w:rsidRPr="00D87B79">
              <w:rPr>
                <w:rFonts w:ascii="Tahoma" w:hAnsi="Tahoma" w:cs="Tahoma"/>
                <w:sz w:val="14"/>
                <w:lang w:val="it-IT"/>
              </w:rPr>
              <w:t>Exchange Server 2007 Standard for Small</w:t>
            </w:r>
            <w:r>
              <w:rPr>
                <w:rFonts w:ascii="Tahoma" w:hAnsi="Tahoma" w:cs="Tahoma"/>
                <w:sz w:val="14"/>
                <w:lang w:val="it-IT"/>
              </w:rPr>
              <w:t> </w:t>
            </w:r>
            <w:r w:rsidRPr="00D87B79">
              <w:rPr>
                <w:rFonts w:ascii="Tahoma" w:hAnsi="Tahoma" w:cs="Tahoma"/>
                <w:sz w:val="14"/>
                <w:lang w:val="it-IT"/>
              </w:rPr>
              <w:t>Business</w:t>
            </w:r>
            <w:bookmarkEnd w:id="254"/>
          </w:p>
        </w:tc>
        <w:tc>
          <w:tcPr>
            <w:tcW w:w="450" w:type="dxa"/>
            <w:shd w:val="clear" w:color="auto" w:fill="auto"/>
            <w:vAlign w:val="center"/>
          </w:tcPr>
          <w:p w:rsidR="00A92422" w:rsidRPr="001E1017" w:rsidRDefault="00A92422" w:rsidP="00EA30FC">
            <w:pPr>
              <w:pStyle w:val="TableText"/>
              <w:widowControl w:val="0"/>
              <w:rPr>
                <w:rStyle w:val="EndnoteReference"/>
                <w:rFonts w:cs="Tahoma"/>
                <w:color w:val="000000"/>
                <w:sz w:val="13"/>
                <w:szCs w:val="13"/>
                <w:u w:val="single"/>
              </w:rPr>
            </w:pPr>
          </w:p>
        </w:tc>
        <w:tc>
          <w:tcPr>
            <w:tcW w:w="450" w:type="dxa"/>
            <w:shd w:val="clear" w:color="auto" w:fill="auto"/>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rPr>
              <w:t>10/09</w:t>
            </w:r>
          </w:p>
        </w:tc>
        <w:tc>
          <w:tcPr>
            <w:tcW w:w="36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10</w:t>
            </w: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20</w:t>
            </w:r>
          </w:p>
        </w:tc>
        <w:tc>
          <w:tcPr>
            <w:tcW w:w="45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10</w:t>
            </w:r>
          </w:p>
        </w:tc>
        <w:tc>
          <w:tcPr>
            <w:tcW w:w="45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auto"/>
          </w:tcPr>
          <w:p w:rsidR="00A92422" w:rsidRPr="00D87B79" w:rsidRDefault="00A92422" w:rsidP="00EA30FC">
            <w:pPr>
              <w:pStyle w:val="TableText"/>
              <w:widowControl w:val="0"/>
              <w:rPr>
                <w:rFonts w:ascii="Tahoma" w:hAnsi="Tahoma" w:cs="Tahoma"/>
                <w:sz w:val="13"/>
              </w:rPr>
            </w:pPr>
          </w:p>
        </w:tc>
        <w:tc>
          <w:tcPr>
            <w:tcW w:w="486" w:type="dxa"/>
            <w:shd w:val="clear" w:color="auto" w:fill="auto"/>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ABF8F"/>
          </w:tcPr>
          <w:p w:rsidR="00A92422" w:rsidRPr="00D87B79" w:rsidRDefault="00A92422" w:rsidP="00EA30FC">
            <w:pPr>
              <w:pStyle w:val="ProductNames"/>
              <w:rPr>
                <w:rFonts w:ascii="Tahoma" w:hAnsi="Tahoma" w:cs="Tahoma"/>
                <w:sz w:val="14"/>
              </w:rPr>
            </w:pPr>
            <w:bookmarkStart w:id="255" w:name="_Toc336337961"/>
            <w:bookmarkStart w:id="256" w:name="_Toc342900026"/>
            <w:bookmarkEnd w:id="255"/>
            <w:r w:rsidRPr="00D87B79">
              <w:rPr>
                <w:rFonts w:ascii="Tahoma" w:hAnsi="Tahoma" w:cs="Tahoma"/>
                <w:sz w:val="14"/>
                <w:lang w:val="it-IT"/>
              </w:rPr>
              <w:t>CAL per Exchange Server 2007 Standard for Small Business</w:t>
            </w:r>
            <w:bookmarkEnd w:id="256"/>
          </w:p>
        </w:tc>
        <w:tc>
          <w:tcPr>
            <w:tcW w:w="450" w:type="dxa"/>
            <w:shd w:val="clear" w:color="auto" w:fill="FABF8F"/>
            <w:vAlign w:val="center"/>
          </w:tcPr>
          <w:p w:rsidR="00A92422" w:rsidRPr="001E1017" w:rsidRDefault="00A92422" w:rsidP="00EA30FC">
            <w:pPr>
              <w:pStyle w:val="TableText"/>
              <w:widowControl w:val="0"/>
              <w:rPr>
                <w:rStyle w:val="EndnoteReference"/>
                <w:rFonts w:cs="Tahoma"/>
                <w:color w:val="000000"/>
                <w:sz w:val="13"/>
                <w:szCs w:val="13"/>
                <w:u w:val="single"/>
              </w:rPr>
            </w:pPr>
          </w:p>
        </w:tc>
        <w:tc>
          <w:tcPr>
            <w:tcW w:w="450" w:type="dxa"/>
            <w:shd w:val="clear" w:color="auto" w:fill="FABF8F"/>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rPr>
              <w:t>11/09</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ABF8F"/>
          </w:tcPr>
          <w:p w:rsidR="00A92422" w:rsidRPr="00D87B79" w:rsidRDefault="00A92422" w:rsidP="00EA30FC">
            <w:pPr>
              <w:pStyle w:val="TableText"/>
              <w:widowControl w:val="0"/>
              <w:rPr>
                <w:rFonts w:ascii="Tahoma" w:hAnsi="Tahoma" w:cs="Tahoma"/>
                <w:sz w:val="13"/>
              </w:rPr>
            </w:pP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ABF8F"/>
          </w:tcPr>
          <w:p w:rsidR="00A92422" w:rsidRPr="00D87B79" w:rsidRDefault="00A92422" w:rsidP="00EA30FC">
            <w:pPr>
              <w:pStyle w:val="ProductNames"/>
              <w:rPr>
                <w:rFonts w:ascii="Tahoma" w:hAnsi="Tahoma" w:cs="Tahoma"/>
                <w:sz w:val="14"/>
              </w:rPr>
            </w:pPr>
            <w:bookmarkStart w:id="257" w:name="_Toc336337963"/>
            <w:bookmarkStart w:id="258" w:name="_Toc342900027"/>
            <w:bookmarkEnd w:id="257"/>
            <w:r w:rsidRPr="00D87B79">
              <w:rPr>
                <w:rFonts w:ascii="Tahoma" w:hAnsi="Tahoma" w:cs="Tahoma"/>
                <w:sz w:val="14"/>
                <w:lang w:val="it-IT"/>
              </w:rPr>
              <w:lastRenderedPageBreak/>
              <w:t>Exchange Server 2010 Standard CAL (Dispositivo e Utente)</w:t>
            </w:r>
            <w:bookmarkEnd w:id="258"/>
          </w:p>
        </w:tc>
        <w:tc>
          <w:tcPr>
            <w:tcW w:w="450" w:type="dxa"/>
            <w:shd w:val="clear" w:color="auto" w:fill="FABF8F"/>
            <w:vAlign w:val="center"/>
          </w:tcPr>
          <w:p w:rsidR="00A92422" w:rsidRPr="001E1017" w:rsidRDefault="00A92422" w:rsidP="00EA30FC">
            <w:pPr>
              <w:pStyle w:val="TableText"/>
              <w:widowControl w:val="0"/>
              <w:rPr>
                <w:rStyle w:val="EndnoteReference"/>
                <w:rFonts w:cs="Tahoma"/>
                <w:color w:val="0000FF"/>
                <w:sz w:val="13"/>
                <w:szCs w:val="13"/>
                <w:u w:val="single"/>
              </w:rPr>
            </w:pPr>
            <w:hyperlink w:anchor="_49_CAL_per" w:history="1">
              <w:r w:rsidRPr="001E1017">
                <w:rPr>
                  <w:rStyle w:val="Hyperlink"/>
                  <w:rFonts w:cs="Tahoma"/>
                  <w:b/>
                  <w:sz w:val="13"/>
                  <w:szCs w:val="13"/>
                </w:rPr>
                <w:t>49</w:t>
              </w:r>
            </w:hyperlink>
          </w:p>
        </w:tc>
        <w:tc>
          <w:tcPr>
            <w:tcW w:w="450" w:type="dxa"/>
            <w:shd w:val="clear" w:color="auto" w:fill="FABF8F"/>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11/09</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ABF8F"/>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AO, ST</w:t>
            </w: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Del="00515A83" w:rsidTr="00EA30FC">
        <w:trPr>
          <w:trHeight w:val="145"/>
        </w:trPr>
        <w:tc>
          <w:tcPr>
            <w:tcW w:w="2714" w:type="dxa"/>
            <w:shd w:val="clear" w:color="auto" w:fill="FFFFFF"/>
          </w:tcPr>
          <w:p w:rsidR="00A92422" w:rsidRPr="00D87B79" w:rsidDel="00515A83" w:rsidRDefault="00A92422" w:rsidP="00EA30FC">
            <w:pPr>
              <w:pStyle w:val="ProductNames"/>
              <w:rPr>
                <w:rFonts w:ascii="Tahoma" w:hAnsi="Tahoma" w:cs="Tahoma"/>
                <w:sz w:val="14"/>
              </w:rPr>
            </w:pPr>
            <w:bookmarkStart w:id="259" w:name="_Toc336337965"/>
            <w:bookmarkStart w:id="260" w:name="_Toc342900028"/>
            <w:bookmarkEnd w:id="259"/>
            <w:r w:rsidRPr="00D87B79">
              <w:rPr>
                <w:rFonts w:ascii="Tahoma" w:hAnsi="Tahoma" w:cs="Tahoma"/>
                <w:sz w:val="14"/>
                <w:lang w:val="it-IT"/>
              </w:rPr>
              <w:t>Forefront Endpoint Protection</w:t>
            </w:r>
            <w:bookmarkEnd w:id="260"/>
          </w:p>
        </w:tc>
        <w:tc>
          <w:tcPr>
            <w:tcW w:w="450" w:type="dxa"/>
            <w:shd w:val="clear" w:color="auto" w:fill="FFFFFF"/>
            <w:vAlign w:val="center"/>
          </w:tcPr>
          <w:p w:rsidR="00A92422" w:rsidRPr="001E1017" w:rsidDel="00515A83" w:rsidRDefault="00A92422" w:rsidP="00EA30FC">
            <w:pPr>
              <w:pStyle w:val="TableText"/>
              <w:widowControl w:val="0"/>
              <w:rPr>
                <w:rStyle w:val="EndnoteReference"/>
                <w:rFonts w:cs="Tahoma"/>
                <w:color w:val="000000"/>
                <w:sz w:val="13"/>
                <w:szCs w:val="13"/>
                <w:u w:val="single"/>
              </w:rPr>
            </w:pPr>
            <w:hyperlink w:anchor="_50_Forefront_Endpoint" w:history="1">
              <w:r w:rsidRPr="001E1017">
                <w:rPr>
                  <w:rStyle w:val="Hyperlink"/>
                  <w:rFonts w:cs="Tahoma"/>
                  <w:b/>
                  <w:sz w:val="13"/>
                  <w:szCs w:val="13"/>
                </w:rPr>
                <w:t>50</w:t>
              </w:r>
            </w:hyperlink>
          </w:p>
        </w:tc>
        <w:tc>
          <w:tcPr>
            <w:tcW w:w="450" w:type="dxa"/>
            <w:shd w:val="clear" w:color="auto" w:fill="FFFFFF"/>
          </w:tcPr>
          <w:p w:rsidR="00A92422" w:rsidRPr="00D87B79" w:rsidDel="00515A83" w:rsidRDefault="00A92422" w:rsidP="00EA30FC">
            <w:pPr>
              <w:pStyle w:val="TableText"/>
              <w:widowControl w:val="0"/>
              <w:spacing w:before="80"/>
              <w:rPr>
                <w:rFonts w:ascii="Tahoma" w:hAnsi="Tahoma" w:cs="Tahoma"/>
                <w:sz w:val="13"/>
              </w:rPr>
            </w:pPr>
          </w:p>
        </w:tc>
        <w:tc>
          <w:tcPr>
            <w:tcW w:w="360" w:type="dxa"/>
            <w:tcBorders>
              <w:right w:val="single" w:sz="18" w:space="0" w:color="auto"/>
            </w:tcBorders>
            <w:shd w:val="clear" w:color="auto" w:fill="FFFFFF"/>
            <w:vAlign w:val="center"/>
          </w:tcPr>
          <w:p w:rsidR="00A92422" w:rsidRPr="00D87B79" w:rsidDel="00515A83" w:rsidRDefault="00A92422" w:rsidP="00EA30FC">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A92422" w:rsidRPr="00D87B79" w:rsidDel="00515A83"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Del="00515A83"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Del="00515A83"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Del="00515A83"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Del="00515A83"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Del="00515A83"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92422" w:rsidRPr="00D87B79" w:rsidDel="00515A83" w:rsidRDefault="00A92422" w:rsidP="00EA30FC">
            <w:pPr>
              <w:pStyle w:val="TableText"/>
              <w:widowControl w:val="0"/>
              <w:rPr>
                <w:rFonts w:ascii="Tahoma" w:hAnsi="Tahoma" w:cs="Tahoma"/>
                <w:sz w:val="13"/>
              </w:rPr>
            </w:pPr>
          </w:p>
        </w:tc>
        <w:tc>
          <w:tcPr>
            <w:tcW w:w="504" w:type="dxa"/>
            <w:shd w:val="clear" w:color="auto" w:fill="FFFFFF"/>
          </w:tcPr>
          <w:p w:rsidR="00A92422" w:rsidRPr="00D87B79" w:rsidDel="00515A83" w:rsidRDefault="00A92422" w:rsidP="00EA30FC">
            <w:pPr>
              <w:pStyle w:val="TableText"/>
              <w:widowControl w:val="0"/>
              <w:rPr>
                <w:rFonts w:ascii="Tahoma" w:hAnsi="Tahoma" w:cs="Tahoma"/>
                <w:sz w:val="13"/>
              </w:rPr>
            </w:pPr>
          </w:p>
        </w:tc>
        <w:tc>
          <w:tcPr>
            <w:tcW w:w="486" w:type="dxa"/>
            <w:shd w:val="clear" w:color="auto" w:fill="FFFFFF"/>
            <w:vAlign w:val="center"/>
          </w:tcPr>
          <w:p w:rsidR="00A92422" w:rsidRPr="00D87B79" w:rsidDel="00515A83"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ABF8F"/>
          </w:tcPr>
          <w:p w:rsidR="00A92422" w:rsidRPr="00D87B79" w:rsidRDefault="00A92422" w:rsidP="00EA30FC">
            <w:pPr>
              <w:pStyle w:val="ProductNames"/>
              <w:rPr>
                <w:rFonts w:ascii="Tahoma" w:hAnsi="Tahoma" w:cs="Tahoma"/>
                <w:sz w:val="14"/>
              </w:rPr>
            </w:pPr>
            <w:bookmarkStart w:id="261" w:name="_Toc336337966"/>
            <w:bookmarkStart w:id="262" w:name="_Toc342900029"/>
            <w:bookmarkEnd w:id="261"/>
            <w:r w:rsidRPr="00D87B79">
              <w:rPr>
                <w:rFonts w:ascii="Tahoma" w:hAnsi="Tahoma" w:cs="Tahoma"/>
                <w:sz w:val="14"/>
                <w:lang w:val="it-IT"/>
              </w:rPr>
              <w:t>CAL per Forefront Identity Manager 2010 R2 (solo Utente)</w:t>
            </w:r>
            <w:bookmarkEnd w:id="262"/>
          </w:p>
        </w:tc>
        <w:tc>
          <w:tcPr>
            <w:tcW w:w="450" w:type="dxa"/>
            <w:shd w:val="clear" w:color="auto" w:fill="FABF8F"/>
            <w:vAlign w:val="center"/>
          </w:tcPr>
          <w:p w:rsidR="00A92422" w:rsidRPr="001E1017" w:rsidRDefault="00A92422" w:rsidP="00EA30FC">
            <w:pPr>
              <w:pStyle w:val="TableText"/>
              <w:widowControl w:val="0"/>
              <w:rPr>
                <w:rStyle w:val="EndnoteReference"/>
                <w:rFonts w:cs="Tahoma"/>
                <w:color w:val="0000FF"/>
                <w:sz w:val="13"/>
                <w:szCs w:val="13"/>
                <w:u w:val="single"/>
              </w:rPr>
            </w:pPr>
            <w:hyperlink w:anchor="_51_Forefront_Identity" w:history="1">
              <w:r w:rsidRPr="001E1017">
                <w:rPr>
                  <w:rStyle w:val="Hyperlink"/>
                  <w:rFonts w:cs="Tahoma"/>
                  <w:b/>
                  <w:sz w:val="13"/>
                  <w:szCs w:val="13"/>
                </w:rPr>
                <w:t>51</w:t>
              </w:r>
            </w:hyperlink>
          </w:p>
        </w:tc>
        <w:tc>
          <w:tcPr>
            <w:tcW w:w="450" w:type="dxa"/>
            <w:shd w:val="clear" w:color="auto" w:fill="FABF8F"/>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07/10</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ABF8F"/>
            <w:vAlign w:val="bottom"/>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u w:val="single"/>
              </w:rPr>
              <w:t>1</w:t>
            </w:r>
          </w:p>
        </w:tc>
        <w:tc>
          <w:tcPr>
            <w:tcW w:w="450" w:type="dxa"/>
            <w:shd w:val="clear" w:color="auto" w:fill="FABF8F"/>
            <w:vAlign w:val="bottom"/>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rPr>
              <w:t>3</w:t>
            </w:r>
          </w:p>
        </w:tc>
        <w:tc>
          <w:tcPr>
            <w:tcW w:w="450" w:type="dxa"/>
            <w:shd w:val="clear" w:color="auto" w:fill="FABF8F"/>
            <w:vAlign w:val="bottom"/>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rPr>
              <w:t>2</w:t>
            </w:r>
          </w:p>
        </w:tc>
        <w:tc>
          <w:tcPr>
            <w:tcW w:w="450" w:type="dxa"/>
            <w:shd w:val="clear" w:color="auto" w:fill="FABF8F"/>
            <w:vAlign w:val="bottom"/>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rPr>
              <w:t>2</w:t>
            </w:r>
          </w:p>
        </w:tc>
        <w:tc>
          <w:tcPr>
            <w:tcW w:w="450" w:type="dxa"/>
            <w:shd w:val="clear" w:color="auto" w:fill="FABF8F"/>
            <w:vAlign w:val="bottom"/>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rPr>
              <w:t>2</w:t>
            </w:r>
          </w:p>
        </w:tc>
        <w:tc>
          <w:tcPr>
            <w:tcW w:w="450" w:type="dxa"/>
            <w:shd w:val="clear" w:color="auto" w:fill="FABF8F"/>
            <w:vAlign w:val="bottom"/>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rPr>
              <w:t>1</w:t>
            </w:r>
          </w:p>
        </w:tc>
        <w:tc>
          <w:tcPr>
            <w:tcW w:w="360" w:type="dxa"/>
            <w:tcBorders>
              <w:right w:val="single" w:sz="18" w:space="0" w:color="auto"/>
            </w:tcBorders>
            <w:shd w:val="clear" w:color="auto" w:fill="FABF8F"/>
            <w:vAlign w:val="bottom"/>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rPr>
              <w:t>1</w:t>
            </w:r>
          </w:p>
        </w:tc>
        <w:tc>
          <w:tcPr>
            <w:tcW w:w="450" w:type="dxa"/>
            <w:tcBorders>
              <w:left w:val="single" w:sz="18" w:space="0" w:color="auto"/>
            </w:tcBorders>
            <w:shd w:val="clear" w:color="auto" w:fill="FABF8F"/>
            <w:vAlign w:val="bottom"/>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rPr>
              <w:t>1</w:t>
            </w:r>
          </w:p>
        </w:tc>
        <w:tc>
          <w:tcPr>
            <w:tcW w:w="450" w:type="dxa"/>
            <w:shd w:val="clear" w:color="auto" w:fill="FABF8F"/>
            <w:vAlign w:val="bottom"/>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rPr>
              <w:t>2</w:t>
            </w:r>
          </w:p>
        </w:tc>
        <w:tc>
          <w:tcPr>
            <w:tcW w:w="450" w:type="dxa"/>
            <w:tcBorders>
              <w:right w:val="single" w:sz="18" w:space="0" w:color="auto"/>
            </w:tcBorders>
            <w:shd w:val="clear" w:color="auto" w:fill="FABF8F"/>
            <w:vAlign w:val="bottom"/>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rPr>
              <w:t>1</w:t>
            </w:r>
          </w:p>
        </w:tc>
        <w:tc>
          <w:tcPr>
            <w:tcW w:w="450" w:type="dxa"/>
            <w:tcBorders>
              <w:left w:val="single" w:sz="18" w:space="0" w:color="auto"/>
            </w:tcBorders>
            <w:shd w:val="clear" w:color="auto" w:fill="FABF8F"/>
            <w:vAlign w:val="bottom"/>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rPr>
              <w:t>1</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A</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 ST</w:t>
            </w: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FFFFF"/>
          </w:tcPr>
          <w:p w:rsidR="00A92422" w:rsidRPr="00D87B79" w:rsidRDefault="00A92422" w:rsidP="00EA30FC">
            <w:pPr>
              <w:pStyle w:val="ProductNames"/>
              <w:rPr>
                <w:rFonts w:ascii="Tahoma" w:hAnsi="Tahoma" w:cs="Tahoma"/>
                <w:sz w:val="14"/>
              </w:rPr>
            </w:pPr>
            <w:bookmarkStart w:id="263" w:name="_Toc336337967"/>
            <w:bookmarkStart w:id="264" w:name="_Toc342900030"/>
            <w:bookmarkEnd w:id="263"/>
            <w:r w:rsidRPr="00D87B79">
              <w:rPr>
                <w:rFonts w:ascii="Tahoma" w:hAnsi="Tahoma" w:cs="Tahoma"/>
                <w:sz w:val="14"/>
                <w:lang w:val="it-IT"/>
              </w:rPr>
              <w:t>External Connector per Forefront Identity Manager 2010 R2</w:t>
            </w:r>
            <w:bookmarkEnd w:id="264"/>
          </w:p>
        </w:tc>
        <w:tc>
          <w:tcPr>
            <w:tcW w:w="450" w:type="dxa"/>
            <w:shd w:val="clear" w:color="auto" w:fill="FFFFFF"/>
            <w:vAlign w:val="center"/>
          </w:tcPr>
          <w:p w:rsidR="00A92422" w:rsidRPr="001E1017" w:rsidRDefault="00A92422" w:rsidP="00EA30FC">
            <w:pPr>
              <w:pStyle w:val="TableText"/>
              <w:widowControl w:val="0"/>
              <w:rPr>
                <w:rStyle w:val="EndnoteReference"/>
                <w:rFonts w:cs="Tahoma"/>
                <w:color w:val="000000"/>
                <w:sz w:val="13"/>
                <w:szCs w:val="13"/>
                <w:u w:val="single"/>
              </w:rPr>
            </w:pPr>
            <w:hyperlink w:anchor="_51_Forefront_Identity" w:history="1">
              <w:r w:rsidRPr="001E1017">
                <w:rPr>
                  <w:rStyle w:val="Hyperlink"/>
                  <w:rFonts w:cs="Tahoma"/>
                  <w:b/>
                  <w:sz w:val="13"/>
                  <w:szCs w:val="13"/>
                </w:rPr>
                <w:t>51</w:t>
              </w:r>
            </w:hyperlink>
          </w:p>
        </w:tc>
        <w:tc>
          <w:tcPr>
            <w:tcW w:w="450" w:type="dxa"/>
            <w:shd w:val="clear" w:color="auto" w:fill="FFFFFF"/>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07/10</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FFFFF"/>
            <w:vAlign w:val="bottom"/>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u w:val="single"/>
              </w:rPr>
              <w:t>125</w:t>
            </w:r>
          </w:p>
        </w:tc>
        <w:tc>
          <w:tcPr>
            <w:tcW w:w="450" w:type="dxa"/>
            <w:shd w:val="clear" w:color="auto" w:fill="FFFFFF"/>
            <w:vAlign w:val="bottom"/>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rPr>
              <w:t>313</w:t>
            </w:r>
          </w:p>
        </w:tc>
        <w:tc>
          <w:tcPr>
            <w:tcW w:w="450" w:type="dxa"/>
            <w:shd w:val="clear" w:color="auto" w:fill="FFFFFF"/>
            <w:vAlign w:val="bottom"/>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rPr>
              <w:t>250</w:t>
            </w:r>
          </w:p>
        </w:tc>
        <w:tc>
          <w:tcPr>
            <w:tcW w:w="450" w:type="dxa"/>
            <w:shd w:val="clear" w:color="auto" w:fill="FFFFFF"/>
            <w:vAlign w:val="bottom"/>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rPr>
              <w:t>188</w:t>
            </w:r>
          </w:p>
        </w:tc>
        <w:tc>
          <w:tcPr>
            <w:tcW w:w="450" w:type="dxa"/>
            <w:shd w:val="clear" w:color="auto" w:fill="FFFFFF"/>
            <w:vAlign w:val="bottom"/>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rPr>
              <w:t>188</w:t>
            </w:r>
          </w:p>
        </w:tc>
        <w:tc>
          <w:tcPr>
            <w:tcW w:w="450" w:type="dxa"/>
            <w:shd w:val="clear" w:color="auto" w:fill="FFFFFF"/>
            <w:vAlign w:val="bottom"/>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rPr>
              <w:t>125</w:t>
            </w:r>
          </w:p>
        </w:tc>
        <w:tc>
          <w:tcPr>
            <w:tcW w:w="360" w:type="dxa"/>
            <w:tcBorders>
              <w:right w:val="single" w:sz="18" w:space="0" w:color="auto"/>
            </w:tcBorders>
            <w:shd w:val="clear" w:color="auto" w:fill="FFFFFF"/>
            <w:vAlign w:val="bottom"/>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rPr>
              <w:t>63</w:t>
            </w:r>
          </w:p>
        </w:tc>
        <w:tc>
          <w:tcPr>
            <w:tcW w:w="450" w:type="dxa"/>
            <w:tcBorders>
              <w:left w:val="single" w:sz="18" w:space="0" w:color="auto"/>
            </w:tcBorders>
            <w:shd w:val="clear" w:color="auto" w:fill="FFFFFF"/>
            <w:vAlign w:val="bottom"/>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rPr>
              <w:t>125</w:t>
            </w:r>
          </w:p>
        </w:tc>
        <w:tc>
          <w:tcPr>
            <w:tcW w:w="450" w:type="dxa"/>
            <w:shd w:val="clear" w:color="auto" w:fill="FFFFFF"/>
            <w:vAlign w:val="bottom"/>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rPr>
              <w:t>250</w:t>
            </w:r>
          </w:p>
        </w:tc>
        <w:tc>
          <w:tcPr>
            <w:tcW w:w="450" w:type="dxa"/>
            <w:tcBorders>
              <w:right w:val="single" w:sz="18" w:space="0" w:color="auto"/>
            </w:tcBorders>
            <w:shd w:val="clear" w:color="auto" w:fill="FFFFFF"/>
            <w:vAlign w:val="bottom"/>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rPr>
              <w:t>125</w:t>
            </w:r>
          </w:p>
        </w:tc>
        <w:tc>
          <w:tcPr>
            <w:tcW w:w="450" w:type="dxa"/>
            <w:tcBorders>
              <w:left w:val="single" w:sz="18" w:space="0" w:color="auto"/>
            </w:tcBorders>
            <w:shd w:val="clear" w:color="auto" w:fill="FFFFFF"/>
            <w:vAlign w:val="bottom"/>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rPr>
              <w:t>125</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A</w:t>
            </w: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FFFFF"/>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86" w:type="dxa"/>
            <w:shd w:val="clear" w:color="auto" w:fill="FFFFF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ABF8F"/>
          </w:tcPr>
          <w:p w:rsidR="00A92422" w:rsidRPr="00D87B79" w:rsidRDefault="00A92422" w:rsidP="00EA30FC">
            <w:pPr>
              <w:pStyle w:val="ProductNames"/>
              <w:rPr>
                <w:rFonts w:ascii="Tahoma" w:hAnsi="Tahoma" w:cs="Tahoma"/>
                <w:sz w:val="14"/>
              </w:rPr>
            </w:pPr>
            <w:bookmarkStart w:id="265" w:name="_Toc336337968"/>
            <w:bookmarkStart w:id="266" w:name="_Toc342900031"/>
            <w:bookmarkEnd w:id="265"/>
            <w:r w:rsidRPr="00D87B79">
              <w:rPr>
                <w:rFonts w:ascii="Tahoma" w:hAnsi="Tahoma" w:cs="Tahoma"/>
                <w:sz w:val="14"/>
                <w:lang w:val="it-IT"/>
              </w:rPr>
              <w:t>Forefront Identity Manager 2010 R2 Server</w:t>
            </w:r>
            <w:bookmarkEnd w:id="266"/>
            <w:r w:rsidRPr="00D87B79">
              <w:rPr>
                <w:rFonts w:ascii="Tahoma" w:hAnsi="Tahoma" w:cs="Tahoma"/>
                <w:sz w:val="14"/>
              </w:rPr>
              <w:t xml:space="preserve"> </w:t>
            </w:r>
          </w:p>
        </w:tc>
        <w:tc>
          <w:tcPr>
            <w:tcW w:w="450" w:type="dxa"/>
            <w:shd w:val="clear" w:color="auto" w:fill="FABF8F"/>
            <w:vAlign w:val="center"/>
          </w:tcPr>
          <w:p w:rsidR="00A92422" w:rsidRPr="001E1017" w:rsidRDefault="00A92422" w:rsidP="00EA30FC">
            <w:pPr>
              <w:pStyle w:val="TableText"/>
              <w:widowControl w:val="0"/>
              <w:rPr>
                <w:rStyle w:val="EndnoteReference"/>
                <w:rFonts w:cs="Tahoma"/>
                <w:color w:val="000000"/>
                <w:sz w:val="13"/>
                <w:szCs w:val="13"/>
                <w:u w:val="single"/>
              </w:rPr>
            </w:pPr>
            <w:hyperlink w:anchor="_51_Forefront_Identity" w:history="1">
              <w:r w:rsidRPr="001E1017">
                <w:rPr>
                  <w:rStyle w:val="Hyperlink"/>
                  <w:rFonts w:cs="Tahoma"/>
                  <w:b/>
                  <w:sz w:val="13"/>
                  <w:szCs w:val="13"/>
                </w:rPr>
                <w:t>51</w:t>
              </w:r>
            </w:hyperlink>
          </w:p>
        </w:tc>
        <w:tc>
          <w:tcPr>
            <w:tcW w:w="450" w:type="dxa"/>
            <w:shd w:val="clear" w:color="auto" w:fill="FABF8F"/>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07/10</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ABF8F"/>
            <w:vAlign w:val="bottom"/>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u w:val="single"/>
              </w:rPr>
              <w:t>125</w:t>
            </w:r>
          </w:p>
        </w:tc>
        <w:tc>
          <w:tcPr>
            <w:tcW w:w="450" w:type="dxa"/>
            <w:shd w:val="clear" w:color="auto" w:fill="FABF8F"/>
            <w:vAlign w:val="bottom"/>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rPr>
              <w:t>313</w:t>
            </w:r>
          </w:p>
        </w:tc>
        <w:tc>
          <w:tcPr>
            <w:tcW w:w="450" w:type="dxa"/>
            <w:shd w:val="clear" w:color="auto" w:fill="FABF8F"/>
            <w:vAlign w:val="bottom"/>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rPr>
              <w:t>250</w:t>
            </w:r>
          </w:p>
        </w:tc>
        <w:tc>
          <w:tcPr>
            <w:tcW w:w="450" w:type="dxa"/>
            <w:shd w:val="clear" w:color="auto" w:fill="FABF8F"/>
            <w:vAlign w:val="bottom"/>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rPr>
              <w:t>188</w:t>
            </w:r>
          </w:p>
        </w:tc>
        <w:tc>
          <w:tcPr>
            <w:tcW w:w="450" w:type="dxa"/>
            <w:shd w:val="clear" w:color="auto" w:fill="FABF8F"/>
            <w:vAlign w:val="bottom"/>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rPr>
              <w:t>188</w:t>
            </w:r>
          </w:p>
        </w:tc>
        <w:tc>
          <w:tcPr>
            <w:tcW w:w="450" w:type="dxa"/>
            <w:shd w:val="clear" w:color="auto" w:fill="FABF8F"/>
            <w:vAlign w:val="bottom"/>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rPr>
              <w:t>125</w:t>
            </w:r>
          </w:p>
        </w:tc>
        <w:tc>
          <w:tcPr>
            <w:tcW w:w="360" w:type="dxa"/>
            <w:tcBorders>
              <w:right w:val="single" w:sz="18" w:space="0" w:color="auto"/>
            </w:tcBorders>
            <w:shd w:val="clear" w:color="auto" w:fill="FABF8F"/>
            <w:vAlign w:val="bottom"/>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rPr>
              <w:t>63</w:t>
            </w:r>
          </w:p>
        </w:tc>
        <w:tc>
          <w:tcPr>
            <w:tcW w:w="450" w:type="dxa"/>
            <w:tcBorders>
              <w:left w:val="single" w:sz="18" w:space="0" w:color="auto"/>
            </w:tcBorders>
            <w:shd w:val="clear" w:color="auto" w:fill="FABF8F"/>
            <w:vAlign w:val="bottom"/>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rPr>
              <w:t>125</w:t>
            </w:r>
          </w:p>
        </w:tc>
        <w:tc>
          <w:tcPr>
            <w:tcW w:w="450" w:type="dxa"/>
            <w:shd w:val="clear" w:color="auto" w:fill="FABF8F"/>
            <w:vAlign w:val="bottom"/>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rPr>
              <w:t>250</w:t>
            </w:r>
          </w:p>
        </w:tc>
        <w:tc>
          <w:tcPr>
            <w:tcW w:w="450" w:type="dxa"/>
            <w:tcBorders>
              <w:right w:val="single" w:sz="18" w:space="0" w:color="auto"/>
            </w:tcBorders>
            <w:shd w:val="clear" w:color="auto" w:fill="FABF8F"/>
            <w:vAlign w:val="bottom"/>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rPr>
              <w:t>125</w:t>
            </w:r>
          </w:p>
        </w:tc>
        <w:tc>
          <w:tcPr>
            <w:tcW w:w="450" w:type="dxa"/>
            <w:tcBorders>
              <w:left w:val="single" w:sz="18" w:space="0" w:color="auto"/>
            </w:tcBorders>
            <w:shd w:val="clear" w:color="auto" w:fill="FABF8F"/>
            <w:vAlign w:val="bottom"/>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rPr>
              <w:t>125</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A</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ABF8F"/>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lang w:val="it-IT"/>
              </w:rPr>
              <w:t>A</w:t>
            </w: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FFFFF"/>
          </w:tcPr>
          <w:p w:rsidR="00A92422" w:rsidRPr="00D87B79" w:rsidRDefault="00A92422" w:rsidP="00EA30FC">
            <w:pPr>
              <w:pStyle w:val="Heading2"/>
              <w:ind w:left="0"/>
              <w:rPr>
                <w:rFonts w:ascii="Tahoma" w:hAnsi="Tahoma" w:cs="Tahoma"/>
                <w:b w:val="0"/>
              </w:rPr>
            </w:pPr>
            <w:bookmarkStart w:id="267" w:name="_Toc336337969"/>
            <w:bookmarkStart w:id="268" w:name="_Toc342900032"/>
            <w:bookmarkEnd w:id="267"/>
            <w:r w:rsidRPr="00D87B79">
              <w:rPr>
                <w:rFonts w:ascii="Tahoma" w:hAnsi="Tahoma" w:cs="Tahoma"/>
                <w:b w:val="0"/>
                <w:sz w:val="14"/>
                <w:lang w:val="it-IT"/>
              </w:rPr>
              <w:t>Forefront Identity Manager 2010 R2 - Windows Live Edition</w:t>
            </w:r>
            <w:bookmarkEnd w:id="268"/>
          </w:p>
        </w:tc>
        <w:tc>
          <w:tcPr>
            <w:tcW w:w="450" w:type="dxa"/>
            <w:shd w:val="clear" w:color="auto" w:fill="FFFFFF"/>
            <w:vAlign w:val="center"/>
          </w:tcPr>
          <w:p w:rsidR="00A92422" w:rsidRPr="001E1017" w:rsidRDefault="00A92422" w:rsidP="00EA30FC">
            <w:pPr>
              <w:pStyle w:val="TableText"/>
              <w:widowControl w:val="0"/>
              <w:rPr>
                <w:rFonts w:cs="Tahoma"/>
                <w:b/>
                <w:color w:val="0000FF"/>
                <w:sz w:val="13"/>
                <w:szCs w:val="13"/>
                <w:u w:val="single"/>
              </w:rPr>
            </w:pPr>
            <w:hyperlink w:anchor="_52_Forefront_Identity" w:history="1">
              <w:r w:rsidRPr="001E1017">
                <w:rPr>
                  <w:rStyle w:val="Hyperlink"/>
                  <w:rFonts w:cs="Tahoma"/>
                  <w:b/>
                  <w:sz w:val="13"/>
                  <w:szCs w:val="13"/>
                </w:rPr>
                <w:t>52</w:t>
              </w:r>
            </w:hyperlink>
          </w:p>
        </w:tc>
        <w:tc>
          <w:tcPr>
            <w:tcW w:w="450" w:type="dxa"/>
            <w:shd w:val="clear" w:color="auto" w:fill="FFFFFF"/>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rPr>
              <w:t>07/11</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FFFFF"/>
            <w:vAlign w:val="bottom"/>
          </w:tcPr>
          <w:p w:rsidR="00A92422" w:rsidRPr="00D87B79" w:rsidRDefault="00A92422" w:rsidP="00EA30FC">
            <w:pPr>
              <w:pStyle w:val="TableText"/>
              <w:widowControl w:val="0"/>
              <w:spacing w:before="100" w:beforeAutospacing="1" w:after="120"/>
              <w:rPr>
                <w:rFonts w:ascii="Tahoma" w:hAnsi="Tahoma" w:cs="Tahoma"/>
                <w:color w:val="000000"/>
                <w:sz w:val="13"/>
                <w:szCs w:val="13"/>
              </w:rPr>
            </w:pPr>
            <w:r w:rsidRPr="00D87B79">
              <w:rPr>
                <w:rFonts w:ascii="Tahoma" w:hAnsi="Tahoma" w:cs="Tahoma"/>
                <w:sz w:val="13"/>
                <w:u w:val="single"/>
              </w:rPr>
              <w:t>25</w:t>
            </w:r>
          </w:p>
        </w:tc>
        <w:tc>
          <w:tcPr>
            <w:tcW w:w="450" w:type="dxa"/>
            <w:shd w:val="clear" w:color="auto" w:fill="FFFFFF"/>
            <w:vAlign w:val="bottom"/>
          </w:tcPr>
          <w:p w:rsidR="00A92422" w:rsidRPr="00D87B79" w:rsidRDefault="00A92422" w:rsidP="00EA30FC">
            <w:pPr>
              <w:pStyle w:val="TableText"/>
              <w:widowControl w:val="0"/>
              <w:spacing w:before="100" w:beforeAutospacing="1" w:after="120"/>
              <w:rPr>
                <w:rFonts w:ascii="Tahoma" w:hAnsi="Tahoma" w:cs="Tahoma"/>
                <w:color w:val="000000"/>
                <w:sz w:val="13"/>
                <w:szCs w:val="13"/>
              </w:rPr>
            </w:pPr>
            <w:r w:rsidRPr="00D87B79">
              <w:rPr>
                <w:rFonts w:ascii="Tahoma" w:hAnsi="Tahoma" w:cs="Tahoma"/>
                <w:sz w:val="13"/>
              </w:rPr>
              <w:t>63</w:t>
            </w:r>
          </w:p>
        </w:tc>
        <w:tc>
          <w:tcPr>
            <w:tcW w:w="450" w:type="dxa"/>
            <w:shd w:val="clear" w:color="auto" w:fill="FFFFFF"/>
            <w:vAlign w:val="bottom"/>
          </w:tcPr>
          <w:p w:rsidR="00A92422" w:rsidRPr="00D87B79" w:rsidRDefault="00A92422" w:rsidP="00EA30FC">
            <w:pPr>
              <w:pStyle w:val="TableText"/>
              <w:widowControl w:val="0"/>
              <w:spacing w:before="100" w:beforeAutospacing="1" w:after="120"/>
              <w:rPr>
                <w:rFonts w:ascii="Tahoma" w:hAnsi="Tahoma" w:cs="Tahoma"/>
                <w:color w:val="000000"/>
                <w:sz w:val="13"/>
                <w:szCs w:val="13"/>
              </w:rPr>
            </w:pPr>
            <w:r w:rsidRPr="00D87B79">
              <w:rPr>
                <w:rFonts w:ascii="Tahoma" w:hAnsi="Tahoma" w:cs="Tahoma"/>
                <w:sz w:val="13"/>
              </w:rPr>
              <w:t>50</w:t>
            </w:r>
          </w:p>
        </w:tc>
        <w:tc>
          <w:tcPr>
            <w:tcW w:w="450" w:type="dxa"/>
            <w:shd w:val="clear" w:color="auto" w:fill="FFFFFF"/>
            <w:vAlign w:val="bottom"/>
          </w:tcPr>
          <w:p w:rsidR="00A92422" w:rsidRPr="00D87B79" w:rsidRDefault="00A92422" w:rsidP="00EA30FC">
            <w:pPr>
              <w:pStyle w:val="TableText"/>
              <w:widowControl w:val="0"/>
              <w:spacing w:before="100" w:beforeAutospacing="1" w:after="120"/>
              <w:rPr>
                <w:rFonts w:ascii="Tahoma" w:hAnsi="Tahoma" w:cs="Tahoma"/>
                <w:color w:val="000000"/>
                <w:sz w:val="13"/>
                <w:szCs w:val="13"/>
              </w:rPr>
            </w:pPr>
            <w:r w:rsidRPr="00D87B79">
              <w:rPr>
                <w:rFonts w:ascii="Tahoma" w:hAnsi="Tahoma" w:cs="Tahoma"/>
                <w:sz w:val="13"/>
              </w:rPr>
              <w:t>38</w:t>
            </w:r>
          </w:p>
        </w:tc>
        <w:tc>
          <w:tcPr>
            <w:tcW w:w="450" w:type="dxa"/>
            <w:shd w:val="clear" w:color="auto" w:fill="FFFFFF"/>
            <w:vAlign w:val="bottom"/>
          </w:tcPr>
          <w:p w:rsidR="00A92422" w:rsidRPr="00D87B79" w:rsidRDefault="00A92422" w:rsidP="00EA30FC">
            <w:pPr>
              <w:pStyle w:val="TableText"/>
              <w:widowControl w:val="0"/>
              <w:spacing w:before="100" w:beforeAutospacing="1" w:after="120"/>
              <w:rPr>
                <w:rFonts w:ascii="Tahoma" w:hAnsi="Tahoma" w:cs="Tahoma"/>
                <w:color w:val="000000"/>
                <w:sz w:val="13"/>
                <w:szCs w:val="13"/>
              </w:rPr>
            </w:pPr>
            <w:r w:rsidRPr="00D87B79">
              <w:rPr>
                <w:rFonts w:ascii="Tahoma" w:hAnsi="Tahoma" w:cs="Tahoma"/>
                <w:sz w:val="13"/>
              </w:rPr>
              <w:t>38</w:t>
            </w:r>
          </w:p>
        </w:tc>
        <w:tc>
          <w:tcPr>
            <w:tcW w:w="450" w:type="dxa"/>
            <w:shd w:val="clear" w:color="auto" w:fill="FFFFFF"/>
            <w:vAlign w:val="bottom"/>
          </w:tcPr>
          <w:p w:rsidR="00A92422" w:rsidRPr="00D87B79" w:rsidRDefault="00A92422" w:rsidP="00EA30FC">
            <w:pPr>
              <w:pStyle w:val="TableText"/>
              <w:widowControl w:val="0"/>
              <w:spacing w:before="100" w:beforeAutospacing="1" w:after="120"/>
              <w:rPr>
                <w:rFonts w:ascii="Tahoma" w:hAnsi="Tahoma" w:cs="Tahoma"/>
                <w:color w:val="000000"/>
                <w:sz w:val="13"/>
                <w:szCs w:val="13"/>
              </w:rPr>
            </w:pPr>
            <w:r w:rsidRPr="00D87B79">
              <w:rPr>
                <w:rFonts w:ascii="Tahoma" w:hAnsi="Tahoma" w:cs="Tahoma"/>
                <w:sz w:val="13"/>
              </w:rPr>
              <w:t>25</w:t>
            </w:r>
          </w:p>
        </w:tc>
        <w:tc>
          <w:tcPr>
            <w:tcW w:w="360" w:type="dxa"/>
            <w:tcBorders>
              <w:right w:val="single" w:sz="18" w:space="0" w:color="auto"/>
            </w:tcBorders>
            <w:shd w:val="clear" w:color="auto" w:fill="FFFFFF"/>
            <w:vAlign w:val="bottom"/>
          </w:tcPr>
          <w:p w:rsidR="00A92422" w:rsidRPr="00D87B79" w:rsidRDefault="00A92422" w:rsidP="00EA30FC">
            <w:pPr>
              <w:pStyle w:val="TableText"/>
              <w:widowControl w:val="0"/>
              <w:spacing w:before="100" w:beforeAutospacing="1" w:after="120"/>
              <w:rPr>
                <w:rFonts w:ascii="Tahoma" w:hAnsi="Tahoma" w:cs="Tahoma"/>
                <w:color w:val="000000"/>
                <w:sz w:val="13"/>
                <w:szCs w:val="13"/>
              </w:rPr>
            </w:pPr>
            <w:r w:rsidRPr="00D87B79">
              <w:rPr>
                <w:rFonts w:ascii="Tahoma" w:hAnsi="Tahoma" w:cs="Tahoma"/>
                <w:sz w:val="13"/>
              </w:rPr>
              <w:t>13</w:t>
            </w:r>
          </w:p>
        </w:tc>
        <w:tc>
          <w:tcPr>
            <w:tcW w:w="450" w:type="dxa"/>
            <w:tcBorders>
              <w:left w:val="single" w:sz="18" w:space="0" w:color="auto"/>
            </w:tcBorders>
            <w:shd w:val="clear" w:color="auto" w:fill="FFFFFF"/>
            <w:vAlign w:val="bottom"/>
          </w:tcPr>
          <w:p w:rsidR="00A92422" w:rsidRPr="00D87B79" w:rsidRDefault="00A92422" w:rsidP="00EA30FC">
            <w:pPr>
              <w:pStyle w:val="TableText"/>
              <w:widowControl w:val="0"/>
              <w:spacing w:before="100" w:beforeAutospacing="1" w:after="120"/>
              <w:rPr>
                <w:rFonts w:ascii="Tahoma" w:hAnsi="Tahoma" w:cs="Tahoma"/>
                <w:color w:val="000000"/>
                <w:sz w:val="13"/>
                <w:szCs w:val="13"/>
              </w:rPr>
            </w:pPr>
            <w:r w:rsidRPr="00D87B79">
              <w:rPr>
                <w:rFonts w:ascii="Tahoma" w:hAnsi="Tahoma" w:cs="Tahoma"/>
                <w:sz w:val="13"/>
              </w:rPr>
              <w:t>25</w:t>
            </w:r>
          </w:p>
        </w:tc>
        <w:tc>
          <w:tcPr>
            <w:tcW w:w="450" w:type="dxa"/>
            <w:shd w:val="clear" w:color="auto" w:fill="FFFFFF"/>
            <w:vAlign w:val="bottom"/>
          </w:tcPr>
          <w:p w:rsidR="00A92422" w:rsidRPr="00D87B79" w:rsidRDefault="00A92422" w:rsidP="00EA30FC">
            <w:pPr>
              <w:pStyle w:val="TableText"/>
              <w:widowControl w:val="0"/>
              <w:spacing w:before="100" w:beforeAutospacing="1" w:after="120"/>
              <w:rPr>
                <w:rFonts w:ascii="Tahoma" w:hAnsi="Tahoma" w:cs="Tahoma"/>
                <w:color w:val="000000"/>
                <w:sz w:val="13"/>
                <w:szCs w:val="13"/>
              </w:rPr>
            </w:pPr>
            <w:r w:rsidRPr="00D87B79">
              <w:rPr>
                <w:rFonts w:ascii="Tahoma" w:hAnsi="Tahoma" w:cs="Tahoma"/>
                <w:sz w:val="13"/>
              </w:rPr>
              <w:t>50</w:t>
            </w:r>
          </w:p>
        </w:tc>
        <w:tc>
          <w:tcPr>
            <w:tcW w:w="450" w:type="dxa"/>
            <w:tcBorders>
              <w:right w:val="single" w:sz="18" w:space="0" w:color="auto"/>
            </w:tcBorders>
            <w:shd w:val="clear" w:color="auto" w:fill="FFFFFF"/>
            <w:vAlign w:val="bottom"/>
          </w:tcPr>
          <w:p w:rsidR="00A92422" w:rsidRPr="00D87B79" w:rsidRDefault="00A92422" w:rsidP="00EA30FC">
            <w:pPr>
              <w:pStyle w:val="TableText"/>
              <w:widowControl w:val="0"/>
              <w:spacing w:before="100" w:beforeAutospacing="1" w:after="120"/>
              <w:rPr>
                <w:rFonts w:ascii="Tahoma" w:hAnsi="Tahoma" w:cs="Tahoma"/>
                <w:color w:val="000000"/>
                <w:sz w:val="13"/>
                <w:szCs w:val="13"/>
              </w:rPr>
            </w:pPr>
            <w:r w:rsidRPr="00D87B79">
              <w:rPr>
                <w:rFonts w:ascii="Tahoma" w:hAnsi="Tahoma" w:cs="Tahoma"/>
                <w:sz w:val="13"/>
              </w:rPr>
              <w:t>25</w:t>
            </w:r>
          </w:p>
        </w:tc>
        <w:tc>
          <w:tcPr>
            <w:tcW w:w="450" w:type="dxa"/>
            <w:tcBorders>
              <w:left w:val="single" w:sz="18" w:space="0" w:color="auto"/>
            </w:tcBorders>
            <w:shd w:val="clear" w:color="auto" w:fill="FFFFFF"/>
            <w:vAlign w:val="bottom"/>
          </w:tcPr>
          <w:p w:rsidR="00A92422" w:rsidRPr="00D87B79" w:rsidRDefault="00A92422" w:rsidP="00EA30FC">
            <w:pPr>
              <w:pStyle w:val="TableText"/>
              <w:widowControl w:val="0"/>
              <w:spacing w:before="100" w:beforeAutospacing="1" w:after="120"/>
              <w:rPr>
                <w:rFonts w:ascii="Tahoma" w:hAnsi="Tahoma" w:cs="Tahoma"/>
                <w:color w:val="000000"/>
                <w:sz w:val="13"/>
                <w:szCs w:val="13"/>
              </w:rPr>
            </w:pPr>
            <w:r w:rsidRPr="00D87B79">
              <w:rPr>
                <w:rFonts w:ascii="Tahoma" w:hAnsi="Tahoma" w:cs="Tahoma"/>
                <w:sz w:val="13"/>
              </w:rPr>
              <w:t>25</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FFFFF"/>
          </w:tcPr>
          <w:p w:rsidR="00A92422" w:rsidRPr="00D87B79" w:rsidRDefault="00A92422" w:rsidP="00EA30FC">
            <w:pPr>
              <w:pStyle w:val="TableText"/>
              <w:widowControl w:val="0"/>
              <w:spacing w:before="120"/>
              <w:rPr>
                <w:rFonts w:ascii="Tahoma" w:hAnsi="Tahoma" w:cs="Tahoma"/>
                <w:sz w:val="13"/>
              </w:rPr>
            </w:pPr>
          </w:p>
        </w:tc>
        <w:tc>
          <w:tcPr>
            <w:tcW w:w="486" w:type="dxa"/>
            <w:shd w:val="clear" w:color="auto" w:fill="FFFFF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cantSplit/>
          <w:trHeight w:val="145"/>
        </w:trPr>
        <w:tc>
          <w:tcPr>
            <w:tcW w:w="2714" w:type="dxa"/>
            <w:shd w:val="clear" w:color="auto" w:fill="FABF8F"/>
          </w:tcPr>
          <w:p w:rsidR="00A92422" w:rsidRPr="00D87B79" w:rsidRDefault="00A92422" w:rsidP="00EA30FC">
            <w:pPr>
              <w:pStyle w:val="ProductNames"/>
              <w:rPr>
                <w:rFonts w:ascii="Tahoma" w:hAnsi="Tahoma" w:cs="Tahoma"/>
                <w:sz w:val="14"/>
              </w:rPr>
            </w:pPr>
            <w:bookmarkStart w:id="269" w:name="_Toc336337970"/>
            <w:bookmarkStart w:id="270" w:name="_Toc342900033"/>
            <w:bookmarkEnd w:id="269"/>
            <w:r w:rsidRPr="00D87B79">
              <w:rPr>
                <w:rFonts w:ascii="Tahoma" w:hAnsi="Tahoma" w:cs="Tahoma"/>
                <w:sz w:val="14"/>
                <w:lang w:val="it-IT"/>
              </w:rPr>
              <w:t>Forefront Online Protection for Exchange (SL per Dispositivo e Utente)</w:t>
            </w:r>
            <w:bookmarkEnd w:id="270"/>
          </w:p>
        </w:tc>
        <w:tc>
          <w:tcPr>
            <w:tcW w:w="450" w:type="dxa"/>
            <w:shd w:val="clear" w:color="auto" w:fill="FABF8F"/>
            <w:vAlign w:val="center"/>
          </w:tcPr>
          <w:p w:rsidR="00A92422" w:rsidRPr="001E1017" w:rsidRDefault="00A92422" w:rsidP="00EA30FC">
            <w:pPr>
              <w:pStyle w:val="TableText"/>
              <w:widowControl w:val="0"/>
              <w:rPr>
                <w:rStyle w:val="EndnoteReference"/>
                <w:rFonts w:cs="Tahoma"/>
                <w:color w:val="000000"/>
                <w:sz w:val="13"/>
                <w:szCs w:val="13"/>
                <w:u w:val="single"/>
              </w:rPr>
            </w:pPr>
            <w:hyperlink w:anchor="_53_Forefront_Online" w:history="1">
              <w:r w:rsidRPr="001E1017">
                <w:rPr>
                  <w:rStyle w:val="Hyperlink"/>
                  <w:rFonts w:cs="Tahoma"/>
                  <w:b/>
                  <w:sz w:val="13"/>
                  <w:szCs w:val="13"/>
                </w:rPr>
                <w:t>53</w:t>
              </w:r>
            </w:hyperlink>
          </w:p>
        </w:tc>
        <w:tc>
          <w:tcPr>
            <w:tcW w:w="450" w:type="dxa"/>
            <w:shd w:val="clear" w:color="auto" w:fill="FABF8F"/>
          </w:tcPr>
          <w:p w:rsidR="00A92422" w:rsidRPr="00D87B79" w:rsidRDefault="00A92422" w:rsidP="00EA30FC">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vAlign w:val="center"/>
          </w:tcPr>
          <w:p w:rsidR="00A92422" w:rsidRPr="00D87B79" w:rsidRDefault="00A92422" w:rsidP="00EA30FC">
            <w:pPr>
              <w:pStyle w:val="TableText"/>
              <w:widowControl w:val="0"/>
              <w:spacing w:before="120"/>
              <w:rPr>
                <w:rFonts w:ascii="Tahoma" w:hAnsi="Tahoma" w:cs="Tahoma"/>
                <w:sz w:val="13"/>
              </w:rPr>
            </w:pP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tcPr>
          <w:p w:rsidR="00A92422" w:rsidRPr="00D87B79" w:rsidRDefault="00A92422" w:rsidP="00EA30FC">
            <w:pPr>
              <w:pStyle w:val="ProductNames"/>
              <w:rPr>
                <w:rFonts w:ascii="Tahoma" w:hAnsi="Tahoma" w:cs="Tahoma"/>
                <w:sz w:val="14"/>
              </w:rPr>
            </w:pPr>
            <w:bookmarkStart w:id="271" w:name="_Toc336337971"/>
            <w:bookmarkStart w:id="272" w:name="_Toc342900034"/>
            <w:bookmarkEnd w:id="271"/>
            <w:r w:rsidRPr="00D87B79">
              <w:rPr>
                <w:rFonts w:ascii="Tahoma" w:hAnsi="Tahoma" w:cs="Tahoma"/>
                <w:sz w:val="14"/>
                <w:lang w:val="it-IT"/>
              </w:rPr>
              <w:t>Forefront Protection 2010 for Exchange Server (SL per Dispositivo e Utente)</w:t>
            </w:r>
            <w:bookmarkEnd w:id="272"/>
          </w:p>
        </w:tc>
        <w:tc>
          <w:tcPr>
            <w:tcW w:w="450" w:type="dxa"/>
            <w:vAlign w:val="center"/>
          </w:tcPr>
          <w:p w:rsidR="00A92422" w:rsidRPr="001E1017" w:rsidRDefault="00A92422" w:rsidP="00EA30FC">
            <w:pPr>
              <w:pStyle w:val="TableText"/>
              <w:widowControl w:val="0"/>
              <w:rPr>
                <w:rFonts w:cs="Tahoma"/>
                <w:b/>
                <w:color w:val="000000"/>
                <w:sz w:val="13"/>
                <w:szCs w:val="13"/>
                <w:u w:val="single"/>
              </w:rPr>
            </w:pPr>
            <w:hyperlink w:anchor="_54_Forefront_Protection" w:history="1">
              <w:r w:rsidRPr="001E1017">
                <w:rPr>
                  <w:rStyle w:val="Hyperlink"/>
                  <w:rFonts w:cs="Tahoma"/>
                  <w:b/>
                  <w:sz w:val="13"/>
                  <w:szCs w:val="13"/>
                </w:rPr>
                <w:t>54</w:t>
              </w:r>
            </w:hyperlink>
          </w:p>
        </w:tc>
        <w:tc>
          <w:tcPr>
            <w:tcW w:w="450" w:type="dxa"/>
          </w:tcPr>
          <w:p w:rsidR="00A92422" w:rsidRPr="00D87B79" w:rsidRDefault="00A92422" w:rsidP="00EA30FC">
            <w:pPr>
              <w:pStyle w:val="TableText"/>
              <w:widowControl w:val="0"/>
              <w:spacing w:before="80"/>
              <w:rPr>
                <w:rFonts w:ascii="Tahoma" w:hAnsi="Tahoma" w:cs="Tahoma"/>
                <w:sz w:val="13"/>
              </w:rPr>
            </w:pPr>
          </w:p>
        </w:tc>
        <w:tc>
          <w:tcPr>
            <w:tcW w:w="360"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450" w:type="dxa"/>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504" w:type="dxa"/>
            <w:vAlign w:val="center"/>
          </w:tcPr>
          <w:p w:rsidR="00A92422" w:rsidRPr="00D87B79" w:rsidRDefault="00A92422" w:rsidP="00EA30FC">
            <w:pPr>
              <w:pStyle w:val="TableText"/>
              <w:widowControl w:val="0"/>
              <w:spacing w:before="120"/>
              <w:rPr>
                <w:rFonts w:ascii="Tahoma" w:hAnsi="Tahoma" w:cs="Tahoma"/>
                <w:sz w:val="13"/>
              </w:rPr>
            </w:pPr>
          </w:p>
        </w:tc>
        <w:tc>
          <w:tcPr>
            <w:tcW w:w="486" w:type="dxa"/>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ABF8F"/>
          </w:tcPr>
          <w:p w:rsidR="00A92422" w:rsidRPr="00D87B79" w:rsidRDefault="00A92422" w:rsidP="00EA30FC">
            <w:pPr>
              <w:pStyle w:val="ProductNames"/>
              <w:rPr>
                <w:rFonts w:ascii="Tahoma" w:hAnsi="Tahoma" w:cs="Tahoma"/>
                <w:sz w:val="14"/>
              </w:rPr>
            </w:pPr>
            <w:bookmarkStart w:id="273" w:name="_Toc336337973"/>
            <w:bookmarkStart w:id="274" w:name="_Toc342900035"/>
            <w:bookmarkEnd w:id="273"/>
            <w:r w:rsidRPr="00D87B79">
              <w:rPr>
                <w:rFonts w:ascii="Tahoma" w:hAnsi="Tahoma" w:cs="Tahoma"/>
                <w:sz w:val="14"/>
                <w:lang w:val="it-IT"/>
              </w:rPr>
              <w:t xml:space="preserve">Forefront Protection Suite </w:t>
            </w:r>
            <w:r>
              <w:rPr>
                <w:rFonts w:ascii="Tahoma" w:hAnsi="Tahoma" w:cs="Tahoma"/>
                <w:sz w:val="14"/>
                <w:lang w:val="it-IT"/>
              </w:rPr>
              <w:br/>
            </w:r>
            <w:r w:rsidRPr="00D87B79">
              <w:rPr>
                <w:rFonts w:ascii="Tahoma" w:hAnsi="Tahoma" w:cs="Tahoma"/>
                <w:sz w:val="14"/>
                <w:lang w:val="it-IT"/>
              </w:rPr>
              <w:t>(SL per Dispositivo e Utente)</w:t>
            </w:r>
            <w:bookmarkEnd w:id="274"/>
          </w:p>
        </w:tc>
        <w:tc>
          <w:tcPr>
            <w:tcW w:w="450" w:type="dxa"/>
            <w:shd w:val="clear" w:color="auto" w:fill="FABF8F"/>
            <w:vAlign w:val="center"/>
          </w:tcPr>
          <w:p w:rsidR="00A92422" w:rsidRPr="001E1017" w:rsidRDefault="00A92422" w:rsidP="00EA30FC">
            <w:pPr>
              <w:pStyle w:val="TableText"/>
              <w:widowControl w:val="0"/>
              <w:rPr>
                <w:rStyle w:val="EndnoteReference"/>
                <w:rFonts w:cs="Tahoma"/>
                <w:color w:val="0000FF"/>
                <w:sz w:val="13"/>
                <w:szCs w:val="13"/>
                <w:u w:val="single"/>
              </w:rPr>
            </w:pPr>
            <w:hyperlink w:anchor="_55_Forefront_Protection" w:history="1">
              <w:r w:rsidRPr="001E1017">
                <w:rPr>
                  <w:rStyle w:val="Hyperlink"/>
                  <w:rFonts w:cs="Tahoma"/>
                  <w:b/>
                  <w:sz w:val="13"/>
                  <w:szCs w:val="13"/>
                </w:rPr>
                <w:t>55</w:t>
              </w:r>
            </w:hyperlink>
          </w:p>
        </w:tc>
        <w:tc>
          <w:tcPr>
            <w:tcW w:w="450" w:type="dxa"/>
            <w:shd w:val="clear" w:color="auto" w:fill="FABF8F"/>
          </w:tcPr>
          <w:p w:rsidR="00A92422" w:rsidRPr="00D87B79" w:rsidRDefault="00A92422" w:rsidP="00EA30FC">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tcPr>
          <w:p w:rsidR="00A92422" w:rsidRPr="00D87B79" w:rsidRDefault="00A92422" w:rsidP="00EA30FC">
            <w:pPr>
              <w:pStyle w:val="TableText"/>
              <w:widowControl w:val="0"/>
              <w:spacing w:before="120"/>
              <w:rPr>
                <w:rFonts w:ascii="Tahoma" w:hAnsi="Tahoma" w:cs="Tahoma"/>
                <w:sz w:val="13"/>
              </w:rPr>
            </w:pP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cantSplit/>
          <w:trHeight w:val="145"/>
        </w:trPr>
        <w:tc>
          <w:tcPr>
            <w:tcW w:w="2714" w:type="dxa"/>
          </w:tcPr>
          <w:p w:rsidR="00A92422" w:rsidRPr="00D87B79" w:rsidRDefault="00A92422" w:rsidP="00EA30FC">
            <w:pPr>
              <w:pStyle w:val="ProductNames"/>
              <w:rPr>
                <w:rFonts w:ascii="Tahoma" w:hAnsi="Tahoma" w:cs="Tahoma"/>
                <w:sz w:val="14"/>
              </w:rPr>
            </w:pPr>
            <w:bookmarkStart w:id="275" w:name="_Toc336337974"/>
            <w:bookmarkStart w:id="276" w:name="_Toc342900036"/>
            <w:bookmarkEnd w:id="275"/>
            <w:r w:rsidRPr="00D87B79">
              <w:rPr>
                <w:rFonts w:ascii="Tahoma" w:hAnsi="Tahoma" w:cs="Tahoma"/>
                <w:sz w:val="14"/>
                <w:lang w:val="it-IT"/>
              </w:rPr>
              <w:t xml:space="preserve">Forefront Security for Office Communications Server </w:t>
            </w:r>
            <w:r>
              <w:rPr>
                <w:rFonts w:ascii="Tahoma" w:hAnsi="Tahoma" w:cs="Tahoma"/>
                <w:sz w:val="14"/>
                <w:lang w:val="it-IT"/>
              </w:rPr>
              <w:br/>
            </w:r>
            <w:r w:rsidRPr="00D87B79">
              <w:rPr>
                <w:rFonts w:ascii="Tahoma" w:hAnsi="Tahoma" w:cs="Tahoma"/>
                <w:sz w:val="14"/>
                <w:lang w:val="it-IT"/>
              </w:rPr>
              <w:t>(SL per Dispositivo e Utente)</w:t>
            </w:r>
            <w:bookmarkEnd w:id="276"/>
          </w:p>
        </w:tc>
        <w:bookmarkStart w:id="277" w:name="_Hlt336251035"/>
        <w:bookmarkEnd w:id="277"/>
        <w:tc>
          <w:tcPr>
            <w:tcW w:w="450" w:type="dxa"/>
            <w:vAlign w:val="center"/>
          </w:tcPr>
          <w:p w:rsidR="00A92422" w:rsidRPr="001E1017" w:rsidRDefault="00A92422" w:rsidP="00EA30FC">
            <w:pPr>
              <w:pStyle w:val="TableText"/>
              <w:widowControl w:val="0"/>
              <w:rPr>
                <w:rStyle w:val="EndnoteReference"/>
                <w:rFonts w:cs="Tahoma"/>
                <w:color w:val="000000"/>
                <w:sz w:val="13"/>
                <w:szCs w:val="13"/>
                <w:u w:val="single"/>
              </w:rPr>
            </w:pPr>
            <w:r w:rsidRPr="001E1017">
              <w:rPr>
                <w:rFonts w:cs="Tahoma"/>
                <w:sz w:val="13"/>
                <w:szCs w:val="13"/>
              </w:rPr>
              <w:fldChar w:fldCharType="begin"/>
            </w:r>
            <w:r w:rsidRPr="001E1017">
              <w:rPr>
                <w:rFonts w:cs="Tahoma"/>
                <w:sz w:val="13"/>
                <w:szCs w:val="13"/>
              </w:rPr>
              <w:instrText>HYPERLINK  \l "_56_Forefront_Security"</w:instrText>
            </w:r>
            <w:r w:rsidRPr="001E1017">
              <w:rPr>
                <w:rFonts w:cs="Tahoma"/>
                <w:sz w:val="13"/>
                <w:szCs w:val="13"/>
              </w:rPr>
              <w:fldChar w:fldCharType="separate"/>
            </w:r>
            <w:r w:rsidRPr="001E1017">
              <w:rPr>
                <w:rStyle w:val="Hyperlink"/>
                <w:rFonts w:cs="Tahoma"/>
                <w:b/>
                <w:sz w:val="13"/>
                <w:szCs w:val="13"/>
              </w:rPr>
              <w:t>56</w:t>
            </w:r>
            <w:r w:rsidRPr="001E1017">
              <w:rPr>
                <w:rFonts w:cs="Tahoma"/>
                <w:sz w:val="13"/>
                <w:szCs w:val="13"/>
              </w:rPr>
              <w:fldChar w:fldCharType="end"/>
            </w:r>
          </w:p>
        </w:tc>
        <w:tc>
          <w:tcPr>
            <w:tcW w:w="450" w:type="dxa"/>
          </w:tcPr>
          <w:p w:rsidR="00A92422" w:rsidRPr="00D87B79" w:rsidRDefault="00A92422" w:rsidP="00EA30FC">
            <w:pPr>
              <w:pStyle w:val="TableText"/>
              <w:widowControl w:val="0"/>
              <w:spacing w:before="80"/>
              <w:rPr>
                <w:rFonts w:ascii="Tahoma" w:hAnsi="Tahoma" w:cs="Tahoma"/>
                <w:sz w:val="13"/>
              </w:rPr>
            </w:pPr>
          </w:p>
        </w:tc>
        <w:tc>
          <w:tcPr>
            <w:tcW w:w="360"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450" w:type="dxa"/>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504" w:type="dxa"/>
          </w:tcPr>
          <w:p w:rsidR="00A92422" w:rsidRPr="00D87B79" w:rsidRDefault="00A92422" w:rsidP="00EA30FC">
            <w:pPr>
              <w:pStyle w:val="TableText"/>
              <w:widowControl w:val="0"/>
              <w:spacing w:before="120"/>
              <w:rPr>
                <w:rFonts w:ascii="Tahoma" w:hAnsi="Tahoma" w:cs="Tahoma"/>
                <w:sz w:val="13"/>
              </w:rPr>
            </w:pPr>
          </w:p>
        </w:tc>
        <w:tc>
          <w:tcPr>
            <w:tcW w:w="486" w:type="dxa"/>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ABF8F"/>
          </w:tcPr>
          <w:p w:rsidR="00A92422" w:rsidRPr="00D87B79" w:rsidRDefault="00A92422" w:rsidP="00EA30FC">
            <w:pPr>
              <w:pStyle w:val="ProductNames"/>
              <w:rPr>
                <w:rFonts w:ascii="Tahoma" w:hAnsi="Tahoma" w:cs="Tahoma"/>
                <w:sz w:val="14"/>
              </w:rPr>
            </w:pPr>
            <w:bookmarkStart w:id="278" w:name="_Toc336337976"/>
            <w:bookmarkStart w:id="279" w:name="_Toc342900037"/>
            <w:bookmarkEnd w:id="278"/>
            <w:r w:rsidRPr="00D87B79">
              <w:rPr>
                <w:rFonts w:ascii="Tahoma" w:hAnsi="Tahoma" w:cs="Tahoma"/>
                <w:sz w:val="14"/>
                <w:lang w:val="it-IT"/>
              </w:rPr>
              <w:t>Forefront Protection 2010 for SharePoint (SL per Dispositivo e Utente)</w:t>
            </w:r>
            <w:bookmarkEnd w:id="279"/>
          </w:p>
        </w:tc>
        <w:tc>
          <w:tcPr>
            <w:tcW w:w="450" w:type="dxa"/>
            <w:shd w:val="clear" w:color="auto" w:fill="FABF8F"/>
            <w:vAlign w:val="center"/>
          </w:tcPr>
          <w:p w:rsidR="00A92422" w:rsidRPr="001E1017" w:rsidRDefault="00A92422" w:rsidP="00EA30FC">
            <w:pPr>
              <w:pStyle w:val="TableText"/>
              <w:widowControl w:val="0"/>
              <w:rPr>
                <w:rStyle w:val="EndnoteReference"/>
                <w:rFonts w:cs="Tahoma"/>
                <w:b w:val="0"/>
                <w:color w:val="000000"/>
                <w:sz w:val="13"/>
                <w:szCs w:val="13"/>
                <w:u w:val="single"/>
              </w:rPr>
            </w:pPr>
            <w:hyperlink w:anchor="_54_Forefront_Protection" w:history="1">
              <w:r w:rsidRPr="001E1017">
                <w:rPr>
                  <w:rStyle w:val="Hyperlink"/>
                  <w:rFonts w:cs="Tahoma"/>
                  <w:b/>
                  <w:sz w:val="13"/>
                  <w:szCs w:val="13"/>
                </w:rPr>
                <w:t>54</w:t>
              </w:r>
            </w:hyperlink>
          </w:p>
        </w:tc>
        <w:tc>
          <w:tcPr>
            <w:tcW w:w="450" w:type="dxa"/>
            <w:shd w:val="clear" w:color="auto" w:fill="FABF8F"/>
          </w:tcPr>
          <w:p w:rsidR="00A92422" w:rsidRPr="00D87B79" w:rsidRDefault="00A92422" w:rsidP="00EA30FC">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tcPr>
          <w:p w:rsidR="00A92422" w:rsidRPr="00D87B79" w:rsidRDefault="00A92422" w:rsidP="00EA30FC">
            <w:pPr>
              <w:pStyle w:val="TableText"/>
              <w:widowControl w:val="0"/>
              <w:spacing w:before="120"/>
              <w:rPr>
                <w:rFonts w:ascii="Tahoma" w:hAnsi="Tahoma" w:cs="Tahoma"/>
                <w:sz w:val="13"/>
              </w:rPr>
            </w:pP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tcPr>
          <w:p w:rsidR="00A92422" w:rsidRPr="00D87B79" w:rsidRDefault="00A92422" w:rsidP="00EA30FC">
            <w:pPr>
              <w:pStyle w:val="ProductNames"/>
              <w:rPr>
                <w:rFonts w:ascii="Tahoma" w:hAnsi="Tahoma" w:cs="Tahoma"/>
                <w:sz w:val="14"/>
              </w:rPr>
            </w:pPr>
            <w:bookmarkStart w:id="280" w:name="_Toc336337977"/>
            <w:bookmarkStart w:id="281" w:name="_Toc342900038"/>
            <w:bookmarkEnd w:id="280"/>
            <w:r w:rsidRPr="00D87B79">
              <w:rPr>
                <w:rFonts w:ascii="Tahoma" w:hAnsi="Tahoma" w:cs="Tahoma"/>
                <w:sz w:val="14"/>
                <w:lang w:val="it-IT"/>
              </w:rPr>
              <w:t>Forefront Protection 2010 for SharePoint per Siti Internet (SL Add-on)</w:t>
            </w:r>
            <w:bookmarkEnd w:id="281"/>
          </w:p>
        </w:tc>
        <w:tc>
          <w:tcPr>
            <w:tcW w:w="450" w:type="dxa"/>
            <w:vAlign w:val="center"/>
          </w:tcPr>
          <w:p w:rsidR="00A92422" w:rsidRPr="001E1017" w:rsidRDefault="00A92422" w:rsidP="00EA30FC">
            <w:pPr>
              <w:pStyle w:val="TableText"/>
              <w:widowControl w:val="0"/>
              <w:rPr>
                <w:rStyle w:val="EndnoteReference"/>
                <w:rFonts w:cs="Tahoma"/>
                <w:b w:val="0"/>
                <w:color w:val="000000"/>
                <w:sz w:val="13"/>
                <w:szCs w:val="13"/>
                <w:u w:val="single"/>
              </w:rPr>
            </w:pPr>
            <w:hyperlink w:anchor="_54_Forefront_Protection" w:history="1">
              <w:r w:rsidRPr="001E1017">
                <w:rPr>
                  <w:rStyle w:val="Hyperlink"/>
                  <w:rFonts w:cs="Tahoma"/>
                  <w:b/>
                  <w:sz w:val="13"/>
                  <w:szCs w:val="13"/>
                </w:rPr>
                <w:t>54</w:t>
              </w:r>
            </w:hyperlink>
          </w:p>
        </w:tc>
        <w:tc>
          <w:tcPr>
            <w:tcW w:w="450" w:type="dxa"/>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04/10</w:t>
            </w:r>
          </w:p>
        </w:tc>
        <w:tc>
          <w:tcPr>
            <w:tcW w:w="360"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2970" w:type="dxa"/>
            <w:gridSpan w:val="7"/>
            <w:tcBorders>
              <w:left w:val="single" w:sz="18" w:space="0" w:color="auto"/>
              <w:right w:val="single" w:sz="18" w:space="0" w:color="auto"/>
            </w:tcBorders>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25 crediti</w:t>
            </w:r>
          </w:p>
        </w:tc>
        <w:tc>
          <w:tcPr>
            <w:tcW w:w="450" w:type="dxa"/>
            <w:tcBorders>
              <w:lef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450" w:type="dxa"/>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25</w:t>
            </w:r>
          </w:p>
        </w:tc>
        <w:tc>
          <w:tcPr>
            <w:tcW w:w="450"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lang w:val="it-IT"/>
              </w:rPr>
              <w:t>A</w:t>
            </w:r>
          </w:p>
        </w:tc>
        <w:tc>
          <w:tcPr>
            <w:tcW w:w="486" w:type="dxa"/>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OV</w:t>
            </w:r>
          </w:p>
        </w:tc>
      </w:tr>
      <w:tr w:rsidR="00A92422" w:rsidRPr="00D87B79" w:rsidTr="00EA30FC">
        <w:trPr>
          <w:trHeight w:val="145"/>
        </w:trPr>
        <w:tc>
          <w:tcPr>
            <w:tcW w:w="2714" w:type="dxa"/>
            <w:shd w:val="clear" w:color="auto" w:fill="FABF8F"/>
          </w:tcPr>
          <w:p w:rsidR="00A92422" w:rsidRPr="00D87B79" w:rsidRDefault="00A92422" w:rsidP="00EA30FC">
            <w:pPr>
              <w:pStyle w:val="ProductNames"/>
              <w:rPr>
                <w:rFonts w:ascii="Tahoma" w:hAnsi="Tahoma" w:cs="Tahoma"/>
                <w:sz w:val="14"/>
              </w:rPr>
            </w:pPr>
            <w:bookmarkStart w:id="282" w:name="_Toc336337981"/>
            <w:bookmarkStart w:id="283" w:name="_Toc342900039"/>
            <w:bookmarkEnd w:id="282"/>
            <w:r w:rsidRPr="00D87B79">
              <w:rPr>
                <w:rFonts w:ascii="Tahoma" w:hAnsi="Tahoma" w:cs="Tahoma"/>
                <w:sz w:val="14"/>
                <w:lang w:val="it-IT"/>
              </w:rPr>
              <w:t>Forefront Threat Management Gateway Web Protection Services</w:t>
            </w:r>
            <w:bookmarkEnd w:id="283"/>
            <w:r w:rsidRPr="00D87B79">
              <w:rPr>
                <w:rFonts w:ascii="Tahoma" w:hAnsi="Tahoma" w:cs="Tahoma"/>
                <w:sz w:val="14"/>
              </w:rPr>
              <w:t xml:space="preserve"> </w:t>
            </w:r>
          </w:p>
        </w:tc>
        <w:tc>
          <w:tcPr>
            <w:tcW w:w="450" w:type="dxa"/>
            <w:shd w:val="clear" w:color="auto" w:fill="FABF8F"/>
            <w:vAlign w:val="center"/>
          </w:tcPr>
          <w:p w:rsidR="00A92422" w:rsidRPr="001E1017" w:rsidRDefault="00A92422" w:rsidP="00EA30FC">
            <w:pPr>
              <w:pStyle w:val="TableText"/>
              <w:widowControl w:val="0"/>
              <w:rPr>
                <w:rStyle w:val="EndnoteReference"/>
                <w:rFonts w:cs="Tahoma"/>
                <w:b w:val="0"/>
                <w:color w:val="0000FF"/>
                <w:sz w:val="13"/>
                <w:szCs w:val="13"/>
                <w:u w:val="single"/>
              </w:rPr>
            </w:pPr>
            <w:hyperlink w:anchor="_50__Forefront" w:history="1">
              <w:r w:rsidRPr="001E1017">
                <w:rPr>
                  <w:rStyle w:val="Hyperlink"/>
                  <w:rFonts w:cs="Tahoma"/>
                  <w:b/>
                  <w:sz w:val="13"/>
                  <w:szCs w:val="13"/>
                </w:rPr>
                <w:t>57</w:t>
              </w:r>
            </w:hyperlink>
          </w:p>
        </w:tc>
        <w:tc>
          <w:tcPr>
            <w:tcW w:w="450" w:type="dxa"/>
            <w:shd w:val="clear" w:color="auto" w:fill="FABF8F"/>
          </w:tcPr>
          <w:p w:rsidR="00A92422" w:rsidRPr="00D87B79" w:rsidRDefault="00A92422" w:rsidP="00EA30FC">
            <w:pPr>
              <w:pStyle w:val="TableText"/>
              <w:widowControl w:val="0"/>
              <w:spacing w:before="12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tcPr>
          <w:p w:rsidR="00A92422" w:rsidRPr="00D87B79" w:rsidRDefault="00A92422" w:rsidP="00EA30FC">
            <w:pPr>
              <w:pStyle w:val="TableText"/>
              <w:widowControl w:val="0"/>
              <w:spacing w:before="120"/>
              <w:rPr>
                <w:rFonts w:ascii="Tahoma" w:hAnsi="Tahoma" w:cs="Tahoma"/>
                <w:sz w:val="13"/>
              </w:rPr>
            </w:pP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FFFFF"/>
          </w:tcPr>
          <w:p w:rsidR="00A92422" w:rsidRPr="00D87B79" w:rsidRDefault="00A92422" w:rsidP="00EA30FC">
            <w:pPr>
              <w:pStyle w:val="ProductNames"/>
              <w:rPr>
                <w:rFonts w:ascii="Tahoma" w:hAnsi="Tahoma" w:cs="Tahoma"/>
                <w:sz w:val="14"/>
              </w:rPr>
            </w:pPr>
            <w:bookmarkStart w:id="284" w:name="_Toc336337982"/>
            <w:bookmarkStart w:id="285" w:name="_Toc342900040"/>
            <w:bookmarkEnd w:id="284"/>
            <w:r w:rsidRPr="00D87B79">
              <w:rPr>
                <w:rFonts w:ascii="Tahoma" w:hAnsi="Tahoma" w:cs="Tahoma"/>
                <w:sz w:val="14"/>
                <w:lang w:val="it-IT"/>
              </w:rPr>
              <w:t>Forefront Unified Access Gateway Server</w:t>
            </w:r>
            <w:r>
              <w:rPr>
                <w:rFonts w:ascii="Tahoma" w:hAnsi="Tahoma" w:cs="Tahoma"/>
                <w:sz w:val="14"/>
                <w:lang w:val="it-IT"/>
              </w:rPr>
              <w:t> </w:t>
            </w:r>
            <w:r w:rsidRPr="00D87B79">
              <w:rPr>
                <w:rFonts w:ascii="Tahoma" w:hAnsi="Tahoma" w:cs="Tahoma"/>
                <w:sz w:val="14"/>
                <w:lang w:val="it-IT"/>
              </w:rPr>
              <w:t>2010</w:t>
            </w:r>
            <w:bookmarkEnd w:id="285"/>
          </w:p>
        </w:tc>
        <w:tc>
          <w:tcPr>
            <w:tcW w:w="450" w:type="dxa"/>
            <w:shd w:val="clear" w:color="auto" w:fill="FFFFFF"/>
            <w:vAlign w:val="center"/>
          </w:tcPr>
          <w:p w:rsidR="00A92422" w:rsidRPr="001E1017" w:rsidRDefault="00A92422" w:rsidP="00EA30FC">
            <w:pPr>
              <w:pStyle w:val="TableText"/>
              <w:widowControl w:val="0"/>
              <w:rPr>
                <w:rFonts w:cs="Tahoma"/>
                <w:b/>
                <w:color w:val="000000"/>
                <w:sz w:val="13"/>
                <w:szCs w:val="13"/>
                <w:u w:val="single"/>
              </w:rPr>
            </w:pPr>
            <w:hyperlink w:anchor="_58_Forefront_Unified" w:history="1">
              <w:r w:rsidRPr="001E1017">
                <w:rPr>
                  <w:rStyle w:val="Hyperlink"/>
                  <w:rFonts w:cs="Tahoma"/>
                  <w:b/>
                  <w:sz w:val="13"/>
                  <w:szCs w:val="13"/>
                </w:rPr>
                <w:t>58</w:t>
              </w:r>
            </w:hyperlink>
          </w:p>
        </w:tc>
        <w:tc>
          <w:tcPr>
            <w:tcW w:w="450" w:type="dxa"/>
            <w:shd w:val="clear" w:color="auto" w:fill="FFFFFF"/>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01/10</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3</w:t>
            </w: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2</w:t>
            </w: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2</w:t>
            </w: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2</w:t>
            </w: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2</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A</w:t>
            </w: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FFFFF"/>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lang w:val="it-IT"/>
              </w:rPr>
              <w:t>A</w:t>
            </w:r>
          </w:p>
        </w:tc>
        <w:tc>
          <w:tcPr>
            <w:tcW w:w="486" w:type="dxa"/>
            <w:shd w:val="clear" w:color="auto" w:fill="FFFFF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ABF8F"/>
          </w:tcPr>
          <w:p w:rsidR="00A92422" w:rsidRPr="00D87B79" w:rsidRDefault="00A92422" w:rsidP="00EA30FC">
            <w:pPr>
              <w:pStyle w:val="ProductNames"/>
              <w:rPr>
                <w:rFonts w:ascii="Tahoma" w:hAnsi="Tahoma" w:cs="Tahoma"/>
                <w:sz w:val="14"/>
              </w:rPr>
            </w:pPr>
            <w:bookmarkStart w:id="286" w:name="_Toc336337983"/>
            <w:bookmarkStart w:id="287" w:name="_Toc342900041"/>
            <w:bookmarkEnd w:id="286"/>
            <w:r w:rsidRPr="00D87B79">
              <w:rPr>
                <w:rFonts w:ascii="Tahoma" w:hAnsi="Tahoma" w:cs="Tahoma"/>
                <w:sz w:val="14"/>
                <w:lang w:val="it-IT"/>
              </w:rPr>
              <w:t>External Connector per Forefront Unified Access Gateway 2010</w:t>
            </w:r>
            <w:bookmarkEnd w:id="287"/>
          </w:p>
        </w:tc>
        <w:tc>
          <w:tcPr>
            <w:tcW w:w="450" w:type="dxa"/>
            <w:shd w:val="clear" w:color="auto" w:fill="FABF8F"/>
            <w:vAlign w:val="center"/>
          </w:tcPr>
          <w:p w:rsidR="00A92422" w:rsidRPr="001E1017" w:rsidRDefault="00A92422" w:rsidP="00EA30FC">
            <w:pPr>
              <w:pStyle w:val="TableText"/>
              <w:widowControl w:val="0"/>
              <w:rPr>
                <w:rFonts w:cs="Tahoma"/>
                <w:b/>
                <w:color w:val="000000"/>
                <w:sz w:val="13"/>
                <w:szCs w:val="13"/>
                <w:u w:val="single"/>
              </w:rPr>
            </w:pPr>
            <w:hyperlink w:anchor="_58_Forefront_Unified" w:history="1">
              <w:r w:rsidRPr="001E1017">
                <w:rPr>
                  <w:rStyle w:val="Hyperlink"/>
                  <w:rFonts w:cs="Tahoma"/>
                  <w:b/>
                  <w:sz w:val="13"/>
                  <w:szCs w:val="13"/>
                </w:rPr>
                <w:t>58</w:t>
              </w:r>
            </w:hyperlink>
          </w:p>
        </w:tc>
        <w:tc>
          <w:tcPr>
            <w:tcW w:w="450" w:type="dxa"/>
            <w:shd w:val="clear" w:color="auto" w:fill="FABF8F"/>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01/10</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200</w:t>
            </w: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500</w:t>
            </w: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400</w:t>
            </w: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300</w:t>
            </w: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300</w:t>
            </w: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200</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100</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200</w:t>
            </w: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400</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200</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200</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A</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ABF8F"/>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lang w:val="it-IT"/>
              </w:rPr>
              <w:t>A</w:t>
            </w: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OL/OV</w:t>
            </w:r>
          </w:p>
        </w:tc>
      </w:tr>
      <w:tr w:rsidR="00A92422" w:rsidRPr="00D87B79" w:rsidTr="00EA30FC">
        <w:trPr>
          <w:trHeight w:val="145"/>
        </w:trPr>
        <w:tc>
          <w:tcPr>
            <w:tcW w:w="2714" w:type="dxa"/>
            <w:shd w:val="clear" w:color="auto" w:fill="FFFFFF"/>
          </w:tcPr>
          <w:p w:rsidR="00A92422" w:rsidRPr="00D87B79" w:rsidRDefault="00A92422" w:rsidP="00EA30FC">
            <w:pPr>
              <w:pStyle w:val="ProductNames"/>
              <w:rPr>
                <w:rFonts w:ascii="Tahoma" w:hAnsi="Tahoma" w:cs="Tahoma"/>
                <w:sz w:val="14"/>
              </w:rPr>
            </w:pPr>
            <w:bookmarkStart w:id="288" w:name="_Toc336337984"/>
            <w:bookmarkStart w:id="289" w:name="_Toc342900042"/>
            <w:bookmarkEnd w:id="288"/>
            <w:r w:rsidRPr="00D87B79">
              <w:rPr>
                <w:rFonts w:ascii="Tahoma" w:hAnsi="Tahoma" w:cs="Tahoma"/>
                <w:sz w:val="14"/>
                <w:lang w:val="it-IT"/>
              </w:rPr>
              <w:t>CAL per Forefront Unified Access Gateway</w:t>
            </w:r>
            <w:r>
              <w:rPr>
                <w:rFonts w:ascii="Tahoma" w:hAnsi="Tahoma" w:cs="Tahoma"/>
                <w:sz w:val="14"/>
                <w:lang w:val="it-IT"/>
              </w:rPr>
              <w:t> </w:t>
            </w:r>
            <w:r w:rsidRPr="00D87B79">
              <w:rPr>
                <w:rFonts w:ascii="Tahoma" w:hAnsi="Tahoma" w:cs="Tahoma"/>
                <w:sz w:val="14"/>
                <w:lang w:val="it-IT"/>
              </w:rPr>
              <w:t>2010</w:t>
            </w:r>
            <w:bookmarkEnd w:id="289"/>
            <w:r w:rsidRPr="00D87B79">
              <w:rPr>
                <w:rFonts w:ascii="Tahoma" w:hAnsi="Tahoma" w:cs="Tahoma"/>
                <w:sz w:val="14"/>
              </w:rPr>
              <w:t xml:space="preserve"> </w:t>
            </w:r>
          </w:p>
        </w:tc>
        <w:tc>
          <w:tcPr>
            <w:tcW w:w="450" w:type="dxa"/>
            <w:shd w:val="clear" w:color="auto" w:fill="FFFFFF"/>
            <w:vAlign w:val="center"/>
          </w:tcPr>
          <w:p w:rsidR="00A92422" w:rsidRPr="001E1017" w:rsidRDefault="00A92422" w:rsidP="00EA30FC">
            <w:pPr>
              <w:pStyle w:val="TableText"/>
              <w:widowControl w:val="0"/>
              <w:rPr>
                <w:rFonts w:cs="Tahoma"/>
                <w:b/>
                <w:color w:val="000000"/>
                <w:sz w:val="13"/>
                <w:szCs w:val="13"/>
                <w:u w:val="single"/>
              </w:rPr>
            </w:pPr>
            <w:hyperlink w:anchor="_58_Forefront_Unified" w:history="1">
              <w:r w:rsidRPr="001E1017">
                <w:rPr>
                  <w:rStyle w:val="Hyperlink"/>
                  <w:rFonts w:cs="Tahoma"/>
                  <w:b/>
                  <w:sz w:val="13"/>
                  <w:szCs w:val="13"/>
                </w:rPr>
                <w:t>58</w:t>
              </w:r>
            </w:hyperlink>
          </w:p>
        </w:tc>
        <w:tc>
          <w:tcPr>
            <w:tcW w:w="450" w:type="dxa"/>
            <w:shd w:val="clear" w:color="auto" w:fill="FFFFFF"/>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01/10</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3</w:t>
            </w: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2</w:t>
            </w: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2</w:t>
            </w: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2</w:t>
            </w: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2</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A</w:t>
            </w: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FFFFF"/>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lang w:val="it-IT"/>
              </w:rPr>
              <w:t>AO, ST</w:t>
            </w:r>
          </w:p>
        </w:tc>
        <w:tc>
          <w:tcPr>
            <w:tcW w:w="486" w:type="dxa"/>
            <w:shd w:val="clear" w:color="auto" w:fill="FFFFF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ABF8F"/>
          </w:tcPr>
          <w:p w:rsidR="00A92422" w:rsidRPr="00D87B79" w:rsidRDefault="00A92422" w:rsidP="00EA30FC">
            <w:pPr>
              <w:pStyle w:val="ProductNames"/>
              <w:rPr>
                <w:rFonts w:ascii="Tahoma" w:hAnsi="Tahoma" w:cs="Tahoma"/>
                <w:sz w:val="14"/>
              </w:rPr>
            </w:pPr>
            <w:bookmarkStart w:id="290" w:name="_Toc336337985"/>
            <w:bookmarkStart w:id="291" w:name="_Toc342900043"/>
            <w:bookmarkEnd w:id="290"/>
            <w:r w:rsidRPr="00D87B79">
              <w:rPr>
                <w:rFonts w:ascii="Tahoma" w:hAnsi="Tahoma" w:cs="Tahoma"/>
                <w:sz w:val="14"/>
                <w:lang w:val="it-IT"/>
              </w:rPr>
              <w:t>Pacchetto di 10.000 CAL per Forefront Unified Access Gateway 2010</w:t>
            </w:r>
            <w:bookmarkEnd w:id="291"/>
          </w:p>
        </w:tc>
        <w:tc>
          <w:tcPr>
            <w:tcW w:w="450" w:type="dxa"/>
            <w:shd w:val="clear" w:color="auto" w:fill="FABF8F"/>
            <w:vAlign w:val="center"/>
          </w:tcPr>
          <w:p w:rsidR="00A92422" w:rsidRPr="001E1017" w:rsidRDefault="00A92422" w:rsidP="00EA30FC">
            <w:pPr>
              <w:pStyle w:val="TableText"/>
              <w:widowControl w:val="0"/>
              <w:rPr>
                <w:rFonts w:cs="Tahoma"/>
                <w:b/>
                <w:color w:val="000000"/>
                <w:sz w:val="13"/>
                <w:szCs w:val="13"/>
                <w:u w:val="single"/>
              </w:rPr>
            </w:pPr>
            <w:hyperlink w:anchor="_58_Forefront_Unified" w:history="1">
              <w:r w:rsidRPr="001E1017">
                <w:rPr>
                  <w:rStyle w:val="Hyperlink"/>
                  <w:rFonts w:cs="Tahoma"/>
                  <w:b/>
                  <w:sz w:val="13"/>
                  <w:szCs w:val="13"/>
                </w:rPr>
                <w:t>58</w:t>
              </w:r>
            </w:hyperlink>
          </w:p>
        </w:tc>
        <w:tc>
          <w:tcPr>
            <w:tcW w:w="450" w:type="dxa"/>
            <w:shd w:val="clear" w:color="auto" w:fill="FABF8F"/>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01/10</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200</w:t>
            </w: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500</w:t>
            </w: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400</w:t>
            </w: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300</w:t>
            </w: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300</w:t>
            </w: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200</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100</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A</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tcPr>
          <w:p w:rsidR="00A92422" w:rsidRPr="00D87B79" w:rsidRDefault="00A92422" w:rsidP="00EA30FC">
            <w:pPr>
              <w:pStyle w:val="TableText"/>
              <w:widowControl w:val="0"/>
              <w:spacing w:before="120"/>
              <w:rPr>
                <w:rFonts w:ascii="Tahoma" w:hAnsi="Tahoma" w:cs="Tahoma"/>
                <w:sz w:val="13"/>
              </w:rPr>
            </w:pP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FFFFF"/>
          </w:tcPr>
          <w:p w:rsidR="00A92422" w:rsidRPr="00D87B79" w:rsidRDefault="00A92422" w:rsidP="00EA30FC">
            <w:pPr>
              <w:pStyle w:val="ProductNames"/>
              <w:rPr>
                <w:rFonts w:ascii="Tahoma" w:hAnsi="Tahoma" w:cs="Tahoma"/>
                <w:sz w:val="14"/>
              </w:rPr>
            </w:pPr>
            <w:bookmarkStart w:id="292" w:name="_Toc336337986"/>
            <w:bookmarkStart w:id="293" w:name="_Toc342900044"/>
            <w:bookmarkEnd w:id="292"/>
            <w:r w:rsidRPr="00D87B79">
              <w:rPr>
                <w:rFonts w:ascii="Tahoma" w:hAnsi="Tahoma" w:cs="Tahoma"/>
                <w:sz w:val="14"/>
                <w:lang w:val="it-IT"/>
              </w:rPr>
              <w:t>GeoSynth Server</w:t>
            </w:r>
            <w:bookmarkEnd w:id="293"/>
          </w:p>
        </w:tc>
        <w:tc>
          <w:tcPr>
            <w:tcW w:w="450" w:type="dxa"/>
            <w:shd w:val="clear" w:color="auto" w:fill="FFFFFF"/>
            <w:vAlign w:val="center"/>
          </w:tcPr>
          <w:p w:rsidR="00A92422" w:rsidRPr="001E1017" w:rsidRDefault="00A92422" w:rsidP="00EA30FC">
            <w:pPr>
              <w:pStyle w:val="TableText"/>
              <w:widowControl w:val="0"/>
              <w:rPr>
                <w:rFonts w:cs="Tahoma"/>
                <w:b/>
                <w:color w:val="000000"/>
                <w:sz w:val="13"/>
                <w:szCs w:val="13"/>
                <w:u w:val="single"/>
              </w:rPr>
            </w:pPr>
          </w:p>
        </w:tc>
        <w:tc>
          <w:tcPr>
            <w:tcW w:w="450" w:type="dxa"/>
            <w:shd w:val="clear" w:color="auto" w:fill="FFFFFF"/>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05/10</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125 crediti</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FFFFF"/>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lang w:val="it-IT"/>
              </w:rPr>
              <w:t>A</w:t>
            </w:r>
          </w:p>
        </w:tc>
        <w:tc>
          <w:tcPr>
            <w:tcW w:w="486" w:type="dxa"/>
            <w:shd w:val="clear" w:color="auto" w:fill="FFFFF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ABF8F"/>
          </w:tcPr>
          <w:p w:rsidR="00A92422" w:rsidRPr="00D87B79" w:rsidRDefault="00A92422" w:rsidP="00EA30FC">
            <w:pPr>
              <w:pStyle w:val="ProductNames"/>
              <w:rPr>
                <w:rFonts w:ascii="Tahoma" w:hAnsi="Tahoma" w:cs="Tahoma"/>
                <w:sz w:val="14"/>
              </w:rPr>
            </w:pPr>
            <w:bookmarkStart w:id="294" w:name="_Toc336337990"/>
            <w:bookmarkStart w:id="295" w:name="_Toc342900045"/>
            <w:bookmarkEnd w:id="294"/>
            <w:r w:rsidRPr="00D87B79">
              <w:rPr>
                <w:rFonts w:ascii="Tahoma" w:hAnsi="Tahoma" w:cs="Tahoma"/>
                <w:sz w:val="14"/>
                <w:lang w:val="it-IT"/>
              </w:rPr>
              <w:t>HPC Pack 2008 R2 Enterprise</w:t>
            </w:r>
            <w:bookmarkEnd w:id="295"/>
          </w:p>
        </w:tc>
        <w:tc>
          <w:tcPr>
            <w:tcW w:w="450" w:type="dxa"/>
            <w:shd w:val="clear" w:color="auto" w:fill="FABF8F"/>
            <w:vAlign w:val="center"/>
          </w:tcPr>
          <w:p w:rsidR="00A92422" w:rsidRPr="001E1017" w:rsidRDefault="00A92422" w:rsidP="00EA30FC">
            <w:pPr>
              <w:pStyle w:val="TableText"/>
              <w:widowControl w:val="0"/>
              <w:rPr>
                <w:rStyle w:val="EndnoteReference"/>
                <w:rFonts w:cs="Tahoma"/>
                <w:color w:val="000000"/>
                <w:sz w:val="13"/>
                <w:szCs w:val="13"/>
                <w:u w:val="single"/>
              </w:rPr>
            </w:pPr>
            <w:hyperlink w:anchor="_59_HPC_Pack" w:history="1">
              <w:r w:rsidRPr="001E1017">
                <w:rPr>
                  <w:rStyle w:val="Hyperlink"/>
                  <w:rFonts w:cs="Tahoma"/>
                  <w:b/>
                  <w:sz w:val="13"/>
                  <w:szCs w:val="13"/>
                </w:rPr>
                <w:t>59</w:t>
              </w:r>
            </w:hyperlink>
          </w:p>
        </w:tc>
        <w:tc>
          <w:tcPr>
            <w:tcW w:w="450" w:type="dxa"/>
            <w:shd w:val="clear" w:color="auto" w:fill="FABF8F"/>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09/10</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tcPr>
          <w:p w:rsidR="00A92422" w:rsidRPr="00D87B79" w:rsidRDefault="00A92422" w:rsidP="00EA30FC">
            <w:pPr>
              <w:pStyle w:val="TableText"/>
              <w:widowControl w:val="0"/>
              <w:spacing w:before="120"/>
              <w:rPr>
                <w:rFonts w:ascii="Tahoma" w:hAnsi="Tahoma" w:cs="Tahoma"/>
                <w:sz w:val="13"/>
              </w:rPr>
            </w:pP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tcPr>
          <w:p w:rsidR="00A92422" w:rsidRPr="00D87B79" w:rsidRDefault="00A92422" w:rsidP="00EA30FC">
            <w:pPr>
              <w:pStyle w:val="ProductNames"/>
              <w:rPr>
                <w:rFonts w:ascii="Tahoma" w:hAnsi="Tahoma" w:cs="Tahoma"/>
                <w:sz w:val="14"/>
              </w:rPr>
            </w:pPr>
            <w:bookmarkStart w:id="296" w:name="_Toc336337991"/>
            <w:bookmarkStart w:id="297" w:name="_Toc342900046"/>
            <w:bookmarkEnd w:id="296"/>
            <w:r w:rsidRPr="00D87B79">
              <w:rPr>
                <w:rFonts w:ascii="Tahoma" w:hAnsi="Tahoma" w:cs="Tahoma"/>
                <w:sz w:val="14"/>
                <w:lang w:val="it-IT"/>
              </w:rPr>
              <w:t>HPC Pack 2008 R2 per Workstation</w:t>
            </w:r>
            <w:bookmarkEnd w:id="297"/>
          </w:p>
        </w:tc>
        <w:tc>
          <w:tcPr>
            <w:tcW w:w="450" w:type="dxa"/>
            <w:vAlign w:val="center"/>
          </w:tcPr>
          <w:p w:rsidR="00A92422" w:rsidRPr="001E1017" w:rsidRDefault="00A92422" w:rsidP="00EA30FC">
            <w:pPr>
              <w:pStyle w:val="TableText"/>
              <w:widowControl w:val="0"/>
              <w:rPr>
                <w:rStyle w:val="EndnoteReference"/>
                <w:rFonts w:cs="Tahoma"/>
                <w:color w:val="000000"/>
                <w:sz w:val="13"/>
                <w:szCs w:val="13"/>
                <w:u w:val="single"/>
              </w:rPr>
            </w:pPr>
            <w:hyperlink w:anchor="_59_HPC_Pack" w:history="1">
              <w:r w:rsidRPr="001E1017">
                <w:rPr>
                  <w:rStyle w:val="Hyperlink"/>
                  <w:rFonts w:cs="Tahoma"/>
                  <w:b/>
                  <w:sz w:val="13"/>
                  <w:szCs w:val="13"/>
                </w:rPr>
                <w:t>59</w:t>
              </w:r>
            </w:hyperlink>
          </w:p>
        </w:tc>
        <w:tc>
          <w:tcPr>
            <w:tcW w:w="450" w:type="dxa"/>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09/10</w:t>
            </w:r>
          </w:p>
        </w:tc>
        <w:tc>
          <w:tcPr>
            <w:tcW w:w="360"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vAlign w:val="center"/>
          </w:tcPr>
          <w:p w:rsidR="00A92422" w:rsidRPr="00D87B79" w:rsidRDefault="00A92422" w:rsidP="00EA30FC">
            <w:pPr>
              <w:pStyle w:val="TableText"/>
              <w:widowControl w:val="0"/>
              <w:rPr>
                <w:rFonts w:ascii="Tahoma" w:hAnsi="Tahoma" w:cs="Tahoma"/>
                <w:color w:val="000000"/>
                <w:sz w:val="13"/>
              </w:rPr>
            </w:pPr>
          </w:p>
        </w:tc>
        <w:tc>
          <w:tcPr>
            <w:tcW w:w="450" w:type="dxa"/>
            <w:vAlign w:val="center"/>
          </w:tcPr>
          <w:p w:rsidR="00A92422" w:rsidRPr="00D87B79" w:rsidRDefault="00A92422" w:rsidP="00EA30FC">
            <w:pPr>
              <w:pStyle w:val="TableText"/>
              <w:widowControl w:val="0"/>
              <w:rPr>
                <w:rFonts w:ascii="Tahoma" w:hAnsi="Tahoma" w:cs="Tahoma"/>
                <w:color w:val="000000"/>
                <w:sz w:val="13"/>
              </w:rPr>
            </w:pPr>
          </w:p>
        </w:tc>
        <w:tc>
          <w:tcPr>
            <w:tcW w:w="450" w:type="dxa"/>
            <w:vAlign w:val="center"/>
          </w:tcPr>
          <w:p w:rsidR="00A92422" w:rsidRPr="00D87B79" w:rsidRDefault="00A92422" w:rsidP="00EA30FC">
            <w:pPr>
              <w:pStyle w:val="TableText"/>
              <w:widowControl w:val="0"/>
              <w:rPr>
                <w:rFonts w:ascii="Tahoma" w:hAnsi="Tahoma" w:cs="Tahoma"/>
                <w:color w:val="000000"/>
                <w:sz w:val="13"/>
              </w:rPr>
            </w:pPr>
          </w:p>
        </w:tc>
        <w:tc>
          <w:tcPr>
            <w:tcW w:w="450" w:type="dxa"/>
            <w:vAlign w:val="center"/>
          </w:tcPr>
          <w:p w:rsidR="00A92422" w:rsidRPr="00D87B79" w:rsidRDefault="00A92422" w:rsidP="00EA30FC">
            <w:pPr>
              <w:pStyle w:val="TableText"/>
              <w:widowControl w:val="0"/>
              <w:rPr>
                <w:rFonts w:ascii="Tahoma" w:hAnsi="Tahoma" w:cs="Tahoma"/>
                <w:color w:val="000000"/>
                <w:sz w:val="13"/>
              </w:rPr>
            </w:pPr>
          </w:p>
        </w:tc>
        <w:tc>
          <w:tcPr>
            <w:tcW w:w="450" w:type="dxa"/>
            <w:vAlign w:val="center"/>
          </w:tcPr>
          <w:p w:rsidR="00A92422" w:rsidRPr="00D87B79" w:rsidRDefault="00A92422" w:rsidP="00EA30FC">
            <w:pPr>
              <w:pStyle w:val="TableText"/>
              <w:widowControl w:val="0"/>
              <w:rPr>
                <w:rFonts w:ascii="Tahoma" w:hAnsi="Tahoma" w:cs="Tahoma"/>
                <w:color w:val="000000"/>
                <w:sz w:val="13"/>
              </w:rPr>
            </w:pPr>
          </w:p>
        </w:tc>
        <w:tc>
          <w:tcPr>
            <w:tcW w:w="450" w:type="dxa"/>
            <w:vAlign w:val="center"/>
          </w:tcPr>
          <w:p w:rsidR="00A92422" w:rsidRPr="00D87B79" w:rsidRDefault="00A92422" w:rsidP="00EA30FC">
            <w:pPr>
              <w:pStyle w:val="TableText"/>
              <w:widowControl w:val="0"/>
              <w:rPr>
                <w:rFonts w:ascii="Tahoma" w:hAnsi="Tahoma" w:cs="Tahoma"/>
                <w:color w:val="000000"/>
                <w:sz w:val="13"/>
              </w:rPr>
            </w:pPr>
          </w:p>
        </w:tc>
        <w:tc>
          <w:tcPr>
            <w:tcW w:w="360" w:type="dxa"/>
            <w:tcBorders>
              <w:right w:val="single" w:sz="18" w:space="0" w:color="auto"/>
            </w:tcBorders>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left w:val="single" w:sz="18" w:space="0" w:color="auto"/>
            </w:tcBorders>
            <w:vAlign w:val="center"/>
          </w:tcPr>
          <w:p w:rsidR="00A92422" w:rsidRPr="00D87B79" w:rsidRDefault="00A92422" w:rsidP="00EA30FC">
            <w:pPr>
              <w:pStyle w:val="TableText"/>
              <w:widowControl w:val="0"/>
              <w:rPr>
                <w:rFonts w:ascii="Tahoma" w:hAnsi="Tahoma" w:cs="Tahoma"/>
                <w:color w:val="000000"/>
                <w:sz w:val="13"/>
              </w:rPr>
            </w:pPr>
          </w:p>
        </w:tc>
        <w:tc>
          <w:tcPr>
            <w:tcW w:w="450" w:type="dxa"/>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right w:val="single" w:sz="18" w:space="0" w:color="auto"/>
            </w:tcBorders>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left w:val="single" w:sz="18" w:space="0" w:color="auto"/>
            </w:tcBorders>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right w:val="single" w:sz="18" w:space="0" w:color="auto"/>
            </w:tcBorders>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504" w:type="dxa"/>
          </w:tcPr>
          <w:p w:rsidR="00A92422" w:rsidRPr="00D87B79" w:rsidRDefault="00A92422" w:rsidP="00EA30FC">
            <w:pPr>
              <w:pStyle w:val="TableText"/>
              <w:widowControl w:val="0"/>
              <w:spacing w:before="120"/>
              <w:rPr>
                <w:rFonts w:ascii="Tahoma" w:hAnsi="Tahoma" w:cs="Tahoma"/>
                <w:sz w:val="13"/>
              </w:rPr>
            </w:pPr>
          </w:p>
        </w:tc>
        <w:tc>
          <w:tcPr>
            <w:tcW w:w="486" w:type="dxa"/>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ABF8F"/>
          </w:tcPr>
          <w:p w:rsidR="00A92422" w:rsidRPr="00D87B79" w:rsidRDefault="00A92422" w:rsidP="00EA30FC">
            <w:pPr>
              <w:pStyle w:val="ProductNames"/>
              <w:rPr>
                <w:rFonts w:ascii="Tahoma" w:hAnsi="Tahoma" w:cs="Tahoma"/>
                <w:sz w:val="14"/>
              </w:rPr>
            </w:pPr>
            <w:bookmarkStart w:id="298" w:name="_Toc336337992"/>
            <w:bookmarkStart w:id="299" w:name="_Toc342900047"/>
            <w:bookmarkEnd w:id="298"/>
            <w:r w:rsidRPr="00D87B79">
              <w:rPr>
                <w:rFonts w:ascii="Tahoma" w:hAnsi="Tahoma" w:cs="Tahoma"/>
                <w:sz w:val="14"/>
                <w:lang w:val="it-IT"/>
              </w:rPr>
              <w:t xml:space="preserve">Learning Solutions Combination </w:t>
            </w:r>
            <w:r>
              <w:rPr>
                <w:rFonts w:ascii="Tahoma" w:hAnsi="Tahoma" w:cs="Tahoma"/>
                <w:sz w:val="14"/>
                <w:lang w:val="it-IT"/>
              </w:rPr>
              <w:br/>
            </w:r>
            <w:r w:rsidRPr="00D87B79">
              <w:rPr>
                <w:rFonts w:ascii="Tahoma" w:hAnsi="Tahoma" w:cs="Tahoma"/>
                <w:sz w:val="14"/>
                <w:lang w:val="it-IT"/>
              </w:rPr>
              <w:t>E-Reference Library (SL per Utente)</w:t>
            </w:r>
            <w:bookmarkEnd w:id="299"/>
          </w:p>
        </w:tc>
        <w:tc>
          <w:tcPr>
            <w:tcW w:w="450" w:type="dxa"/>
            <w:shd w:val="clear" w:color="auto" w:fill="FABF8F"/>
            <w:vAlign w:val="center"/>
          </w:tcPr>
          <w:p w:rsidR="00A92422" w:rsidRPr="001E1017" w:rsidRDefault="00A92422" w:rsidP="00EA30FC">
            <w:pPr>
              <w:pStyle w:val="TableText"/>
              <w:widowControl w:val="0"/>
              <w:rPr>
                <w:rStyle w:val="EndnoteReference"/>
                <w:rFonts w:cs="Tahoma"/>
                <w:color w:val="000000"/>
                <w:sz w:val="13"/>
                <w:szCs w:val="13"/>
                <w:u w:val="single"/>
              </w:rPr>
            </w:pPr>
          </w:p>
        </w:tc>
        <w:tc>
          <w:tcPr>
            <w:tcW w:w="450" w:type="dxa"/>
            <w:shd w:val="clear" w:color="auto" w:fill="FABF8F"/>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12/07</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1 punto</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lang w:val="it-IT"/>
              </w:rPr>
              <w:t>A</w:t>
            </w: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auto"/>
            <w:vAlign w:val="bottom"/>
          </w:tcPr>
          <w:p w:rsidR="00A92422" w:rsidRPr="00D87B79" w:rsidRDefault="00A92422" w:rsidP="00EA30FC">
            <w:pPr>
              <w:pStyle w:val="ProductNames"/>
              <w:rPr>
                <w:rFonts w:ascii="Tahoma" w:hAnsi="Tahoma" w:cs="Tahoma"/>
                <w:sz w:val="14"/>
              </w:rPr>
            </w:pPr>
            <w:bookmarkStart w:id="300" w:name="_Toc336337993"/>
            <w:bookmarkStart w:id="301" w:name="_Toc342900048"/>
            <w:bookmarkEnd w:id="300"/>
            <w:r w:rsidRPr="00D87B79">
              <w:rPr>
                <w:rFonts w:ascii="Tahoma" w:hAnsi="Tahoma" w:cs="Tahoma"/>
                <w:sz w:val="14"/>
                <w:lang w:val="it-IT"/>
              </w:rPr>
              <w:t xml:space="preserve">Learning Solutions IT Academy </w:t>
            </w:r>
            <w:r>
              <w:rPr>
                <w:rFonts w:ascii="Tahoma" w:hAnsi="Tahoma" w:cs="Tahoma"/>
                <w:sz w:val="14"/>
                <w:lang w:val="it-IT"/>
              </w:rPr>
              <w:br/>
            </w:r>
            <w:r w:rsidRPr="00D87B79">
              <w:rPr>
                <w:rFonts w:ascii="Tahoma" w:hAnsi="Tahoma" w:cs="Tahoma"/>
                <w:sz w:val="14"/>
                <w:lang w:val="it-IT"/>
              </w:rPr>
              <w:t>(SL Servizi)</w:t>
            </w:r>
            <w:bookmarkEnd w:id="301"/>
          </w:p>
        </w:tc>
        <w:tc>
          <w:tcPr>
            <w:tcW w:w="450" w:type="dxa"/>
            <w:shd w:val="clear" w:color="auto" w:fill="auto"/>
            <w:vAlign w:val="center"/>
          </w:tcPr>
          <w:p w:rsidR="00A92422" w:rsidRPr="001E1017" w:rsidRDefault="00A92422" w:rsidP="00EA30FC">
            <w:pPr>
              <w:pStyle w:val="TableText"/>
              <w:widowControl w:val="0"/>
              <w:rPr>
                <w:rFonts w:cs="Tahoma"/>
                <w:b/>
                <w:color w:val="000000"/>
                <w:sz w:val="13"/>
                <w:szCs w:val="13"/>
                <w:u w:val="single"/>
              </w:rPr>
            </w:pPr>
          </w:p>
        </w:tc>
        <w:tc>
          <w:tcPr>
            <w:tcW w:w="450" w:type="dxa"/>
            <w:shd w:val="clear" w:color="auto" w:fill="auto"/>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01/10</w:t>
            </w:r>
          </w:p>
        </w:tc>
        <w:tc>
          <w:tcPr>
            <w:tcW w:w="36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75 crediti</w:t>
            </w:r>
          </w:p>
        </w:tc>
        <w:tc>
          <w:tcPr>
            <w:tcW w:w="45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75</w:t>
            </w:r>
          </w:p>
        </w:tc>
        <w:tc>
          <w:tcPr>
            <w:tcW w:w="45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auto"/>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lang w:val="it-IT"/>
              </w:rPr>
              <w:t>A</w:t>
            </w:r>
          </w:p>
        </w:tc>
        <w:tc>
          <w:tcPr>
            <w:tcW w:w="486" w:type="dxa"/>
            <w:shd w:val="clear" w:color="auto" w:fill="auto"/>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ABF8F"/>
            <w:vAlign w:val="bottom"/>
          </w:tcPr>
          <w:p w:rsidR="00A92422" w:rsidRPr="00D87B79" w:rsidRDefault="00A92422" w:rsidP="00EA30FC">
            <w:pPr>
              <w:pStyle w:val="ProductNames"/>
              <w:rPr>
                <w:rFonts w:ascii="Tahoma" w:hAnsi="Tahoma" w:cs="Tahoma"/>
                <w:sz w:val="14"/>
              </w:rPr>
            </w:pPr>
            <w:bookmarkStart w:id="302" w:name="_Toc336337994"/>
            <w:bookmarkStart w:id="303" w:name="_Toc342900049"/>
            <w:bookmarkEnd w:id="302"/>
            <w:r w:rsidRPr="00D87B79">
              <w:rPr>
                <w:rFonts w:ascii="Tahoma" w:hAnsi="Tahoma" w:cs="Tahoma"/>
                <w:sz w:val="14"/>
                <w:lang w:val="it-IT"/>
              </w:rPr>
              <w:t>Learning Solutions MCP 1 Exam Vouchers/Month (SL Servizi)</w:t>
            </w:r>
            <w:bookmarkEnd w:id="303"/>
          </w:p>
        </w:tc>
        <w:tc>
          <w:tcPr>
            <w:tcW w:w="450" w:type="dxa"/>
            <w:shd w:val="clear" w:color="auto" w:fill="FABF8F"/>
            <w:vAlign w:val="center"/>
          </w:tcPr>
          <w:p w:rsidR="00A92422" w:rsidRPr="001E1017" w:rsidRDefault="00A92422" w:rsidP="00EA30FC">
            <w:pPr>
              <w:pStyle w:val="TableText"/>
              <w:widowControl w:val="0"/>
              <w:rPr>
                <w:rStyle w:val="EndnoteReference"/>
                <w:rFonts w:cs="Tahoma"/>
                <w:color w:val="000000"/>
                <w:sz w:val="13"/>
                <w:szCs w:val="13"/>
                <w:u w:val="single"/>
              </w:rPr>
            </w:pPr>
            <w:hyperlink w:anchor="_60_Learning_Solutions" w:history="1">
              <w:r w:rsidRPr="001E1017">
                <w:rPr>
                  <w:rStyle w:val="Hyperlink"/>
                  <w:rFonts w:cs="Tahoma"/>
                  <w:b/>
                  <w:sz w:val="13"/>
                  <w:szCs w:val="13"/>
                </w:rPr>
                <w:t>60</w:t>
              </w:r>
            </w:hyperlink>
          </w:p>
        </w:tc>
        <w:tc>
          <w:tcPr>
            <w:tcW w:w="450" w:type="dxa"/>
            <w:shd w:val="clear" w:color="auto" w:fill="FABF8F"/>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01/06</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1 punto</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ABF8F"/>
          </w:tcPr>
          <w:p w:rsidR="00A92422" w:rsidRPr="00D87B79" w:rsidRDefault="00A92422" w:rsidP="00EA30FC">
            <w:pPr>
              <w:pStyle w:val="TableText"/>
              <w:widowControl w:val="0"/>
              <w:spacing w:before="120"/>
              <w:rPr>
                <w:rFonts w:ascii="Tahoma" w:hAnsi="Tahoma" w:cs="Tahoma"/>
                <w:sz w:val="13"/>
              </w:rPr>
            </w:pP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auto"/>
            <w:vAlign w:val="center"/>
          </w:tcPr>
          <w:p w:rsidR="00A92422" w:rsidRPr="00D87B79" w:rsidRDefault="00A92422" w:rsidP="00EA30FC">
            <w:pPr>
              <w:pStyle w:val="Heading2"/>
              <w:ind w:left="0"/>
              <w:rPr>
                <w:rFonts w:ascii="Tahoma" w:hAnsi="Tahoma" w:cs="Tahoma"/>
                <w:b w:val="0"/>
                <w:sz w:val="14"/>
                <w:szCs w:val="16"/>
              </w:rPr>
            </w:pPr>
            <w:bookmarkStart w:id="304" w:name="_Toc336337995"/>
            <w:bookmarkStart w:id="305" w:name="_Toc342900050"/>
            <w:bookmarkEnd w:id="304"/>
            <w:r w:rsidRPr="00D87B79">
              <w:rPr>
                <w:rFonts w:ascii="Tahoma" w:hAnsi="Tahoma" w:cs="Tahoma"/>
                <w:b w:val="0"/>
                <w:sz w:val="14"/>
                <w:lang w:val="it-IT"/>
              </w:rPr>
              <w:t>Lync Online Piano 1 (SL per Utente)</w:t>
            </w:r>
            <w:bookmarkEnd w:id="305"/>
          </w:p>
        </w:tc>
        <w:tc>
          <w:tcPr>
            <w:tcW w:w="450" w:type="dxa"/>
            <w:shd w:val="clear" w:color="auto" w:fill="auto"/>
            <w:vAlign w:val="center"/>
          </w:tcPr>
          <w:p w:rsidR="00A92422" w:rsidRPr="001E1017" w:rsidRDefault="00A92422" w:rsidP="00EA30FC">
            <w:pPr>
              <w:pStyle w:val="TableText"/>
              <w:widowControl w:val="0"/>
              <w:rPr>
                <w:rFonts w:cs="Tahoma"/>
                <w:b/>
                <w:color w:val="0000FF"/>
                <w:sz w:val="13"/>
                <w:szCs w:val="13"/>
                <w:u w:val="single"/>
              </w:rPr>
            </w:pPr>
            <w:hyperlink w:anchor="_61_Lync_Online" w:history="1">
              <w:r w:rsidRPr="001E1017">
                <w:rPr>
                  <w:rStyle w:val="Hyperlink"/>
                  <w:rFonts w:cs="Tahoma"/>
                  <w:b/>
                  <w:sz w:val="13"/>
                  <w:szCs w:val="13"/>
                </w:rPr>
                <w:t>61</w:t>
              </w:r>
            </w:hyperlink>
          </w:p>
        </w:tc>
        <w:tc>
          <w:tcPr>
            <w:tcW w:w="450" w:type="dxa"/>
            <w:shd w:val="clear" w:color="auto" w:fill="auto"/>
          </w:tcPr>
          <w:p w:rsidR="00A92422" w:rsidRPr="00D87B79" w:rsidRDefault="00A92422" w:rsidP="00EA30FC">
            <w:pPr>
              <w:pStyle w:val="TableText"/>
              <w:widowControl w:val="0"/>
              <w:spacing w:before="120"/>
              <w:rPr>
                <w:rFonts w:ascii="Tahoma" w:hAnsi="Tahoma" w:cs="Tahoma"/>
                <w:color w:val="000000"/>
                <w:sz w:val="13"/>
              </w:rPr>
            </w:pPr>
            <w:r w:rsidRPr="00D87B79">
              <w:rPr>
                <w:rFonts w:ascii="Tahoma" w:hAnsi="Tahoma" w:cs="Tahoma"/>
                <w:color w:val="000000"/>
                <w:sz w:val="13"/>
              </w:rPr>
              <w:t>06/11</w:t>
            </w:r>
          </w:p>
        </w:tc>
        <w:tc>
          <w:tcPr>
            <w:tcW w:w="36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auto"/>
          </w:tcPr>
          <w:p w:rsidR="00A92422" w:rsidRPr="00D87B79" w:rsidRDefault="00A92422" w:rsidP="00EA30FC">
            <w:pPr>
              <w:pStyle w:val="TableText"/>
              <w:widowControl w:val="0"/>
              <w:spacing w:before="120"/>
              <w:rPr>
                <w:rFonts w:ascii="Tahoma" w:hAnsi="Tahoma" w:cs="Tahoma"/>
                <w:sz w:val="13"/>
              </w:rPr>
            </w:pPr>
          </w:p>
        </w:tc>
        <w:tc>
          <w:tcPr>
            <w:tcW w:w="486" w:type="dxa"/>
            <w:shd w:val="clear" w:color="auto" w:fill="auto"/>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ABF8F"/>
            <w:vAlign w:val="center"/>
          </w:tcPr>
          <w:p w:rsidR="00A92422" w:rsidRPr="00D87B79" w:rsidRDefault="00A92422" w:rsidP="00EA30FC">
            <w:pPr>
              <w:pStyle w:val="Heading2"/>
              <w:ind w:left="0"/>
              <w:rPr>
                <w:rFonts w:ascii="Tahoma" w:hAnsi="Tahoma" w:cs="Tahoma"/>
                <w:b w:val="0"/>
                <w:sz w:val="14"/>
                <w:szCs w:val="16"/>
              </w:rPr>
            </w:pPr>
            <w:bookmarkStart w:id="306" w:name="_Toc336337996"/>
            <w:bookmarkStart w:id="307" w:name="_Toc342900051"/>
            <w:bookmarkEnd w:id="306"/>
            <w:r w:rsidRPr="00D87B79">
              <w:rPr>
                <w:rFonts w:ascii="Tahoma" w:hAnsi="Tahoma" w:cs="Tahoma"/>
                <w:b w:val="0"/>
                <w:sz w:val="14"/>
                <w:lang w:val="it-IT"/>
              </w:rPr>
              <w:t>Lync Online Piano 2 (SL per Utente)</w:t>
            </w:r>
            <w:bookmarkEnd w:id="307"/>
          </w:p>
        </w:tc>
        <w:tc>
          <w:tcPr>
            <w:tcW w:w="450" w:type="dxa"/>
            <w:shd w:val="clear" w:color="auto" w:fill="FABF8F"/>
            <w:vAlign w:val="center"/>
          </w:tcPr>
          <w:p w:rsidR="00A92422" w:rsidRPr="001E1017" w:rsidRDefault="00A92422" w:rsidP="00EA30FC">
            <w:pPr>
              <w:pStyle w:val="TableText"/>
              <w:widowControl w:val="0"/>
              <w:rPr>
                <w:rFonts w:cs="Tahoma"/>
                <w:b/>
                <w:color w:val="0000FF"/>
                <w:sz w:val="13"/>
                <w:szCs w:val="13"/>
                <w:u w:val="single"/>
              </w:rPr>
            </w:pPr>
            <w:hyperlink w:anchor="_Toc336338325" w:history="1">
              <w:r w:rsidRPr="001E1017">
                <w:rPr>
                  <w:rStyle w:val="Hyperlink"/>
                  <w:rFonts w:cs="Tahoma"/>
                  <w:b/>
                  <w:sz w:val="13"/>
                  <w:szCs w:val="13"/>
                </w:rPr>
                <w:t>61</w:t>
              </w:r>
            </w:hyperlink>
          </w:p>
        </w:tc>
        <w:tc>
          <w:tcPr>
            <w:tcW w:w="450" w:type="dxa"/>
            <w:shd w:val="clear" w:color="auto" w:fill="FABF8F"/>
          </w:tcPr>
          <w:p w:rsidR="00A92422" w:rsidRPr="00D87B79" w:rsidRDefault="00A92422" w:rsidP="00EA30FC">
            <w:pPr>
              <w:pStyle w:val="TableText"/>
              <w:widowControl w:val="0"/>
              <w:spacing w:before="120"/>
              <w:rPr>
                <w:rFonts w:ascii="Tahoma" w:hAnsi="Tahoma" w:cs="Tahoma"/>
                <w:color w:val="000000"/>
                <w:sz w:val="13"/>
              </w:rPr>
            </w:pPr>
            <w:r w:rsidRPr="00D87B79">
              <w:rPr>
                <w:rFonts w:ascii="Tahoma" w:hAnsi="Tahoma" w:cs="Tahoma"/>
                <w:color w:val="000000"/>
                <w:sz w:val="13"/>
              </w:rPr>
              <w:t>06/11</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tcPr>
          <w:p w:rsidR="00A92422" w:rsidRPr="00D87B79" w:rsidRDefault="00A92422" w:rsidP="00EA30FC">
            <w:pPr>
              <w:pStyle w:val="TableText"/>
              <w:widowControl w:val="0"/>
              <w:spacing w:before="120"/>
              <w:rPr>
                <w:rFonts w:ascii="Tahoma" w:hAnsi="Tahoma" w:cs="Tahoma"/>
                <w:sz w:val="13"/>
              </w:rPr>
            </w:pP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auto"/>
            <w:vAlign w:val="center"/>
          </w:tcPr>
          <w:p w:rsidR="00A92422" w:rsidRPr="00D87B79" w:rsidRDefault="00A92422" w:rsidP="00EA30FC">
            <w:pPr>
              <w:pStyle w:val="Heading2"/>
              <w:ind w:left="0"/>
              <w:rPr>
                <w:rFonts w:ascii="Tahoma" w:hAnsi="Tahoma" w:cs="Tahoma"/>
                <w:b w:val="0"/>
                <w:sz w:val="14"/>
                <w:szCs w:val="16"/>
              </w:rPr>
            </w:pPr>
            <w:bookmarkStart w:id="308" w:name="_Toc336337997"/>
            <w:bookmarkStart w:id="309" w:name="_Toc342900052"/>
            <w:bookmarkEnd w:id="308"/>
            <w:r w:rsidRPr="00D87B79">
              <w:rPr>
                <w:rFonts w:ascii="Tahoma" w:hAnsi="Tahoma" w:cs="Tahoma"/>
                <w:b w:val="0"/>
                <w:sz w:val="14"/>
                <w:lang w:val="it-IT"/>
              </w:rPr>
              <w:t>Lync Online Piano 3 (SL per Utente)</w:t>
            </w:r>
            <w:bookmarkEnd w:id="309"/>
          </w:p>
        </w:tc>
        <w:tc>
          <w:tcPr>
            <w:tcW w:w="450" w:type="dxa"/>
            <w:shd w:val="clear" w:color="auto" w:fill="auto"/>
            <w:vAlign w:val="center"/>
          </w:tcPr>
          <w:p w:rsidR="00A92422" w:rsidRPr="001E1017" w:rsidRDefault="00A92422" w:rsidP="00EA30FC">
            <w:pPr>
              <w:pStyle w:val="TableText"/>
              <w:widowControl w:val="0"/>
              <w:rPr>
                <w:rFonts w:cs="Tahoma"/>
                <w:b/>
                <w:color w:val="0000FF"/>
                <w:sz w:val="13"/>
                <w:szCs w:val="13"/>
                <w:u w:val="single"/>
              </w:rPr>
            </w:pPr>
            <w:hyperlink w:anchor="_Toc336338325" w:history="1">
              <w:r w:rsidRPr="001E1017">
                <w:rPr>
                  <w:rStyle w:val="Hyperlink"/>
                  <w:rFonts w:cs="Tahoma"/>
                  <w:b/>
                  <w:sz w:val="13"/>
                  <w:szCs w:val="13"/>
                </w:rPr>
                <w:t>61</w:t>
              </w:r>
            </w:hyperlink>
          </w:p>
        </w:tc>
        <w:tc>
          <w:tcPr>
            <w:tcW w:w="450" w:type="dxa"/>
            <w:shd w:val="clear" w:color="auto" w:fill="auto"/>
          </w:tcPr>
          <w:p w:rsidR="00A92422" w:rsidRPr="00D87B79" w:rsidRDefault="00A92422" w:rsidP="00EA30FC">
            <w:pPr>
              <w:pStyle w:val="TableText"/>
              <w:widowControl w:val="0"/>
              <w:spacing w:before="120"/>
              <w:rPr>
                <w:rFonts w:ascii="Tahoma" w:hAnsi="Tahoma" w:cs="Tahoma"/>
                <w:color w:val="000000"/>
                <w:sz w:val="13"/>
              </w:rPr>
            </w:pPr>
            <w:r w:rsidRPr="00D87B79">
              <w:rPr>
                <w:rFonts w:ascii="Tahoma" w:hAnsi="Tahoma" w:cs="Tahoma"/>
                <w:color w:val="000000"/>
                <w:sz w:val="13"/>
              </w:rPr>
              <w:t>07/12</w:t>
            </w:r>
          </w:p>
        </w:tc>
        <w:tc>
          <w:tcPr>
            <w:tcW w:w="36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auto"/>
          </w:tcPr>
          <w:p w:rsidR="00A92422" w:rsidRPr="00D87B79" w:rsidRDefault="00A92422" w:rsidP="00EA30FC">
            <w:pPr>
              <w:pStyle w:val="TableText"/>
              <w:widowControl w:val="0"/>
              <w:spacing w:before="120"/>
              <w:rPr>
                <w:rFonts w:ascii="Tahoma" w:hAnsi="Tahoma" w:cs="Tahoma"/>
                <w:sz w:val="13"/>
              </w:rPr>
            </w:pPr>
          </w:p>
        </w:tc>
        <w:tc>
          <w:tcPr>
            <w:tcW w:w="486" w:type="dxa"/>
            <w:shd w:val="clear" w:color="auto" w:fill="auto"/>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ABF8F"/>
            <w:vAlign w:val="center"/>
          </w:tcPr>
          <w:p w:rsidR="00A92422" w:rsidRPr="00D87B79" w:rsidRDefault="00A92422" w:rsidP="00EA30FC">
            <w:pPr>
              <w:pStyle w:val="Heading2"/>
              <w:ind w:left="0"/>
              <w:rPr>
                <w:rFonts w:ascii="Tahoma" w:hAnsi="Tahoma" w:cs="Tahoma"/>
                <w:b w:val="0"/>
                <w:sz w:val="14"/>
                <w:szCs w:val="16"/>
              </w:rPr>
            </w:pPr>
            <w:bookmarkStart w:id="310" w:name="_Toc336337998"/>
            <w:bookmarkStart w:id="311" w:name="_Toc342900053"/>
            <w:bookmarkEnd w:id="310"/>
            <w:r w:rsidRPr="00D87B79">
              <w:rPr>
                <w:rFonts w:ascii="Tahoma" w:hAnsi="Tahoma" w:cs="Tahoma"/>
                <w:b w:val="0"/>
                <w:sz w:val="14"/>
                <w:lang w:val="it-IT"/>
              </w:rPr>
              <w:t>Lync Online Piano 3A (SL per Utente)</w:t>
            </w:r>
            <w:bookmarkEnd w:id="311"/>
          </w:p>
        </w:tc>
        <w:tc>
          <w:tcPr>
            <w:tcW w:w="450" w:type="dxa"/>
            <w:shd w:val="clear" w:color="auto" w:fill="FABF8F"/>
            <w:vAlign w:val="center"/>
          </w:tcPr>
          <w:p w:rsidR="00A92422" w:rsidRPr="001E1017" w:rsidRDefault="00A92422" w:rsidP="00EA30FC">
            <w:pPr>
              <w:pStyle w:val="TableText"/>
              <w:widowControl w:val="0"/>
              <w:rPr>
                <w:rFonts w:cs="Tahoma"/>
                <w:b/>
                <w:color w:val="0000FF"/>
                <w:sz w:val="13"/>
                <w:szCs w:val="13"/>
                <w:u w:val="single"/>
              </w:rPr>
            </w:pPr>
            <w:hyperlink w:anchor="_Toc336338325" w:history="1">
              <w:r w:rsidRPr="001E1017">
                <w:rPr>
                  <w:rStyle w:val="Hyperlink"/>
                  <w:rFonts w:cs="Tahoma"/>
                  <w:b/>
                  <w:sz w:val="13"/>
                  <w:szCs w:val="13"/>
                </w:rPr>
                <w:t>61</w:t>
              </w:r>
            </w:hyperlink>
          </w:p>
        </w:tc>
        <w:tc>
          <w:tcPr>
            <w:tcW w:w="450" w:type="dxa"/>
            <w:shd w:val="clear" w:color="auto" w:fill="FABF8F"/>
          </w:tcPr>
          <w:p w:rsidR="00A92422" w:rsidRPr="00D87B79" w:rsidRDefault="00A92422" w:rsidP="00EA30FC">
            <w:pPr>
              <w:pStyle w:val="TableText"/>
              <w:widowControl w:val="0"/>
              <w:spacing w:before="120"/>
              <w:rPr>
                <w:rFonts w:ascii="Tahoma" w:hAnsi="Tahoma" w:cs="Tahoma"/>
                <w:color w:val="000000"/>
                <w:sz w:val="13"/>
              </w:rPr>
            </w:pPr>
            <w:r w:rsidRPr="00D87B79">
              <w:rPr>
                <w:rFonts w:ascii="Tahoma" w:hAnsi="Tahoma" w:cs="Tahoma"/>
                <w:color w:val="000000"/>
                <w:sz w:val="13"/>
              </w:rPr>
              <w:t>07/12</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tcPr>
          <w:p w:rsidR="00A92422" w:rsidRPr="00D87B79" w:rsidRDefault="00A92422" w:rsidP="00EA30FC">
            <w:pPr>
              <w:pStyle w:val="TableText"/>
              <w:widowControl w:val="0"/>
              <w:spacing w:before="120"/>
              <w:rPr>
                <w:rFonts w:ascii="Tahoma" w:hAnsi="Tahoma" w:cs="Tahoma"/>
                <w:sz w:val="13"/>
              </w:rPr>
            </w:pP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auto"/>
            <w:vAlign w:val="center"/>
          </w:tcPr>
          <w:p w:rsidR="00A92422" w:rsidRPr="00D87B79" w:rsidRDefault="00A92422" w:rsidP="00EA30FC">
            <w:pPr>
              <w:pStyle w:val="Heading2"/>
              <w:ind w:left="0"/>
              <w:rPr>
                <w:rFonts w:ascii="Tahoma" w:hAnsi="Tahoma" w:cs="Tahoma"/>
                <w:b w:val="0"/>
                <w:sz w:val="14"/>
                <w:szCs w:val="16"/>
              </w:rPr>
            </w:pPr>
            <w:bookmarkStart w:id="312" w:name="_Toc336337999"/>
            <w:bookmarkStart w:id="313" w:name="_Toc342900054"/>
            <w:bookmarkEnd w:id="312"/>
            <w:r w:rsidRPr="00D87B79">
              <w:rPr>
                <w:rFonts w:ascii="Tahoma" w:hAnsi="Tahoma" w:cs="Tahoma"/>
                <w:b w:val="0"/>
                <w:sz w:val="14"/>
                <w:szCs w:val="16"/>
                <w:lang w:val="it-IT"/>
              </w:rPr>
              <w:t>Lync Server 2013</w:t>
            </w:r>
            <w:bookmarkEnd w:id="313"/>
          </w:p>
        </w:tc>
        <w:tc>
          <w:tcPr>
            <w:tcW w:w="450" w:type="dxa"/>
            <w:shd w:val="clear" w:color="auto" w:fill="auto"/>
            <w:vAlign w:val="center"/>
          </w:tcPr>
          <w:p w:rsidR="00A92422" w:rsidRPr="001E1017" w:rsidRDefault="00A92422" w:rsidP="00EA30FC">
            <w:pPr>
              <w:pStyle w:val="TableText"/>
              <w:widowControl w:val="0"/>
              <w:rPr>
                <w:rFonts w:cs="Tahoma"/>
                <w:b/>
                <w:color w:val="0000FF"/>
                <w:sz w:val="13"/>
                <w:szCs w:val="13"/>
                <w:u w:val="single"/>
              </w:rPr>
            </w:pPr>
            <w:hyperlink w:anchor="_62_Lync_Server" w:history="1">
              <w:r w:rsidRPr="001E1017">
                <w:rPr>
                  <w:rStyle w:val="Hyperlink"/>
                  <w:rFonts w:cs="Tahoma"/>
                  <w:b/>
                  <w:sz w:val="13"/>
                  <w:szCs w:val="13"/>
                </w:rPr>
                <w:t>62</w:t>
              </w:r>
            </w:hyperlink>
          </w:p>
        </w:tc>
        <w:tc>
          <w:tcPr>
            <w:tcW w:w="450" w:type="dxa"/>
            <w:shd w:val="clear" w:color="auto" w:fill="auto"/>
          </w:tcPr>
          <w:p w:rsidR="00A92422" w:rsidRPr="00D87B79" w:rsidRDefault="00A92422" w:rsidP="00EA30FC">
            <w:pPr>
              <w:pStyle w:val="TableText"/>
              <w:widowControl w:val="0"/>
              <w:spacing w:before="120"/>
              <w:rPr>
                <w:rFonts w:ascii="Tahoma" w:hAnsi="Tahoma" w:cs="Tahoma"/>
                <w:color w:val="000000"/>
                <w:sz w:val="13"/>
              </w:rPr>
            </w:pPr>
            <w:r w:rsidRPr="00D87B79">
              <w:rPr>
                <w:rFonts w:ascii="Tahoma" w:hAnsi="Tahoma" w:cs="Tahoma"/>
                <w:color w:val="000000"/>
                <w:sz w:val="13"/>
              </w:rPr>
              <w:t>10/12</w:t>
            </w:r>
          </w:p>
        </w:tc>
        <w:tc>
          <w:tcPr>
            <w:tcW w:w="36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125</w:t>
            </w: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100</w:t>
            </w: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75</w:t>
            </w: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75</w:t>
            </w: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36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25</w:t>
            </w:r>
          </w:p>
        </w:tc>
        <w:tc>
          <w:tcPr>
            <w:tcW w:w="45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100</w:t>
            </w:r>
          </w:p>
        </w:tc>
        <w:tc>
          <w:tcPr>
            <w:tcW w:w="45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45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45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auto"/>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lang w:val="it-IT"/>
              </w:rPr>
              <w:t>A</w:t>
            </w:r>
          </w:p>
        </w:tc>
        <w:tc>
          <w:tcPr>
            <w:tcW w:w="486" w:type="dxa"/>
            <w:shd w:val="clear" w:color="auto" w:fill="auto"/>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ABF8F"/>
            <w:vAlign w:val="center"/>
          </w:tcPr>
          <w:p w:rsidR="00A92422" w:rsidRPr="00D87B79" w:rsidDel="006A2F66" w:rsidRDefault="00A92422" w:rsidP="00EA30FC">
            <w:pPr>
              <w:pStyle w:val="Heading2"/>
              <w:ind w:left="0"/>
              <w:rPr>
                <w:rFonts w:ascii="Tahoma" w:hAnsi="Tahoma" w:cs="Tahoma"/>
                <w:b w:val="0"/>
                <w:sz w:val="14"/>
                <w:szCs w:val="16"/>
              </w:rPr>
            </w:pPr>
            <w:bookmarkStart w:id="314" w:name="_Toc336338000"/>
            <w:bookmarkStart w:id="315" w:name="_Toc342900055"/>
            <w:bookmarkEnd w:id="314"/>
            <w:r w:rsidRPr="00D87B79">
              <w:rPr>
                <w:rFonts w:ascii="Tahoma" w:hAnsi="Tahoma" w:cs="Tahoma"/>
                <w:b w:val="0"/>
                <w:sz w:val="14"/>
                <w:lang w:val="it-IT"/>
              </w:rPr>
              <w:t>Enterprise CAL per Lync Server 2013</w:t>
            </w:r>
            <w:bookmarkEnd w:id="315"/>
          </w:p>
        </w:tc>
        <w:tc>
          <w:tcPr>
            <w:tcW w:w="450" w:type="dxa"/>
            <w:shd w:val="clear" w:color="auto" w:fill="FABF8F"/>
            <w:vAlign w:val="center"/>
          </w:tcPr>
          <w:p w:rsidR="00A92422" w:rsidRPr="001E1017" w:rsidDel="006A2F66" w:rsidRDefault="00A92422" w:rsidP="00EA30FC">
            <w:pPr>
              <w:pStyle w:val="TableText"/>
              <w:widowControl w:val="0"/>
              <w:rPr>
                <w:rFonts w:cs="Tahoma"/>
                <w:b/>
                <w:color w:val="0000FF"/>
                <w:sz w:val="13"/>
                <w:szCs w:val="13"/>
                <w:u w:val="single"/>
              </w:rPr>
            </w:pPr>
          </w:p>
        </w:tc>
        <w:tc>
          <w:tcPr>
            <w:tcW w:w="450" w:type="dxa"/>
            <w:shd w:val="clear" w:color="auto" w:fill="FABF8F"/>
          </w:tcPr>
          <w:p w:rsidR="00A92422" w:rsidRPr="00D87B79" w:rsidDel="006A2F66" w:rsidRDefault="00A92422" w:rsidP="00EA30FC">
            <w:pPr>
              <w:pStyle w:val="TableText"/>
              <w:widowControl w:val="0"/>
              <w:spacing w:before="120"/>
              <w:rPr>
                <w:rFonts w:ascii="Tahoma" w:hAnsi="Tahoma" w:cs="Tahoma"/>
                <w:color w:val="000000"/>
                <w:sz w:val="13"/>
              </w:rPr>
            </w:pPr>
            <w:r w:rsidRPr="00D87B79">
              <w:rPr>
                <w:rFonts w:ascii="Tahoma" w:hAnsi="Tahoma" w:cs="Tahoma"/>
                <w:color w:val="000000"/>
                <w:sz w:val="13"/>
              </w:rPr>
              <w:t>10/12</w:t>
            </w:r>
          </w:p>
        </w:tc>
        <w:tc>
          <w:tcPr>
            <w:tcW w:w="360" w:type="dxa"/>
            <w:tcBorders>
              <w:right w:val="single" w:sz="18" w:space="0" w:color="auto"/>
            </w:tcBorders>
            <w:shd w:val="clear" w:color="auto" w:fill="FABF8F"/>
            <w:vAlign w:val="center"/>
          </w:tcPr>
          <w:p w:rsidR="00A92422" w:rsidRPr="00D87B79" w:rsidDel="006A2F66"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A92422" w:rsidRPr="00D87B79" w:rsidDel="006A2F66"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shd w:val="clear" w:color="auto" w:fill="FABF8F"/>
            <w:vAlign w:val="center"/>
          </w:tcPr>
          <w:p w:rsidR="00A92422" w:rsidRPr="00D87B79" w:rsidDel="006A2F66" w:rsidRDefault="00A92422" w:rsidP="00EA30FC">
            <w:pPr>
              <w:pStyle w:val="TableText"/>
              <w:widowControl w:val="0"/>
              <w:rPr>
                <w:rFonts w:ascii="Tahoma" w:hAnsi="Tahoma" w:cs="Tahoma"/>
                <w:sz w:val="13"/>
              </w:rPr>
            </w:pPr>
            <w:r w:rsidRPr="00D87B79">
              <w:rPr>
                <w:rFonts w:ascii="Tahoma" w:hAnsi="Tahoma" w:cs="Tahoma"/>
                <w:sz w:val="13"/>
              </w:rPr>
              <w:t>3</w:t>
            </w:r>
          </w:p>
        </w:tc>
        <w:tc>
          <w:tcPr>
            <w:tcW w:w="450" w:type="dxa"/>
            <w:shd w:val="clear" w:color="auto" w:fill="FABF8F"/>
            <w:vAlign w:val="center"/>
          </w:tcPr>
          <w:p w:rsidR="00A92422" w:rsidRPr="00D87B79" w:rsidDel="006A2F66"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FABF8F"/>
            <w:vAlign w:val="center"/>
          </w:tcPr>
          <w:p w:rsidR="00A92422" w:rsidRPr="00D87B79" w:rsidDel="006A2F66"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FABF8F"/>
            <w:vAlign w:val="center"/>
          </w:tcPr>
          <w:p w:rsidR="00A92422" w:rsidRPr="00D87B79" w:rsidDel="006A2F66"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FABF8F"/>
            <w:vAlign w:val="center"/>
          </w:tcPr>
          <w:p w:rsidR="00A92422" w:rsidRPr="00D87B79" w:rsidDel="006A2F66" w:rsidRDefault="00A92422" w:rsidP="00EA30FC">
            <w:pPr>
              <w:pStyle w:val="TableText"/>
              <w:widowControl w:val="0"/>
              <w:rPr>
                <w:rFonts w:ascii="Tahoma" w:hAnsi="Tahoma" w:cs="Tahoma"/>
                <w:sz w:val="13"/>
              </w:rPr>
            </w:pPr>
            <w:r w:rsidRPr="00D87B79">
              <w:rPr>
                <w:rFonts w:ascii="Tahoma" w:hAnsi="Tahoma" w:cs="Tahoma"/>
                <w:sz w:val="13"/>
              </w:rPr>
              <w:t>1</w:t>
            </w:r>
          </w:p>
        </w:tc>
        <w:tc>
          <w:tcPr>
            <w:tcW w:w="360" w:type="dxa"/>
            <w:tcBorders>
              <w:right w:val="single" w:sz="18" w:space="0" w:color="auto"/>
            </w:tcBorders>
            <w:shd w:val="clear" w:color="auto" w:fill="FABF8F"/>
            <w:vAlign w:val="center"/>
          </w:tcPr>
          <w:p w:rsidR="00A92422" w:rsidRPr="00D87B79" w:rsidDel="006A2F66"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left w:val="single" w:sz="18" w:space="0" w:color="auto"/>
            </w:tcBorders>
            <w:shd w:val="clear" w:color="auto" w:fill="FABF8F"/>
            <w:vAlign w:val="center"/>
          </w:tcPr>
          <w:p w:rsidR="00A92422" w:rsidRPr="00D87B79" w:rsidDel="006A2F66"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shd w:val="clear" w:color="auto" w:fill="FABF8F"/>
            <w:vAlign w:val="center"/>
          </w:tcPr>
          <w:p w:rsidR="00A92422" w:rsidRPr="00D87B79" w:rsidDel="006A2F66"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tcBorders>
              <w:right w:val="single" w:sz="18" w:space="0" w:color="auto"/>
            </w:tcBorders>
            <w:shd w:val="clear" w:color="auto" w:fill="FABF8F"/>
            <w:vAlign w:val="center"/>
          </w:tcPr>
          <w:p w:rsidR="00A92422" w:rsidRPr="00D87B79" w:rsidDel="006A2F66"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left w:val="single" w:sz="18" w:space="0" w:color="auto"/>
            </w:tcBorders>
            <w:shd w:val="clear" w:color="auto" w:fill="FABF8F"/>
            <w:vAlign w:val="center"/>
          </w:tcPr>
          <w:p w:rsidR="00A92422" w:rsidRPr="00D87B79" w:rsidDel="006A2F66"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right w:val="single" w:sz="18" w:space="0" w:color="auto"/>
            </w:tcBorders>
            <w:shd w:val="clear" w:color="auto" w:fill="FABF8F"/>
            <w:vAlign w:val="center"/>
          </w:tcPr>
          <w:p w:rsidR="00A92422" w:rsidRPr="00D87B79" w:rsidDel="006A2F66"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A92422" w:rsidRPr="00D87B79" w:rsidDel="006A2F66"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ABF8F"/>
          </w:tcPr>
          <w:p w:rsidR="00A92422" w:rsidRPr="00D87B79" w:rsidDel="006A2F66" w:rsidRDefault="00A92422" w:rsidP="00EA30FC">
            <w:pPr>
              <w:pStyle w:val="TableText"/>
              <w:widowControl w:val="0"/>
              <w:spacing w:before="120"/>
              <w:rPr>
                <w:rFonts w:ascii="Tahoma" w:hAnsi="Tahoma" w:cs="Tahoma"/>
                <w:sz w:val="13"/>
              </w:rPr>
            </w:pPr>
            <w:r w:rsidRPr="00D87B79">
              <w:rPr>
                <w:rFonts w:ascii="Tahoma" w:hAnsi="Tahoma" w:cs="Tahoma"/>
                <w:sz w:val="13"/>
                <w:lang w:val="it-IT"/>
              </w:rPr>
              <w:t>AO, ST</w:t>
            </w: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auto"/>
            <w:vAlign w:val="center"/>
          </w:tcPr>
          <w:p w:rsidR="00A92422" w:rsidRPr="00D87B79" w:rsidDel="006A2F66" w:rsidRDefault="00A92422" w:rsidP="00EA30FC">
            <w:pPr>
              <w:pStyle w:val="Heading2"/>
              <w:ind w:left="0"/>
              <w:rPr>
                <w:rFonts w:ascii="Tahoma" w:hAnsi="Tahoma" w:cs="Tahoma"/>
                <w:b w:val="0"/>
                <w:sz w:val="14"/>
                <w:szCs w:val="16"/>
              </w:rPr>
            </w:pPr>
            <w:bookmarkStart w:id="316" w:name="_Toc336338002"/>
            <w:bookmarkStart w:id="317" w:name="_Toc342900056"/>
            <w:bookmarkEnd w:id="316"/>
            <w:r w:rsidRPr="00D87B79">
              <w:rPr>
                <w:rFonts w:ascii="Tahoma" w:hAnsi="Tahoma" w:cs="Tahoma"/>
                <w:b w:val="0"/>
                <w:sz w:val="14"/>
                <w:lang w:val="it-IT"/>
              </w:rPr>
              <w:t>Plus CAL per Lync Server 2013</w:t>
            </w:r>
            <w:bookmarkEnd w:id="317"/>
          </w:p>
        </w:tc>
        <w:tc>
          <w:tcPr>
            <w:tcW w:w="450" w:type="dxa"/>
            <w:shd w:val="clear" w:color="auto" w:fill="auto"/>
            <w:vAlign w:val="center"/>
          </w:tcPr>
          <w:p w:rsidR="00A92422" w:rsidRPr="001E1017" w:rsidDel="006A2F66" w:rsidRDefault="00A92422" w:rsidP="00EA30FC">
            <w:pPr>
              <w:pStyle w:val="TableText"/>
              <w:widowControl w:val="0"/>
              <w:rPr>
                <w:rFonts w:cs="Tahoma"/>
                <w:b/>
                <w:color w:val="0000FF"/>
                <w:sz w:val="13"/>
                <w:szCs w:val="13"/>
                <w:u w:val="single"/>
              </w:rPr>
            </w:pPr>
            <w:bookmarkStart w:id="318" w:name="_Hlt335908886"/>
          </w:p>
        </w:tc>
        <w:bookmarkEnd w:id="318"/>
        <w:tc>
          <w:tcPr>
            <w:tcW w:w="450" w:type="dxa"/>
            <w:shd w:val="clear" w:color="auto" w:fill="auto"/>
          </w:tcPr>
          <w:p w:rsidR="00A92422" w:rsidRPr="00D87B79" w:rsidDel="006A2F66" w:rsidRDefault="00A92422" w:rsidP="00EA30FC">
            <w:pPr>
              <w:pStyle w:val="TableText"/>
              <w:widowControl w:val="0"/>
              <w:spacing w:before="120"/>
              <w:rPr>
                <w:rFonts w:ascii="Tahoma" w:hAnsi="Tahoma" w:cs="Tahoma"/>
                <w:color w:val="000000"/>
                <w:sz w:val="13"/>
              </w:rPr>
            </w:pPr>
            <w:r w:rsidRPr="00D87B79">
              <w:rPr>
                <w:rFonts w:ascii="Tahoma" w:hAnsi="Tahoma" w:cs="Tahoma"/>
                <w:color w:val="000000"/>
                <w:sz w:val="13"/>
              </w:rPr>
              <w:t>10/12</w:t>
            </w:r>
          </w:p>
        </w:tc>
        <w:tc>
          <w:tcPr>
            <w:tcW w:w="360" w:type="dxa"/>
            <w:tcBorders>
              <w:right w:val="single" w:sz="18" w:space="0" w:color="auto"/>
            </w:tcBorders>
            <w:shd w:val="clear" w:color="auto" w:fill="auto"/>
            <w:vAlign w:val="center"/>
          </w:tcPr>
          <w:p w:rsidR="00A92422" w:rsidRPr="00D87B79" w:rsidDel="006A2F66"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auto"/>
            <w:vAlign w:val="center"/>
          </w:tcPr>
          <w:p w:rsidR="00A92422" w:rsidRPr="00D87B79" w:rsidDel="006A2F66"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shd w:val="clear" w:color="auto" w:fill="auto"/>
            <w:vAlign w:val="center"/>
          </w:tcPr>
          <w:p w:rsidR="00A92422" w:rsidRPr="00D87B79" w:rsidDel="006A2F66" w:rsidRDefault="00A92422" w:rsidP="00EA30FC">
            <w:pPr>
              <w:pStyle w:val="TableText"/>
              <w:widowControl w:val="0"/>
              <w:rPr>
                <w:rFonts w:ascii="Tahoma" w:hAnsi="Tahoma" w:cs="Tahoma"/>
                <w:sz w:val="13"/>
              </w:rPr>
            </w:pPr>
            <w:r w:rsidRPr="00D87B79">
              <w:rPr>
                <w:rFonts w:ascii="Tahoma" w:hAnsi="Tahoma" w:cs="Tahoma"/>
                <w:sz w:val="13"/>
              </w:rPr>
              <w:t>3</w:t>
            </w:r>
          </w:p>
        </w:tc>
        <w:tc>
          <w:tcPr>
            <w:tcW w:w="450" w:type="dxa"/>
            <w:shd w:val="clear" w:color="auto" w:fill="auto"/>
            <w:vAlign w:val="center"/>
          </w:tcPr>
          <w:p w:rsidR="00A92422" w:rsidRPr="00D87B79" w:rsidDel="006A2F66"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auto"/>
            <w:vAlign w:val="center"/>
          </w:tcPr>
          <w:p w:rsidR="00A92422" w:rsidRPr="00D87B79" w:rsidDel="006A2F66"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auto"/>
            <w:vAlign w:val="center"/>
          </w:tcPr>
          <w:p w:rsidR="00A92422" w:rsidRPr="00D87B79" w:rsidDel="006A2F66"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auto"/>
            <w:vAlign w:val="center"/>
          </w:tcPr>
          <w:p w:rsidR="00A92422" w:rsidRPr="00D87B79" w:rsidDel="006A2F66" w:rsidRDefault="00A92422" w:rsidP="00EA30FC">
            <w:pPr>
              <w:pStyle w:val="TableText"/>
              <w:widowControl w:val="0"/>
              <w:rPr>
                <w:rFonts w:ascii="Tahoma" w:hAnsi="Tahoma" w:cs="Tahoma"/>
                <w:sz w:val="13"/>
              </w:rPr>
            </w:pPr>
            <w:r w:rsidRPr="00D87B79">
              <w:rPr>
                <w:rFonts w:ascii="Tahoma" w:hAnsi="Tahoma" w:cs="Tahoma"/>
                <w:sz w:val="13"/>
              </w:rPr>
              <w:t>1</w:t>
            </w:r>
          </w:p>
        </w:tc>
        <w:tc>
          <w:tcPr>
            <w:tcW w:w="360" w:type="dxa"/>
            <w:tcBorders>
              <w:right w:val="single" w:sz="18" w:space="0" w:color="auto"/>
            </w:tcBorders>
            <w:shd w:val="clear" w:color="auto" w:fill="auto"/>
            <w:vAlign w:val="center"/>
          </w:tcPr>
          <w:p w:rsidR="00A92422" w:rsidRPr="00D87B79" w:rsidDel="006A2F66"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left w:val="single" w:sz="18" w:space="0" w:color="auto"/>
            </w:tcBorders>
            <w:shd w:val="clear" w:color="auto" w:fill="auto"/>
            <w:vAlign w:val="center"/>
          </w:tcPr>
          <w:p w:rsidR="00A92422" w:rsidRPr="00D87B79" w:rsidDel="006A2F66"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shd w:val="clear" w:color="auto" w:fill="auto"/>
            <w:vAlign w:val="center"/>
          </w:tcPr>
          <w:p w:rsidR="00A92422" w:rsidRPr="00D87B79" w:rsidDel="006A2F66"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tcBorders>
              <w:right w:val="single" w:sz="18" w:space="0" w:color="auto"/>
            </w:tcBorders>
            <w:shd w:val="clear" w:color="auto" w:fill="auto"/>
            <w:vAlign w:val="center"/>
          </w:tcPr>
          <w:p w:rsidR="00A92422" w:rsidRPr="00D87B79" w:rsidDel="006A2F66"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left w:val="single" w:sz="18" w:space="0" w:color="auto"/>
            </w:tcBorders>
            <w:shd w:val="clear" w:color="auto" w:fill="auto"/>
            <w:vAlign w:val="center"/>
          </w:tcPr>
          <w:p w:rsidR="00A92422" w:rsidRPr="00D87B79" w:rsidDel="006A2F66"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right w:val="single" w:sz="18" w:space="0" w:color="auto"/>
            </w:tcBorders>
            <w:shd w:val="clear" w:color="auto" w:fill="auto"/>
            <w:vAlign w:val="center"/>
          </w:tcPr>
          <w:p w:rsidR="00A92422" w:rsidRPr="00D87B79" w:rsidDel="006A2F66"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auto"/>
            <w:vAlign w:val="center"/>
          </w:tcPr>
          <w:p w:rsidR="00A92422" w:rsidRPr="00D87B79" w:rsidDel="006A2F66"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auto"/>
          </w:tcPr>
          <w:p w:rsidR="00A92422" w:rsidRPr="00D87B79" w:rsidDel="006A2F66" w:rsidRDefault="00A92422" w:rsidP="00EA30FC">
            <w:pPr>
              <w:pStyle w:val="TableText"/>
              <w:widowControl w:val="0"/>
              <w:spacing w:before="120"/>
              <w:rPr>
                <w:rFonts w:ascii="Tahoma" w:hAnsi="Tahoma" w:cs="Tahoma"/>
                <w:sz w:val="13"/>
              </w:rPr>
            </w:pPr>
            <w:r w:rsidRPr="00D87B79">
              <w:rPr>
                <w:rFonts w:ascii="Tahoma" w:hAnsi="Tahoma" w:cs="Tahoma"/>
                <w:sz w:val="13"/>
                <w:lang w:val="it-IT"/>
              </w:rPr>
              <w:t>A, ST</w:t>
            </w:r>
          </w:p>
        </w:tc>
        <w:tc>
          <w:tcPr>
            <w:tcW w:w="486" w:type="dxa"/>
            <w:shd w:val="clear" w:color="auto" w:fill="auto"/>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ABF8F"/>
            <w:vAlign w:val="center"/>
          </w:tcPr>
          <w:p w:rsidR="00A92422" w:rsidRPr="00D87B79" w:rsidDel="006A2F66" w:rsidRDefault="00A92422" w:rsidP="00EA30FC">
            <w:pPr>
              <w:pStyle w:val="Heading2"/>
              <w:ind w:left="0"/>
              <w:rPr>
                <w:rFonts w:ascii="Tahoma" w:hAnsi="Tahoma" w:cs="Tahoma"/>
                <w:b w:val="0"/>
                <w:sz w:val="14"/>
                <w:szCs w:val="16"/>
              </w:rPr>
            </w:pPr>
            <w:bookmarkStart w:id="319" w:name="_Toc336338005"/>
            <w:bookmarkStart w:id="320" w:name="_Toc342900057"/>
            <w:bookmarkEnd w:id="319"/>
            <w:r w:rsidRPr="00D87B79">
              <w:rPr>
                <w:rFonts w:ascii="Tahoma" w:hAnsi="Tahoma" w:cs="Tahoma"/>
                <w:b w:val="0"/>
                <w:sz w:val="14"/>
                <w:lang w:val="it-IT"/>
              </w:rPr>
              <w:t>Standard CAL per Lync Server 2013</w:t>
            </w:r>
            <w:bookmarkEnd w:id="320"/>
          </w:p>
        </w:tc>
        <w:tc>
          <w:tcPr>
            <w:tcW w:w="450" w:type="dxa"/>
            <w:shd w:val="clear" w:color="auto" w:fill="FABF8F"/>
            <w:vAlign w:val="center"/>
          </w:tcPr>
          <w:p w:rsidR="00A92422" w:rsidRPr="001E1017" w:rsidDel="006A2F66" w:rsidRDefault="00A92422" w:rsidP="00EA30FC">
            <w:pPr>
              <w:pStyle w:val="TableText"/>
              <w:widowControl w:val="0"/>
              <w:rPr>
                <w:rFonts w:cs="Tahoma"/>
                <w:b/>
                <w:color w:val="0000FF"/>
                <w:sz w:val="13"/>
                <w:szCs w:val="13"/>
                <w:u w:val="single"/>
              </w:rPr>
            </w:pPr>
          </w:p>
        </w:tc>
        <w:tc>
          <w:tcPr>
            <w:tcW w:w="450" w:type="dxa"/>
            <w:shd w:val="clear" w:color="auto" w:fill="FABF8F"/>
          </w:tcPr>
          <w:p w:rsidR="00A92422" w:rsidRPr="00D87B79" w:rsidDel="006A2F66" w:rsidRDefault="00A92422" w:rsidP="00EA30FC">
            <w:pPr>
              <w:pStyle w:val="TableText"/>
              <w:widowControl w:val="0"/>
              <w:spacing w:before="120"/>
              <w:rPr>
                <w:rFonts w:ascii="Tahoma" w:hAnsi="Tahoma" w:cs="Tahoma"/>
                <w:color w:val="000000"/>
                <w:sz w:val="13"/>
              </w:rPr>
            </w:pPr>
            <w:r w:rsidRPr="00D87B79">
              <w:rPr>
                <w:rFonts w:ascii="Tahoma" w:hAnsi="Tahoma" w:cs="Tahoma"/>
                <w:color w:val="000000"/>
                <w:sz w:val="13"/>
              </w:rPr>
              <w:t>10/12</w:t>
            </w:r>
          </w:p>
        </w:tc>
        <w:tc>
          <w:tcPr>
            <w:tcW w:w="360" w:type="dxa"/>
            <w:tcBorders>
              <w:right w:val="single" w:sz="18" w:space="0" w:color="auto"/>
            </w:tcBorders>
            <w:shd w:val="clear" w:color="auto" w:fill="FABF8F"/>
            <w:vAlign w:val="center"/>
          </w:tcPr>
          <w:p w:rsidR="00A92422" w:rsidRPr="00D87B79" w:rsidDel="006A2F66"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A92422" w:rsidRPr="00D87B79" w:rsidDel="006A2F66"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shd w:val="clear" w:color="auto" w:fill="FABF8F"/>
            <w:vAlign w:val="center"/>
          </w:tcPr>
          <w:p w:rsidR="00A92422" w:rsidRPr="00D87B79" w:rsidDel="006A2F66" w:rsidRDefault="00A92422" w:rsidP="00EA30FC">
            <w:pPr>
              <w:pStyle w:val="TableText"/>
              <w:widowControl w:val="0"/>
              <w:rPr>
                <w:rFonts w:ascii="Tahoma" w:hAnsi="Tahoma" w:cs="Tahoma"/>
                <w:sz w:val="13"/>
              </w:rPr>
            </w:pPr>
            <w:r w:rsidRPr="00D87B79">
              <w:rPr>
                <w:rFonts w:ascii="Tahoma" w:hAnsi="Tahoma" w:cs="Tahoma"/>
                <w:sz w:val="13"/>
              </w:rPr>
              <w:t>3</w:t>
            </w:r>
          </w:p>
        </w:tc>
        <w:tc>
          <w:tcPr>
            <w:tcW w:w="450" w:type="dxa"/>
            <w:shd w:val="clear" w:color="auto" w:fill="FABF8F"/>
            <w:vAlign w:val="center"/>
          </w:tcPr>
          <w:p w:rsidR="00A92422" w:rsidRPr="00D87B79" w:rsidDel="006A2F66"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FABF8F"/>
            <w:vAlign w:val="center"/>
          </w:tcPr>
          <w:p w:rsidR="00A92422" w:rsidRPr="00D87B79" w:rsidDel="006A2F66"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FABF8F"/>
            <w:vAlign w:val="center"/>
          </w:tcPr>
          <w:p w:rsidR="00A92422" w:rsidRPr="00D87B79" w:rsidDel="006A2F66"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FABF8F"/>
            <w:vAlign w:val="center"/>
          </w:tcPr>
          <w:p w:rsidR="00A92422" w:rsidRPr="00D87B79" w:rsidDel="006A2F66" w:rsidRDefault="00A92422" w:rsidP="00EA30FC">
            <w:pPr>
              <w:pStyle w:val="TableText"/>
              <w:widowControl w:val="0"/>
              <w:rPr>
                <w:rFonts w:ascii="Tahoma" w:hAnsi="Tahoma" w:cs="Tahoma"/>
                <w:sz w:val="13"/>
              </w:rPr>
            </w:pPr>
            <w:r w:rsidRPr="00D87B79">
              <w:rPr>
                <w:rFonts w:ascii="Tahoma" w:hAnsi="Tahoma" w:cs="Tahoma"/>
                <w:sz w:val="13"/>
              </w:rPr>
              <w:t>1</w:t>
            </w:r>
          </w:p>
        </w:tc>
        <w:tc>
          <w:tcPr>
            <w:tcW w:w="360" w:type="dxa"/>
            <w:tcBorders>
              <w:right w:val="single" w:sz="18" w:space="0" w:color="auto"/>
            </w:tcBorders>
            <w:shd w:val="clear" w:color="auto" w:fill="FABF8F"/>
            <w:vAlign w:val="center"/>
          </w:tcPr>
          <w:p w:rsidR="00A92422" w:rsidRPr="00D87B79" w:rsidDel="006A2F66"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left w:val="single" w:sz="18" w:space="0" w:color="auto"/>
            </w:tcBorders>
            <w:shd w:val="clear" w:color="auto" w:fill="FABF8F"/>
            <w:vAlign w:val="center"/>
          </w:tcPr>
          <w:p w:rsidR="00A92422" w:rsidRPr="00D87B79" w:rsidDel="006A2F66"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shd w:val="clear" w:color="auto" w:fill="FABF8F"/>
            <w:vAlign w:val="center"/>
          </w:tcPr>
          <w:p w:rsidR="00A92422" w:rsidRPr="00D87B79" w:rsidDel="006A2F66"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tcBorders>
              <w:right w:val="single" w:sz="18" w:space="0" w:color="auto"/>
            </w:tcBorders>
            <w:shd w:val="clear" w:color="auto" w:fill="FABF8F"/>
            <w:vAlign w:val="center"/>
          </w:tcPr>
          <w:p w:rsidR="00A92422" w:rsidRPr="00D87B79" w:rsidDel="006A2F66"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left w:val="single" w:sz="18" w:space="0" w:color="auto"/>
            </w:tcBorders>
            <w:shd w:val="clear" w:color="auto" w:fill="FABF8F"/>
            <w:vAlign w:val="center"/>
          </w:tcPr>
          <w:p w:rsidR="00A92422" w:rsidRPr="00D87B79" w:rsidDel="006A2F66"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right w:val="single" w:sz="18" w:space="0" w:color="auto"/>
            </w:tcBorders>
            <w:shd w:val="clear" w:color="auto" w:fill="FABF8F"/>
            <w:vAlign w:val="center"/>
          </w:tcPr>
          <w:p w:rsidR="00A92422" w:rsidRPr="00D87B79" w:rsidDel="006A2F66"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Del="006A2F66"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ABF8F"/>
          </w:tcPr>
          <w:p w:rsidR="00A92422" w:rsidRPr="00D87B79" w:rsidDel="006A2F66" w:rsidRDefault="00A92422" w:rsidP="00EA30FC">
            <w:pPr>
              <w:pStyle w:val="TableText"/>
              <w:widowControl w:val="0"/>
              <w:spacing w:before="120"/>
              <w:rPr>
                <w:rFonts w:ascii="Tahoma" w:hAnsi="Tahoma" w:cs="Tahoma"/>
                <w:sz w:val="13"/>
              </w:rPr>
            </w:pPr>
            <w:r w:rsidRPr="00D87B79">
              <w:rPr>
                <w:rFonts w:ascii="Tahoma" w:hAnsi="Tahoma" w:cs="Tahoma"/>
                <w:sz w:val="13"/>
                <w:lang w:val="it-IT"/>
              </w:rPr>
              <w:t>A, ST</w:t>
            </w: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cantSplit/>
          <w:trHeight w:val="70"/>
        </w:trPr>
        <w:tc>
          <w:tcPr>
            <w:tcW w:w="2714" w:type="dxa"/>
            <w:shd w:val="clear" w:color="auto" w:fill="auto"/>
            <w:vAlign w:val="center"/>
          </w:tcPr>
          <w:p w:rsidR="00A92422" w:rsidRPr="00D87B79" w:rsidRDefault="00A92422" w:rsidP="00EA30FC">
            <w:pPr>
              <w:pStyle w:val="Heading2"/>
              <w:ind w:left="0"/>
              <w:rPr>
                <w:rFonts w:ascii="Tahoma" w:hAnsi="Tahoma" w:cs="Tahoma"/>
                <w:b w:val="0"/>
                <w:sz w:val="14"/>
                <w:szCs w:val="14"/>
              </w:rPr>
            </w:pPr>
            <w:bookmarkStart w:id="321" w:name="_Toc336338007"/>
            <w:bookmarkStart w:id="322" w:name="_Toc342900058"/>
            <w:bookmarkEnd w:id="321"/>
            <w:r w:rsidRPr="00D87B79">
              <w:rPr>
                <w:rFonts w:ascii="Tahoma" w:hAnsi="Tahoma" w:cs="Tahoma"/>
                <w:b w:val="0"/>
                <w:sz w:val="14"/>
                <w:lang w:val="it-IT"/>
              </w:rPr>
              <w:t>Enterprise Additive CAL pe</w:t>
            </w:r>
            <w:r>
              <w:rPr>
                <w:rFonts w:ascii="Tahoma" w:hAnsi="Tahoma" w:cs="Tahoma"/>
                <w:b w:val="0"/>
                <w:sz w:val="14"/>
                <w:lang w:val="it-IT"/>
              </w:rPr>
              <w:t xml:space="preserve">r Microsoft Dynamics AX 2012 </w:t>
            </w:r>
            <w:r w:rsidRPr="00D87B79">
              <w:rPr>
                <w:rFonts w:ascii="Tahoma" w:hAnsi="Tahoma" w:cs="Tahoma"/>
                <w:b w:val="0"/>
                <w:sz w:val="14"/>
                <w:lang w:val="it-IT"/>
              </w:rPr>
              <w:t>(Utente e Dispositivo)</w:t>
            </w:r>
            <w:bookmarkEnd w:id="322"/>
          </w:p>
        </w:tc>
        <w:tc>
          <w:tcPr>
            <w:tcW w:w="450" w:type="dxa"/>
            <w:shd w:val="clear" w:color="auto" w:fill="auto"/>
            <w:vAlign w:val="center"/>
          </w:tcPr>
          <w:p w:rsidR="00A92422" w:rsidRPr="001E1017" w:rsidRDefault="00A92422" w:rsidP="00EA30FC">
            <w:pPr>
              <w:pStyle w:val="TableText"/>
              <w:widowControl w:val="0"/>
              <w:rPr>
                <w:rFonts w:cs="Tahoma"/>
                <w:b/>
                <w:color w:val="0000FF"/>
                <w:sz w:val="13"/>
                <w:szCs w:val="13"/>
                <w:u w:val="single"/>
              </w:rPr>
            </w:pPr>
            <w:hyperlink w:anchor="Srv_67MicrosoftDynamicsCRM2011" w:history="1">
              <w:r w:rsidRPr="001E1017">
                <w:rPr>
                  <w:rStyle w:val="Hyperlink"/>
                  <w:rFonts w:cs="Tahoma"/>
                  <w:b/>
                  <w:sz w:val="13"/>
                  <w:szCs w:val="13"/>
                </w:rPr>
                <w:t>63</w:t>
              </w:r>
            </w:hyperlink>
          </w:p>
        </w:tc>
        <w:tc>
          <w:tcPr>
            <w:tcW w:w="450" w:type="dxa"/>
            <w:shd w:val="clear" w:color="auto" w:fill="auto"/>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09/12</w:t>
            </w:r>
          </w:p>
        </w:tc>
        <w:tc>
          <w:tcPr>
            <w:tcW w:w="36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25</w:t>
            </w:r>
          </w:p>
        </w:tc>
        <w:tc>
          <w:tcPr>
            <w:tcW w:w="45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auto"/>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 (solo EES)</w:t>
            </w:r>
          </w:p>
        </w:tc>
        <w:tc>
          <w:tcPr>
            <w:tcW w:w="486" w:type="dxa"/>
            <w:shd w:val="clear" w:color="auto" w:fill="auto"/>
            <w:vAlign w:val="center"/>
          </w:tcPr>
          <w:p w:rsidR="00A92422" w:rsidRPr="00D87B79" w:rsidRDefault="00A92422" w:rsidP="00EA30FC">
            <w:pPr>
              <w:pStyle w:val="TableText"/>
              <w:widowControl w:val="0"/>
              <w:jc w:val="left"/>
              <w:rPr>
                <w:rFonts w:ascii="Tahoma" w:hAnsi="Tahoma" w:cs="Tahoma"/>
                <w:sz w:val="13"/>
              </w:rPr>
            </w:pPr>
          </w:p>
        </w:tc>
      </w:tr>
    </w:tbl>
    <w:p w:rsidR="00A92422" w:rsidRDefault="00A92422" w:rsidP="00A92422">
      <w:bookmarkStart w:id="323" w:name="_Toc336338008"/>
      <w:bookmarkStart w:id="324" w:name="_Toc342900059"/>
      <w:bookmarkEnd w:id="323"/>
      <w:r>
        <w:rPr>
          <w:b/>
        </w:rPr>
        <w:br w:type="page"/>
      </w: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450"/>
        <w:gridCol w:w="450"/>
        <w:gridCol w:w="360"/>
        <w:gridCol w:w="360"/>
        <w:gridCol w:w="450"/>
        <w:gridCol w:w="450"/>
        <w:gridCol w:w="450"/>
        <w:gridCol w:w="450"/>
        <w:gridCol w:w="450"/>
        <w:gridCol w:w="360"/>
        <w:gridCol w:w="450"/>
        <w:gridCol w:w="450"/>
        <w:gridCol w:w="450"/>
        <w:gridCol w:w="450"/>
        <w:gridCol w:w="450"/>
        <w:gridCol w:w="450"/>
        <w:gridCol w:w="504"/>
        <w:gridCol w:w="486"/>
      </w:tblGrid>
      <w:tr w:rsidR="00A92422" w:rsidRPr="00D87B79" w:rsidTr="00EA30FC">
        <w:trPr>
          <w:trHeight w:val="145"/>
        </w:trPr>
        <w:tc>
          <w:tcPr>
            <w:tcW w:w="2714" w:type="dxa"/>
            <w:shd w:val="clear" w:color="auto" w:fill="FFFFFF"/>
            <w:vAlign w:val="center"/>
          </w:tcPr>
          <w:p w:rsidR="00A92422" w:rsidRPr="00D87B79" w:rsidRDefault="00A92422" w:rsidP="00EA30FC">
            <w:pPr>
              <w:pStyle w:val="Heading2"/>
              <w:ind w:left="0"/>
              <w:rPr>
                <w:rFonts w:ascii="Tahoma" w:hAnsi="Tahoma" w:cs="Tahoma"/>
                <w:b w:val="0"/>
                <w:sz w:val="14"/>
                <w:szCs w:val="14"/>
              </w:rPr>
            </w:pPr>
            <w:r w:rsidRPr="00D87B79">
              <w:rPr>
                <w:rFonts w:ascii="Tahoma" w:hAnsi="Tahoma" w:cs="Tahoma"/>
                <w:b w:val="0"/>
                <w:sz w:val="14"/>
                <w:lang w:val="it-IT"/>
              </w:rPr>
              <w:lastRenderedPageBreak/>
              <w:t>Enterprise CAL per Microsoft Dynamics AX</w:t>
            </w:r>
            <w:r>
              <w:rPr>
                <w:rFonts w:ascii="Tahoma" w:hAnsi="Tahoma" w:cs="Tahoma"/>
                <w:b w:val="0"/>
                <w:sz w:val="14"/>
                <w:lang w:val="it-IT"/>
              </w:rPr>
              <w:t xml:space="preserve"> 2012 </w:t>
            </w:r>
            <w:r w:rsidRPr="00D87B79">
              <w:rPr>
                <w:rFonts w:ascii="Tahoma" w:hAnsi="Tahoma" w:cs="Tahoma"/>
                <w:b w:val="0"/>
                <w:sz w:val="14"/>
                <w:lang w:val="it-IT"/>
              </w:rPr>
              <w:t>(Utente e Dispositivo)</w:t>
            </w:r>
            <w:bookmarkEnd w:id="324"/>
          </w:p>
        </w:tc>
        <w:tc>
          <w:tcPr>
            <w:tcW w:w="450" w:type="dxa"/>
            <w:shd w:val="clear" w:color="auto" w:fill="FFFFFF"/>
            <w:vAlign w:val="center"/>
          </w:tcPr>
          <w:p w:rsidR="00A92422" w:rsidRPr="001E1017" w:rsidRDefault="00A92422" w:rsidP="00EA30FC">
            <w:pPr>
              <w:pStyle w:val="TableText"/>
              <w:widowControl w:val="0"/>
              <w:rPr>
                <w:rFonts w:cs="Tahoma"/>
                <w:b/>
                <w:color w:val="0000FF"/>
                <w:sz w:val="13"/>
                <w:szCs w:val="13"/>
                <w:u w:val="single"/>
              </w:rPr>
            </w:pPr>
            <w:hyperlink w:anchor="Srv_67MicrosoftDynamicsCRM2011" w:history="1">
              <w:r w:rsidRPr="001E1017">
                <w:rPr>
                  <w:rStyle w:val="Hyperlink"/>
                  <w:rFonts w:cs="Tahoma"/>
                  <w:b/>
                  <w:sz w:val="13"/>
                  <w:szCs w:val="13"/>
                </w:rPr>
                <w:t>63</w:t>
              </w:r>
            </w:hyperlink>
          </w:p>
        </w:tc>
        <w:tc>
          <w:tcPr>
            <w:tcW w:w="450" w:type="dxa"/>
            <w:shd w:val="clear" w:color="auto" w:fill="FFFFFF"/>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09/12</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FFFFF"/>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 (solo EES)</w:t>
            </w:r>
          </w:p>
        </w:tc>
        <w:tc>
          <w:tcPr>
            <w:tcW w:w="486" w:type="dxa"/>
            <w:shd w:val="clear" w:color="auto" w:fill="FFFFFF"/>
            <w:vAlign w:val="center"/>
          </w:tcPr>
          <w:p w:rsidR="00A92422" w:rsidRPr="00D87B79" w:rsidRDefault="00A92422" w:rsidP="00EA30FC">
            <w:pPr>
              <w:pStyle w:val="TableText"/>
              <w:widowControl w:val="0"/>
              <w:jc w:val="left"/>
              <w:rPr>
                <w:rFonts w:ascii="Tahoma" w:hAnsi="Tahoma" w:cs="Tahoma"/>
                <w:sz w:val="13"/>
              </w:rPr>
            </w:pPr>
          </w:p>
        </w:tc>
      </w:tr>
      <w:tr w:rsidR="00A92422" w:rsidRPr="00D87B79" w:rsidTr="00EA30FC">
        <w:trPr>
          <w:trHeight w:val="145"/>
        </w:trPr>
        <w:tc>
          <w:tcPr>
            <w:tcW w:w="2714" w:type="dxa"/>
            <w:shd w:val="clear" w:color="auto" w:fill="FABF8F"/>
            <w:vAlign w:val="center"/>
          </w:tcPr>
          <w:p w:rsidR="00A92422" w:rsidRPr="00D87B79" w:rsidRDefault="00A92422" w:rsidP="00EA30FC">
            <w:pPr>
              <w:pStyle w:val="Heading2"/>
              <w:ind w:left="0"/>
              <w:rPr>
                <w:rFonts w:ascii="Tahoma" w:hAnsi="Tahoma" w:cs="Tahoma"/>
                <w:b w:val="0"/>
                <w:sz w:val="14"/>
                <w:szCs w:val="14"/>
              </w:rPr>
            </w:pPr>
            <w:bookmarkStart w:id="325" w:name="_Toc336338009"/>
            <w:bookmarkStart w:id="326" w:name="_Toc342900060"/>
            <w:bookmarkEnd w:id="325"/>
            <w:r w:rsidRPr="00D87B79">
              <w:rPr>
                <w:rFonts w:ascii="Tahoma" w:hAnsi="Tahoma" w:cs="Tahoma"/>
                <w:b w:val="0"/>
                <w:sz w:val="14"/>
                <w:lang w:val="it-IT"/>
              </w:rPr>
              <w:t>Functional Additive CAL pe</w:t>
            </w:r>
            <w:r>
              <w:rPr>
                <w:rFonts w:ascii="Tahoma" w:hAnsi="Tahoma" w:cs="Tahoma"/>
                <w:b w:val="0"/>
                <w:sz w:val="14"/>
                <w:lang w:val="it-IT"/>
              </w:rPr>
              <w:t xml:space="preserve">r Microsoft Dynamics AX 2012 </w:t>
            </w:r>
            <w:r w:rsidRPr="00D87B79">
              <w:rPr>
                <w:rFonts w:ascii="Tahoma" w:hAnsi="Tahoma" w:cs="Tahoma"/>
                <w:b w:val="0"/>
                <w:sz w:val="14"/>
                <w:lang w:val="it-IT"/>
              </w:rPr>
              <w:t>(Utente e Dispositivo)</w:t>
            </w:r>
            <w:bookmarkEnd w:id="326"/>
          </w:p>
        </w:tc>
        <w:tc>
          <w:tcPr>
            <w:tcW w:w="450" w:type="dxa"/>
            <w:shd w:val="clear" w:color="auto" w:fill="FABF8F"/>
            <w:vAlign w:val="center"/>
          </w:tcPr>
          <w:p w:rsidR="00A92422" w:rsidRPr="001E1017" w:rsidRDefault="00A92422" w:rsidP="00EA30FC">
            <w:pPr>
              <w:pStyle w:val="TableText"/>
              <w:widowControl w:val="0"/>
              <w:rPr>
                <w:rFonts w:cs="Tahoma"/>
                <w:b/>
                <w:color w:val="0000FF"/>
                <w:sz w:val="13"/>
                <w:szCs w:val="13"/>
                <w:u w:val="single"/>
              </w:rPr>
            </w:pPr>
            <w:hyperlink w:anchor="Srv_67MicrosoftDynamicsCRM2011" w:history="1">
              <w:r w:rsidRPr="001E1017">
                <w:rPr>
                  <w:rStyle w:val="Hyperlink"/>
                  <w:rFonts w:cs="Tahoma"/>
                  <w:b/>
                  <w:sz w:val="13"/>
                  <w:szCs w:val="13"/>
                </w:rPr>
                <w:t>63</w:t>
              </w:r>
            </w:hyperlink>
          </w:p>
        </w:tc>
        <w:tc>
          <w:tcPr>
            <w:tcW w:w="450" w:type="dxa"/>
            <w:shd w:val="clear" w:color="auto" w:fill="FABF8F"/>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09/12</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10</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 (solo EES)</w:t>
            </w:r>
          </w:p>
        </w:tc>
        <w:tc>
          <w:tcPr>
            <w:tcW w:w="486" w:type="dxa"/>
            <w:shd w:val="clear" w:color="auto" w:fill="FABF8F"/>
            <w:vAlign w:val="center"/>
          </w:tcPr>
          <w:p w:rsidR="00A92422" w:rsidRPr="00D87B79" w:rsidRDefault="00A92422" w:rsidP="00EA30FC">
            <w:pPr>
              <w:pStyle w:val="TableText"/>
              <w:widowControl w:val="0"/>
              <w:jc w:val="left"/>
              <w:rPr>
                <w:rFonts w:ascii="Tahoma" w:hAnsi="Tahoma" w:cs="Tahoma"/>
                <w:sz w:val="13"/>
              </w:rPr>
            </w:pPr>
          </w:p>
        </w:tc>
      </w:tr>
      <w:tr w:rsidR="00A92422" w:rsidRPr="00D87B79" w:rsidTr="00EA30FC">
        <w:trPr>
          <w:trHeight w:val="145"/>
        </w:trPr>
        <w:tc>
          <w:tcPr>
            <w:tcW w:w="2714" w:type="dxa"/>
            <w:shd w:val="clear" w:color="auto" w:fill="FFFFFF"/>
            <w:vAlign w:val="center"/>
          </w:tcPr>
          <w:p w:rsidR="00A92422" w:rsidRPr="00D87B79" w:rsidRDefault="00A92422" w:rsidP="00EA30FC">
            <w:pPr>
              <w:pStyle w:val="Heading2"/>
              <w:ind w:left="0"/>
              <w:rPr>
                <w:rFonts w:ascii="Tahoma" w:hAnsi="Tahoma" w:cs="Tahoma"/>
                <w:b w:val="0"/>
                <w:sz w:val="14"/>
                <w:szCs w:val="14"/>
              </w:rPr>
            </w:pPr>
            <w:bookmarkStart w:id="327" w:name="_Toc336338010"/>
            <w:bookmarkStart w:id="328" w:name="_Toc342900061"/>
            <w:bookmarkEnd w:id="327"/>
            <w:r w:rsidRPr="00D87B79">
              <w:rPr>
                <w:rFonts w:ascii="Tahoma" w:hAnsi="Tahoma" w:cs="Tahoma"/>
                <w:b w:val="0"/>
                <w:sz w:val="14"/>
                <w:lang w:val="it-IT"/>
              </w:rPr>
              <w:t>Functional CAL per Microsoft Dynamics AX</w:t>
            </w:r>
            <w:r>
              <w:rPr>
                <w:rFonts w:ascii="Tahoma" w:hAnsi="Tahoma" w:cs="Tahoma"/>
                <w:b w:val="0"/>
                <w:sz w:val="14"/>
                <w:lang w:val="it-IT"/>
              </w:rPr>
              <w:t xml:space="preserve"> 2012 </w:t>
            </w:r>
            <w:r w:rsidRPr="00D87B79">
              <w:rPr>
                <w:rFonts w:ascii="Tahoma" w:hAnsi="Tahoma" w:cs="Tahoma"/>
                <w:b w:val="0"/>
                <w:sz w:val="14"/>
                <w:lang w:val="it-IT"/>
              </w:rPr>
              <w:t>(Utente e Dispositivo)</w:t>
            </w:r>
            <w:bookmarkEnd w:id="328"/>
          </w:p>
        </w:tc>
        <w:tc>
          <w:tcPr>
            <w:tcW w:w="450" w:type="dxa"/>
            <w:shd w:val="clear" w:color="auto" w:fill="FFFFFF"/>
            <w:vAlign w:val="center"/>
          </w:tcPr>
          <w:p w:rsidR="00A92422" w:rsidRPr="001E1017" w:rsidRDefault="00A92422" w:rsidP="00EA30FC">
            <w:pPr>
              <w:pStyle w:val="TableText"/>
              <w:widowControl w:val="0"/>
              <w:rPr>
                <w:rFonts w:cs="Tahoma"/>
                <w:b/>
                <w:color w:val="0000FF"/>
                <w:sz w:val="13"/>
                <w:szCs w:val="13"/>
                <w:u w:val="single"/>
              </w:rPr>
            </w:pPr>
            <w:hyperlink w:anchor="Srv_67MicrosoftDynamicsCRM2011" w:history="1">
              <w:r w:rsidRPr="001E1017">
                <w:rPr>
                  <w:rStyle w:val="Hyperlink"/>
                  <w:rFonts w:cs="Tahoma"/>
                  <w:b/>
                  <w:sz w:val="13"/>
                  <w:szCs w:val="13"/>
                </w:rPr>
                <w:t>63</w:t>
              </w:r>
            </w:hyperlink>
          </w:p>
        </w:tc>
        <w:tc>
          <w:tcPr>
            <w:tcW w:w="450" w:type="dxa"/>
            <w:shd w:val="clear" w:color="auto" w:fill="FFFFFF"/>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09/12</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15</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FFFFF"/>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 (solo EES)</w:t>
            </w:r>
          </w:p>
        </w:tc>
        <w:tc>
          <w:tcPr>
            <w:tcW w:w="486" w:type="dxa"/>
            <w:shd w:val="clear" w:color="auto" w:fill="FFFFFF"/>
            <w:vAlign w:val="center"/>
          </w:tcPr>
          <w:p w:rsidR="00A92422" w:rsidRPr="00D87B79" w:rsidRDefault="00A92422" w:rsidP="00EA30FC">
            <w:pPr>
              <w:pStyle w:val="TableText"/>
              <w:widowControl w:val="0"/>
              <w:jc w:val="left"/>
              <w:rPr>
                <w:rFonts w:ascii="Tahoma" w:hAnsi="Tahoma" w:cs="Tahoma"/>
                <w:sz w:val="13"/>
              </w:rPr>
            </w:pPr>
          </w:p>
        </w:tc>
      </w:tr>
      <w:tr w:rsidR="00A92422" w:rsidRPr="00D87B79" w:rsidTr="00EA30FC">
        <w:trPr>
          <w:trHeight w:val="242"/>
        </w:trPr>
        <w:tc>
          <w:tcPr>
            <w:tcW w:w="2714" w:type="dxa"/>
            <w:shd w:val="clear" w:color="auto" w:fill="FABF8F"/>
            <w:vAlign w:val="center"/>
          </w:tcPr>
          <w:p w:rsidR="00A92422" w:rsidRPr="00D87B79" w:rsidRDefault="00A92422" w:rsidP="00EA30FC">
            <w:pPr>
              <w:pStyle w:val="Heading2"/>
              <w:ind w:left="0"/>
              <w:rPr>
                <w:rFonts w:ascii="Tahoma" w:hAnsi="Tahoma" w:cs="Tahoma"/>
                <w:b w:val="0"/>
                <w:sz w:val="14"/>
                <w:szCs w:val="14"/>
              </w:rPr>
            </w:pPr>
            <w:bookmarkStart w:id="329" w:name="_Toc336338011"/>
            <w:bookmarkStart w:id="330" w:name="_Toc342900062"/>
            <w:bookmarkEnd w:id="329"/>
            <w:r w:rsidRPr="00D87B79">
              <w:rPr>
                <w:rFonts w:ascii="Tahoma" w:hAnsi="Tahoma" w:cs="Tahoma"/>
                <w:b w:val="0"/>
                <w:sz w:val="14"/>
                <w:lang w:val="it-IT"/>
              </w:rPr>
              <w:t>Self Serve CAL per Microsoft Dynamics AX</w:t>
            </w:r>
            <w:r>
              <w:rPr>
                <w:rFonts w:ascii="Tahoma" w:hAnsi="Tahoma" w:cs="Tahoma"/>
                <w:b w:val="0"/>
                <w:sz w:val="14"/>
                <w:lang w:val="it-IT"/>
              </w:rPr>
              <w:t xml:space="preserve"> 2012 </w:t>
            </w:r>
            <w:r w:rsidRPr="00D87B79">
              <w:rPr>
                <w:rFonts w:ascii="Tahoma" w:hAnsi="Tahoma" w:cs="Tahoma"/>
                <w:b w:val="0"/>
                <w:sz w:val="14"/>
                <w:lang w:val="it-IT"/>
              </w:rPr>
              <w:t>(Utente e Dispositivo)</w:t>
            </w:r>
            <w:bookmarkEnd w:id="330"/>
          </w:p>
        </w:tc>
        <w:tc>
          <w:tcPr>
            <w:tcW w:w="450" w:type="dxa"/>
            <w:shd w:val="clear" w:color="auto" w:fill="FABF8F"/>
            <w:vAlign w:val="center"/>
          </w:tcPr>
          <w:p w:rsidR="00A92422" w:rsidRPr="001E1017" w:rsidRDefault="00A92422" w:rsidP="00EA30FC">
            <w:pPr>
              <w:pStyle w:val="TableText"/>
              <w:widowControl w:val="0"/>
              <w:rPr>
                <w:rFonts w:cs="Tahoma"/>
                <w:b/>
                <w:color w:val="0000FF"/>
                <w:sz w:val="13"/>
                <w:szCs w:val="13"/>
                <w:u w:val="single"/>
              </w:rPr>
            </w:pPr>
            <w:hyperlink w:anchor="Srv_67MicrosoftDynamicsCRM2011" w:history="1">
              <w:r w:rsidRPr="001E1017">
                <w:rPr>
                  <w:rStyle w:val="Hyperlink"/>
                  <w:rFonts w:cs="Tahoma"/>
                  <w:b/>
                  <w:sz w:val="13"/>
                  <w:szCs w:val="13"/>
                </w:rPr>
                <w:t>63</w:t>
              </w:r>
            </w:hyperlink>
          </w:p>
        </w:tc>
        <w:tc>
          <w:tcPr>
            <w:tcW w:w="450" w:type="dxa"/>
            <w:shd w:val="clear" w:color="auto" w:fill="FABF8F"/>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09/12</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 (solo EES)</w:t>
            </w:r>
          </w:p>
        </w:tc>
        <w:tc>
          <w:tcPr>
            <w:tcW w:w="486" w:type="dxa"/>
            <w:shd w:val="clear" w:color="auto" w:fill="FABF8F"/>
            <w:vAlign w:val="center"/>
          </w:tcPr>
          <w:p w:rsidR="00A92422" w:rsidRPr="00D87B79" w:rsidRDefault="00A92422" w:rsidP="00EA30FC">
            <w:pPr>
              <w:pStyle w:val="TableText"/>
              <w:widowControl w:val="0"/>
              <w:jc w:val="left"/>
              <w:rPr>
                <w:rFonts w:ascii="Tahoma" w:hAnsi="Tahoma" w:cs="Tahoma"/>
                <w:sz w:val="13"/>
              </w:rPr>
            </w:pPr>
          </w:p>
        </w:tc>
      </w:tr>
      <w:tr w:rsidR="00A92422" w:rsidRPr="00D87B79" w:rsidTr="00EA30FC">
        <w:trPr>
          <w:trHeight w:val="145"/>
        </w:trPr>
        <w:tc>
          <w:tcPr>
            <w:tcW w:w="2714" w:type="dxa"/>
            <w:shd w:val="clear" w:color="auto" w:fill="FFFFFF"/>
            <w:vAlign w:val="center"/>
          </w:tcPr>
          <w:p w:rsidR="00A92422" w:rsidRPr="00D87B79" w:rsidRDefault="00A92422" w:rsidP="00EA30FC">
            <w:pPr>
              <w:pStyle w:val="Heading2"/>
              <w:ind w:left="0"/>
              <w:rPr>
                <w:rFonts w:ascii="Tahoma" w:hAnsi="Tahoma" w:cs="Tahoma"/>
                <w:b w:val="0"/>
                <w:sz w:val="14"/>
                <w:szCs w:val="14"/>
              </w:rPr>
            </w:pPr>
            <w:bookmarkStart w:id="331" w:name="_Toc336338012"/>
            <w:bookmarkStart w:id="332" w:name="_Toc342900063"/>
            <w:bookmarkEnd w:id="331"/>
            <w:r>
              <w:rPr>
                <w:rFonts w:ascii="Tahoma" w:hAnsi="Tahoma" w:cs="Tahoma"/>
                <w:b w:val="0"/>
                <w:sz w:val="14"/>
                <w:lang w:val="it-IT"/>
              </w:rPr>
              <w:t>Microsoft Dynamics AX 2012</w:t>
            </w:r>
            <w:r w:rsidRPr="00D87B79">
              <w:rPr>
                <w:rFonts w:ascii="Tahoma" w:hAnsi="Tahoma" w:cs="Tahoma"/>
                <w:b w:val="0"/>
                <w:sz w:val="14"/>
                <w:lang w:val="it-IT"/>
              </w:rPr>
              <w:t xml:space="preserve"> Server</w:t>
            </w:r>
            <w:bookmarkEnd w:id="332"/>
          </w:p>
        </w:tc>
        <w:tc>
          <w:tcPr>
            <w:tcW w:w="450" w:type="dxa"/>
            <w:shd w:val="clear" w:color="auto" w:fill="FFFFFF"/>
            <w:vAlign w:val="center"/>
          </w:tcPr>
          <w:p w:rsidR="00A92422" w:rsidRPr="001E1017" w:rsidRDefault="00A92422" w:rsidP="00EA30FC">
            <w:pPr>
              <w:pStyle w:val="TableText"/>
              <w:widowControl w:val="0"/>
              <w:rPr>
                <w:rFonts w:cs="Tahoma"/>
                <w:b/>
                <w:color w:val="0000FF"/>
                <w:sz w:val="13"/>
                <w:szCs w:val="13"/>
                <w:u w:val="single"/>
              </w:rPr>
            </w:pPr>
            <w:hyperlink w:anchor="Srv_67MicrosoftDynamicsCRM2011" w:history="1">
              <w:r w:rsidRPr="001E1017">
                <w:rPr>
                  <w:rStyle w:val="Hyperlink"/>
                  <w:rFonts w:cs="Tahoma"/>
                  <w:b/>
                  <w:sz w:val="13"/>
                  <w:szCs w:val="13"/>
                </w:rPr>
                <w:t>63</w:t>
              </w:r>
            </w:hyperlink>
          </w:p>
        </w:tc>
        <w:tc>
          <w:tcPr>
            <w:tcW w:w="450" w:type="dxa"/>
            <w:shd w:val="clear" w:color="auto" w:fill="FFFFFF"/>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08/12</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FFFFF"/>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 (solo EES)</w:t>
            </w:r>
          </w:p>
        </w:tc>
        <w:tc>
          <w:tcPr>
            <w:tcW w:w="486" w:type="dxa"/>
            <w:shd w:val="clear" w:color="auto" w:fill="FFFFFF"/>
            <w:vAlign w:val="center"/>
          </w:tcPr>
          <w:p w:rsidR="00A92422" w:rsidRPr="00D87B79" w:rsidRDefault="00A92422" w:rsidP="00EA30FC">
            <w:pPr>
              <w:pStyle w:val="TableText"/>
              <w:widowControl w:val="0"/>
              <w:jc w:val="left"/>
              <w:rPr>
                <w:rFonts w:ascii="Tahoma" w:hAnsi="Tahoma" w:cs="Tahoma"/>
                <w:sz w:val="13"/>
              </w:rPr>
            </w:pPr>
          </w:p>
        </w:tc>
      </w:tr>
      <w:tr w:rsidR="00A92422" w:rsidRPr="00D87B79" w:rsidTr="00EA30FC">
        <w:trPr>
          <w:trHeight w:val="278"/>
        </w:trPr>
        <w:tc>
          <w:tcPr>
            <w:tcW w:w="2714" w:type="dxa"/>
            <w:shd w:val="clear" w:color="auto" w:fill="FABF8F"/>
            <w:vAlign w:val="center"/>
          </w:tcPr>
          <w:p w:rsidR="00A92422" w:rsidRPr="00D87B79" w:rsidRDefault="00A92422" w:rsidP="00EA30FC">
            <w:pPr>
              <w:pStyle w:val="Heading2"/>
              <w:ind w:left="0"/>
              <w:rPr>
                <w:rFonts w:ascii="Tahoma" w:hAnsi="Tahoma" w:cs="Tahoma"/>
                <w:b w:val="0"/>
                <w:sz w:val="14"/>
                <w:szCs w:val="14"/>
              </w:rPr>
            </w:pPr>
            <w:bookmarkStart w:id="333" w:name="_Toc336338013"/>
            <w:bookmarkStart w:id="334" w:name="_Toc342900064"/>
            <w:bookmarkEnd w:id="333"/>
            <w:r w:rsidRPr="00D87B79">
              <w:rPr>
                <w:rFonts w:ascii="Tahoma" w:hAnsi="Tahoma" w:cs="Tahoma"/>
                <w:b w:val="0"/>
                <w:sz w:val="14"/>
                <w:lang w:val="it-IT"/>
              </w:rPr>
              <w:t>Task Additive CAL pe</w:t>
            </w:r>
            <w:r>
              <w:rPr>
                <w:rFonts w:ascii="Tahoma" w:hAnsi="Tahoma" w:cs="Tahoma"/>
                <w:b w:val="0"/>
                <w:sz w:val="14"/>
                <w:lang w:val="it-IT"/>
              </w:rPr>
              <w:t xml:space="preserve">r Microsoft Dynamics AX 2012 </w:t>
            </w:r>
            <w:r w:rsidRPr="00D87B79">
              <w:rPr>
                <w:rFonts w:ascii="Tahoma" w:hAnsi="Tahoma" w:cs="Tahoma"/>
                <w:b w:val="0"/>
                <w:sz w:val="14"/>
                <w:lang w:val="it-IT"/>
              </w:rPr>
              <w:t>(Utente e Dispositivo)</w:t>
            </w:r>
            <w:bookmarkEnd w:id="334"/>
          </w:p>
        </w:tc>
        <w:tc>
          <w:tcPr>
            <w:tcW w:w="450" w:type="dxa"/>
            <w:shd w:val="clear" w:color="auto" w:fill="FABF8F"/>
            <w:vAlign w:val="center"/>
          </w:tcPr>
          <w:p w:rsidR="00A92422" w:rsidRPr="001E1017" w:rsidRDefault="00A92422" w:rsidP="00EA30FC">
            <w:pPr>
              <w:pStyle w:val="TableText"/>
              <w:widowControl w:val="0"/>
              <w:rPr>
                <w:rFonts w:cs="Tahoma"/>
                <w:b/>
                <w:color w:val="0000FF"/>
                <w:sz w:val="13"/>
                <w:szCs w:val="13"/>
                <w:u w:val="single"/>
              </w:rPr>
            </w:pPr>
            <w:hyperlink w:anchor="Srv_67MicrosoftDynamicsCRM2011" w:history="1">
              <w:r w:rsidRPr="001E1017">
                <w:rPr>
                  <w:rStyle w:val="Hyperlink"/>
                  <w:rFonts w:cs="Tahoma"/>
                  <w:b/>
                  <w:sz w:val="13"/>
                  <w:szCs w:val="13"/>
                </w:rPr>
                <w:t>63</w:t>
              </w:r>
            </w:hyperlink>
          </w:p>
        </w:tc>
        <w:tc>
          <w:tcPr>
            <w:tcW w:w="450" w:type="dxa"/>
            <w:shd w:val="clear" w:color="auto" w:fill="FABF8F"/>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09/12</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 (solo EES)</w:t>
            </w:r>
          </w:p>
        </w:tc>
        <w:tc>
          <w:tcPr>
            <w:tcW w:w="486" w:type="dxa"/>
            <w:shd w:val="clear" w:color="auto" w:fill="FABF8F"/>
            <w:vAlign w:val="center"/>
          </w:tcPr>
          <w:p w:rsidR="00A92422" w:rsidRPr="00D87B79" w:rsidRDefault="00A92422" w:rsidP="00EA30FC">
            <w:pPr>
              <w:pStyle w:val="TableText"/>
              <w:widowControl w:val="0"/>
              <w:jc w:val="left"/>
              <w:rPr>
                <w:rFonts w:ascii="Tahoma" w:hAnsi="Tahoma" w:cs="Tahoma"/>
                <w:sz w:val="13"/>
              </w:rPr>
            </w:pPr>
          </w:p>
        </w:tc>
      </w:tr>
      <w:tr w:rsidR="00A92422" w:rsidRPr="00D87B79" w:rsidTr="00EA30FC">
        <w:trPr>
          <w:trHeight w:val="145"/>
        </w:trPr>
        <w:tc>
          <w:tcPr>
            <w:tcW w:w="2714" w:type="dxa"/>
            <w:shd w:val="clear" w:color="auto" w:fill="FFFFFF"/>
            <w:vAlign w:val="center"/>
          </w:tcPr>
          <w:p w:rsidR="00A92422" w:rsidRPr="00D87B79" w:rsidRDefault="00A92422" w:rsidP="00EA30FC">
            <w:pPr>
              <w:pStyle w:val="Heading2"/>
              <w:ind w:left="0"/>
              <w:rPr>
                <w:rFonts w:ascii="Tahoma" w:hAnsi="Tahoma" w:cs="Tahoma"/>
                <w:b w:val="0"/>
                <w:sz w:val="14"/>
                <w:szCs w:val="14"/>
              </w:rPr>
            </w:pPr>
            <w:bookmarkStart w:id="335" w:name="_Toc336338014"/>
            <w:bookmarkStart w:id="336" w:name="_Toc342900065"/>
            <w:bookmarkEnd w:id="335"/>
            <w:r w:rsidRPr="00D87B79">
              <w:rPr>
                <w:rFonts w:ascii="Tahoma" w:hAnsi="Tahoma" w:cs="Tahoma"/>
                <w:b w:val="0"/>
                <w:sz w:val="14"/>
                <w:lang w:val="it-IT"/>
              </w:rPr>
              <w:t>Task CAL pe</w:t>
            </w:r>
            <w:r>
              <w:rPr>
                <w:rFonts w:ascii="Tahoma" w:hAnsi="Tahoma" w:cs="Tahoma"/>
                <w:b w:val="0"/>
                <w:sz w:val="14"/>
                <w:lang w:val="it-IT"/>
              </w:rPr>
              <w:t xml:space="preserve">r Microsoft Dynamics AX 2012 </w:t>
            </w:r>
            <w:r w:rsidRPr="00D87B79">
              <w:rPr>
                <w:rFonts w:ascii="Tahoma" w:hAnsi="Tahoma" w:cs="Tahoma"/>
                <w:b w:val="0"/>
                <w:sz w:val="14"/>
                <w:lang w:val="it-IT"/>
              </w:rPr>
              <w:t>(Utente e Dispositivo)</w:t>
            </w:r>
            <w:bookmarkEnd w:id="336"/>
          </w:p>
        </w:tc>
        <w:tc>
          <w:tcPr>
            <w:tcW w:w="450" w:type="dxa"/>
            <w:shd w:val="clear" w:color="auto" w:fill="FFFFFF"/>
            <w:vAlign w:val="center"/>
          </w:tcPr>
          <w:p w:rsidR="00A92422" w:rsidRPr="001E1017" w:rsidRDefault="00A92422" w:rsidP="00EA30FC">
            <w:pPr>
              <w:pStyle w:val="TableText"/>
              <w:widowControl w:val="0"/>
              <w:rPr>
                <w:rFonts w:cs="Tahoma"/>
                <w:b/>
                <w:color w:val="0000FF"/>
                <w:sz w:val="13"/>
                <w:szCs w:val="13"/>
                <w:u w:val="single"/>
              </w:rPr>
            </w:pPr>
            <w:hyperlink w:anchor="Srv_67MicrosoftDynamicsCRM2011" w:history="1">
              <w:r w:rsidRPr="001E1017">
                <w:rPr>
                  <w:rStyle w:val="Hyperlink"/>
                  <w:rFonts w:cs="Tahoma"/>
                  <w:b/>
                  <w:sz w:val="13"/>
                  <w:szCs w:val="13"/>
                </w:rPr>
                <w:t>63</w:t>
              </w:r>
            </w:hyperlink>
          </w:p>
        </w:tc>
        <w:tc>
          <w:tcPr>
            <w:tcW w:w="450" w:type="dxa"/>
            <w:shd w:val="clear" w:color="auto" w:fill="FFFFFF"/>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09/12</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FFFFF"/>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 (solo EES)</w:t>
            </w:r>
          </w:p>
        </w:tc>
        <w:tc>
          <w:tcPr>
            <w:tcW w:w="486" w:type="dxa"/>
            <w:shd w:val="clear" w:color="auto" w:fill="FFFFFF"/>
            <w:vAlign w:val="center"/>
          </w:tcPr>
          <w:p w:rsidR="00A92422" w:rsidRPr="00D87B79" w:rsidRDefault="00A92422" w:rsidP="00EA30FC">
            <w:pPr>
              <w:pStyle w:val="TableText"/>
              <w:widowControl w:val="0"/>
              <w:jc w:val="left"/>
              <w:rPr>
                <w:rFonts w:ascii="Tahoma" w:hAnsi="Tahoma" w:cs="Tahoma"/>
                <w:sz w:val="13"/>
              </w:rPr>
            </w:pPr>
          </w:p>
        </w:tc>
      </w:tr>
      <w:tr w:rsidR="00A92422" w:rsidRPr="00D87B79" w:rsidTr="00EA30FC">
        <w:trPr>
          <w:trHeight w:val="145"/>
        </w:trPr>
        <w:tc>
          <w:tcPr>
            <w:tcW w:w="2714" w:type="dxa"/>
            <w:shd w:val="clear" w:color="auto" w:fill="FABF8F"/>
            <w:vAlign w:val="center"/>
          </w:tcPr>
          <w:p w:rsidR="00A92422" w:rsidRPr="00D87B79" w:rsidRDefault="00A92422" w:rsidP="00EA30FC">
            <w:pPr>
              <w:pStyle w:val="Heading2"/>
              <w:ind w:left="0"/>
              <w:rPr>
                <w:rFonts w:ascii="Tahoma" w:hAnsi="Tahoma" w:cs="Tahoma"/>
                <w:b w:val="0"/>
                <w:sz w:val="14"/>
                <w:szCs w:val="14"/>
              </w:rPr>
            </w:pPr>
            <w:bookmarkStart w:id="337" w:name="_Toc336338015"/>
            <w:bookmarkStart w:id="338" w:name="_Toc342900066"/>
            <w:bookmarkEnd w:id="337"/>
            <w:r w:rsidRPr="00D87B79">
              <w:rPr>
                <w:rFonts w:ascii="Tahoma" w:hAnsi="Tahoma" w:cs="Tahoma"/>
                <w:b w:val="0"/>
                <w:sz w:val="14"/>
                <w:szCs w:val="14"/>
                <w:lang w:val="it-IT"/>
              </w:rPr>
              <w:t>CAL per Microsoft Dynamics CRM 2011 (Utente e Dispositivo)</w:t>
            </w:r>
            <w:bookmarkEnd w:id="338"/>
          </w:p>
        </w:tc>
        <w:bookmarkStart w:id="339" w:name="_Hlt336251084"/>
        <w:bookmarkEnd w:id="339"/>
        <w:tc>
          <w:tcPr>
            <w:tcW w:w="450" w:type="dxa"/>
            <w:shd w:val="clear" w:color="auto" w:fill="FABF8F"/>
            <w:vAlign w:val="center"/>
          </w:tcPr>
          <w:p w:rsidR="00A92422" w:rsidRPr="001E1017" w:rsidRDefault="00A92422" w:rsidP="00EA30FC">
            <w:pPr>
              <w:pStyle w:val="TableText"/>
              <w:widowControl w:val="0"/>
              <w:rPr>
                <w:rFonts w:cs="Tahoma"/>
                <w:b/>
                <w:color w:val="0000FF"/>
                <w:sz w:val="13"/>
                <w:szCs w:val="13"/>
                <w:u w:val="single"/>
              </w:rPr>
            </w:pPr>
            <w:r w:rsidRPr="001E1017">
              <w:rPr>
                <w:rFonts w:cs="Tahoma"/>
                <w:sz w:val="13"/>
                <w:szCs w:val="13"/>
              </w:rPr>
              <w:fldChar w:fldCharType="begin"/>
            </w:r>
            <w:r w:rsidRPr="001E1017">
              <w:rPr>
                <w:rFonts w:cs="Tahoma"/>
                <w:sz w:val="13"/>
                <w:szCs w:val="13"/>
              </w:rPr>
              <w:instrText xml:space="preserve"> HYPERLINK  \l "_68_Microsoft_Dynamics"</w:instrText>
            </w:r>
            <w:r w:rsidRPr="001E1017">
              <w:rPr>
                <w:rFonts w:cs="Tahoma"/>
                <w:sz w:val="13"/>
                <w:szCs w:val="13"/>
              </w:rPr>
              <w:fldChar w:fldCharType="separate"/>
            </w:r>
            <w:r w:rsidRPr="001E1017">
              <w:rPr>
                <w:rStyle w:val="Hyperlink"/>
                <w:rFonts w:cs="Tahoma"/>
                <w:b/>
                <w:sz w:val="13"/>
                <w:szCs w:val="13"/>
              </w:rPr>
              <w:t>64</w:t>
            </w:r>
            <w:r w:rsidRPr="001E1017">
              <w:rPr>
                <w:rFonts w:cs="Tahoma"/>
                <w:sz w:val="13"/>
                <w:szCs w:val="13"/>
              </w:rPr>
              <w:fldChar w:fldCharType="end"/>
            </w:r>
          </w:p>
        </w:tc>
        <w:tc>
          <w:tcPr>
            <w:tcW w:w="450" w:type="dxa"/>
            <w:shd w:val="clear" w:color="auto" w:fill="FABF8F"/>
          </w:tcPr>
          <w:p w:rsidR="00A92422" w:rsidRPr="00D87B79" w:rsidRDefault="00A92422" w:rsidP="00EA30FC">
            <w:pPr>
              <w:pStyle w:val="TableText"/>
              <w:widowControl w:val="0"/>
              <w:spacing w:before="120"/>
              <w:rPr>
                <w:rFonts w:ascii="Tahoma" w:hAnsi="Tahoma" w:cs="Tahoma"/>
                <w:color w:val="000000"/>
                <w:sz w:val="13"/>
              </w:rPr>
            </w:pPr>
            <w:r w:rsidRPr="00D87B79">
              <w:rPr>
                <w:rFonts w:ascii="Tahoma" w:hAnsi="Tahoma" w:cs="Tahoma"/>
                <w:color w:val="000000"/>
                <w:sz w:val="13"/>
              </w:rPr>
              <w:t>04/01</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25</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20</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15</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15</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10</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20</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10</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10</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ABF8F"/>
            <w:vAlign w:val="center"/>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lang w:val="it-IT"/>
              </w:rPr>
              <w:t>A, ST</w:t>
            </w:r>
          </w:p>
        </w:tc>
        <w:tc>
          <w:tcPr>
            <w:tcW w:w="486" w:type="dxa"/>
            <w:shd w:val="clear" w:color="auto" w:fill="FABF8F"/>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OL/OV</w:t>
            </w:r>
          </w:p>
        </w:tc>
      </w:tr>
      <w:tr w:rsidR="00A92422" w:rsidRPr="00D87B79" w:rsidTr="00EA30FC">
        <w:trPr>
          <w:trHeight w:val="145"/>
        </w:trPr>
        <w:tc>
          <w:tcPr>
            <w:tcW w:w="2714" w:type="dxa"/>
            <w:shd w:val="clear" w:color="auto" w:fill="FFFFFF"/>
            <w:vAlign w:val="center"/>
          </w:tcPr>
          <w:p w:rsidR="00A92422" w:rsidRPr="00D87B79" w:rsidRDefault="00A92422" w:rsidP="00EA30FC">
            <w:pPr>
              <w:pStyle w:val="Heading2"/>
              <w:ind w:left="0"/>
              <w:rPr>
                <w:rFonts w:ascii="Tahoma" w:hAnsi="Tahoma" w:cs="Tahoma"/>
                <w:b w:val="0"/>
                <w:sz w:val="14"/>
                <w:szCs w:val="14"/>
              </w:rPr>
            </w:pPr>
            <w:bookmarkStart w:id="340" w:name="_Toc336338016"/>
            <w:bookmarkStart w:id="341" w:name="_Toc342900067"/>
            <w:bookmarkEnd w:id="340"/>
            <w:r w:rsidRPr="00D87B79">
              <w:rPr>
                <w:rFonts w:ascii="Tahoma" w:hAnsi="Tahoma" w:cs="Tahoma"/>
                <w:b w:val="0"/>
                <w:sz w:val="14"/>
                <w:szCs w:val="14"/>
                <w:lang w:val="it-IT"/>
              </w:rPr>
              <w:t>CAL per Employee Self Service di Microsoft Dynamics CRM 2011 (Utente e Dispositivo)</w:t>
            </w:r>
            <w:bookmarkEnd w:id="341"/>
          </w:p>
        </w:tc>
        <w:tc>
          <w:tcPr>
            <w:tcW w:w="450" w:type="dxa"/>
            <w:shd w:val="clear" w:color="auto" w:fill="FFFFFF"/>
            <w:vAlign w:val="center"/>
          </w:tcPr>
          <w:p w:rsidR="00A92422" w:rsidRPr="001E1017" w:rsidRDefault="00A92422" w:rsidP="00EA30FC">
            <w:pPr>
              <w:pStyle w:val="TableText"/>
              <w:widowControl w:val="0"/>
              <w:rPr>
                <w:rFonts w:cs="Tahoma"/>
                <w:b/>
                <w:color w:val="0000FF"/>
                <w:sz w:val="13"/>
                <w:szCs w:val="13"/>
                <w:u w:val="single"/>
              </w:rPr>
            </w:pPr>
            <w:hyperlink w:anchor="_68_Microsoft_Dynamics" w:history="1">
              <w:r w:rsidRPr="001E1017">
                <w:rPr>
                  <w:rStyle w:val="Hyperlink"/>
                  <w:rFonts w:cs="Tahoma"/>
                  <w:b/>
                  <w:sz w:val="13"/>
                  <w:szCs w:val="13"/>
                </w:rPr>
                <w:t>64</w:t>
              </w:r>
            </w:hyperlink>
          </w:p>
        </w:tc>
        <w:tc>
          <w:tcPr>
            <w:tcW w:w="450" w:type="dxa"/>
            <w:shd w:val="clear" w:color="auto" w:fill="FFFFFF"/>
          </w:tcPr>
          <w:p w:rsidR="00A92422" w:rsidRPr="00D87B79" w:rsidRDefault="00A92422" w:rsidP="00EA30FC">
            <w:pPr>
              <w:pStyle w:val="TableText"/>
              <w:widowControl w:val="0"/>
              <w:spacing w:before="120"/>
              <w:rPr>
                <w:rFonts w:ascii="Tahoma" w:hAnsi="Tahoma" w:cs="Tahoma"/>
                <w:color w:val="000000"/>
                <w:sz w:val="13"/>
              </w:rPr>
            </w:pPr>
            <w:r w:rsidRPr="00D87B79">
              <w:rPr>
                <w:rFonts w:ascii="Tahoma" w:hAnsi="Tahoma" w:cs="Tahoma"/>
                <w:color w:val="000000"/>
                <w:sz w:val="13"/>
              </w:rPr>
              <w:t>04/01</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FFFFF"/>
            <w:vAlign w:val="center"/>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lang w:val="it-IT"/>
              </w:rPr>
              <w:t>A, ST</w:t>
            </w:r>
          </w:p>
        </w:tc>
        <w:tc>
          <w:tcPr>
            <w:tcW w:w="486" w:type="dxa"/>
            <w:shd w:val="clear" w:color="auto" w:fill="FFFFFF"/>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OL/OV</w:t>
            </w:r>
          </w:p>
        </w:tc>
      </w:tr>
      <w:tr w:rsidR="00A92422" w:rsidRPr="00D87B79" w:rsidTr="00EA30FC">
        <w:trPr>
          <w:trHeight w:val="145"/>
        </w:trPr>
        <w:tc>
          <w:tcPr>
            <w:tcW w:w="2714" w:type="dxa"/>
            <w:shd w:val="clear" w:color="auto" w:fill="FABF8F"/>
            <w:vAlign w:val="center"/>
          </w:tcPr>
          <w:p w:rsidR="00A92422" w:rsidRPr="00D87B79" w:rsidRDefault="00A92422" w:rsidP="00EA30FC">
            <w:pPr>
              <w:pStyle w:val="Heading2"/>
              <w:ind w:left="0"/>
              <w:rPr>
                <w:rFonts w:ascii="Tahoma" w:hAnsi="Tahoma" w:cs="Tahoma"/>
                <w:b w:val="0"/>
                <w:sz w:val="14"/>
                <w:szCs w:val="14"/>
              </w:rPr>
            </w:pPr>
            <w:bookmarkStart w:id="342" w:name="_Toc336338017"/>
            <w:bookmarkStart w:id="343" w:name="_Toc342900068"/>
            <w:bookmarkEnd w:id="342"/>
            <w:r w:rsidRPr="00D87B79">
              <w:rPr>
                <w:rFonts w:ascii="Tahoma" w:hAnsi="Tahoma" w:cs="Tahoma"/>
                <w:b w:val="0"/>
                <w:sz w:val="14"/>
                <w:szCs w:val="14"/>
                <w:lang w:val="it-IT"/>
              </w:rPr>
              <w:t>Microsoft Dynamics CRM 2011 External Connector</w:t>
            </w:r>
            <w:bookmarkEnd w:id="343"/>
          </w:p>
        </w:tc>
        <w:tc>
          <w:tcPr>
            <w:tcW w:w="450" w:type="dxa"/>
            <w:shd w:val="clear" w:color="auto" w:fill="FABF8F"/>
            <w:vAlign w:val="center"/>
          </w:tcPr>
          <w:p w:rsidR="00A92422" w:rsidRPr="001E1017" w:rsidRDefault="00A92422" w:rsidP="00EA30FC">
            <w:pPr>
              <w:pStyle w:val="TableText"/>
              <w:widowControl w:val="0"/>
              <w:rPr>
                <w:rFonts w:cs="Tahoma"/>
                <w:b/>
                <w:color w:val="0000FF"/>
                <w:sz w:val="13"/>
                <w:szCs w:val="13"/>
                <w:u w:val="single"/>
              </w:rPr>
            </w:pPr>
            <w:hyperlink w:anchor="_68_Microsoft_Dynamics" w:history="1">
              <w:r w:rsidRPr="001E1017">
                <w:rPr>
                  <w:rStyle w:val="Hyperlink"/>
                  <w:rFonts w:cs="Tahoma"/>
                  <w:b/>
                  <w:sz w:val="13"/>
                  <w:szCs w:val="13"/>
                </w:rPr>
                <w:t>64</w:t>
              </w:r>
            </w:hyperlink>
          </w:p>
        </w:tc>
        <w:tc>
          <w:tcPr>
            <w:tcW w:w="450" w:type="dxa"/>
            <w:shd w:val="clear" w:color="auto" w:fill="FABF8F"/>
          </w:tcPr>
          <w:p w:rsidR="00A92422" w:rsidRPr="00D87B79" w:rsidRDefault="00A92422" w:rsidP="00EA30FC">
            <w:pPr>
              <w:pStyle w:val="TableText"/>
              <w:widowControl w:val="0"/>
              <w:spacing w:before="120"/>
              <w:rPr>
                <w:rFonts w:ascii="Tahoma" w:hAnsi="Tahoma" w:cs="Tahoma"/>
                <w:color w:val="000000"/>
                <w:sz w:val="13"/>
              </w:rPr>
            </w:pPr>
            <w:r w:rsidRPr="00D87B79">
              <w:rPr>
                <w:rFonts w:ascii="Tahoma" w:hAnsi="Tahoma" w:cs="Tahoma"/>
                <w:color w:val="000000"/>
                <w:sz w:val="13"/>
              </w:rPr>
              <w:t>04/01</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125</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100</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75</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75</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25</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100</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ABF8F"/>
            <w:vAlign w:val="center"/>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lang w:val="it-IT"/>
              </w:rPr>
              <w:t>A</w:t>
            </w:r>
          </w:p>
        </w:tc>
        <w:tc>
          <w:tcPr>
            <w:tcW w:w="486" w:type="dxa"/>
            <w:shd w:val="clear" w:color="auto" w:fill="FABF8F"/>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OL/OV</w:t>
            </w:r>
          </w:p>
        </w:tc>
      </w:tr>
      <w:tr w:rsidR="00A92422" w:rsidRPr="00D87B79" w:rsidTr="00EA30FC">
        <w:trPr>
          <w:trHeight w:val="145"/>
        </w:trPr>
        <w:tc>
          <w:tcPr>
            <w:tcW w:w="2714" w:type="dxa"/>
            <w:shd w:val="clear" w:color="auto" w:fill="FFFFFF"/>
            <w:vAlign w:val="center"/>
          </w:tcPr>
          <w:p w:rsidR="00A92422" w:rsidRPr="00D87B79" w:rsidRDefault="00A92422" w:rsidP="00EA30FC">
            <w:pPr>
              <w:pStyle w:val="Heading2"/>
              <w:ind w:left="0"/>
              <w:rPr>
                <w:rFonts w:ascii="Tahoma" w:hAnsi="Tahoma" w:cs="Tahoma"/>
                <w:b w:val="0"/>
                <w:sz w:val="14"/>
                <w:szCs w:val="14"/>
              </w:rPr>
            </w:pPr>
            <w:bookmarkStart w:id="344" w:name="_Toc336338018"/>
            <w:bookmarkStart w:id="345" w:name="_Toc342900069"/>
            <w:bookmarkEnd w:id="344"/>
            <w:r w:rsidRPr="00D87B79">
              <w:rPr>
                <w:rFonts w:ascii="Tahoma" w:hAnsi="Tahoma" w:cs="Tahoma"/>
                <w:b w:val="0"/>
                <w:sz w:val="14"/>
                <w:szCs w:val="14"/>
                <w:lang w:val="it-IT"/>
              </w:rPr>
              <w:t>CAL Aggiuntiva per l’Utilizzo Completo di</w:t>
            </w:r>
            <w:r>
              <w:rPr>
                <w:rFonts w:ascii="Tahoma" w:hAnsi="Tahoma" w:cs="Tahoma"/>
                <w:b w:val="0"/>
                <w:sz w:val="14"/>
                <w:szCs w:val="14"/>
                <w:lang w:val="it-IT"/>
              </w:rPr>
              <w:t> </w:t>
            </w:r>
            <w:r w:rsidRPr="00D87B79">
              <w:rPr>
                <w:rFonts w:ascii="Tahoma" w:hAnsi="Tahoma" w:cs="Tahoma"/>
                <w:b w:val="0"/>
                <w:sz w:val="14"/>
                <w:szCs w:val="14"/>
                <w:lang w:val="it-IT"/>
              </w:rPr>
              <w:t xml:space="preserve">Microsoft Dynamics CRM 2011 </w:t>
            </w:r>
            <w:r>
              <w:rPr>
                <w:rFonts w:ascii="Tahoma" w:hAnsi="Tahoma" w:cs="Tahoma"/>
                <w:b w:val="0"/>
                <w:sz w:val="14"/>
                <w:szCs w:val="14"/>
                <w:lang w:val="it-IT"/>
              </w:rPr>
              <w:br/>
            </w:r>
            <w:r w:rsidRPr="00D87B79">
              <w:rPr>
                <w:rFonts w:ascii="Tahoma" w:hAnsi="Tahoma" w:cs="Tahoma"/>
                <w:b w:val="0"/>
                <w:sz w:val="14"/>
                <w:szCs w:val="14"/>
                <w:lang w:val="it-IT"/>
              </w:rPr>
              <w:t>(Utente e Dispositivo)</w:t>
            </w:r>
            <w:bookmarkEnd w:id="345"/>
          </w:p>
        </w:tc>
        <w:tc>
          <w:tcPr>
            <w:tcW w:w="450" w:type="dxa"/>
            <w:shd w:val="clear" w:color="auto" w:fill="FFFFFF"/>
            <w:vAlign w:val="center"/>
          </w:tcPr>
          <w:p w:rsidR="00A92422" w:rsidRPr="001E1017" w:rsidRDefault="00A92422" w:rsidP="00EA30FC">
            <w:pPr>
              <w:pStyle w:val="TableText"/>
              <w:widowControl w:val="0"/>
              <w:rPr>
                <w:rFonts w:cs="Tahoma"/>
                <w:b/>
                <w:color w:val="0000FF"/>
                <w:sz w:val="13"/>
                <w:szCs w:val="13"/>
                <w:u w:val="single"/>
              </w:rPr>
            </w:pPr>
            <w:hyperlink w:anchor="_68_Microsoft_Dynamics" w:history="1">
              <w:r w:rsidRPr="001E1017">
                <w:rPr>
                  <w:rStyle w:val="Hyperlink"/>
                  <w:rFonts w:cs="Tahoma"/>
                  <w:b/>
                  <w:sz w:val="13"/>
                  <w:szCs w:val="13"/>
                </w:rPr>
                <w:t>64</w:t>
              </w:r>
            </w:hyperlink>
          </w:p>
        </w:tc>
        <w:tc>
          <w:tcPr>
            <w:tcW w:w="450" w:type="dxa"/>
            <w:shd w:val="clear" w:color="auto" w:fill="FFFFFF"/>
          </w:tcPr>
          <w:p w:rsidR="00A92422" w:rsidRPr="00D87B79" w:rsidRDefault="00A92422" w:rsidP="00EA30FC">
            <w:pPr>
              <w:pStyle w:val="TableText"/>
              <w:widowControl w:val="0"/>
              <w:spacing w:before="120"/>
              <w:rPr>
                <w:rFonts w:ascii="Tahoma" w:hAnsi="Tahoma" w:cs="Tahoma"/>
                <w:color w:val="000000"/>
                <w:sz w:val="13"/>
              </w:rPr>
            </w:pPr>
            <w:r w:rsidRPr="00D87B79">
              <w:rPr>
                <w:rFonts w:ascii="Tahoma" w:hAnsi="Tahoma" w:cs="Tahoma"/>
                <w:color w:val="000000"/>
                <w:sz w:val="13"/>
              </w:rPr>
              <w:t>04/01</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13</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10</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8</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8</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10</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FFFFF"/>
            <w:vAlign w:val="center"/>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lang w:val="it-IT"/>
              </w:rPr>
              <w:t>A, ST</w:t>
            </w:r>
          </w:p>
        </w:tc>
        <w:tc>
          <w:tcPr>
            <w:tcW w:w="486" w:type="dxa"/>
            <w:shd w:val="clear" w:color="auto" w:fill="FFFFFF"/>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OL/OV</w:t>
            </w:r>
          </w:p>
        </w:tc>
      </w:tr>
      <w:tr w:rsidR="00A92422" w:rsidRPr="00D87B79" w:rsidTr="00EA30FC">
        <w:trPr>
          <w:trHeight w:val="145"/>
        </w:trPr>
        <w:tc>
          <w:tcPr>
            <w:tcW w:w="2714" w:type="dxa"/>
            <w:shd w:val="clear" w:color="auto" w:fill="FABF8F"/>
            <w:vAlign w:val="center"/>
          </w:tcPr>
          <w:p w:rsidR="00A92422" w:rsidRPr="00D87B79" w:rsidRDefault="00A92422" w:rsidP="00EA30FC">
            <w:pPr>
              <w:pStyle w:val="Heading2"/>
              <w:ind w:left="0"/>
              <w:rPr>
                <w:rFonts w:ascii="Tahoma" w:hAnsi="Tahoma" w:cs="Tahoma"/>
                <w:b w:val="0"/>
                <w:sz w:val="14"/>
                <w:szCs w:val="14"/>
              </w:rPr>
            </w:pPr>
            <w:bookmarkStart w:id="346" w:name="_Toc336338019"/>
            <w:bookmarkStart w:id="347" w:name="_Toc342900070"/>
            <w:bookmarkEnd w:id="346"/>
            <w:r w:rsidRPr="00D87B79">
              <w:rPr>
                <w:rFonts w:ascii="Tahoma" w:hAnsi="Tahoma" w:cs="Tahoma"/>
                <w:b w:val="0"/>
                <w:sz w:val="14"/>
                <w:szCs w:val="14"/>
                <w:lang w:val="it-IT"/>
              </w:rPr>
              <w:t>CAL per l’Utilizzo Limitato di Microsoft Dynamics CRM 2011 (Utenti e Dispositivo)</w:t>
            </w:r>
            <w:bookmarkEnd w:id="347"/>
          </w:p>
        </w:tc>
        <w:tc>
          <w:tcPr>
            <w:tcW w:w="450" w:type="dxa"/>
            <w:shd w:val="clear" w:color="auto" w:fill="FABF8F"/>
            <w:vAlign w:val="center"/>
          </w:tcPr>
          <w:p w:rsidR="00A92422" w:rsidRPr="001E1017" w:rsidRDefault="00A92422" w:rsidP="00EA30FC">
            <w:pPr>
              <w:pStyle w:val="TableText"/>
              <w:widowControl w:val="0"/>
              <w:rPr>
                <w:rFonts w:cs="Tahoma"/>
                <w:b/>
                <w:color w:val="0000FF"/>
                <w:sz w:val="13"/>
                <w:szCs w:val="13"/>
                <w:u w:val="single"/>
              </w:rPr>
            </w:pPr>
            <w:hyperlink w:anchor="_68_Microsoft_Dynamics" w:history="1">
              <w:r w:rsidRPr="001E1017">
                <w:rPr>
                  <w:rStyle w:val="Hyperlink"/>
                  <w:rFonts w:cs="Tahoma"/>
                  <w:b/>
                  <w:sz w:val="13"/>
                  <w:szCs w:val="13"/>
                </w:rPr>
                <w:t>64</w:t>
              </w:r>
            </w:hyperlink>
          </w:p>
        </w:tc>
        <w:tc>
          <w:tcPr>
            <w:tcW w:w="450" w:type="dxa"/>
            <w:shd w:val="clear" w:color="auto" w:fill="FABF8F"/>
          </w:tcPr>
          <w:p w:rsidR="00A92422" w:rsidRPr="00D87B79" w:rsidRDefault="00A92422" w:rsidP="00EA30FC">
            <w:pPr>
              <w:pStyle w:val="TableText"/>
              <w:widowControl w:val="0"/>
              <w:spacing w:before="120"/>
              <w:rPr>
                <w:rFonts w:ascii="Tahoma" w:hAnsi="Tahoma" w:cs="Tahoma"/>
                <w:color w:val="000000"/>
                <w:sz w:val="13"/>
              </w:rPr>
            </w:pPr>
            <w:r w:rsidRPr="00D87B79">
              <w:rPr>
                <w:rFonts w:ascii="Tahoma" w:hAnsi="Tahoma" w:cs="Tahoma"/>
                <w:color w:val="000000"/>
                <w:sz w:val="13"/>
              </w:rPr>
              <w:t>04/01</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ABF8F"/>
            <w:vAlign w:val="center"/>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lang w:val="it-IT"/>
              </w:rPr>
              <w:t>A, ST</w:t>
            </w:r>
          </w:p>
        </w:tc>
        <w:tc>
          <w:tcPr>
            <w:tcW w:w="486" w:type="dxa"/>
            <w:shd w:val="clear" w:color="auto" w:fill="FABF8F"/>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OL/OV</w:t>
            </w:r>
          </w:p>
        </w:tc>
      </w:tr>
      <w:tr w:rsidR="00A92422" w:rsidRPr="00D87B79" w:rsidTr="00EA30FC">
        <w:trPr>
          <w:trHeight w:val="145"/>
        </w:trPr>
        <w:tc>
          <w:tcPr>
            <w:tcW w:w="2714" w:type="dxa"/>
            <w:shd w:val="clear" w:color="auto" w:fill="FFFFFF"/>
            <w:vAlign w:val="center"/>
          </w:tcPr>
          <w:p w:rsidR="00A92422" w:rsidRPr="00D87B79" w:rsidRDefault="00A92422" w:rsidP="00EA30FC">
            <w:pPr>
              <w:pStyle w:val="Heading2"/>
              <w:ind w:left="0"/>
              <w:rPr>
                <w:rFonts w:ascii="Tahoma" w:hAnsi="Tahoma" w:cs="Tahoma"/>
                <w:b w:val="0"/>
                <w:sz w:val="14"/>
                <w:szCs w:val="14"/>
              </w:rPr>
            </w:pPr>
            <w:bookmarkStart w:id="348" w:name="_Toc336338020"/>
            <w:bookmarkStart w:id="349" w:name="_Toc342900071"/>
            <w:bookmarkEnd w:id="348"/>
            <w:r w:rsidRPr="00D87B79">
              <w:rPr>
                <w:rFonts w:ascii="Tahoma" w:hAnsi="Tahoma" w:cs="Tahoma"/>
                <w:b w:val="0"/>
                <w:sz w:val="14"/>
                <w:szCs w:val="14"/>
                <w:lang w:val="it-IT"/>
              </w:rPr>
              <w:t>CAL Aggiuntiva per l’Utilizzo Limitato di</w:t>
            </w:r>
            <w:r>
              <w:rPr>
                <w:rFonts w:ascii="Tahoma" w:hAnsi="Tahoma" w:cs="Tahoma"/>
                <w:b w:val="0"/>
                <w:sz w:val="14"/>
                <w:szCs w:val="14"/>
                <w:lang w:val="it-IT"/>
              </w:rPr>
              <w:t> </w:t>
            </w:r>
            <w:r w:rsidRPr="00D87B79">
              <w:rPr>
                <w:rFonts w:ascii="Tahoma" w:hAnsi="Tahoma" w:cs="Tahoma"/>
                <w:b w:val="0"/>
                <w:sz w:val="14"/>
                <w:szCs w:val="14"/>
                <w:lang w:val="it-IT"/>
              </w:rPr>
              <w:t xml:space="preserve">Microsoft Dynamics CRM 2011 </w:t>
            </w:r>
            <w:r>
              <w:rPr>
                <w:rFonts w:ascii="Tahoma" w:hAnsi="Tahoma" w:cs="Tahoma"/>
                <w:b w:val="0"/>
                <w:sz w:val="14"/>
                <w:szCs w:val="14"/>
                <w:lang w:val="it-IT"/>
              </w:rPr>
              <w:br/>
            </w:r>
            <w:r w:rsidRPr="00D87B79">
              <w:rPr>
                <w:rFonts w:ascii="Tahoma" w:hAnsi="Tahoma" w:cs="Tahoma"/>
                <w:b w:val="0"/>
                <w:sz w:val="14"/>
                <w:szCs w:val="14"/>
                <w:lang w:val="it-IT"/>
              </w:rPr>
              <w:t>(Utente e Dispositivo)</w:t>
            </w:r>
            <w:bookmarkEnd w:id="349"/>
          </w:p>
        </w:tc>
        <w:tc>
          <w:tcPr>
            <w:tcW w:w="450" w:type="dxa"/>
            <w:shd w:val="clear" w:color="auto" w:fill="FFFFFF"/>
            <w:vAlign w:val="center"/>
          </w:tcPr>
          <w:p w:rsidR="00A92422" w:rsidRPr="001E1017" w:rsidRDefault="00A92422" w:rsidP="00EA30FC">
            <w:pPr>
              <w:pStyle w:val="TableText"/>
              <w:widowControl w:val="0"/>
              <w:rPr>
                <w:rFonts w:cs="Tahoma"/>
                <w:b/>
                <w:color w:val="0000FF"/>
                <w:sz w:val="13"/>
                <w:szCs w:val="13"/>
                <w:u w:val="single"/>
              </w:rPr>
            </w:pPr>
            <w:hyperlink w:anchor="_68_Microsoft_Dynamics" w:history="1">
              <w:r w:rsidRPr="001E1017">
                <w:rPr>
                  <w:rStyle w:val="Hyperlink"/>
                  <w:rFonts w:cs="Tahoma"/>
                  <w:b/>
                  <w:sz w:val="13"/>
                  <w:szCs w:val="13"/>
                </w:rPr>
                <w:t>64</w:t>
              </w:r>
            </w:hyperlink>
          </w:p>
        </w:tc>
        <w:tc>
          <w:tcPr>
            <w:tcW w:w="450" w:type="dxa"/>
            <w:shd w:val="clear" w:color="auto" w:fill="FFFFFF"/>
          </w:tcPr>
          <w:p w:rsidR="00A92422" w:rsidRPr="00D87B79" w:rsidRDefault="00A92422" w:rsidP="00EA30FC">
            <w:pPr>
              <w:pStyle w:val="TableText"/>
              <w:widowControl w:val="0"/>
              <w:spacing w:before="120"/>
              <w:rPr>
                <w:rFonts w:ascii="Tahoma" w:hAnsi="Tahoma" w:cs="Tahoma"/>
                <w:color w:val="000000"/>
                <w:sz w:val="13"/>
              </w:rPr>
            </w:pPr>
            <w:r w:rsidRPr="00D87B79">
              <w:rPr>
                <w:rFonts w:ascii="Tahoma" w:hAnsi="Tahoma" w:cs="Tahoma"/>
                <w:color w:val="000000"/>
                <w:sz w:val="13"/>
              </w:rPr>
              <w:t>04/01</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FFFFF"/>
            <w:vAlign w:val="center"/>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lang w:val="it-IT"/>
              </w:rPr>
              <w:t>A, ST</w:t>
            </w:r>
          </w:p>
        </w:tc>
        <w:tc>
          <w:tcPr>
            <w:tcW w:w="486" w:type="dxa"/>
            <w:shd w:val="clear" w:color="auto" w:fill="FFFFFF"/>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OL/OV</w:t>
            </w:r>
          </w:p>
        </w:tc>
      </w:tr>
      <w:tr w:rsidR="00A92422" w:rsidRPr="00D87B79" w:rsidTr="00EA30FC">
        <w:trPr>
          <w:trHeight w:val="145"/>
        </w:trPr>
        <w:tc>
          <w:tcPr>
            <w:tcW w:w="2714" w:type="dxa"/>
            <w:shd w:val="clear" w:color="auto" w:fill="FABF8F"/>
            <w:vAlign w:val="center"/>
          </w:tcPr>
          <w:p w:rsidR="00A92422" w:rsidRPr="00D87B79" w:rsidRDefault="00A92422" w:rsidP="00EA30FC">
            <w:pPr>
              <w:pStyle w:val="Heading2"/>
              <w:ind w:left="0"/>
              <w:rPr>
                <w:rFonts w:ascii="Tahoma" w:hAnsi="Tahoma" w:cs="Tahoma"/>
                <w:b w:val="0"/>
                <w:sz w:val="14"/>
                <w:szCs w:val="14"/>
              </w:rPr>
            </w:pPr>
            <w:bookmarkStart w:id="350" w:name="_Toc336338021"/>
            <w:bookmarkStart w:id="351" w:name="_Toc342900072"/>
            <w:bookmarkEnd w:id="350"/>
            <w:r w:rsidRPr="00D87B79">
              <w:rPr>
                <w:rFonts w:ascii="Tahoma" w:hAnsi="Tahoma" w:cs="Tahoma"/>
                <w:b w:val="0"/>
                <w:sz w:val="14"/>
                <w:szCs w:val="14"/>
                <w:lang w:val="it-IT"/>
              </w:rPr>
              <w:t>Microsoft Dynamics CRM Server 2011</w:t>
            </w:r>
            <w:bookmarkEnd w:id="351"/>
            <w:r w:rsidRPr="00D87B79">
              <w:rPr>
                <w:rFonts w:ascii="Tahoma" w:hAnsi="Tahoma" w:cs="Tahoma"/>
                <w:b w:val="0"/>
                <w:sz w:val="14"/>
                <w:szCs w:val="14"/>
              </w:rPr>
              <w:t xml:space="preserve"> </w:t>
            </w:r>
          </w:p>
        </w:tc>
        <w:tc>
          <w:tcPr>
            <w:tcW w:w="450" w:type="dxa"/>
            <w:shd w:val="clear" w:color="auto" w:fill="FABF8F"/>
            <w:vAlign w:val="center"/>
          </w:tcPr>
          <w:p w:rsidR="00A92422" w:rsidRPr="001E1017" w:rsidRDefault="00A92422" w:rsidP="00EA30FC">
            <w:pPr>
              <w:pStyle w:val="TableText"/>
              <w:widowControl w:val="0"/>
              <w:rPr>
                <w:rFonts w:cs="Tahoma"/>
                <w:b/>
                <w:color w:val="0000FF"/>
                <w:sz w:val="13"/>
                <w:szCs w:val="13"/>
                <w:u w:val="single"/>
              </w:rPr>
            </w:pPr>
            <w:hyperlink w:anchor="_68_Microsoft_Dynamics" w:history="1">
              <w:r w:rsidRPr="001E1017">
                <w:rPr>
                  <w:rStyle w:val="Hyperlink"/>
                  <w:rFonts w:cs="Tahoma"/>
                  <w:b/>
                  <w:sz w:val="13"/>
                  <w:szCs w:val="13"/>
                </w:rPr>
                <w:t>64</w:t>
              </w:r>
            </w:hyperlink>
          </w:p>
        </w:tc>
        <w:tc>
          <w:tcPr>
            <w:tcW w:w="450" w:type="dxa"/>
            <w:shd w:val="clear" w:color="auto" w:fill="FABF8F"/>
          </w:tcPr>
          <w:p w:rsidR="00A92422" w:rsidRPr="00D87B79" w:rsidRDefault="00A92422" w:rsidP="00EA30FC">
            <w:pPr>
              <w:pStyle w:val="TableText"/>
              <w:widowControl w:val="0"/>
              <w:spacing w:before="120"/>
              <w:rPr>
                <w:rFonts w:ascii="Tahoma" w:hAnsi="Tahoma" w:cs="Tahoma"/>
                <w:color w:val="000000"/>
                <w:sz w:val="13"/>
              </w:rPr>
            </w:pPr>
            <w:r w:rsidRPr="00D87B79">
              <w:rPr>
                <w:rFonts w:ascii="Tahoma" w:hAnsi="Tahoma" w:cs="Tahoma"/>
                <w:color w:val="000000"/>
                <w:sz w:val="13"/>
              </w:rPr>
              <w:t>04/01</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125</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100</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75</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75</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25</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100</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ABF8F"/>
            <w:vAlign w:val="center"/>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lang w:val="it-IT"/>
              </w:rPr>
              <w:t>A</w:t>
            </w:r>
          </w:p>
        </w:tc>
        <w:tc>
          <w:tcPr>
            <w:tcW w:w="486" w:type="dxa"/>
            <w:shd w:val="clear" w:color="auto" w:fill="FABF8F"/>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OL/OV</w:t>
            </w:r>
          </w:p>
        </w:tc>
      </w:tr>
      <w:tr w:rsidR="00A92422" w:rsidRPr="00D87B79" w:rsidTr="00EA30FC">
        <w:trPr>
          <w:trHeight w:val="145"/>
        </w:trPr>
        <w:tc>
          <w:tcPr>
            <w:tcW w:w="2714" w:type="dxa"/>
            <w:shd w:val="clear" w:color="auto" w:fill="FFFFFF"/>
            <w:vAlign w:val="center"/>
          </w:tcPr>
          <w:p w:rsidR="00A92422" w:rsidRPr="00D87B79" w:rsidRDefault="00A92422" w:rsidP="00EA30FC">
            <w:pPr>
              <w:pStyle w:val="Heading2"/>
              <w:ind w:left="0"/>
              <w:rPr>
                <w:rFonts w:ascii="Tahoma" w:hAnsi="Tahoma" w:cs="Tahoma"/>
                <w:b w:val="0"/>
                <w:sz w:val="14"/>
                <w:szCs w:val="14"/>
              </w:rPr>
            </w:pPr>
            <w:bookmarkStart w:id="352" w:name="_Toc336338022"/>
            <w:bookmarkStart w:id="353" w:name="_Toc342900073"/>
            <w:bookmarkEnd w:id="352"/>
            <w:r w:rsidRPr="00D87B79">
              <w:rPr>
                <w:rFonts w:ascii="Tahoma" w:hAnsi="Tahoma" w:cs="Tahoma"/>
                <w:b w:val="0"/>
                <w:sz w:val="14"/>
                <w:szCs w:val="14"/>
                <w:lang w:val="it-IT"/>
              </w:rPr>
              <w:t>Microsoft Dynamics CRM Workgroup Server 2011</w:t>
            </w:r>
            <w:bookmarkEnd w:id="353"/>
            <w:r w:rsidRPr="00D87B79">
              <w:rPr>
                <w:rFonts w:ascii="Tahoma" w:hAnsi="Tahoma" w:cs="Tahoma"/>
                <w:b w:val="0"/>
                <w:sz w:val="14"/>
                <w:szCs w:val="14"/>
              </w:rPr>
              <w:t xml:space="preserve"> </w:t>
            </w:r>
          </w:p>
        </w:tc>
        <w:tc>
          <w:tcPr>
            <w:tcW w:w="450" w:type="dxa"/>
            <w:shd w:val="clear" w:color="auto" w:fill="FFFFFF"/>
            <w:vAlign w:val="center"/>
          </w:tcPr>
          <w:p w:rsidR="00A92422" w:rsidRPr="001E1017" w:rsidRDefault="00A92422" w:rsidP="00EA30FC">
            <w:pPr>
              <w:pStyle w:val="TableText"/>
              <w:widowControl w:val="0"/>
              <w:rPr>
                <w:rFonts w:cs="Tahoma"/>
                <w:b/>
                <w:color w:val="0000FF"/>
                <w:sz w:val="13"/>
                <w:szCs w:val="13"/>
                <w:u w:val="single"/>
              </w:rPr>
            </w:pPr>
            <w:hyperlink w:anchor="_68_Microsoft_Dynamics" w:history="1">
              <w:r w:rsidRPr="001E1017">
                <w:rPr>
                  <w:rStyle w:val="Hyperlink"/>
                  <w:rFonts w:cs="Tahoma"/>
                  <w:b/>
                  <w:sz w:val="13"/>
                  <w:szCs w:val="13"/>
                </w:rPr>
                <w:t>64</w:t>
              </w:r>
            </w:hyperlink>
          </w:p>
        </w:tc>
        <w:tc>
          <w:tcPr>
            <w:tcW w:w="450" w:type="dxa"/>
            <w:shd w:val="clear" w:color="auto" w:fill="FFFFFF"/>
          </w:tcPr>
          <w:p w:rsidR="00A92422" w:rsidRPr="00D87B79" w:rsidRDefault="00A92422" w:rsidP="00EA30FC">
            <w:pPr>
              <w:pStyle w:val="TableText"/>
              <w:widowControl w:val="0"/>
              <w:spacing w:before="120"/>
              <w:rPr>
                <w:rFonts w:ascii="Tahoma" w:hAnsi="Tahoma" w:cs="Tahoma"/>
                <w:color w:val="000000"/>
                <w:sz w:val="13"/>
              </w:rPr>
            </w:pPr>
            <w:r w:rsidRPr="00D87B79">
              <w:rPr>
                <w:rFonts w:ascii="Tahoma" w:hAnsi="Tahoma" w:cs="Tahoma"/>
                <w:color w:val="000000"/>
                <w:sz w:val="13"/>
              </w:rPr>
              <w:t>04/01</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60</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38</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38</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25</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13</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25</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FFFFF"/>
            <w:vAlign w:val="center"/>
          </w:tcPr>
          <w:p w:rsidR="00A92422" w:rsidRPr="00D87B79" w:rsidRDefault="00A92422" w:rsidP="00EA30FC">
            <w:pPr>
              <w:pStyle w:val="TableText"/>
              <w:widowControl w:val="0"/>
              <w:spacing w:before="120"/>
              <w:rPr>
                <w:rFonts w:ascii="Tahoma" w:hAnsi="Tahoma" w:cs="Tahoma"/>
                <w:sz w:val="13"/>
              </w:rPr>
            </w:pPr>
          </w:p>
        </w:tc>
        <w:tc>
          <w:tcPr>
            <w:tcW w:w="486" w:type="dxa"/>
            <w:shd w:val="clear" w:color="auto" w:fill="FFFFFF"/>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OL/OV</w:t>
            </w:r>
          </w:p>
        </w:tc>
      </w:tr>
      <w:tr w:rsidR="00A92422" w:rsidRPr="00D87B79" w:rsidDel="00436016" w:rsidTr="00EA30FC">
        <w:trPr>
          <w:trHeight w:val="145"/>
        </w:trPr>
        <w:tc>
          <w:tcPr>
            <w:tcW w:w="2714" w:type="dxa"/>
            <w:shd w:val="clear" w:color="auto" w:fill="FABF8F"/>
            <w:vAlign w:val="center"/>
          </w:tcPr>
          <w:p w:rsidR="00A92422" w:rsidRPr="00D87B79" w:rsidRDefault="00A92422" w:rsidP="00EA30FC">
            <w:pPr>
              <w:pStyle w:val="Heading2"/>
              <w:ind w:left="-15" w:firstLine="15"/>
              <w:rPr>
                <w:rFonts w:ascii="Tahoma" w:hAnsi="Tahoma" w:cs="Tahoma"/>
                <w:b w:val="0"/>
                <w:sz w:val="14"/>
                <w:szCs w:val="16"/>
              </w:rPr>
            </w:pPr>
            <w:bookmarkStart w:id="354" w:name="_Toc336338023"/>
            <w:bookmarkStart w:id="355" w:name="_Toc342900074"/>
            <w:bookmarkEnd w:id="354"/>
            <w:r w:rsidRPr="00D87B79">
              <w:rPr>
                <w:rFonts w:ascii="Tahoma" w:hAnsi="Tahoma" w:cs="Tahoma"/>
                <w:b w:val="0"/>
                <w:sz w:val="14"/>
                <w:lang w:val="it-IT"/>
              </w:rPr>
              <w:t>Microsoft Translator API</w:t>
            </w:r>
            <w:bookmarkEnd w:id="355"/>
          </w:p>
        </w:tc>
        <w:tc>
          <w:tcPr>
            <w:tcW w:w="450" w:type="dxa"/>
            <w:shd w:val="clear" w:color="auto" w:fill="FABF8F"/>
            <w:vAlign w:val="center"/>
          </w:tcPr>
          <w:p w:rsidR="00A92422" w:rsidRPr="001E1017" w:rsidRDefault="00A92422" w:rsidP="00EA30FC">
            <w:pPr>
              <w:pStyle w:val="TableText"/>
              <w:widowControl w:val="0"/>
              <w:rPr>
                <w:rFonts w:cs="Tahoma"/>
                <w:b/>
                <w:color w:val="0000FF"/>
                <w:sz w:val="13"/>
                <w:szCs w:val="13"/>
                <w:u w:val="single"/>
              </w:rPr>
            </w:pPr>
          </w:p>
        </w:tc>
        <w:tc>
          <w:tcPr>
            <w:tcW w:w="450" w:type="dxa"/>
            <w:shd w:val="clear" w:color="auto" w:fill="FABF8F"/>
          </w:tcPr>
          <w:p w:rsidR="00A92422" w:rsidRPr="00D87B79" w:rsidRDefault="00A92422" w:rsidP="00EA30FC">
            <w:pPr>
              <w:pStyle w:val="TableText"/>
              <w:widowControl w:val="0"/>
              <w:spacing w:before="120"/>
              <w:rPr>
                <w:rFonts w:ascii="Tahoma" w:hAnsi="Tahoma" w:cs="Tahoma"/>
                <w:color w:val="000000"/>
                <w:sz w:val="13"/>
              </w:rPr>
            </w:pPr>
            <w:r w:rsidRPr="00D87B79">
              <w:rPr>
                <w:rFonts w:ascii="Tahoma" w:hAnsi="Tahoma" w:cs="Tahoma"/>
                <w:color w:val="000000"/>
                <w:sz w:val="13"/>
              </w:rPr>
              <w:t>08/12</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504" w:type="dxa"/>
            <w:shd w:val="clear" w:color="auto" w:fill="FABF8F"/>
            <w:vAlign w:val="center"/>
          </w:tcPr>
          <w:p w:rsidR="00A92422" w:rsidRPr="00D87B79" w:rsidRDefault="00A92422" w:rsidP="00EA30FC">
            <w:pPr>
              <w:pStyle w:val="TableText"/>
              <w:widowControl w:val="0"/>
              <w:spacing w:before="120"/>
              <w:rPr>
                <w:rFonts w:ascii="Tahoma" w:hAnsi="Tahoma" w:cs="Tahoma"/>
                <w:sz w:val="13"/>
              </w:rPr>
            </w:pPr>
          </w:p>
        </w:tc>
        <w:tc>
          <w:tcPr>
            <w:tcW w:w="486" w:type="dxa"/>
            <w:shd w:val="clear" w:color="auto" w:fill="FABF8F"/>
            <w:vAlign w:val="center"/>
          </w:tcPr>
          <w:p w:rsidR="00A92422" w:rsidRPr="00D87B79" w:rsidDel="00436016" w:rsidRDefault="00A92422" w:rsidP="00EA30FC">
            <w:pPr>
              <w:pStyle w:val="TableText"/>
              <w:widowControl w:val="0"/>
              <w:rPr>
                <w:rFonts w:ascii="Tahoma" w:hAnsi="Tahoma" w:cs="Tahoma"/>
                <w:sz w:val="13"/>
              </w:rPr>
            </w:pPr>
          </w:p>
        </w:tc>
      </w:tr>
      <w:tr w:rsidR="00A92422" w:rsidRPr="00D87B79" w:rsidDel="00436016" w:rsidTr="00EA30FC">
        <w:trPr>
          <w:trHeight w:val="145"/>
        </w:trPr>
        <w:tc>
          <w:tcPr>
            <w:tcW w:w="2714" w:type="dxa"/>
            <w:shd w:val="clear" w:color="auto" w:fill="FFFFFF"/>
            <w:vAlign w:val="center"/>
          </w:tcPr>
          <w:p w:rsidR="00A92422" w:rsidRPr="00D87B79" w:rsidRDefault="00A92422" w:rsidP="00EA30FC">
            <w:pPr>
              <w:pStyle w:val="Heading2"/>
              <w:ind w:left="-15" w:firstLine="15"/>
              <w:rPr>
                <w:rFonts w:ascii="Tahoma" w:hAnsi="Tahoma" w:cs="Tahoma"/>
                <w:b w:val="0"/>
                <w:sz w:val="14"/>
                <w:szCs w:val="16"/>
              </w:rPr>
            </w:pPr>
            <w:bookmarkStart w:id="356" w:name="_Toc336338024"/>
            <w:bookmarkStart w:id="357" w:name="_Toc342900075"/>
            <w:bookmarkEnd w:id="356"/>
            <w:r w:rsidRPr="00D87B79">
              <w:rPr>
                <w:rFonts w:ascii="Tahoma" w:hAnsi="Tahoma" w:cs="Tahoma"/>
                <w:b w:val="0"/>
                <w:sz w:val="14"/>
                <w:lang w:val="it-IT"/>
              </w:rPr>
              <w:t>Office 365 Piano A2 (SL per Utente).</w:t>
            </w:r>
            <w:bookmarkEnd w:id="357"/>
          </w:p>
        </w:tc>
        <w:tc>
          <w:tcPr>
            <w:tcW w:w="450" w:type="dxa"/>
            <w:shd w:val="clear" w:color="auto" w:fill="FFFFFF"/>
            <w:vAlign w:val="center"/>
          </w:tcPr>
          <w:p w:rsidR="00A92422" w:rsidRPr="001E1017" w:rsidRDefault="00A92422" w:rsidP="00EA30FC">
            <w:pPr>
              <w:pStyle w:val="TableText"/>
              <w:widowControl w:val="0"/>
              <w:rPr>
                <w:rFonts w:cs="Tahoma"/>
                <w:b/>
                <w:color w:val="0000FF"/>
                <w:sz w:val="13"/>
                <w:szCs w:val="13"/>
                <w:u w:val="single"/>
              </w:rPr>
            </w:pPr>
            <w:hyperlink w:anchor="_6_Office_365" w:history="1">
              <w:r w:rsidRPr="001E1017">
                <w:rPr>
                  <w:rStyle w:val="Hyperlink"/>
                  <w:rFonts w:cs="Tahoma"/>
                  <w:b/>
                  <w:sz w:val="13"/>
                  <w:szCs w:val="13"/>
                </w:rPr>
                <w:t>5</w:t>
              </w:r>
            </w:hyperlink>
          </w:p>
        </w:tc>
        <w:tc>
          <w:tcPr>
            <w:tcW w:w="450" w:type="dxa"/>
            <w:shd w:val="clear" w:color="auto" w:fill="FFFFFF"/>
          </w:tcPr>
          <w:p w:rsidR="00A92422" w:rsidRPr="00D87B79" w:rsidRDefault="00A92422" w:rsidP="00EA30FC">
            <w:pPr>
              <w:pStyle w:val="TableText"/>
              <w:widowControl w:val="0"/>
              <w:spacing w:before="120"/>
              <w:rPr>
                <w:rFonts w:ascii="Tahoma" w:hAnsi="Tahoma" w:cs="Tahoma"/>
                <w:color w:val="000000"/>
                <w:sz w:val="13"/>
              </w:rPr>
            </w:pPr>
            <w:r w:rsidRPr="00D87B79">
              <w:rPr>
                <w:rFonts w:ascii="Tahoma" w:hAnsi="Tahoma" w:cs="Tahoma"/>
                <w:color w:val="000000"/>
                <w:sz w:val="13"/>
              </w:rPr>
              <w:t>06/12</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OSB</w:t>
            </w:r>
          </w:p>
        </w:tc>
        <w:tc>
          <w:tcPr>
            <w:tcW w:w="360" w:type="dxa"/>
            <w:tcBorders>
              <w:left w:val="single" w:sz="18" w:space="0" w:color="auto"/>
            </w:tcBorders>
            <w:shd w:val="clear" w:color="auto" w:fill="FFFFF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Del="00436016"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92422" w:rsidRPr="00D87B79" w:rsidDel="00436016"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Del="00436016"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Del="00436016"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Del="00436016"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92422" w:rsidRPr="00D87B79" w:rsidDel="00436016" w:rsidRDefault="00A92422" w:rsidP="00EA30FC">
            <w:pPr>
              <w:pStyle w:val="TableText"/>
              <w:widowControl w:val="0"/>
              <w:rPr>
                <w:rFonts w:ascii="Tahoma" w:hAnsi="Tahoma" w:cs="Tahoma"/>
                <w:sz w:val="13"/>
              </w:rPr>
            </w:pPr>
          </w:p>
        </w:tc>
        <w:tc>
          <w:tcPr>
            <w:tcW w:w="504" w:type="dxa"/>
            <w:shd w:val="clear" w:color="auto" w:fill="FFFFFF"/>
            <w:vAlign w:val="center"/>
          </w:tcPr>
          <w:p w:rsidR="00A92422" w:rsidRPr="00D87B79" w:rsidDel="00436016" w:rsidRDefault="00A92422" w:rsidP="00EA30FC">
            <w:pPr>
              <w:pStyle w:val="TableText"/>
              <w:widowControl w:val="0"/>
              <w:spacing w:before="120"/>
              <w:rPr>
                <w:rFonts w:ascii="Tahoma" w:hAnsi="Tahoma" w:cs="Tahoma"/>
                <w:sz w:val="13"/>
              </w:rPr>
            </w:pPr>
            <w:r w:rsidRPr="00D87B79">
              <w:rPr>
                <w:rFonts w:ascii="Tahoma" w:hAnsi="Tahoma" w:cs="Tahoma"/>
                <w:sz w:val="13"/>
                <w:lang w:val="it-IT"/>
              </w:rPr>
              <w:t>A</w:t>
            </w:r>
          </w:p>
        </w:tc>
        <w:tc>
          <w:tcPr>
            <w:tcW w:w="486" w:type="dxa"/>
            <w:shd w:val="clear" w:color="auto" w:fill="FFFFFF"/>
            <w:vAlign w:val="center"/>
          </w:tcPr>
          <w:p w:rsidR="00A92422" w:rsidRPr="00D87B79" w:rsidDel="00436016" w:rsidRDefault="00A92422" w:rsidP="00EA30FC">
            <w:pPr>
              <w:pStyle w:val="TableText"/>
              <w:widowControl w:val="0"/>
              <w:rPr>
                <w:rFonts w:ascii="Tahoma" w:hAnsi="Tahoma" w:cs="Tahoma"/>
                <w:sz w:val="13"/>
              </w:rPr>
            </w:pPr>
          </w:p>
        </w:tc>
      </w:tr>
      <w:tr w:rsidR="00A92422" w:rsidRPr="00D87B79" w:rsidDel="00436016" w:rsidTr="00EA30FC">
        <w:trPr>
          <w:trHeight w:val="145"/>
        </w:trPr>
        <w:tc>
          <w:tcPr>
            <w:tcW w:w="2714" w:type="dxa"/>
            <w:shd w:val="clear" w:color="auto" w:fill="FABF8F"/>
            <w:vAlign w:val="center"/>
          </w:tcPr>
          <w:p w:rsidR="00A92422" w:rsidRPr="00D87B79" w:rsidRDefault="00A92422" w:rsidP="00EA30FC">
            <w:pPr>
              <w:pStyle w:val="Heading2"/>
              <w:ind w:left="-15" w:firstLine="15"/>
              <w:rPr>
                <w:rFonts w:ascii="Tahoma" w:hAnsi="Tahoma" w:cs="Tahoma"/>
                <w:b w:val="0"/>
                <w:sz w:val="14"/>
                <w:szCs w:val="16"/>
              </w:rPr>
            </w:pPr>
            <w:bookmarkStart w:id="358" w:name="_Toc336338025"/>
            <w:bookmarkStart w:id="359" w:name="_Toc342900076"/>
            <w:bookmarkEnd w:id="358"/>
            <w:r w:rsidRPr="00D87B79">
              <w:rPr>
                <w:rFonts w:ascii="Tahoma" w:hAnsi="Tahoma" w:cs="Tahoma"/>
                <w:b w:val="0"/>
                <w:sz w:val="14"/>
                <w:lang w:val="it-IT"/>
              </w:rPr>
              <w:t>Office 365 Piano A3 (SL per Utente).</w:t>
            </w:r>
            <w:bookmarkEnd w:id="359"/>
          </w:p>
        </w:tc>
        <w:tc>
          <w:tcPr>
            <w:tcW w:w="450" w:type="dxa"/>
            <w:shd w:val="clear" w:color="auto" w:fill="FABF8F"/>
            <w:vAlign w:val="center"/>
          </w:tcPr>
          <w:p w:rsidR="00A92422" w:rsidRPr="001E1017" w:rsidRDefault="00A92422" w:rsidP="00EA30FC">
            <w:pPr>
              <w:pStyle w:val="TableText"/>
              <w:widowControl w:val="0"/>
              <w:rPr>
                <w:rFonts w:cs="Tahoma"/>
                <w:b/>
                <w:color w:val="0000FF"/>
                <w:sz w:val="13"/>
                <w:szCs w:val="13"/>
                <w:u w:val="single"/>
              </w:rPr>
            </w:pPr>
            <w:hyperlink w:anchor="_6_Office_365" w:history="1">
              <w:r w:rsidRPr="001E1017">
                <w:rPr>
                  <w:rStyle w:val="Hyperlink"/>
                  <w:rFonts w:cs="Tahoma"/>
                  <w:b/>
                  <w:sz w:val="13"/>
                  <w:szCs w:val="13"/>
                </w:rPr>
                <w:t>5</w:t>
              </w:r>
            </w:hyperlink>
          </w:p>
        </w:tc>
        <w:tc>
          <w:tcPr>
            <w:tcW w:w="450" w:type="dxa"/>
            <w:shd w:val="clear" w:color="auto" w:fill="FABF8F"/>
          </w:tcPr>
          <w:p w:rsidR="00A92422" w:rsidRPr="00D87B79" w:rsidRDefault="00A92422" w:rsidP="00EA30FC">
            <w:pPr>
              <w:pStyle w:val="TableText"/>
              <w:widowControl w:val="0"/>
              <w:spacing w:before="120"/>
              <w:rPr>
                <w:rFonts w:ascii="Tahoma" w:hAnsi="Tahoma" w:cs="Tahoma"/>
                <w:color w:val="000000"/>
                <w:sz w:val="13"/>
              </w:rPr>
            </w:pPr>
            <w:r w:rsidRPr="00D87B79">
              <w:rPr>
                <w:rFonts w:ascii="Tahoma" w:hAnsi="Tahoma" w:cs="Tahoma"/>
                <w:color w:val="000000"/>
                <w:sz w:val="13"/>
              </w:rPr>
              <w:t>06/12</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OSB</w:t>
            </w:r>
          </w:p>
        </w:tc>
        <w:tc>
          <w:tcPr>
            <w:tcW w:w="360" w:type="dxa"/>
            <w:tcBorders>
              <w:left w:val="single" w:sz="18" w:space="0" w:color="auto"/>
            </w:tcBorders>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Del="00436016"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504" w:type="dxa"/>
            <w:shd w:val="clear" w:color="auto" w:fill="FABF8F"/>
            <w:vAlign w:val="center"/>
          </w:tcPr>
          <w:p w:rsidR="00A92422" w:rsidRPr="00D87B79" w:rsidDel="00436016" w:rsidRDefault="00A92422" w:rsidP="00EA30FC">
            <w:pPr>
              <w:pStyle w:val="TableText"/>
              <w:widowControl w:val="0"/>
              <w:spacing w:before="120"/>
              <w:rPr>
                <w:rFonts w:ascii="Tahoma" w:hAnsi="Tahoma" w:cs="Tahoma"/>
                <w:sz w:val="13"/>
              </w:rPr>
            </w:pPr>
            <w:r w:rsidRPr="00D87B79">
              <w:rPr>
                <w:rFonts w:ascii="Tahoma" w:hAnsi="Tahoma" w:cs="Tahoma"/>
                <w:sz w:val="13"/>
                <w:lang w:val="it-IT"/>
              </w:rPr>
              <w:t>EOLS</w:t>
            </w:r>
          </w:p>
        </w:tc>
        <w:tc>
          <w:tcPr>
            <w:tcW w:w="486" w:type="dxa"/>
            <w:shd w:val="clear" w:color="auto" w:fill="FABF8F"/>
            <w:vAlign w:val="center"/>
          </w:tcPr>
          <w:p w:rsidR="00A92422" w:rsidRPr="00D87B79" w:rsidDel="00436016" w:rsidRDefault="00A92422" w:rsidP="00EA30FC">
            <w:pPr>
              <w:pStyle w:val="TableText"/>
              <w:widowControl w:val="0"/>
              <w:rPr>
                <w:rFonts w:ascii="Tahoma" w:hAnsi="Tahoma" w:cs="Tahoma"/>
                <w:sz w:val="13"/>
              </w:rPr>
            </w:pPr>
          </w:p>
        </w:tc>
      </w:tr>
      <w:tr w:rsidR="00A92422" w:rsidRPr="00D87B79" w:rsidDel="00436016" w:rsidTr="00EA30FC">
        <w:trPr>
          <w:trHeight w:val="145"/>
        </w:trPr>
        <w:tc>
          <w:tcPr>
            <w:tcW w:w="2714" w:type="dxa"/>
            <w:shd w:val="clear" w:color="auto" w:fill="FFFFFF"/>
            <w:vAlign w:val="center"/>
          </w:tcPr>
          <w:p w:rsidR="00A92422" w:rsidRPr="00D87B79" w:rsidRDefault="00A92422" w:rsidP="00EA30FC">
            <w:pPr>
              <w:pStyle w:val="Heading2"/>
              <w:spacing w:beforeLines="20" w:before="48" w:afterLines="20" w:after="48"/>
              <w:ind w:left="0" w:firstLine="15"/>
              <w:rPr>
                <w:rFonts w:ascii="Tahoma" w:hAnsi="Tahoma" w:cs="Tahoma"/>
                <w:b w:val="0"/>
                <w:sz w:val="14"/>
                <w:szCs w:val="16"/>
              </w:rPr>
            </w:pPr>
            <w:bookmarkStart w:id="360" w:name="_Toc336338026"/>
            <w:bookmarkStart w:id="361" w:name="_Toc342900077"/>
            <w:bookmarkEnd w:id="360"/>
            <w:r w:rsidRPr="00D87B79">
              <w:rPr>
                <w:rFonts w:ascii="Tahoma" w:hAnsi="Tahoma" w:cs="Tahoma"/>
                <w:b w:val="0"/>
                <w:sz w:val="14"/>
                <w:lang w:val="it-IT"/>
              </w:rPr>
              <w:t>Office 365 Piano A4 (SL per Utente).</w:t>
            </w:r>
            <w:bookmarkEnd w:id="361"/>
          </w:p>
        </w:tc>
        <w:tc>
          <w:tcPr>
            <w:tcW w:w="450" w:type="dxa"/>
            <w:shd w:val="clear" w:color="auto" w:fill="FFFFFF"/>
            <w:vAlign w:val="center"/>
          </w:tcPr>
          <w:p w:rsidR="00A92422" w:rsidRPr="001E1017" w:rsidRDefault="00A92422" w:rsidP="00EA30FC">
            <w:pPr>
              <w:pStyle w:val="TableText"/>
              <w:widowControl w:val="0"/>
              <w:rPr>
                <w:rFonts w:cs="Tahoma"/>
                <w:b/>
                <w:color w:val="0000FF"/>
                <w:sz w:val="13"/>
                <w:szCs w:val="13"/>
                <w:u w:val="single"/>
              </w:rPr>
            </w:pPr>
            <w:hyperlink w:anchor="_6_Office_365" w:history="1">
              <w:r w:rsidRPr="001E1017">
                <w:rPr>
                  <w:rStyle w:val="Hyperlink"/>
                  <w:rFonts w:cs="Tahoma"/>
                  <w:b/>
                  <w:sz w:val="13"/>
                  <w:szCs w:val="13"/>
                </w:rPr>
                <w:t>5</w:t>
              </w:r>
            </w:hyperlink>
          </w:p>
        </w:tc>
        <w:tc>
          <w:tcPr>
            <w:tcW w:w="450" w:type="dxa"/>
            <w:shd w:val="clear" w:color="auto" w:fill="FFFFFF"/>
          </w:tcPr>
          <w:p w:rsidR="00A92422" w:rsidRPr="00D87B79" w:rsidRDefault="00A92422" w:rsidP="00EA30FC">
            <w:pPr>
              <w:pStyle w:val="TableText"/>
              <w:widowControl w:val="0"/>
              <w:spacing w:before="120"/>
              <w:rPr>
                <w:rFonts w:ascii="Tahoma" w:hAnsi="Tahoma" w:cs="Tahoma"/>
                <w:color w:val="000000"/>
                <w:sz w:val="13"/>
              </w:rPr>
            </w:pPr>
            <w:r w:rsidRPr="00D87B79">
              <w:rPr>
                <w:rFonts w:ascii="Tahoma" w:hAnsi="Tahoma" w:cs="Tahoma"/>
                <w:color w:val="000000"/>
                <w:sz w:val="13"/>
              </w:rPr>
              <w:t>06/12</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OSB</w:t>
            </w:r>
          </w:p>
        </w:tc>
        <w:tc>
          <w:tcPr>
            <w:tcW w:w="360" w:type="dxa"/>
            <w:tcBorders>
              <w:left w:val="single" w:sz="18" w:space="0" w:color="auto"/>
            </w:tcBorders>
            <w:shd w:val="clear" w:color="auto" w:fill="FFFFF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Del="00436016"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92422" w:rsidRPr="00D87B79" w:rsidDel="00436016"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Del="00436016"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Del="00436016"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Del="00436016"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92422" w:rsidRPr="00D87B79" w:rsidDel="00436016" w:rsidRDefault="00A92422" w:rsidP="00EA30FC">
            <w:pPr>
              <w:pStyle w:val="TableText"/>
              <w:widowControl w:val="0"/>
              <w:rPr>
                <w:rFonts w:ascii="Tahoma" w:hAnsi="Tahoma" w:cs="Tahoma"/>
                <w:sz w:val="13"/>
              </w:rPr>
            </w:pPr>
          </w:p>
        </w:tc>
        <w:tc>
          <w:tcPr>
            <w:tcW w:w="504" w:type="dxa"/>
            <w:shd w:val="clear" w:color="auto" w:fill="FFFFFF"/>
            <w:vAlign w:val="center"/>
          </w:tcPr>
          <w:p w:rsidR="00A92422" w:rsidRPr="00D87B79" w:rsidDel="00436016" w:rsidRDefault="00A92422" w:rsidP="00EA30FC">
            <w:pPr>
              <w:pStyle w:val="TableText"/>
              <w:widowControl w:val="0"/>
              <w:spacing w:before="120"/>
              <w:rPr>
                <w:rFonts w:ascii="Tahoma" w:hAnsi="Tahoma" w:cs="Tahoma"/>
                <w:sz w:val="13"/>
              </w:rPr>
            </w:pPr>
            <w:r w:rsidRPr="00D87B79">
              <w:rPr>
                <w:rFonts w:ascii="Tahoma" w:hAnsi="Tahoma" w:cs="Tahoma"/>
                <w:sz w:val="13"/>
                <w:lang w:val="it-IT"/>
              </w:rPr>
              <w:t>EOLS</w:t>
            </w:r>
          </w:p>
        </w:tc>
        <w:tc>
          <w:tcPr>
            <w:tcW w:w="486" w:type="dxa"/>
            <w:shd w:val="clear" w:color="auto" w:fill="FFFFFF"/>
            <w:vAlign w:val="center"/>
          </w:tcPr>
          <w:p w:rsidR="00A92422" w:rsidRPr="00D87B79" w:rsidDel="00436016" w:rsidRDefault="00A92422" w:rsidP="00EA30FC">
            <w:pPr>
              <w:pStyle w:val="TableText"/>
              <w:widowControl w:val="0"/>
              <w:rPr>
                <w:rFonts w:ascii="Tahoma" w:hAnsi="Tahoma" w:cs="Tahoma"/>
                <w:sz w:val="13"/>
              </w:rPr>
            </w:pPr>
          </w:p>
        </w:tc>
      </w:tr>
      <w:tr w:rsidR="00A92422" w:rsidRPr="00D87B79" w:rsidDel="00436016" w:rsidTr="00EA30FC">
        <w:trPr>
          <w:trHeight w:val="145"/>
        </w:trPr>
        <w:tc>
          <w:tcPr>
            <w:tcW w:w="2714" w:type="dxa"/>
            <w:shd w:val="clear" w:color="auto" w:fill="FABF8F"/>
            <w:vAlign w:val="center"/>
          </w:tcPr>
          <w:p w:rsidR="00A92422" w:rsidRPr="00D87B79" w:rsidDel="00436016" w:rsidRDefault="00A92422" w:rsidP="00EA30FC">
            <w:pPr>
              <w:pStyle w:val="Heading2"/>
              <w:spacing w:beforeLines="20" w:before="48" w:afterLines="20" w:after="48"/>
              <w:ind w:left="0" w:firstLine="15"/>
              <w:rPr>
                <w:rFonts w:ascii="Tahoma" w:hAnsi="Tahoma" w:cs="Tahoma"/>
                <w:b w:val="0"/>
                <w:sz w:val="14"/>
                <w:szCs w:val="16"/>
              </w:rPr>
            </w:pPr>
            <w:bookmarkStart w:id="362" w:name="_Toc336338027"/>
            <w:bookmarkStart w:id="363" w:name="_Toc342900078"/>
            <w:bookmarkEnd w:id="362"/>
            <w:r w:rsidRPr="00D87B79">
              <w:rPr>
                <w:rFonts w:ascii="Tahoma" w:hAnsi="Tahoma" w:cs="Tahoma"/>
                <w:b w:val="0"/>
                <w:sz w:val="14"/>
                <w:lang w:val="it-IT"/>
              </w:rPr>
              <w:t>Office 365 Piano E1 (SL per Utente).</w:t>
            </w:r>
            <w:bookmarkEnd w:id="363"/>
          </w:p>
        </w:tc>
        <w:tc>
          <w:tcPr>
            <w:tcW w:w="450" w:type="dxa"/>
            <w:shd w:val="clear" w:color="auto" w:fill="FABF8F"/>
            <w:vAlign w:val="center"/>
          </w:tcPr>
          <w:p w:rsidR="00A92422" w:rsidRPr="001E1017" w:rsidDel="00436016" w:rsidRDefault="00A92422" w:rsidP="00EA30FC">
            <w:pPr>
              <w:pStyle w:val="TableText"/>
              <w:widowControl w:val="0"/>
              <w:rPr>
                <w:rFonts w:cs="Tahoma"/>
                <w:b/>
                <w:color w:val="0000FF"/>
                <w:sz w:val="13"/>
                <w:szCs w:val="13"/>
                <w:u w:val="single"/>
              </w:rPr>
            </w:pPr>
            <w:hyperlink w:anchor="_65_Office_365" w:history="1">
              <w:r w:rsidRPr="001E1017">
                <w:rPr>
                  <w:rStyle w:val="Hyperlink"/>
                  <w:rFonts w:cs="Tahoma"/>
                  <w:b/>
                  <w:sz w:val="13"/>
                  <w:szCs w:val="13"/>
                </w:rPr>
                <w:t>65</w:t>
              </w:r>
            </w:hyperlink>
          </w:p>
        </w:tc>
        <w:tc>
          <w:tcPr>
            <w:tcW w:w="450" w:type="dxa"/>
            <w:shd w:val="clear" w:color="auto" w:fill="FABF8F"/>
          </w:tcPr>
          <w:p w:rsidR="00A92422" w:rsidRPr="00D87B79" w:rsidDel="00436016" w:rsidRDefault="00A92422" w:rsidP="00EA30FC">
            <w:pPr>
              <w:pStyle w:val="TableText"/>
              <w:widowControl w:val="0"/>
              <w:spacing w:before="120"/>
              <w:rPr>
                <w:rFonts w:ascii="Tahoma" w:hAnsi="Tahoma" w:cs="Tahoma"/>
                <w:color w:val="000000"/>
                <w:sz w:val="13"/>
              </w:rPr>
            </w:pPr>
            <w:r w:rsidRPr="00D87B79">
              <w:rPr>
                <w:rFonts w:ascii="Tahoma" w:hAnsi="Tahoma" w:cs="Tahoma"/>
                <w:color w:val="000000"/>
                <w:sz w:val="13"/>
              </w:rPr>
              <w:t>06/11</w:t>
            </w:r>
          </w:p>
        </w:tc>
        <w:tc>
          <w:tcPr>
            <w:tcW w:w="360" w:type="dxa"/>
            <w:tcBorders>
              <w:right w:val="single" w:sz="18" w:space="0" w:color="auto"/>
            </w:tcBorders>
            <w:shd w:val="clear" w:color="auto" w:fill="FABF8F"/>
            <w:vAlign w:val="center"/>
          </w:tcPr>
          <w:p w:rsidR="00A92422" w:rsidRPr="00D87B79" w:rsidDel="00436016" w:rsidRDefault="00A92422" w:rsidP="00EA30FC">
            <w:pPr>
              <w:pStyle w:val="TableText"/>
              <w:widowControl w:val="0"/>
              <w:rPr>
                <w:rFonts w:ascii="Tahoma" w:hAnsi="Tahoma" w:cs="Tahoma"/>
                <w:sz w:val="13"/>
              </w:rPr>
            </w:pPr>
            <w:r w:rsidRPr="00D87B79">
              <w:rPr>
                <w:rFonts w:ascii="Tahoma" w:hAnsi="Tahoma" w:cs="Tahoma"/>
                <w:sz w:val="13"/>
                <w:lang w:val="it-IT"/>
              </w:rPr>
              <w:t>OSB</w:t>
            </w:r>
          </w:p>
        </w:tc>
        <w:tc>
          <w:tcPr>
            <w:tcW w:w="360" w:type="dxa"/>
            <w:tcBorders>
              <w:left w:val="single" w:sz="18" w:space="0" w:color="auto"/>
            </w:tcBorders>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Del="00436016" w:rsidRDefault="00A92422" w:rsidP="00EA30FC">
            <w:pPr>
              <w:pStyle w:val="TableText"/>
              <w:widowControl w:val="0"/>
              <w:rPr>
                <w:rFonts w:ascii="Tahoma" w:hAnsi="Tahoma" w:cs="Tahoma"/>
                <w:sz w:val="13"/>
              </w:rPr>
            </w:pPr>
            <w:r w:rsidRPr="00D87B79">
              <w:rPr>
                <w:rFonts w:ascii="Tahoma" w:hAnsi="Tahoma" w:cs="Tahoma"/>
                <w:sz w:val="13"/>
                <w:lang w:val="it-IT"/>
              </w:rPr>
              <w:t>EOLS</w:t>
            </w:r>
          </w:p>
        </w:tc>
        <w:tc>
          <w:tcPr>
            <w:tcW w:w="450" w:type="dxa"/>
            <w:tcBorders>
              <w:left w:val="single" w:sz="18" w:space="0" w:color="auto"/>
              <w:right w:val="single" w:sz="18" w:space="0" w:color="auto"/>
            </w:tcBorders>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504" w:type="dxa"/>
            <w:shd w:val="clear" w:color="auto" w:fill="FABF8F"/>
          </w:tcPr>
          <w:p w:rsidR="00A92422" w:rsidRPr="00D87B79" w:rsidDel="00436016" w:rsidRDefault="00A92422" w:rsidP="00EA30FC">
            <w:pPr>
              <w:pStyle w:val="TableText"/>
              <w:widowControl w:val="0"/>
              <w:spacing w:before="120"/>
              <w:rPr>
                <w:rFonts w:ascii="Tahoma" w:hAnsi="Tahoma" w:cs="Tahoma"/>
                <w:sz w:val="13"/>
              </w:rPr>
            </w:pPr>
          </w:p>
        </w:tc>
        <w:tc>
          <w:tcPr>
            <w:tcW w:w="486" w:type="dxa"/>
            <w:shd w:val="clear" w:color="auto" w:fill="FABF8F"/>
            <w:vAlign w:val="center"/>
          </w:tcPr>
          <w:p w:rsidR="00A92422" w:rsidRPr="00D87B79" w:rsidDel="00436016" w:rsidRDefault="00A92422" w:rsidP="00EA30FC">
            <w:pPr>
              <w:pStyle w:val="TableText"/>
              <w:widowControl w:val="0"/>
              <w:rPr>
                <w:rFonts w:ascii="Tahoma" w:hAnsi="Tahoma" w:cs="Tahoma"/>
                <w:sz w:val="13"/>
              </w:rPr>
            </w:pPr>
          </w:p>
        </w:tc>
      </w:tr>
      <w:tr w:rsidR="00A92422" w:rsidRPr="00D87B79" w:rsidDel="00436016" w:rsidTr="00EA30FC">
        <w:trPr>
          <w:trHeight w:val="145"/>
        </w:trPr>
        <w:tc>
          <w:tcPr>
            <w:tcW w:w="2714" w:type="dxa"/>
            <w:shd w:val="clear" w:color="auto" w:fill="FFFFFF"/>
            <w:vAlign w:val="center"/>
          </w:tcPr>
          <w:p w:rsidR="00A92422" w:rsidRPr="00D87B79" w:rsidDel="00436016" w:rsidRDefault="00A92422" w:rsidP="00EA30FC">
            <w:pPr>
              <w:pStyle w:val="Heading2"/>
              <w:spacing w:beforeLines="20" w:before="48" w:afterLines="20" w:after="48"/>
              <w:ind w:left="0" w:firstLine="15"/>
              <w:rPr>
                <w:rFonts w:ascii="Tahoma" w:hAnsi="Tahoma" w:cs="Tahoma"/>
                <w:b w:val="0"/>
                <w:sz w:val="14"/>
                <w:szCs w:val="16"/>
              </w:rPr>
            </w:pPr>
            <w:bookmarkStart w:id="364" w:name="_Toc336338028"/>
            <w:bookmarkStart w:id="365" w:name="_Toc342900079"/>
            <w:bookmarkEnd w:id="364"/>
            <w:r w:rsidRPr="00D87B79">
              <w:rPr>
                <w:rFonts w:ascii="Tahoma" w:hAnsi="Tahoma" w:cs="Tahoma"/>
                <w:b w:val="0"/>
                <w:sz w:val="14"/>
                <w:lang w:val="it-IT"/>
              </w:rPr>
              <w:t>Office 365 Piano E2 - E4 (SL per Utente).</w:t>
            </w:r>
            <w:bookmarkEnd w:id="365"/>
          </w:p>
        </w:tc>
        <w:tc>
          <w:tcPr>
            <w:tcW w:w="450" w:type="dxa"/>
            <w:shd w:val="clear" w:color="auto" w:fill="FFFFFF"/>
            <w:vAlign w:val="center"/>
          </w:tcPr>
          <w:p w:rsidR="00A92422" w:rsidRPr="001E1017" w:rsidDel="00436016" w:rsidRDefault="00A92422" w:rsidP="00EA30FC">
            <w:pPr>
              <w:pStyle w:val="TableText"/>
              <w:widowControl w:val="0"/>
              <w:rPr>
                <w:rFonts w:cs="Tahoma"/>
                <w:b/>
                <w:color w:val="0000FF"/>
                <w:sz w:val="13"/>
                <w:szCs w:val="13"/>
                <w:u w:val="single"/>
              </w:rPr>
            </w:pPr>
            <w:hyperlink w:anchor="_7_Office_365" w:history="1">
              <w:r w:rsidRPr="001E1017">
                <w:rPr>
                  <w:rStyle w:val="Hyperlink"/>
                  <w:rFonts w:cs="Tahoma"/>
                  <w:b/>
                  <w:sz w:val="13"/>
                  <w:szCs w:val="13"/>
                </w:rPr>
                <w:t>6</w:t>
              </w:r>
            </w:hyperlink>
          </w:p>
        </w:tc>
        <w:tc>
          <w:tcPr>
            <w:tcW w:w="450" w:type="dxa"/>
            <w:shd w:val="clear" w:color="auto" w:fill="FFFFFF"/>
          </w:tcPr>
          <w:p w:rsidR="00A92422" w:rsidRPr="00D87B79" w:rsidDel="00436016" w:rsidRDefault="00A92422" w:rsidP="00EA30FC">
            <w:pPr>
              <w:pStyle w:val="TableText"/>
              <w:widowControl w:val="0"/>
              <w:spacing w:before="120"/>
              <w:rPr>
                <w:rFonts w:ascii="Tahoma" w:hAnsi="Tahoma" w:cs="Tahoma"/>
                <w:color w:val="000000"/>
                <w:sz w:val="13"/>
              </w:rPr>
            </w:pPr>
            <w:r w:rsidRPr="00D87B79">
              <w:rPr>
                <w:rFonts w:ascii="Tahoma" w:hAnsi="Tahoma" w:cs="Tahoma"/>
                <w:color w:val="000000"/>
                <w:sz w:val="13"/>
              </w:rPr>
              <w:t>06/11</w:t>
            </w:r>
          </w:p>
        </w:tc>
        <w:tc>
          <w:tcPr>
            <w:tcW w:w="360" w:type="dxa"/>
            <w:tcBorders>
              <w:right w:val="single" w:sz="18" w:space="0" w:color="auto"/>
            </w:tcBorders>
            <w:shd w:val="clear" w:color="auto" w:fill="FFFFFF"/>
            <w:vAlign w:val="center"/>
          </w:tcPr>
          <w:p w:rsidR="00A92422" w:rsidRPr="00D87B79" w:rsidDel="00436016" w:rsidRDefault="00A92422" w:rsidP="00EA30FC">
            <w:pPr>
              <w:pStyle w:val="TableText"/>
              <w:widowControl w:val="0"/>
              <w:rPr>
                <w:rFonts w:ascii="Tahoma" w:hAnsi="Tahoma" w:cs="Tahoma"/>
                <w:sz w:val="13"/>
              </w:rPr>
            </w:pPr>
            <w:r w:rsidRPr="00D87B79">
              <w:rPr>
                <w:rFonts w:ascii="Tahoma" w:hAnsi="Tahoma" w:cs="Tahoma"/>
                <w:sz w:val="13"/>
                <w:lang w:val="it-IT"/>
              </w:rPr>
              <w:t>OSB</w:t>
            </w:r>
          </w:p>
        </w:tc>
        <w:tc>
          <w:tcPr>
            <w:tcW w:w="360" w:type="dxa"/>
            <w:tcBorders>
              <w:left w:val="single" w:sz="18" w:space="0" w:color="auto"/>
            </w:tcBorders>
            <w:shd w:val="clear" w:color="auto" w:fill="FFFFF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Del="00436016"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92422" w:rsidRPr="00D87B79" w:rsidDel="00436016"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Del="00436016"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Del="00436016"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Del="00436016"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Del="00436016" w:rsidRDefault="00A92422" w:rsidP="00EA30FC">
            <w:pPr>
              <w:pStyle w:val="TableText"/>
              <w:widowControl w:val="0"/>
              <w:rPr>
                <w:rFonts w:ascii="Tahoma" w:hAnsi="Tahoma" w:cs="Tahoma"/>
                <w:sz w:val="13"/>
              </w:rPr>
            </w:pPr>
            <w:r w:rsidRPr="00D87B79">
              <w:rPr>
                <w:rFonts w:ascii="Tahoma" w:hAnsi="Tahoma" w:cs="Tahoma"/>
                <w:sz w:val="13"/>
                <w:lang w:val="it-IT"/>
              </w:rPr>
              <w:t>EOLS</w:t>
            </w:r>
          </w:p>
        </w:tc>
        <w:tc>
          <w:tcPr>
            <w:tcW w:w="450" w:type="dxa"/>
            <w:tcBorders>
              <w:left w:val="single" w:sz="18" w:space="0" w:color="auto"/>
              <w:right w:val="single" w:sz="18" w:space="0" w:color="auto"/>
            </w:tcBorders>
            <w:shd w:val="clear" w:color="auto" w:fill="FFFFFF"/>
            <w:vAlign w:val="center"/>
          </w:tcPr>
          <w:p w:rsidR="00A92422" w:rsidRPr="00D87B79" w:rsidDel="00436016" w:rsidRDefault="00A92422" w:rsidP="00EA30FC">
            <w:pPr>
              <w:pStyle w:val="TableText"/>
              <w:widowControl w:val="0"/>
              <w:rPr>
                <w:rFonts w:ascii="Tahoma" w:hAnsi="Tahoma" w:cs="Tahoma"/>
                <w:sz w:val="13"/>
              </w:rPr>
            </w:pPr>
          </w:p>
        </w:tc>
        <w:tc>
          <w:tcPr>
            <w:tcW w:w="504" w:type="dxa"/>
            <w:shd w:val="clear" w:color="auto" w:fill="FFFFFF"/>
          </w:tcPr>
          <w:p w:rsidR="00A92422" w:rsidRPr="00D87B79" w:rsidDel="00436016" w:rsidRDefault="00A92422" w:rsidP="00EA30FC">
            <w:pPr>
              <w:pStyle w:val="TableText"/>
              <w:widowControl w:val="0"/>
              <w:spacing w:before="120"/>
              <w:rPr>
                <w:rFonts w:ascii="Tahoma" w:hAnsi="Tahoma" w:cs="Tahoma"/>
                <w:sz w:val="13"/>
              </w:rPr>
            </w:pPr>
          </w:p>
        </w:tc>
        <w:tc>
          <w:tcPr>
            <w:tcW w:w="486" w:type="dxa"/>
            <w:shd w:val="clear" w:color="auto" w:fill="FFFFFF"/>
            <w:vAlign w:val="center"/>
          </w:tcPr>
          <w:p w:rsidR="00A92422" w:rsidRPr="00D87B79" w:rsidDel="00436016" w:rsidRDefault="00A92422" w:rsidP="00EA30FC">
            <w:pPr>
              <w:pStyle w:val="TableText"/>
              <w:widowControl w:val="0"/>
              <w:rPr>
                <w:rFonts w:ascii="Tahoma" w:hAnsi="Tahoma" w:cs="Tahoma"/>
                <w:sz w:val="13"/>
              </w:rPr>
            </w:pPr>
          </w:p>
        </w:tc>
      </w:tr>
      <w:tr w:rsidR="00A92422" w:rsidRPr="00D87B79" w:rsidDel="00436016" w:rsidTr="00EA30FC">
        <w:trPr>
          <w:trHeight w:val="145"/>
        </w:trPr>
        <w:tc>
          <w:tcPr>
            <w:tcW w:w="2714" w:type="dxa"/>
            <w:shd w:val="clear" w:color="auto" w:fill="FABF8F"/>
            <w:vAlign w:val="center"/>
          </w:tcPr>
          <w:p w:rsidR="00A92422" w:rsidRPr="00D87B79" w:rsidRDefault="00A92422" w:rsidP="00EA30FC">
            <w:pPr>
              <w:pStyle w:val="Heading2"/>
              <w:spacing w:beforeLines="20" w:before="48" w:afterLines="20" w:after="48"/>
              <w:ind w:left="0" w:firstLine="15"/>
              <w:rPr>
                <w:rFonts w:ascii="Tahoma" w:hAnsi="Tahoma" w:cs="Tahoma"/>
                <w:b w:val="0"/>
                <w:sz w:val="14"/>
                <w:szCs w:val="16"/>
              </w:rPr>
            </w:pPr>
            <w:bookmarkStart w:id="366" w:name="_Toc336338029"/>
            <w:bookmarkStart w:id="367" w:name="_Toc342900080"/>
            <w:bookmarkEnd w:id="366"/>
            <w:r w:rsidRPr="00D87B79">
              <w:rPr>
                <w:rFonts w:ascii="Tahoma" w:hAnsi="Tahoma" w:cs="Tahoma"/>
                <w:b w:val="0"/>
                <w:sz w:val="14"/>
                <w:lang w:val="it-IT"/>
              </w:rPr>
              <w:t>Office 365 Piano G1 - G4 (SL per Utente).</w:t>
            </w:r>
            <w:bookmarkEnd w:id="367"/>
          </w:p>
        </w:tc>
        <w:bookmarkStart w:id="368" w:name="_Hlt335909316"/>
        <w:bookmarkStart w:id="369" w:name="_Hlt336251116"/>
        <w:bookmarkEnd w:id="368"/>
        <w:bookmarkEnd w:id="369"/>
        <w:tc>
          <w:tcPr>
            <w:tcW w:w="450" w:type="dxa"/>
            <w:shd w:val="clear" w:color="auto" w:fill="FABF8F"/>
            <w:vAlign w:val="center"/>
          </w:tcPr>
          <w:p w:rsidR="00A92422" w:rsidRPr="001E1017" w:rsidRDefault="00A92422" w:rsidP="00EA30FC">
            <w:pPr>
              <w:pStyle w:val="TableText"/>
              <w:widowControl w:val="0"/>
              <w:rPr>
                <w:rFonts w:cs="Tahoma"/>
                <w:b/>
                <w:color w:val="0000FF"/>
                <w:sz w:val="13"/>
                <w:szCs w:val="13"/>
                <w:u w:val="single"/>
              </w:rPr>
            </w:pPr>
            <w:r w:rsidRPr="001E1017">
              <w:rPr>
                <w:rFonts w:cs="Tahoma"/>
                <w:sz w:val="13"/>
                <w:szCs w:val="13"/>
              </w:rPr>
              <w:fldChar w:fldCharType="begin"/>
            </w:r>
            <w:r w:rsidRPr="001E1017">
              <w:rPr>
                <w:rFonts w:cs="Tahoma"/>
                <w:sz w:val="13"/>
                <w:szCs w:val="13"/>
              </w:rPr>
              <w:instrText>HYPERLINK  \l "_66_Office_365"</w:instrText>
            </w:r>
            <w:r w:rsidRPr="001E1017">
              <w:rPr>
                <w:rFonts w:cs="Tahoma"/>
                <w:sz w:val="13"/>
                <w:szCs w:val="13"/>
              </w:rPr>
              <w:fldChar w:fldCharType="separate"/>
            </w:r>
            <w:r w:rsidRPr="001E1017">
              <w:rPr>
                <w:rStyle w:val="Hyperlink"/>
                <w:rFonts w:cs="Tahoma"/>
                <w:b/>
                <w:sz w:val="13"/>
                <w:szCs w:val="13"/>
              </w:rPr>
              <w:t>66</w:t>
            </w:r>
            <w:r w:rsidRPr="001E1017">
              <w:rPr>
                <w:rFonts w:cs="Tahoma"/>
                <w:sz w:val="13"/>
                <w:szCs w:val="13"/>
              </w:rPr>
              <w:fldChar w:fldCharType="end"/>
            </w:r>
          </w:p>
        </w:tc>
        <w:tc>
          <w:tcPr>
            <w:tcW w:w="450" w:type="dxa"/>
            <w:shd w:val="clear" w:color="auto" w:fill="FABF8F"/>
          </w:tcPr>
          <w:p w:rsidR="00A92422" w:rsidRPr="00D87B79" w:rsidRDefault="00A92422" w:rsidP="00EA30FC">
            <w:pPr>
              <w:pStyle w:val="TableText"/>
              <w:widowControl w:val="0"/>
              <w:spacing w:before="120"/>
              <w:rPr>
                <w:rFonts w:ascii="Tahoma" w:hAnsi="Tahoma" w:cs="Tahoma"/>
                <w:color w:val="000000"/>
                <w:sz w:val="13"/>
              </w:rPr>
            </w:pPr>
            <w:r w:rsidRPr="00D87B79">
              <w:rPr>
                <w:rFonts w:ascii="Tahoma" w:hAnsi="Tahoma" w:cs="Tahoma"/>
                <w:color w:val="000000"/>
                <w:sz w:val="13"/>
              </w:rPr>
              <w:t>08/12</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OSB</w:t>
            </w:r>
          </w:p>
        </w:tc>
        <w:tc>
          <w:tcPr>
            <w:tcW w:w="360" w:type="dxa"/>
            <w:tcBorders>
              <w:left w:val="single" w:sz="18" w:space="0" w:color="auto"/>
            </w:tcBorders>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EOLS</w:t>
            </w:r>
          </w:p>
        </w:tc>
        <w:tc>
          <w:tcPr>
            <w:tcW w:w="450" w:type="dxa"/>
            <w:tcBorders>
              <w:left w:val="single" w:sz="18" w:space="0" w:color="auto"/>
              <w:right w:val="single" w:sz="18" w:space="0" w:color="auto"/>
            </w:tcBorders>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504" w:type="dxa"/>
            <w:shd w:val="clear" w:color="auto" w:fill="FABF8F"/>
          </w:tcPr>
          <w:p w:rsidR="00A92422" w:rsidRPr="00D87B79" w:rsidDel="00436016" w:rsidRDefault="00A92422" w:rsidP="00EA30FC">
            <w:pPr>
              <w:pStyle w:val="TableText"/>
              <w:widowControl w:val="0"/>
              <w:spacing w:before="120"/>
              <w:rPr>
                <w:rFonts w:ascii="Tahoma" w:hAnsi="Tahoma" w:cs="Tahoma"/>
                <w:sz w:val="13"/>
              </w:rPr>
            </w:pPr>
          </w:p>
        </w:tc>
        <w:tc>
          <w:tcPr>
            <w:tcW w:w="486" w:type="dxa"/>
            <w:shd w:val="clear" w:color="auto" w:fill="FABF8F"/>
            <w:vAlign w:val="center"/>
          </w:tcPr>
          <w:p w:rsidR="00A92422" w:rsidRPr="00D87B79" w:rsidDel="00436016" w:rsidRDefault="00A92422" w:rsidP="00EA30FC">
            <w:pPr>
              <w:pStyle w:val="TableText"/>
              <w:widowControl w:val="0"/>
              <w:rPr>
                <w:rFonts w:ascii="Tahoma" w:hAnsi="Tahoma" w:cs="Tahoma"/>
                <w:sz w:val="13"/>
              </w:rPr>
            </w:pPr>
          </w:p>
        </w:tc>
      </w:tr>
      <w:tr w:rsidR="00A92422" w:rsidRPr="00D87B79" w:rsidDel="00436016" w:rsidTr="00EA30FC">
        <w:trPr>
          <w:trHeight w:val="145"/>
        </w:trPr>
        <w:tc>
          <w:tcPr>
            <w:tcW w:w="2714" w:type="dxa"/>
            <w:shd w:val="clear" w:color="auto" w:fill="FFFFFF"/>
            <w:vAlign w:val="center"/>
          </w:tcPr>
          <w:p w:rsidR="00A92422" w:rsidRPr="00D87B79" w:rsidDel="00436016" w:rsidRDefault="00A92422" w:rsidP="00EA30FC">
            <w:pPr>
              <w:pStyle w:val="Heading2"/>
              <w:spacing w:beforeLines="20" w:before="48" w:afterLines="20" w:after="48"/>
              <w:ind w:left="0" w:firstLine="15"/>
              <w:rPr>
                <w:rFonts w:ascii="Tahoma" w:hAnsi="Tahoma" w:cs="Tahoma"/>
                <w:b w:val="0"/>
                <w:sz w:val="14"/>
                <w:szCs w:val="16"/>
              </w:rPr>
            </w:pPr>
            <w:bookmarkStart w:id="370" w:name="_Toc336338030"/>
            <w:bookmarkStart w:id="371" w:name="_Toc342900081"/>
            <w:bookmarkEnd w:id="370"/>
            <w:r w:rsidRPr="00D87B79">
              <w:rPr>
                <w:rFonts w:ascii="Tahoma" w:hAnsi="Tahoma" w:cs="Tahoma"/>
                <w:b w:val="0"/>
                <w:sz w:val="14"/>
                <w:lang w:val="it-IT"/>
              </w:rPr>
              <w:t>Office 365 Piano K1 (SL per Utente).</w:t>
            </w:r>
            <w:bookmarkEnd w:id="371"/>
          </w:p>
        </w:tc>
        <w:bookmarkStart w:id="372" w:name="_Hlt328144697"/>
        <w:bookmarkEnd w:id="372"/>
        <w:tc>
          <w:tcPr>
            <w:tcW w:w="450" w:type="dxa"/>
            <w:shd w:val="clear" w:color="auto" w:fill="FFFFFF"/>
            <w:vAlign w:val="center"/>
          </w:tcPr>
          <w:p w:rsidR="00A92422" w:rsidRPr="001E1017" w:rsidDel="00436016" w:rsidRDefault="00A92422" w:rsidP="00EA30FC">
            <w:pPr>
              <w:pStyle w:val="TableText"/>
              <w:widowControl w:val="0"/>
              <w:rPr>
                <w:rFonts w:cs="Tahoma"/>
                <w:b/>
                <w:color w:val="0000FF"/>
                <w:sz w:val="13"/>
                <w:szCs w:val="13"/>
                <w:u w:val="single"/>
              </w:rPr>
            </w:pPr>
            <w:r w:rsidRPr="001E1017">
              <w:rPr>
                <w:rFonts w:cs="Tahoma"/>
                <w:sz w:val="13"/>
                <w:szCs w:val="13"/>
              </w:rPr>
              <w:fldChar w:fldCharType="begin"/>
            </w:r>
            <w:r w:rsidRPr="001E1017">
              <w:rPr>
                <w:rFonts w:cs="Tahoma"/>
                <w:sz w:val="13"/>
                <w:szCs w:val="13"/>
              </w:rPr>
              <w:instrText>HYPERLINK  \l "_67_Office_365"</w:instrText>
            </w:r>
            <w:r w:rsidRPr="001E1017">
              <w:rPr>
                <w:rFonts w:cs="Tahoma"/>
                <w:sz w:val="13"/>
                <w:szCs w:val="13"/>
              </w:rPr>
              <w:fldChar w:fldCharType="separate"/>
            </w:r>
            <w:r w:rsidRPr="001E1017">
              <w:rPr>
                <w:rStyle w:val="Hyperlink"/>
                <w:rFonts w:cs="Tahoma"/>
                <w:b/>
                <w:sz w:val="13"/>
                <w:szCs w:val="13"/>
              </w:rPr>
              <w:t>67</w:t>
            </w:r>
            <w:r w:rsidRPr="001E1017">
              <w:rPr>
                <w:rFonts w:cs="Tahoma"/>
                <w:sz w:val="13"/>
                <w:szCs w:val="13"/>
              </w:rPr>
              <w:fldChar w:fldCharType="end"/>
            </w:r>
          </w:p>
        </w:tc>
        <w:tc>
          <w:tcPr>
            <w:tcW w:w="450" w:type="dxa"/>
            <w:shd w:val="clear" w:color="auto" w:fill="FFFFFF"/>
          </w:tcPr>
          <w:p w:rsidR="00A92422" w:rsidRPr="00D87B79" w:rsidDel="00436016" w:rsidRDefault="00A92422" w:rsidP="00EA30FC">
            <w:pPr>
              <w:pStyle w:val="TableText"/>
              <w:widowControl w:val="0"/>
              <w:spacing w:before="120"/>
              <w:rPr>
                <w:rFonts w:ascii="Tahoma" w:hAnsi="Tahoma" w:cs="Tahoma"/>
                <w:color w:val="000000"/>
                <w:sz w:val="13"/>
              </w:rPr>
            </w:pPr>
            <w:r w:rsidRPr="00D87B79">
              <w:rPr>
                <w:rFonts w:ascii="Tahoma" w:hAnsi="Tahoma" w:cs="Tahoma"/>
                <w:color w:val="000000"/>
                <w:sz w:val="13"/>
              </w:rPr>
              <w:t>06/11</w:t>
            </w:r>
          </w:p>
        </w:tc>
        <w:tc>
          <w:tcPr>
            <w:tcW w:w="360" w:type="dxa"/>
            <w:tcBorders>
              <w:right w:val="single" w:sz="18" w:space="0" w:color="auto"/>
            </w:tcBorders>
            <w:shd w:val="clear" w:color="auto" w:fill="FFFFFF"/>
            <w:vAlign w:val="center"/>
          </w:tcPr>
          <w:p w:rsidR="00A92422" w:rsidRPr="00D87B79" w:rsidDel="00436016" w:rsidRDefault="00A92422" w:rsidP="00EA30FC">
            <w:pPr>
              <w:pStyle w:val="TableText"/>
              <w:widowControl w:val="0"/>
              <w:rPr>
                <w:rFonts w:ascii="Tahoma" w:hAnsi="Tahoma" w:cs="Tahoma"/>
                <w:sz w:val="13"/>
              </w:rPr>
            </w:pPr>
            <w:r w:rsidRPr="00D87B79">
              <w:rPr>
                <w:rFonts w:ascii="Tahoma" w:hAnsi="Tahoma" w:cs="Tahoma"/>
                <w:sz w:val="13"/>
                <w:lang w:val="it-IT"/>
              </w:rPr>
              <w:t>OSB</w:t>
            </w:r>
          </w:p>
        </w:tc>
        <w:tc>
          <w:tcPr>
            <w:tcW w:w="360" w:type="dxa"/>
            <w:tcBorders>
              <w:left w:val="single" w:sz="18" w:space="0" w:color="auto"/>
            </w:tcBorders>
            <w:shd w:val="clear" w:color="auto" w:fill="FFFFF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Del="00436016"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92422" w:rsidRPr="00D87B79" w:rsidDel="00436016"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Del="00436016"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Del="00436016"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Del="00436016"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Del="00436016"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rsidR="00A92422" w:rsidRPr="00D87B79" w:rsidDel="00436016" w:rsidRDefault="00A92422" w:rsidP="00EA30FC">
            <w:pPr>
              <w:pStyle w:val="TableText"/>
              <w:widowControl w:val="0"/>
              <w:rPr>
                <w:rFonts w:ascii="Tahoma" w:hAnsi="Tahoma" w:cs="Tahoma"/>
                <w:sz w:val="13"/>
              </w:rPr>
            </w:pPr>
          </w:p>
        </w:tc>
        <w:tc>
          <w:tcPr>
            <w:tcW w:w="504" w:type="dxa"/>
            <w:shd w:val="clear" w:color="auto" w:fill="FFFFFF"/>
          </w:tcPr>
          <w:p w:rsidR="00A92422" w:rsidRPr="00D87B79" w:rsidDel="00436016" w:rsidRDefault="00A92422" w:rsidP="00EA30FC">
            <w:pPr>
              <w:pStyle w:val="TableText"/>
              <w:widowControl w:val="0"/>
              <w:spacing w:before="120"/>
              <w:rPr>
                <w:rFonts w:ascii="Tahoma" w:hAnsi="Tahoma" w:cs="Tahoma"/>
                <w:sz w:val="13"/>
              </w:rPr>
            </w:pPr>
          </w:p>
        </w:tc>
        <w:tc>
          <w:tcPr>
            <w:tcW w:w="486" w:type="dxa"/>
            <w:shd w:val="clear" w:color="auto" w:fill="FFFFFF"/>
            <w:vAlign w:val="center"/>
          </w:tcPr>
          <w:p w:rsidR="00A92422" w:rsidRPr="00D87B79" w:rsidDel="00436016" w:rsidRDefault="00A92422" w:rsidP="00EA30FC">
            <w:pPr>
              <w:pStyle w:val="TableText"/>
              <w:widowControl w:val="0"/>
              <w:rPr>
                <w:rFonts w:ascii="Tahoma" w:hAnsi="Tahoma" w:cs="Tahoma"/>
                <w:sz w:val="13"/>
              </w:rPr>
            </w:pPr>
          </w:p>
        </w:tc>
      </w:tr>
      <w:tr w:rsidR="00A92422" w:rsidRPr="00D87B79" w:rsidDel="00436016" w:rsidTr="00EA30FC">
        <w:trPr>
          <w:trHeight w:val="145"/>
        </w:trPr>
        <w:tc>
          <w:tcPr>
            <w:tcW w:w="2714" w:type="dxa"/>
            <w:shd w:val="clear" w:color="auto" w:fill="FABF8F"/>
            <w:vAlign w:val="center"/>
          </w:tcPr>
          <w:p w:rsidR="00A92422" w:rsidRPr="00D87B79" w:rsidDel="00436016" w:rsidRDefault="00A92422" w:rsidP="00EA30FC">
            <w:pPr>
              <w:pStyle w:val="Heading2"/>
              <w:spacing w:beforeLines="20" w:before="48" w:afterLines="20" w:after="48"/>
              <w:ind w:left="0" w:firstLine="15"/>
              <w:rPr>
                <w:rFonts w:ascii="Tahoma" w:hAnsi="Tahoma" w:cs="Tahoma"/>
                <w:b w:val="0"/>
                <w:sz w:val="14"/>
                <w:szCs w:val="16"/>
              </w:rPr>
            </w:pPr>
            <w:bookmarkStart w:id="373" w:name="_Toc336338031"/>
            <w:bookmarkStart w:id="374" w:name="_Toc342900082"/>
            <w:bookmarkEnd w:id="373"/>
            <w:r w:rsidRPr="00D87B79">
              <w:rPr>
                <w:rFonts w:ascii="Tahoma" w:hAnsi="Tahoma" w:cs="Tahoma"/>
                <w:b w:val="0"/>
                <w:sz w:val="14"/>
                <w:lang w:val="it-IT"/>
              </w:rPr>
              <w:t>Office 365 Piano K2 (SL per Utente).</w:t>
            </w:r>
            <w:bookmarkEnd w:id="374"/>
          </w:p>
        </w:tc>
        <w:bookmarkStart w:id="375" w:name="_Hlt328146149"/>
        <w:bookmarkStart w:id="376" w:name="_Hlt336251124"/>
        <w:bookmarkEnd w:id="375"/>
        <w:bookmarkEnd w:id="376"/>
        <w:tc>
          <w:tcPr>
            <w:tcW w:w="450" w:type="dxa"/>
            <w:shd w:val="clear" w:color="auto" w:fill="FABF8F"/>
            <w:vAlign w:val="center"/>
          </w:tcPr>
          <w:p w:rsidR="00A92422" w:rsidRPr="001E1017" w:rsidDel="00436016" w:rsidRDefault="00A92422" w:rsidP="00EA30FC">
            <w:pPr>
              <w:pStyle w:val="TableText"/>
              <w:widowControl w:val="0"/>
              <w:rPr>
                <w:rFonts w:cs="Tahoma"/>
                <w:b/>
                <w:color w:val="0000FF"/>
                <w:sz w:val="13"/>
                <w:szCs w:val="13"/>
                <w:u w:val="single"/>
              </w:rPr>
            </w:pPr>
            <w:r w:rsidRPr="001E1017">
              <w:rPr>
                <w:rFonts w:cs="Tahoma"/>
                <w:sz w:val="13"/>
                <w:szCs w:val="13"/>
              </w:rPr>
              <w:fldChar w:fldCharType="begin"/>
            </w:r>
            <w:r w:rsidRPr="001E1017">
              <w:rPr>
                <w:rFonts w:cs="Tahoma"/>
                <w:sz w:val="13"/>
                <w:szCs w:val="13"/>
              </w:rPr>
              <w:instrText>HYPERLINK  \l "_68_SharePoint_Online"</w:instrText>
            </w:r>
            <w:r w:rsidRPr="001E1017">
              <w:rPr>
                <w:rFonts w:cs="Tahoma"/>
                <w:sz w:val="13"/>
                <w:szCs w:val="13"/>
              </w:rPr>
              <w:fldChar w:fldCharType="separate"/>
            </w:r>
            <w:r w:rsidRPr="001E1017">
              <w:rPr>
                <w:rStyle w:val="Hyperlink"/>
                <w:rFonts w:cs="Tahoma"/>
                <w:b/>
                <w:sz w:val="13"/>
                <w:szCs w:val="13"/>
              </w:rPr>
              <w:t>68</w:t>
            </w:r>
            <w:r w:rsidRPr="001E1017">
              <w:rPr>
                <w:rFonts w:cs="Tahoma"/>
                <w:sz w:val="13"/>
                <w:szCs w:val="13"/>
              </w:rPr>
              <w:fldChar w:fldCharType="end"/>
            </w:r>
          </w:p>
        </w:tc>
        <w:tc>
          <w:tcPr>
            <w:tcW w:w="450" w:type="dxa"/>
            <w:shd w:val="clear" w:color="auto" w:fill="FABF8F"/>
          </w:tcPr>
          <w:p w:rsidR="00A92422" w:rsidRPr="00D87B79" w:rsidDel="00436016" w:rsidRDefault="00A92422" w:rsidP="00EA30FC">
            <w:pPr>
              <w:pStyle w:val="TableText"/>
              <w:widowControl w:val="0"/>
              <w:spacing w:before="120"/>
              <w:rPr>
                <w:rFonts w:ascii="Tahoma" w:hAnsi="Tahoma" w:cs="Tahoma"/>
                <w:color w:val="000000"/>
                <w:sz w:val="13"/>
              </w:rPr>
            </w:pPr>
            <w:r w:rsidRPr="00D87B79">
              <w:rPr>
                <w:rFonts w:ascii="Tahoma" w:hAnsi="Tahoma" w:cs="Tahoma"/>
                <w:color w:val="000000"/>
                <w:sz w:val="13"/>
              </w:rPr>
              <w:t>06/11</w:t>
            </w:r>
          </w:p>
        </w:tc>
        <w:tc>
          <w:tcPr>
            <w:tcW w:w="360" w:type="dxa"/>
            <w:tcBorders>
              <w:right w:val="single" w:sz="18" w:space="0" w:color="auto"/>
            </w:tcBorders>
            <w:shd w:val="clear" w:color="auto" w:fill="FABF8F"/>
            <w:vAlign w:val="center"/>
          </w:tcPr>
          <w:p w:rsidR="00A92422" w:rsidRPr="00D87B79" w:rsidDel="00436016" w:rsidRDefault="00A92422" w:rsidP="00EA30FC">
            <w:pPr>
              <w:pStyle w:val="TableText"/>
              <w:widowControl w:val="0"/>
              <w:rPr>
                <w:rFonts w:ascii="Tahoma" w:hAnsi="Tahoma" w:cs="Tahoma"/>
                <w:sz w:val="13"/>
              </w:rPr>
            </w:pPr>
            <w:r w:rsidRPr="00D87B79">
              <w:rPr>
                <w:rFonts w:ascii="Tahoma" w:hAnsi="Tahoma" w:cs="Tahoma"/>
                <w:sz w:val="13"/>
                <w:lang w:val="it-IT"/>
              </w:rPr>
              <w:t>OSB</w:t>
            </w:r>
          </w:p>
        </w:tc>
        <w:tc>
          <w:tcPr>
            <w:tcW w:w="360" w:type="dxa"/>
            <w:tcBorders>
              <w:left w:val="single" w:sz="18" w:space="0" w:color="auto"/>
            </w:tcBorders>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Del="00436016"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A92422" w:rsidRPr="00D87B79" w:rsidDel="00436016" w:rsidRDefault="00A92422" w:rsidP="00EA30FC">
            <w:pPr>
              <w:pStyle w:val="TableText"/>
              <w:widowControl w:val="0"/>
              <w:rPr>
                <w:rFonts w:ascii="Tahoma" w:hAnsi="Tahoma" w:cs="Tahoma"/>
                <w:sz w:val="13"/>
              </w:rPr>
            </w:pPr>
          </w:p>
        </w:tc>
        <w:tc>
          <w:tcPr>
            <w:tcW w:w="504" w:type="dxa"/>
            <w:shd w:val="clear" w:color="auto" w:fill="FABF8F"/>
          </w:tcPr>
          <w:p w:rsidR="00A92422" w:rsidRPr="00D87B79" w:rsidDel="00436016" w:rsidRDefault="00A92422" w:rsidP="00EA30FC">
            <w:pPr>
              <w:pStyle w:val="TableText"/>
              <w:widowControl w:val="0"/>
              <w:spacing w:before="120"/>
              <w:rPr>
                <w:rFonts w:ascii="Tahoma" w:hAnsi="Tahoma" w:cs="Tahoma"/>
                <w:sz w:val="13"/>
              </w:rPr>
            </w:pPr>
          </w:p>
        </w:tc>
        <w:tc>
          <w:tcPr>
            <w:tcW w:w="486" w:type="dxa"/>
            <w:shd w:val="clear" w:color="auto" w:fill="FABF8F"/>
            <w:vAlign w:val="center"/>
          </w:tcPr>
          <w:p w:rsidR="00A92422" w:rsidRPr="00D87B79" w:rsidDel="00436016"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FFFFF"/>
            <w:vAlign w:val="center"/>
          </w:tcPr>
          <w:p w:rsidR="00A92422" w:rsidRPr="00D87B79" w:rsidRDefault="00A92422" w:rsidP="00EA30FC">
            <w:pPr>
              <w:pStyle w:val="ProductNames"/>
              <w:spacing w:beforeLines="20" w:before="48" w:afterLines="20" w:after="48"/>
              <w:rPr>
                <w:rFonts w:ascii="Tahoma" w:hAnsi="Tahoma" w:cs="Tahoma"/>
                <w:sz w:val="14"/>
              </w:rPr>
            </w:pPr>
            <w:bookmarkStart w:id="377" w:name="_Toc336338032"/>
            <w:bookmarkStart w:id="378" w:name="_Toc342900083"/>
            <w:bookmarkEnd w:id="377"/>
            <w:r w:rsidRPr="00D87B79">
              <w:rPr>
                <w:rFonts w:ascii="Tahoma" w:hAnsi="Tahoma" w:cs="Tahoma"/>
                <w:sz w:val="14"/>
                <w:lang w:val="it-IT"/>
              </w:rPr>
              <w:t>Office Web Applications con SharePoint Piano 2A (SL per utente)</w:t>
            </w:r>
            <w:bookmarkEnd w:id="378"/>
          </w:p>
        </w:tc>
        <w:tc>
          <w:tcPr>
            <w:tcW w:w="450" w:type="dxa"/>
            <w:shd w:val="clear" w:color="auto" w:fill="FFFFFF"/>
            <w:vAlign w:val="center"/>
          </w:tcPr>
          <w:p w:rsidR="00A92422" w:rsidRPr="001E1017" w:rsidRDefault="00A92422" w:rsidP="00EA30FC">
            <w:pPr>
              <w:pStyle w:val="TableText"/>
              <w:widowControl w:val="0"/>
              <w:rPr>
                <w:rFonts w:cs="Tahoma"/>
                <w:b/>
                <w:color w:val="0000FF"/>
                <w:sz w:val="13"/>
                <w:szCs w:val="13"/>
                <w:u w:val="single"/>
              </w:rPr>
            </w:pPr>
          </w:p>
        </w:tc>
        <w:tc>
          <w:tcPr>
            <w:tcW w:w="450" w:type="dxa"/>
            <w:shd w:val="clear" w:color="auto" w:fill="FFFFFF"/>
          </w:tcPr>
          <w:p w:rsidR="00A92422" w:rsidRPr="00D87B79" w:rsidRDefault="00A92422" w:rsidP="00EA30FC">
            <w:pPr>
              <w:pStyle w:val="TableText"/>
              <w:widowControl w:val="0"/>
              <w:spacing w:before="40"/>
              <w:rPr>
                <w:rFonts w:ascii="Tahoma" w:hAnsi="Tahoma" w:cs="Tahoma"/>
                <w:color w:val="000000"/>
                <w:sz w:val="13"/>
              </w:rPr>
            </w:pPr>
            <w:r w:rsidRPr="00D87B79">
              <w:rPr>
                <w:rFonts w:ascii="Tahoma" w:hAnsi="Tahoma" w:cs="Tahoma"/>
                <w:color w:val="000000"/>
                <w:sz w:val="13"/>
              </w:rPr>
              <w:t>07/12</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FFFFFF"/>
            <w:vAlign w:val="bottom"/>
          </w:tcPr>
          <w:p w:rsidR="00A92422" w:rsidRPr="00D87B79" w:rsidRDefault="00A92422" w:rsidP="00EA30FC">
            <w:pPr>
              <w:pStyle w:val="TableText"/>
              <w:widowControl w:val="0"/>
              <w:rPr>
                <w:rFonts w:ascii="Tahoma" w:hAnsi="Tahoma" w:cs="Tahoma"/>
                <w:sz w:val="14"/>
                <w:szCs w:val="14"/>
              </w:rPr>
            </w:pPr>
          </w:p>
        </w:tc>
        <w:tc>
          <w:tcPr>
            <w:tcW w:w="450" w:type="dxa"/>
            <w:shd w:val="clear" w:color="auto" w:fill="FFFFFF"/>
            <w:vAlign w:val="bottom"/>
          </w:tcPr>
          <w:p w:rsidR="00A92422" w:rsidRPr="00D87B79" w:rsidRDefault="00A92422" w:rsidP="00EA30FC">
            <w:pPr>
              <w:pStyle w:val="TableText"/>
              <w:widowControl w:val="0"/>
              <w:rPr>
                <w:rFonts w:ascii="Tahoma" w:hAnsi="Tahoma" w:cs="Tahoma"/>
                <w:sz w:val="14"/>
                <w:szCs w:val="14"/>
              </w:rPr>
            </w:pPr>
          </w:p>
        </w:tc>
        <w:tc>
          <w:tcPr>
            <w:tcW w:w="450" w:type="dxa"/>
            <w:shd w:val="clear" w:color="auto" w:fill="FFFFFF"/>
            <w:vAlign w:val="bottom"/>
          </w:tcPr>
          <w:p w:rsidR="00A92422" w:rsidRPr="00D87B79" w:rsidRDefault="00A92422" w:rsidP="00EA30FC">
            <w:pPr>
              <w:pStyle w:val="TableText"/>
              <w:widowControl w:val="0"/>
              <w:rPr>
                <w:rFonts w:ascii="Tahoma" w:hAnsi="Tahoma" w:cs="Tahoma"/>
                <w:sz w:val="14"/>
                <w:szCs w:val="14"/>
              </w:rPr>
            </w:pPr>
          </w:p>
        </w:tc>
        <w:tc>
          <w:tcPr>
            <w:tcW w:w="450" w:type="dxa"/>
            <w:shd w:val="clear" w:color="auto" w:fill="FFFFFF"/>
            <w:vAlign w:val="bottom"/>
          </w:tcPr>
          <w:p w:rsidR="00A92422" w:rsidRPr="00D87B79" w:rsidRDefault="00A92422" w:rsidP="00EA30FC">
            <w:pPr>
              <w:pStyle w:val="TableText"/>
              <w:widowControl w:val="0"/>
              <w:rPr>
                <w:rFonts w:ascii="Tahoma" w:hAnsi="Tahoma" w:cs="Tahoma"/>
                <w:sz w:val="14"/>
                <w:szCs w:val="14"/>
              </w:rPr>
            </w:pPr>
          </w:p>
        </w:tc>
        <w:tc>
          <w:tcPr>
            <w:tcW w:w="450" w:type="dxa"/>
            <w:shd w:val="clear" w:color="auto" w:fill="FFFFFF"/>
            <w:vAlign w:val="bottom"/>
          </w:tcPr>
          <w:p w:rsidR="00A92422" w:rsidRPr="00D87B79" w:rsidRDefault="00A92422" w:rsidP="00EA30FC">
            <w:pPr>
              <w:pStyle w:val="TableText"/>
              <w:widowControl w:val="0"/>
              <w:rPr>
                <w:rFonts w:ascii="Tahoma" w:hAnsi="Tahoma" w:cs="Tahoma"/>
                <w:sz w:val="14"/>
                <w:szCs w:val="14"/>
              </w:rPr>
            </w:pPr>
          </w:p>
        </w:tc>
        <w:tc>
          <w:tcPr>
            <w:tcW w:w="450" w:type="dxa"/>
            <w:shd w:val="clear" w:color="auto" w:fill="FFFFFF"/>
            <w:vAlign w:val="bottom"/>
          </w:tcPr>
          <w:p w:rsidR="00A92422" w:rsidRPr="00D87B79" w:rsidRDefault="00A92422" w:rsidP="00EA30FC">
            <w:pPr>
              <w:pStyle w:val="TableText"/>
              <w:widowControl w:val="0"/>
              <w:rPr>
                <w:rFonts w:ascii="Tahoma" w:hAnsi="Tahoma" w:cs="Tahoma"/>
                <w:sz w:val="14"/>
                <w:szCs w:val="14"/>
              </w:rPr>
            </w:pPr>
          </w:p>
        </w:tc>
        <w:tc>
          <w:tcPr>
            <w:tcW w:w="360" w:type="dxa"/>
            <w:tcBorders>
              <w:right w:val="single" w:sz="18" w:space="0" w:color="auto"/>
            </w:tcBorders>
            <w:shd w:val="clear" w:color="auto" w:fill="FFFFFF"/>
            <w:vAlign w:val="bottom"/>
          </w:tcPr>
          <w:p w:rsidR="00A92422" w:rsidRPr="00D87B79" w:rsidRDefault="00A92422" w:rsidP="00EA30FC">
            <w:pPr>
              <w:pStyle w:val="TableText"/>
              <w:widowControl w:val="0"/>
              <w:rPr>
                <w:rFonts w:ascii="Tahoma" w:hAnsi="Tahoma" w:cs="Tahoma"/>
                <w:sz w:val="14"/>
                <w:szCs w:val="14"/>
              </w:rPr>
            </w:pPr>
          </w:p>
        </w:tc>
        <w:tc>
          <w:tcPr>
            <w:tcW w:w="450" w:type="dxa"/>
            <w:tcBorders>
              <w:left w:val="single" w:sz="18" w:space="0" w:color="auto"/>
            </w:tcBorders>
            <w:shd w:val="clear" w:color="auto" w:fill="FFFFFF"/>
            <w:vAlign w:val="bottom"/>
          </w:tcPr>
          <w:p w:rsidR="00A92422" w:rsidRPr="00D87B79" w:rsidRDefault="00A92422" w:rsidP="00EA30FC">
            <w:pPr>
              <w:pStyle w:val="TableText"/>
              <w:widowControl w:val="0"/>
              <w:rPr>
                <w:rFonts w:ascii="Tahoma" w:hAnsi="Tahoma" w:cs="Tahoma"/>
                <w:sz w:val="14"/>
                <w:szCs w:val="14"/>
              </w:rPr>
            </w:pPr>
          </w:p>
        </w:tc>
        <w:tc>
          <w:tcPr>
            <w:tcW w:w="450" w:type="dxa"/>
            <w:shd w:val="clear" w:color="auto" w:fill="FFFFFF"/>
            <w:vAlign w:val="bottom"/>
          </w:tcPr>
          <w:p w:rsidR="00A92422" w:rsidRPr="00D87B79" w:rsidRDefault="00A92422" w:rsidP="00EA30FC">
            <w:pPr>
              <w:pStyle w:val="TableText"/>
              <w:widowControl w:val="0"/>
              <w:rPr>
                <w:rFonts w:ascii="Tahoma" w:hAnsi="Tahoma" w:cs="Tahoma"/>
                <w:sz w:val="14"/>
                <w:szCs w:val="14"/>
              </w:rPr>
            </w:pPr>
          </w:p>
        </w:tc>
        <w:tc>
          <w:tcPr>
            <w:tcW w:w="450" w:type="dxa"/>
            <w:tcBorders>
              <w:right w:val="single" w:sz="18" w:space="0" w:color="auto"/>
            </w:tcBorders>
            <w:shd w:val="clear" w:color="auto" w:fill="FFFFFF"/>
            <w:vAlign w:val="bottom"/>
          </w:tcPr>
          <w:p w:rsidR="00A92422" w:rsidRPr="00D87B79" w:rsidRDefault="00A92422" w:rsidP="00EA30FC">
            <w:pPr>
              <w:pStyle w:val="TableText"/>
              <w:widowControl w:val="0"/>
              <w:rPr>
                <w:rFonts w:ascii="Tahoma" w:hAnsi="Tahoma" w:cs="Tahoma"/>
                <w:sz w:val="14"/>
                <w:szCs w:val="14"/>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FFFFF"/>
          </w:tcPr>
          <w:p w:rsidR="00A92422" w:rsidRPr="00D87B79" w:rsidRDefault="00A92422" w:rsidP="00EA30FC">
            <w:pPr>
              <w:pStyle w:val="TableText"/>
              <w:widowControl w:val="0"/>
              <w:spacing w:before="120"/>
              <w:rPr>
                <w:rFonts w:ascii="Tahoma" w:hAnsi="Tahoma" w:cs="Tahoma"/>
                <w:sz w:val="13"/>
              </w:rPr>
            </w:pPr>
          </w:p>
        </w:tc>
        <w:tc>
          <w:tcPr>
            <w:tcW w:w="486" w:type="dxa"/>
            <w:shd w:val="clear" w:color="auto" w:fill="FFFFF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ABF8F"/>
            <w:vAlign w:val="center"/>
          </w:tcPr>
          <w:p w:rsidR="00A92422" w:rsidRPr="00D87B79" w:rsidRDefault="00A92422" w:rsidP="00EA30FC">
            <w:pPr>
              <w:pStyle w:val="ProductNames"/>
              <w:spacing w:beforeLines="20" w:before="48" w:afterLines="20" w:after="48"/>
              <w:rPr>
                <w:rFonts w:ascii="Tahoma" w:hAnsi="Tahoma" w:cs="Tahoma"/>
                <w:sz w:val="14"/>
              </w:rPr>
            </w:pPr>
            <w:bookmarkStart w:id="379" w:name="_Toc336338033"/>
            <w:bookmarkStart w:id="380" w:name="_Toc342900084"/>
            <w:bookmarkEnd w:id="379"/>
            <w:r w:rsidRPr="00D87B79">
              <w:rPr>
                <w:rFonts w:ascii="Tahoma" w:hAnsi="Tahoma" w:cs="Tahoma"/>
                <w:sz w:val="14"/>
                <w:lang w:val="it-IT"/>
              </w:rPr>
              <w:t>Project Server 2013</w:t>
            </w:r>
            <w:bookmarkEnd w:id="380"/>
          </w:p>
        </w:tc>
        <w:tc>
          <w:tcPr>
            <w:tcW w:w="450" w:type="dxa"/>
            <w:shd w:val="clear" w:color="auto" w:fill="FABF8F"/>
            <w:vAlign w:val="center"/>
          </w:tcPr>
          <w:p w:rsidR="00A92422" w:rsidRPr="001E1017" w:rsidRDefault="00A92422" w:rsidP="00EA30FC">
            <w:pPr>
              <w:pStyle w:val="TableText"/>
              <w:widowControl w:val="0"/>
              <w:rPr>
                <w:rStyle w:val="EndnoteReference"/>
                <w:rFonts w:cs="Tahoma"/>
                <w:color w:val="0000FF"/>
                <w:sz w:val="13"/>
                <w:szCs w:val="13"/>
                <w:u w:val="single"/>
              </w:rPr>
            </w:pPr>
            <w:bookmarkStart w:id="381" w:name="_Hlt336249768"/>
          </w:p>
        </w:tc>
        <w:bookmarkEnd w:id="381"/>
        <w:tc>
          <w:tcPr>
            <w:tcW w:w="450" w:type="dxa"/>
            <w:shd w:val="clear" w:color="auto" w:fill="FABF8F"/>
          </w:tcPr>
          <w:p w:rsidR="00A92422" w:rsidRPr="00D87B79" w:rsidRDefault="00A92422" w:rsidP="00EA30FC">
            <w:pPr>
              <w:pStyle w:val="TableText"/>
              <w:widowControl w:val="0"/>
              <w:spacing w:before="40"/>
              <w:rPr>
                <w:rFonts w:ascii="Tahoma" w:hAnsi="Tahoma" w:cs="Tahoma"/>
                <w:color w:val="000000"/>
                <w:sz w:val="13"/>
              </w:rPr>
            </w:pPr>
            <w:r w:rsidRPr="00D87B79">
              <w:rPr>
                <w:rFonts w:ascii="Tahoma" w:hAnsi="Tahoma" w:cs="Tahoma"/>
                <w:color w:val="000000"/>
                <w:sz w:val="13"/>
              </w:rPr>
              <w:t>10/12</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ABF8F"/>
            <w:vAlign w:val="bottom"/>
          </w:tcPr>
          <w:p w:rsidR="00A92422" w:rsidRPr="00D87B79" w:rsidRDefault="00A92422" w:rsidP="00EA30FC">
            <w:pPr>
              <w:pStyle w:val="TableText"/>
              <w:widowControl w:val="0"/>
              <w:rPr>
                <w:rFonts w:ascii="Tahoma" w:hAnsi="Tahoma" w:cs="Tahoma"/>
                <w:sz w:val="14"/>
                <w:szCs w:val="14"/>
              </w:rPr>
            </w:pPr>
            <w:r w:rsidRPr="00D87B79">
              <w:rPr>
                <w:rFonts w:ascii="Tahoma" w:hAnsi="Tahoma" w:cs="Tahoma"/>
                <w:sz w:val="14"/>
                <w:szCs w:val="14"/>
              </w:rPr>
              <w:t>50</w:t>
            </w:r>
          </w:p>
        </w:tc>
        <w:tc>
          <w:tcPr>
            <w:tcW w:w="450" w:type="dxa"/>
            <w:shd w:val="clear" w:color="auto" w:fill="FABF8F"/>
            <w:vAlign w:val="bottom"/>
          </w:tcPr>
          <w:p w:rsidR="00A92422" w:rsidRPr="00D87B79" w:rsidRDefault="00A92422" w:rsidP="00EA30FC">
            <w:pPr>
              <w:pStyle w:val="TableText"/>
              <w:widowControl w:val="0"/>
              <w:rPr>
                <w:rFonts w:ascii="Tahoma" w:hAnsi="Tahoma" w:cs="Tahoma"/>
                <w:sz w:val="14"/>
                <w:szCs w:val="14"/>
              </w:rPr>
            </w:pPr>
            <w:r w:rsidRPr="00D87B79">
              <w:rPr>
                <w:rFonts w:ascii="Tahoma" w:hAnsi="Tahoma" w:cs="Tahoma"/>
                <w:sz w:val="14"/>
                <w:szCs w:val="14"/>
              </w:rPr>
              <w:t>125</w:t>
            </w:r>
          </w:p>
        </w:tc>
        <w:tc>
          <w:tcPr>
            <w:tcW w:w="450" w:type="dxa"/>
            <w:shd w:val="clear" w:color="auto" w:fill="FABF8F"/>
            <w:vAlign w:val="bottom"/>
          </w:tcPr>
          <w:p w:rsidR="00A92422" w:rsidRPr="00D87B79" w:rsidRDefault="00A92422" w:rsidP="00EA30FC">
            <w:pPr>
              <w:pStyle w:val="TableText"/>
              <w:widowControl w:val="0"/>
              <w:rPr>
                <w:rFonts w:ascii="Tahoma" w:hAnsi="Tahoma" w:cs="Tahoma"/>
                <w:sz w:val="14"/>
                <w:szCs w:val="14"/>
              </w:rPr>
            </w:pPr>
            <w:r w:rsidRPr="00D87B79">
              <w:rPr>
                <w:rFonts w:ascii="Tahoma" w:hAnsi="Tahoma" w:cs="Tahoma"/>
                <w:sz w:val="14"/>
                <w:szCs w:val="14"/>
              </w:rPr>
              <w:t>100</w:t>
            </w:r>
          </w:p>
        </w:tc>
        <w:tc>
          <w:tcPr>
            <w:tcW w:w="450" w:type="dxa"/>
            <w:shd w:val="clear" w:color="auto" w:fill="FABF8F"/>
            <w:vAlign w:val="bottom"/>
          </w:tcPr>
          <w:p w:rsidR="00A92422" w:rsidRPr="00D87B79" w:rsidRDefault="00A92422" w:rsidP="00EA30FC">
            <w:pPr>
              <w:pStyle w:val="TableText"/>
              <w:widowControl w:val="0"/>
              <w:rPr>
                <w:rFonts w:ascii="Tahoma" w:hAnsi="Tahoma" w:cs="Tahoma"/>
                <w:sz w:val="14"/>
                <w:szCs w:val="14"/>
              </w:rPr>
            </w:pPr>
            <w:r w:rsidRPr="00D87B79">
              <w:rPr>
                <w:rFonts w:ascii="Tahoma" w:hAnsi="Tahoma" w:cs="Tahoma"/>
                <w:sz w:val="14"/>
                <w:szCs w:val="14"/>
              </w:rPr>
              <w:t>75</w:t>
            </w:r>
          </w:p>
        </w:tc>
        <w:tc>
          <w:tcPr>
            <w:tcW w:w="450" w:type="dxa"/>
            <w:shd w:val="clear" w:color="auto" w:fill="FABF8F"/>
            <w:vAlign w:val="bottom"/>
          </w:tcPr>
          <w:p w:rsidR="00A92422" w:rsidRPr="00D87B79" w:rsidRDefault="00A92422" w:rsidP="00EA30FC">
            <w:pPr>
              <w:pStyle w:val="TableText"/>
              <w:widowControl w:val="0"/>
              <w:rPr>
                <w:rFonts w:ascii="Tahoma" w:hAnsi="Tahoma" w:cs="Tahoma"/>
                <w:sz w:val="14"/>
                <w:szCs w:val="14"/>
              </w:rPr>
            </w:pPr>
            <w:r w:rsidRPr="00D87B79">
              <w:rPr>
                <w:rFonts w:ascii="Tahoma" w:hAnsi="Tahoma" w:cs="Tahoma"/>
                <w:sz w:val="14"/>
                <w:szCs w:val="14"/>
              </w:rPr>
              <w:t>75</w:t>
            </w:r>
          </w:p>
        </w:tc>
        <w:tc>
          <w:tcPr>
            <w:tcW w:w="450" w:type="dxa"/>
            <w:shd w:val="clear" w:color="auto" w:fill="FABF8F"/>
            <w:vAlign w:val="bottom"/>
          </w:tcPr>
          <w:p w:rsidR="00A92422" w:rsidRPr="00D87B79" w:rsidRDefault="00A92422" w:rsidP="00EA30FC">
            <w:pPr>
              <w:pStyle w:val="TableText"/>
              <w:widowControl w:val="0"/>
              <w:rPr>
                <w:rFonts w:ascii="Tahoma" w:hAnsi="Tahoma" w:cs="Tahoma"/>
                <w:sz w:val="14"/>
                <w:szCs w:val="14"/>
              </w:rPr>
            </w:pPr>
            <w:r w:rsidRPr="00D87B79">
              <w:rPr>
                <w:rFonts w:ascii="Tahoma" w:hAnsi="Tahoma" w:cs="Tahoma"/>
                <w:sz w:val="14"/>
                <w:szCs w:val="14"/>
              </w:rPr>
              <w:t>50</w:t>
            </w:r>
          </w:p>
        </w:tc>
        <w:tc>
          <w:tcPr>
            <w:tcW w:w="360" w:type="dxa"/>
            <w:tcBorders>
              <w:right w:val="single" w:sz="18" w:space="0" w:color="auto"/>
            </w:tcBorders>
            <w:shd w:val="clear" w:color="auto" w:fill="FABF8F"/>
            <w:vAlign w:val="bottom"/>
          </w:tcPr>
          <w:p w:rsidR="00A92422" w:rsidRPr="00D87B79" w:rsidRDefault="00A92422" w:rsidP="00EA30FC">
            <w:pPr>
              <w:pStyle w:val="TableText"/>
              <w:widowControl w:val="0"/>
              <w:rPr>
                <w:rFonts w:ascii="Tahoma" w:hAnsi="Tahoma" w:cs="Tahoma"/>
                <w:sz w:val="14"/>
                <w:szCs w:val="14"/>
              </w:rPr>
            </w:pPr>
            <w:r w:rsidRPr="00D87B79">
              <w:rPr>
                <w:rFonts w:ascii="Tahoma" w:hAnsi="Tahoma" w:cs="Tahoma"/>
                <w:sz w:val="14"/>
                <w:szCs w:val="14"/>
              </w:rPr>
              <w:t>25</w:t>
            </w:r>
          </w:p>
        </w:tc>
        <w:tc>
          <w:tcPr>
            <w:tcW w:w="450" w:type="dxa"/>
            <w:tcBorders>
              <w:left w:val="single" w:sz="18" w:space="0" w:color="auto"/>
            </w:tcBorders>
            <w:shd w:val="clear" w:color="auto" w:fill="FABF8F"/>
            <w:vAlign w:val="bottom"/>
          </w:tcPr>
          <w:p w:rsidR="00A92422" w:rsidRPr="00D87B79" w:rsidRDefault="00A92422" w:rsidP="00EA30FC">
            <w:pPr>
              <w:pStyle w:val="TableText"/>
              <w:widowControl w:val="0"/>
              <w:rPr>
                <w:rFonts w:ascii="Tahoma" w:hAnsi="Tahoma" w:cs="Tahoma"/>
                <w:sz w:val="14"/>
                <w:szCs w:val="14"/>
              </w:rPr>
            </w:pPr>
            <w:r w:rsidRPr="00D87B79">
              <w:rPr>
                <w:rFonts w:ascii="Tahoma" w:hAnsi="Tahoma" w:cs="Tahoma"/>
                <w:sz w:val="14"/>
                <w:szCs w:val="14"/>
              </w:rPr>
              <w:t>50</w:t>
            </w:r>
          </w:p>
        </w:tc>
        <w:tc>
          <w:tcPr>
            <w:tcW w:w="450" w:type="dxa"/>
            <w:shd w:val="clear" w:color="auto" w:fill="FABF8F"/>
            <w:vAlign w:val="bottom"/>
          </w:tcPr>
          <w:p w:rsidR="00A92422" w:rsidRPr="00D87B79" w:rsidRDefault="00A92422" w:rsidP="00EA30FC">
            <w:pPr>
              <w:pStyle w:val="TableText"/>
              <w:widowControl w:val="0"/>
              <w:rPr>
                <w:rFonts w:ascii="Tahoma" w:hAnsi="Tahoma" w:cs="Tahoma"/>
                <w:sz w:val="14"/>
                <w:szCs w:val="14"/>
              </w:rPr>
            </w:pPr>
            <w:r w:rsidRPr="00D87B79">
              <w:rPr>
                <w:rFonts w:ascii="Tahoma" w:hAnsi="Tahoma" w:cs="Tahoma"/>
                <w:sz w:val="14"/>
                <w:szCs w:val="14"/>
              </w:rPr>
              <w:t>100</w:t>
            </w:r>
          </w:p>
        </w:tc>
        <w:tc>
          <w:tcPr>
            <w:tcW w:w="450" w:type="dxa"/>
            <w:tcBorders>
              <w:right w:val="single" w:sz="18" w:space="0" w:color="auto"/>
            </w:tcBorders>
            <w:shd w:val="clear" w:color="auto" w:fill="FABF8F"/>
            <w:vAlign w:val="bottom"/>
          </w:tcPr>
          <w:p w:rsidR="00A92422" w:rsidRPr="00D87B79" w:rsidRDefault="00A92422" w:rsidP="00EA30FC">
            <w:pPr>
              <w:pStyle w:val="TableText"/>
              <w:widowControl w:val="0"/>
              <w:rPr>
                <w:rFonts w:ascii="Tahoma" w:hAnsi="Tahoma" w:cs="Tahoma"/>
                <w:sz w:val="14"/>
                <w:szCs w:val="14"/>
              </w:rPr>
            </w:pPr>
            <w:r w:rsidRPr="00D87B79">
              <w:rPr>
                <w:rFonts w:ascii="Tahoma" w:hAnsi="Tahoma" w:cs="Tahoma"/>
                <w:sz w:val="14"/>
                <w:szCs w:val="14"/>
              </w:rPr>
              <w:t>50</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ABF8F"/>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lang w:val="it-IT"/>
              </w:rPr>
              <w:t>A</w:t>
            </w: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auto"/>
            <w:vAlign w:val="center"/>
          </w:tcPr>
          <w:p w:rsidR="00A92422" w:rsidRPr="00D87B79" w:rsidRDefault="00A92422" w:rsidP="00EA30FC">
            <w:pPr>
              <w:pStyle w:val="ProductNames"/>
              <w:spacing w:beforeLines="20" w:before="48" w:afterLines="20" w:after="48"/>
              <w:rPr>
                <w:rFonts w:ascii="Tahoma" w:hAnsi="Tahoma" w:cs="Tahoma"/>
                <w:sz w:val="14"/>
              </w:rPr>
            </w:pPr>
            <w:bookmarkStart w:id="382" w:name="_Toc336338034"/>
            <w:bookmarkStart w:id="383" w:name="_Toc342900085"/>
            <w:bookmarkEnd w:id="382"/>
            <w:r w:rsidRPr="00D87B79">
              <w:rPr>
                <w:rFonts w:ascii="Tahoma" w:hAnsi="Tahoma" w:cs="Tahoma"/>
                <w:sz w:val="14"/>
                <w:lang w:val="it-IT"/>
              </w:rPr>
              <w:t>CAL per Project Server 2013</w:t>
            </w:r>
            <w:bookmarkEnd w:id="383"/>
            <w:r w:rsidRPr="00D87B79">
              <w:rPr>
                <w:rFonts w:ascii="Tahoma" w:hAnsi="Tahoma" w:cs="Tahoma"/>
              </w:rPr>
              <w:t xml:space="preserve"> </w:t>
            </w:r>
          </w:p>
        </w:tc>
        <w:tc>
          <w:tcPr>
            <w:tcW w:w="450" w:type="dxa"/>
            <w:shd w:val="clear" w:color="auto" w:fill="auto"/>
            <w:vAlign w:val="center"/>
          </w:tcPr>
          <w:p w:rsidR="00A92422" w:rsidRPr="001E1017" w:rsidRDefault="00A92422" w:rsidP="00EA30FC">
            <w:pPr>
              <w:pStyle w:val="TableText"/>
              <w:widowControl w:val="0"/>
              <w:rPr>
                <w:rStyle w:val="EndnoteReference"/>
                <w:rFonts w:cs="Tahoma"/>
                <w:color w:val="000000"/>
                <w:sz w:val="13"/>
                <w:szCs w:val="13"/>
                <w:u w:val="single"/>
              </w:rPr>
            </w:pPr>
          </w:p>
        </w:tc>
        <w:tc>
          <w:tcPr>
            <w:tcW w:w="450" w:type="dxa"/>
            <w:shd w:val="clear" w:color="auto" w:fill="auto"/>
            <w:vAlign w:val="center"/>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4"/>
              </w:rPr>
              <w:t>10/12</w:t>
            </w:r>
          </w:p>
        </w:tc>
        <w:tc>
          <w:tcPr>
            <w:tcW w:w="36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w:t>
            </w: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36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auto"/>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lang w:val="it-IT"/>
              </w:rPr>
              <w:t>A</w:t>
            </w:r>
          </w:p>
        </w:tc>
        <w:tc>
          <w:tcPr>
            <w:tcW w:w="486" w:type="dxa"/>
            <w:shd w:val="clear" w:color="auto" w:fill="auto"/>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ABF8F"/>
            <w:vAlign w:val="center"/>
          </w:tcPr>
          <w:p w:rsidR="00A92422" w:rsidRPr="00D87B79" w:rsidRDefault="00A92422" w:rsidP="00EA30FC">
            <w:pPr>
              <w:pStyle w:val="Heading2"/>
              <w:spacing w:beforeLines="20" w:before="48" w:afterLines="20" w:after="48"/>
              <w:ind w:left="0" w:firstLine="15"/>
              <w:rPr>
                <w:rFonts w:ascii="Tahoma" w:hAnsi="Tahoma" w:cs="Tahoma"/>
                <w:b w:val="0"/>
                <w:sz w:val="14"/>
              </w:rPr>
            </w:pPr>
            <w:bookmarkStart w:id="384" w:name="_Toc336338036"/>
            <w:bookmarkStart w:id="385" w:name="_Toc342900086"/>
            <w:bookmarkEnd w:id="384"/>
            <w:r w:rsidRPr="00D87B79">
              <w:rPr>
                <w:rFonts w:ascii="Tahoma" w:hAnsi="Tahoma" w:cs="Tahoma"/>
                <w:b w:val="0"/>
                <w:sz w:val="14"/>
                <w:lang w:val="it-IT"/>
              </w:rPr>
              <w:t>SharePoint™ Online Extra Storage 1 GB (SL Add-on)</w:t>
            </w:r>
            <w:bookmarkEnd w:id="385"/>
          </w:p>
        </w:tc>
        <w:tc>
          <w:tcPr>
            <w:tcW w:w="450" w:type="dxa"/>
            <w:shd w:val="clear" w:color="auto" w:fill="FABF8F"/>
            <w:vAlign w:val="center"/>
          </w:tcPr>
          <w:p w:rsidR="00A92422" w:rsidRPr="001E1017" w:rsidRDefault="00A92422" w:rsidP="00EA30FC">
            <w:pPr>
              <w:pStyle w:val="TableText"/>
              <w:widowControl w:val="0"/>
              <w:rPr>
                <w:rFonts w:cs="Tahoma"/>
                <w:b/>
                <w:color w:val="000000"/>
                <w:sz w:val="13"/>
                <w:szCs w:val="13"/>
                <w:u w:val="single"/>
              </w:rPr>
            </w:pPr>
          </w:p>
        </w:tc>
        <w:tc>
          <w:tcPr>
            <w:tcW w:w="450" w:type="dxa"/>
            <w:shd w:val="clear" w:color="auto" w:fill="FABF8F"/>
          </w:tcPr>
          <w:p w:rsidR="00A92422" w:rsidRPr="00D87B79" w:rsidDel="008F575D" w:rsidRDefault="00A92422" w:rsidP="00EA30FC">
            <w:pPr>
              <w:pStyle w:val="TableText"/>
              <w:widowControl w:val="0"/>
              <w:spacing w:before="80"/>
              <w:rPr>
                <w:rFonts w:ascii="Tahoma" w:hAnsi="Tahoma" w:cs="Tahoma"/>
                <w:sz w:val="13"/>
              </w:rPr>
            </w:pPr>
            <w:r w:rsidRPr="00D87B79">
              <w:rPr>
                <w:rFonts w:ascii="Tahoma" w:hAnsi="Tahoma" w:cs="Tahoma"/>
                <w:sz w:val="13"/>
              </w:rPr>
              <w:t>06/11</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tcPr>
          <w:p w:rsidR="00A92422" w:rsidRPr="00D87B79" w:rsidRDefault="00A92422" w:rsidP="00EA30FC">
            <w:pPr>
              <w:pStyle w:val="TableText"/>
              <w:widowControl w:val="0"/>
              <w:spacing w:before="120"/>
              <w:rPr>
                <w:rFonts w:ascii="Tahoma" w:hAnsi="Tahoma" w:cs="Tahoma"/>
                <w:sz w:val="13"/>
              </w:rPr>
            </w:pP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auto"/>
            <w:vAlign w:val="center"/>
          </w:tcPr>
          <w:p w:rsidR="00A92422" w:rsidRPr="00D87B79" w:rsidRDefault="00A92422" w:rsidP="00EA30FC">
            <w:pPr>
              <w:pStyle w:val="Heading2"/>
              <w:spacing w:beforeLines="20" w:before="48" w:afterLines="20" w:after="48"/>
              <w:ind w:left="0" w:firstLine="15"/>
              <w:jc w:val="both"/>
              <w:rPr>
                <w:rFonts w:ascii="Tahoma" w:hAnsi="Tahoma" w:cs="Tahoma"/>
                <w:b w:val="0"/>
                <w:sz w:val="14"/>
              </w:rPr>
            </w:pPr>
            <w:bookmarkStart w:id="386" w:name="_Toc336338037"/>
            <w:bookmarkStart w:id="387" w:name="_Toc342900087"/>
            <w:bookmarkEnd w:id="386"/>
            <w:r w:rsidRPr="00D87B79">
              <w:rPr>
                <w:rFonts w:ascii="Tahoma" w:hAnsi="Tahoma" w:cs="Tahoma"/>
                <w:b w:val="0"/>
                <w:sz w:val="14"/>
                <w:lang w:val="it-IT"/>
              </w:rPr>
              <w:t>SharePoint™ Online Extra Storage 1 GB A (SL Add-on)</w:t>
            </w:r>
            <w:bookmarkEnd w:id="387"/>
          </w:p>
        </w:tc>
        <w:tc>
          <w:tcPr>
            <w:tcW w:w="450" w:type="dxa"/>
            <w:shd w:val="clear" w:color="auto" w:fill="auto"/>
            <w:vAlign w:val="center"/>
          </w:tcPr>
          <w:p w:rsidR="00A92422" w:rsidRPr="001E1017" w:rsidRDefault="00A92422" w:rsidP="00EA30FC">
            <w:pPr>
              <w:pStyle w:val="TableText"/>
              <w:widowControl w:val="0"/>
              <w:rPr>
                <w:rFonts w:cs="Tahoma"/>
                <w:b/>
                <w:color w:val="0000FF"/>
                <w:sz w:val="13"/>
                <w:szCs w:val="13"/>
                <w:u w:val="single"/>
              </w:rPr>
            </w:pPr>
          </w:p>
        </w:tc>
        <w:tc>
          <w:tcPr>
            <w:tcW w:w="450" w:type="dxa"/>
            <w:shd w:val="clear" w:color="auto" w:fill="auto"/>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06/12</w:t>
            </w:r>
          </w:p>
        </w:tc>
        <w:tc>
          <w:tcPr>
            <w:tcW w:w="36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auto"/>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lang w:val="it-IT"/>
              </w:rPr>
              <w:t>A</w:t>
            </w:r>
          </w:p>
        </w:tc>
        <w:tc>
          <w:tcPr>
            <w:tcW w:w="486" w:type="dxa"/>
            <w:shd w:val="clear" w:color="auto" w:fill="auto"/>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ABF8F"/>
            <w:vAlign w:val="center"/>
          </w:tcPr>
          <w:p w:rsidR="00A92422" w:rsidRPr="00D87B79" w:rsidRDefault="00A92422" w:rsidP="00EA30FC">
            <w:pPr>
              <w:pStyle w:val="Heading2"/>
              <w:tabs>
                <w:tab w:val="left" w:pos="1245"/>
                <w:tab w:val="left" w:pos="1695"/>
                <w:tab w:val="left" w:pos="1875"/>
              </w:tabs>
              <w:spacing w:beforeLines="20" w:before="48" w:afterLines="20" w:after="48"/>
              <w:ind w:left="0" w:right="601" w:firstLine="15"/>
              <w:jc w:val="both"/>
              <w:rPr>
                <w:rFonts w:ascii="Tahoma" w:hAnsi="Tahoma" w:cs="Tahoma"/>
                <w:b w:val="0"/>
              </w:rPr>
            </w:pPr>
            <w:bookmarkStart w:id="388" w:name="_Toc336338038"/>
            <w:bookmarkStart w:id="389" w:name="_Toc342900088"/>
            <w:bookmarkEnd w:id="388"/>
            <w:r w:rsidRPr="00D87B79">
              <w:rPr>
                <w:rFonts w:ascii="Tahoma" w:hAnsi="Tahoma" w:cs="Tahoma"/>
                <w:b w:val="0"/>
                <w:sz w:val="14"/>
                <w:lang w:val="it-IT"/>
              </w:rPr>
              <w:t xml:space="preserve">SharePoint™ Online Piano 1 </w:t>
            </w:r>
            <w:r>
              <w:rPr>
                <w:rFonts w:ascii="Tahoma" w:hAnsi="Tahoma" w:cs="Tahoma"/>
                <w:b w:val="0"/>
                <w:sz w:val="14"/>
                <w:lang w:val="it-IT"/>
              </w:rPr>
              <w:br/>
            </w:r>
            <w:r w:rsidRPr="00D87B79">
              <w:rPr>
                <w:rFonts w:ascii="Tahoma" w:hAnsi="Tahoma" w:cs="Tahoma"/>
                <w:b w:val="0"/>
                <w:sz w:val="14"/>
                <w:lang w:val="it-IT"/>
              </w:rPr>
              <w:t>(SL per Utente)</w:t>
            </w:r>
            <w:bookmarkEnd w:id="389"/>
          </w:p>
        </w:tc>
        <w:tc>
          <w:tcPr>
            <w:tcW w:w="450" w:type="dxa"/>
            <w:shd w:val="clear" w:color="auto" w:fill="FABF8F"/>
            <w:vAlign w:val="center"/>
          </w:tcPr>
          <w:p w:rsidR="00A92422" w:rsidRPr="001E1017" w:rsidRDefault="00A92422" w:rsidP="00EA30FC">
            <w:pPr>
              <w:pStyle w:val="TableText"/>
              <w:widowControl w:val="0"/>
              <w:rPr>
                <w:rStyle w:val="EndnoteReference"/>
                <w:rFonts w:cs="Tahoma"/>
                <w:color w:val="0000FF"/>
                <w:sz w:val="13"/>
                <w:szCs w:val="13"/>
                <w:u w:val="single"/>
              </w:rPr>
            </w:pPr>
            <w:hyperlink w:anchor="_69_SharePoint_Server" w:history="1">
              <w:r w:rsidRPr="001E1017">
                <w:rPr>
                  <w:rStyle w:val="Hyperlink"/>
                  <w:rFonts w:cs="Tahoma"/>
                  <w:b/>
                  <w:sz w:val="13"/>
                  <w:szCs w:val="13"/>
                </w:rPr>
                <w:t>69</w:t>
              </w:r>
            </w:hyperlink>
          </w:p>
        </w:tc>
        <w:tc>
          <w:tcPr>
            <w:tcW w:w="450" w:type="dxa"/>
            <w:shd w:val="clear" w:color="auto" w:fill="FABF8F"/>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06/11</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tcPr>
          <w:p w:rsidR="00A92422" w:rsidRPr="00D87B79" w:rsidRDefault="00A92422" w:rsidP="00EA30FC">
            <w:pPr>
              <w:pStyle w:val="TableText"/>
              <w:widowControl w:val="0"/>
              <w:spacing w:before="120"/>
              <w:rPr>
                <w:rFonts w:ascii="Tahoma" w:hAnsi="Tahoma" w:cs="Tahoma"/>
                <w:sz w:val="13"/>
              </w:rPr>
            </w:pP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cantSplit/>
          <w:trHeight w:val="145"/>
        </w:trPr>
        <w:tc>
          <w:tcPr>
            <w:tcW w:w="2714" w:type="dxa"/>
            <w:shd w:val="clear" w:color="auto" w:fill="auto"/>
            <w:vAlign w:val="center"/>
          </w:tcPr>
          <w:p w:rsidR="00A92422" w:rsidRPr="00D87B79" w:rsidRDefault="00A92422" w:rsidP="00EA30FC">
            <w:pPr>
              <w:pStyle w:val="ProductNames"/>
              <w:spacing w:beforeLines="20" w:before="48" w:afterLines="20" w:after="48"/>
              <w:rPr>
                <w:rFonts w:ascii="Tahoma" w:hAnsi="Tahoma" w:cs="Tahoma"/>
                <w:sz w:val="14"/>
              </w:rPr>
            </w:pPr>
            <w:bookmarkStart w:id="390" w:name="_Toc336338039"/>
            <w:bookmarkStart w:id="391" w:name="_Toc342900089"/>
            <w:bookmarkEnd w:id="390"/>
            <w:r w:rsidRPr="00D87B79">
              <w:rPr>
                <w:rFonts w:ascii="Tahoma" w:hAnsi="Tahoma" w:cs="Tahoma"/>
                <w:sz w:val="14"/>
                <w:lang w:val="it-IT"/>
              </w:rPr>
              <w:t xml:space="preserve">SharePoint™ Online Piano 2 </w:t>
            </w:r>
            <w:r>
              <w:rPr>
                <w:rFonts w:ascii="Tahoma" w:hAnsi="Tahoma" w:cs="Tahoma"/>
                <w:sz w:val="14"/>
                <w:lang w:val="it-IT"/>
              </w:rPr>
              <w:br/>
            </w:r>
            <w:r w:rsidRPr="00D87B79">
              <w:rPr>
                <w:rFonts w:ascii="Tahoma" w:hAnsi="Tahoma" w:cs="Tahoma"/>
                <w:sz w:val="14"/>
                <w:lang w:val="it-IT"/>
              </w:rPr>
              <w:t>(SL per Utente)</w:t>
            </w:r>
            <w:bookmarkEnd w:id="391"/>
          </w:p>
        </w:tc>
        <w:tc>
          <w:tcPr>
            <w:tcW w:w="450" w:type="dxa"/>
            <w:shd w:val="clear" w:color="auto" w:fill="auto"/>
            <w:vAlign w:val="center"/>
          </w:tcPr>
          <w:p w:rsidR="00A92422" w:rsidRPr="001E1017" w:rsidRDefault="00A92422" w:rsidP="00EA30FC">
            <w:pPr>
              <w:pStyle w:val="TableText"/>
              <w:widowControl w:val="0"/>
              <w:rPr>
                <w:rStyle w:val="EndnoteReference"/>
                <w:rFonts w:cs="Tahoma"/>
                <w:color w:val="000000"/>
                <w:sz w:val="13"/>
                <w:szCs w:val="13"/>
                <w:u w:val="single"/>
              </w:rPr>
            </w:pPr>
            <w:hyperlink w:anchor="_69_SharePoint_Server" w:history="1">
              <w:r w:rsidRPr="001E1017">
                <w:rPr>
                  <w:rStyle w:val="Hyperlink"/>
                  <w:rFonts w:cs="Tahoma"/>
                  <w:b/>
                  <w:sz w:val="13"/>
                  <w:szCs w:val="13"/>
                </w:rPr>
                <w:t>69</w:t>
              </w:r>
            </w:hyperlink>
          </w:p>
        </w:tc>
        <w:tc>
          <w:tcPr>
            <w:tcW w:w="450" w:type="dxa"/>
            <w:shd w:val="clear" w:color="auto" w:fill="auto"/>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06/11</w:t>
            </w:r>
          </w:p>
        </w:tc>
        <w:tc>
          <w:tcPr>
            <w:tcW w:w="36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auto"/>
          </w:tcPr>
          <w:p w:rsidR="00A92422" w:rsidRPr="00D87B79" w:rsidRDefault="00A92422" w:rsidP="00EA30FC">
            <w:pPr>
              <w:pStyle w:val="TableText"/>
              <w:widowControl w:val="0"/>
              <w:spacing w:before="120"/>
              <w:rPr>
                <w:rFonts w:ascii="Tahoma" w:hAnsi="Tahoma" w:cs="Tahoma"/>
                <w:sz w:val="13"/>
              </w:rPr>
            </w:pPr>
          </w:p>
        </w:tc>
        <w:tc>
          <w:tcPr>
            <w:tcW w:w="486" w:type="dxa"/>
            <w:shd w:val="clear" w:color="auto" w:fill="auto"/>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ABF8F"/>
          </w:tcPr>
          <w:p w:rsidR="00A92422" w:rsidRPr="00D87B79" w:rsidRDefault="00A92422" w:rsidP="00EA30FC">
            <w:pPr>
              <w:pStyle w:val="ProductNames"/>
              <w:spacing w:beforeLines="20" w:before="48" w:afterLines="20" w:after="48"/>
              <w:rPr>
                <w:rFonts w:ascii="Tahoma" w:hAnsi="Tahoma" w:cs="Tahoma"/>
                <w:sz w:val="14"/>
              </w:rPr>
            </w:pPr>
            <w:bookmarkStart w:id="392" w:name="_Toc336338040"/>
            <w:bookmarkStart w:id="393" w:name="_Toc342900090"/>
            <w:bookmarkEnd w:id="392"/>
            <w:r w:rsidRPr="00D87B79">
              <w:rPr>
                <w:rFonts w:ascii="Tahoma" w:hAnsi="Tahoma" w:cs="Tahoma"/>
                <w:sz w:val="14"/>
                <w:lang w:val="it-IT"/>
              </w:rPr>
              <w:t>SharePoint™ Server 2013</w:t>
            </w:r>
            <w:bookmarkEnd w:id="393"/>
            <w:r w:rsidRPr="00D87B79">
              <w:rPr>
                <w:rFonts w:ascii="Tahoma" w:hAnsi="Tahoma" w:cs="Tahoma"/>
              </w:rPr>
              <w:t xml:space="preserve"> </w:t>
            </w:r>
          </w:p>
        </w:tc>
        <w:tc>
          <w:tcPr>
            <w:tcW w:w="450" w:type="dxa"/>
            <w:shd w:val="clear" w:color="auto" w:fill="FABF8F"/>
            <w:vAlign w:val="center"/>
          </w:tcPr>
          <w:p w:rsidR="00A92422" w:rsidRPr="001E1017" w:rsidRDefault="00A92422" w:rsidP="00EA30FC">
            <w:pPr>
              <w:pStyle w:val="TableText"/>
              <w:widowControl w:val="0"/>
              <w:rPr>
                <w:rStyle w:val="EndnoteReference"/>
                <w:rFonts w:cs="Tahoma"/>
                <w:color w:val="000000"/>
                <w:sz w:val="13"/>
                <w:szCs w:val="13"/>
                <w:u w:val="single"/>
              </w:rPr>
            </w:pPr>
          </w:p>
        </w:tc>
        <w:tc>
          <w:tcPr>
            <w:tcW w:w="450" w:type="dxa"/>
            <w:shd w:val="clear" w:color="auto" w:fill="FABF8F"/>
          </w:tcPr>
          <w:p w:rsidR="00A92422" w:rsidRPr="00D87B79" w:rsidRDefault="00A92422" w:rsidP="00EA30FC">
            <w:pPr>
              <w:pStyle w:val="TableText"/>
              <w:widowControl w:val="0"/>
              <w:spacing w:before="120"/>
              <w:rPr>
                <w:rFonts w:ascii="Tahoma" w:hAnsi="Tahoma" w:cs="Tahoma"/>
                <w:color w:val="000000"/>
                <w:sz w:val="13"/>
              </w:rPr>
            </w:pPr>
            <w:r w:rsidRPr="00D87B79">
              <w:rPr>
                <w:rFonts w:ascii="Tahoma" w:hAnsi="Tahoma" w:cs="Tahoma"/>
                <w:color w:val="000000"/>
                <w:sz w:val="13"/>
              </w:rPr>
              <w:t>10/12</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125</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100</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75</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75</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25</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100</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A,S</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ABF8F"/>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lang w:val="it-IT"/>
              </w:rPr>
              <w:t>A</w:t>
            </w: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auto"/>
          </w:tcPr>
          <w:p w:rsidR="00A92422" w:rsidRPr="00D87B79" w:rsidRDefault="00A92422" w:rsidP="00EA30FC">
            <w:pPr>
              <w:pStyle w:val="ProductNames"/>
              <w:spacing w:beforeLines="20" w:before="48" w:afterLines="20" w:after="48"/>
              <w:rPr>
                <w:rFonts w:ascii="Tahoma" w:hAnsi="Tahoma" w:cs="Tahoma"/>
                <w:sz w:val="14"/>
              </w:rPr>
            </w:pPr>
            <w:bookmarkStart w:id="394" w:name="_Toc336338041"/>
            <w:bookmarkStart w:id="395" w:name="_Toc342900091"/>
            <w:bookmarkEnd w:id="394"/>
            <w:r w:rsidRPr="00D87B79">
              <w:rPr>
                <w:rFonts w:ascii="Tahoma" w:hAnsi="Tahoma" w:cs="Tahoma"/>
                <w:sz w:val="14"/>
                <w:lang w:val="it-IT"/>
              </w:rPr>
              <w:t>Enterprise CAL per SharePoint™ Server</w:t>
            </w:r>
            <w:r>
              <w:rPr>
                <w:rFonts w:ascii="Tahoma" w:hAnsi="Tahoma" w:cs="Tahoma"/>
                <w:sz w:val="14"/>
                <w:lang w:val="it-IT"/>
              </w:rPr>
              <w:t> </w:t>
            </w:r>
            <w:r w:rsidRPr="00D87B79">
              <w:rPr>
                <w:rFonts w:ascii="Tahoma" w:hAnsi="Tahoma" w:cs="Tahoma"/>
                <w:sz w:val="14"/>
                <w:lang w:val="it-IT"/>
              </w:rPr>
              <w:t>2013</w:t>
            </w:r>
            <w:bookmarkEnd w:id="395"/>
            <w:r w:rsidRPr="00D87B79">
              <w:rPr>
                <w:rFonts w:ascii="Tahoma" w:hAnsi="Tahoma" w:cs="Tahoma"/>
              </w:rPr>
              <w:t xml:space="preserve"> </w:t>
            </w:r>
          </w:p>
        </w:tc>
        <w:tc>
          <w:tcPr>
            <w:tcW w:w="450" w:type="dxa"/>
            <w:shd w:val="clear" w:color="auto" w:fill="auto"/>
            <w:vAlign w:val="center"/>
          </w:tcPr>
          <w:p w:rsidR="00A92422" w:rsidRPr="001E1017" w:rsidRDefault="00A92422" w:rsidP="00EA30FC">
            <w:pPr>
              <w:pStyle w:val="TableText"/>
              <w:widowControl w:val="0"/>
              <w:rPr>
                <w:rStyle w:val="EndnoteReference"/>
                <w:rFonts w:cs="Tahoma"/>
                <w:color w:val="000000"/>
                <w:sz w:val="13"/>
                <w:szCs w:val="13"/>
                <w:u w:val="single"/>
              </w:rPr>
            </w:pPr>
          </w:p>
        </w:tc>
        <w:tc>
          <w:tcPr>
            <w:tcW w:w="450" w:type="dxa"/>
            <w:shd w:val="clear" w:color="auto" w:fill="auto"/>
          </w:tcPr>
          <w:p w:rsidR="00A92422" w:rsidRPr="00D87B79" w:rsidRDefault="00A92422" w:rsidP="00EA30FC">
            <w:pPr>
              <w:pStyle w:val="TableText"/>
              <w:widowControl w:val="0"/>
              <w:spacing w:before="120"/>
              <w:rPr>
                <w:rFonts w:ascii="Tahoma" w:hAnsi="Tahoma" w:cs="Tahoma"/>
                <w:color w:val="000000"/>
                <w:sz w:val="13"/>
              </w:rPr>
            </w:pPr>
            <w:r w:rsidRPr="00D87B79">
              <w:rPr>
                <w:rFonts w:ascii="Tahoma" w:hAnsi="Tahoma" w:cs="Tahoma"/>
                <w:color w:val="000000"/>
                <w:sz w:val="13"/>
              </w:rPr>
              <w:t>10/12</w:t>
            </w:r>
          </w:p>
        </w:tc>
        <w:tc>
          <w:tcPr>
            <w:tcW w:w="36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w:t>
            </w: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36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 D</w:t>
            </w:r>
          </w:p>
        </w:tc>
        <w:tc>
          <w:tcPr>
            <w:tcW w:w="450" w:type="dxa"/>
            <w:tcBorders>
              <w:left w:val="single" w:sz="18" w:space="0" w:color="auto"/>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auto"/>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lang w:val="it-IT"/>
              </w:rPr>
              <w:t>AO, ST</w:t>
            </w:r>
          </w:p>
        </w:tc>
        <w:tc>
          <w:tcPr>
            <w:tcW w:w="486" w:type="dxa"/>
            <w:shd w:val="clear" w:color="auto" w:fill="auto"/>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260"/>
        </w:trPr>
        <w:tc>
          <w:tcPr>
            <w:tcW w:w="2714" w:type="dxa"/>
            <w:shd w:val="clear" w:color="auto" w:fill="FABF8F"/>
          </w:tcPr>
          <w:p w:rsidR="00A92422" w:rsidRPr="00D87B79" w:rsidRDefault="00A92422" w:rsidP="00EA30FC">
            <w:pPr>
              <w:pStyle w:val="ProductNames"/>
              <w:spacing w:beforeLines="20" w:before="48" w:afterLines="20" w:after="48"/>
              <w:rPr>
                <w:rFonts w:ascii="Tahoma" w:hAnsi="Tahoma" w:cs="Tahoma"/>
                <w:sz w:val="14"/>
              </w:rPr>
            </w:pPr>
            <w:bookmarkStart w:id="396" w:name="_Toc336338044"/>
            <w:bookmarkStart w:id="397" w:name="_Toc342900092"/>
            <w:bookmarkEnd w:id="396"/>
            <w:r w:rsidRPr="00D87B79">
              <w:rPr>
                <w:rFonts w:ascii="Tahoma" w:hAnsi="Tahoma" w:cs="Tahoma"/>
                <w:sz w:val="14"/>
                <w:lang w:val="it-IT"/>
              </w:rPr>
              <w:t>Standard CAL per SharePoint™ Server</w:t>
            </w:r>
            <w:r>
              <w:rPr>
                <w:rFonts w:ascii="Tahoma" w:hAnsi="Tahoma" w:cs="Tahoma"/>
                <w:sz w:val="14"/>
                <w:lang w:val="it-IT"/>
              </w:rPr>
              <w:t> </w:t>
            </w:r>
            <w:r w:rsidRPr="00D87B79">
              <w:rPr>
                <w:rFonts w:ascii="Tahoma" w:hAnsi="Tahoma" w:cs="Tahoma"/>
                <w:sz w:val="14"/>
                <w:lang w:val="it-IT"/>
              </w:rPr>
              <w:t>2013</w:t>
            </w:r>
            <w:bookmarkEnd w:id="397"/>
          </w:p>
        </w:tc>
        <w:tc>
          <w:tcPr>
            <w:tcW w:w="450" w:type="dxa"/>
            <w:shd w:val="clear" w:color="auto" w:fill="FABF8F"/>
            <w:vAlign w:val="center"/>
          </w:tcPr>
          <w:p w:rsidR="00A92422" w:rsidRPr="001E1017" w:rsidRDefault="00A92422" w:rsidP="00EA30FC">
            <w:pPr>
              <w:pStyle w:val="TableText"/>
              <w:widowControl w:val="0"/>
              <w:spacing w:before="240"/>
              <w:rPr>
                <w:rStyle w:val="EndnoteReference"/>
                <w:rFonts w:cs="Tahoma"/>
                <w:color w:val="000000"/>
                <w:sz w:val="13"/>
                <w:szCs w:val="13"/>
                <w:u w:val="single"/>
              </w:rPr>
            </w:pPr>
          </w:p>
        </w:tc>
        <w:tc>
          <w:tcPr>
            <w:tcW w:w="450" w:type="dxa"/>
            <w:shd w:val="clear" w:color="auto" w:fill="FABF8F"/>
          </w:tcPr>
          <w:p w:rsidR="00A92422" w:rsidRPr="00D87B79" w:rsidRDefault="00A92422" w:rsidP="00EA30FC">
            <w:pPr>
              <w:pStyle w:val="TableText"/>
              <w:widowControl w:val="0"/>
              <w:spacing w:before="120"/>
              <w:rPr>
                <w:rFonts w:ascii="Tahoma" w:hAnsi="Tahoma" w:cs="Tahoma"/>
                <w:color w:val="000000"/>
                <w:sz w:val="13"/>
              </w:rPr>
            </w:pPr>
            <w:r w:rsidRPr="00D87B79">
              <w:rPr>
                <w:rFonts w:ascii="Tahoma" w:hAnsi="Tahoma" w:cs="Tahoma"/>
                <w:color w:val="000000"/>
                <w:sz w:val="13"/>
              </w:rPr>
              <w:t>10/12</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lang w:val="it-IT"/>
              </w:rPr>
              <w:t>AO, ST</w:t>
            </w: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auto"/>
            <w:vAlign w:val="center"/>
          </w:tcPr>
          <w:p w:rsidR="00A92422" w:rsidRPr="00D87B79" w:rsidRDefault="00A92422" w:rsidP="00EA30FC">
            <w:pPr>
              <w:pStyle w:val="ProductNames"/>
              <w:spacing w:beforeLines="20" w:before="48" w:afterLines="20" w:after="48"/>
              <w:rPr>
                <w:rFonts w:ascii="Tahoma" w:hAnsi="Tahoma" w:cs="Tahoma"/>
                <w:sz w:val="14"/>
                <w:lang w:val="pt-BR"/>
              </w:rPr>
            </w:pPr>
            <w:bookmarkStart w:id="398" w:name="_Toc336338045"/>
            <w:bookmarkStart w:id="399" w:name="_Toc342900093"/>
            <w:bookmarkEnd w:id="398"/>
            <w:r w:rsidRPr="00D87B79">
              <w:rPr>
                <w:rFonts w:ascii="Tahoma" w:hAnsi="Tahoma" w:cs="Tahoma"/>
                <w:position w:val="-6"/>
                <w:sz w:val="14"/>
                <w:lang w:val="it-IT"/>
              </w:rPr>
              <w:t>1 Licenza per Processore per SQL Server</w:t>
            </w:r>
            <w:r w:rsidRPr="003A0F2F">
              <w:rPr>
                <w:rFonts w:ascii="Tahoma" w:hAnsi="Tahoma" w:cs="Tahoma"/>
                <w:position w:val="-6"/>
                <w:vertAlign w:val="superscript"/>
                <w:lang w:val="it-IT"/>
              </w:rPr>
              <w:t>®</w:t>
            </w:r>
            <w:r w:rsidRPr="00D87B79">
              <w:rPr>
                <w:rFonts w:ascii="Tahoma" w:hAnsi="Tahoma" w:cs="Tahoma"/>
                <w:position w:val="-6"/>
                <w:sz w:val="14"/>
                <w:lang w:val="it-IT"/>
              </w:rPr>
              <w:t xml:space="preserve"> 2008 R2 Datacenter</w:t>
            </w:r>
            <w:bookmarkEnd w:id="399"/>
          </w:p>
        </w:tc>
        <w:tc>
          <w:tcPr>
            <w:tcW w:w="450" w:type="dxa"/>
            <w:shd w:val="clear" w:color="auto" w:fill="auto"/>
            <w:vAlign w:val="center"/>
          </w:tcPr>
          <w:p w:rsidR="00A92422" w:rsidRPr="001E1017" w:rsidRDefault="00A92422" w:rsidP="00EA30FC">
            <w:pPr>
              <w:pStyle w:val="TableText"/>
              <w:widowControl w:val="0"/>
              <w:rPr>
                <w:rFonts w:cs="Tahoma"/>
                <w:b/>
                <w:color w:val="0000FF"/>
                <w:sz w:val="13"/>
                <w:szCs w:val="13"/>
                <w:u w:val="single"/>
              </w:rPr>
            </w:pPr>
            <w:hyperlink w:anchor="_70_SQL_Server®" w:history="1">
              <w:r w:rsidRPr="001E1017">
                <w:rPr>
                  <w:rStyle w:val="Hyperlink"/>
                  <w:rFonts w:cs="Tahoma"/>
                  <w:b/>
                  <w:sz w:val="13"/>
                  <w:szCs w:val="13"/>
                </w:rPr>
                <w:t>70</w:t>
              </w:r>
            </w:hyperlink>
          </w:p>
        </w:tc>
        <w:tc>
          <w:tcPr>
            <w:tcW w:w="450" w:type="dxa"/>
            <w:shd w:val="clear" w:color="auto" w:fill="auto"/>
          </w:tcPr>
          <w:p w:rsidR="00A92422" w:rsidRPr="00D87B79" w:rsidRDefault="00A92422" w:rsidP="00EA30FC">
            <w:pPr>
              <w:pStyle w:val="TableText"/>
              <w:widowControl w:val="0"/>
              <w:spacing w:before="80"/>
              <w:rPr>
                <w:rFonts w:ascii="Tahoma" w:hAnsi="Tahoma" w:cs="Tahoma"/>
                <w:sz w:val="13"/>
              </w:rPr>
            </w:pPr>
          </w:p>
        </w:tc>
        <w:tc>
          <w:tcPr>
            <w:tcW w:w="36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auto"/>
          </w:tcPr>
          <w:p w:rsidR="00A92422" w:rsidRPr="00D87B79" w:rsidRDefault="00A92422" w:rsidP="00EA30FC">
            <w:pPr>
              <w:pStyle w:val="TableText"/>
              <w:widowControl w:val="0"/>
              <w:rPr>
                <w:rFonts w:ascii="Tahoma" w:hAnsi="Tahoma" w:cs="Tahoma"/>
                <w:sz w:val="13"/>
              </w:rPr>
            </w:pPr>
          </w:p>
        </w:tc>
        <w:tc>
          <w:tcPr>
            <w:tcW w:w="486" w:type="dxa"/>
            <w:shd w:val="clear" w:color="auto" w:fill="auto"/>
            <w:vAlign w:val="center"/>
          </w:tcPr>
          <w:p w:rsidR="00A92422" w:rsidRPr="00D87B79" w:rsidRDefault="00A92422" w:rsidP="00EA30FC">
            <w:pPr>
              <w:pStyle w:val="TableText"/>
              <w:widowControl w:val="0"/>
              <w:rPr>
                <w:rFonts w:ascii="Tahoma" w:hAnsi="Tahoma" w:cs="Tahoma"/>
                <w:sz w:val="13"/>
              </w:rPr>
            </w:pPr>
          </w:p>
        </w:tc>
      </w:tr>
    </w:tbl>
    <w:p w:rsidR="00A92422" w:rsidRDefault="00A92422" w:rsidP="00A92422">
      <w:bookmarkStart w:id="400" w:name="_Toc336338046"/>
      <w:bookmarkStart w:id="401" w:name="_Toc342900094"/>
      <w:bookmarkEnd w:id="400"/>
      <w:r>
        <w:br w:type="page"/>
      </w: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450"/>
        <w:gridCol w:w="450"/>
        <w:gridCol w:w="360"/>
        <w:gridCol w:w="360"/>
        <w:gridCol w:w="450"/>
        <w:gridCol w:w="450"/>
        <w:gridCol w:w="450"/>
        <w:gridCol w:w="450"/>
        <w:gridCol w:w="450"/>
        <w:gridCol w:w="360"/>
        <w:gridCol w:w="450"/>
        <w:gridCol w:w="450"/>
        <w:gridCol w:w="450"/>
        <w:gridCol w:w="450"/>
        <w:gridCol w:w="450"/>
        <w:gridCol w:w="450"/>
        <w:gridCol w:w="504"/>
        <w:gridCol w:w="486"/>
      </w:tblGrid>
      <w:tr w:rsidR="00A92422" w:rsidRPr="00D87B79" w:rsidTr="00EA30FC">
        <w:trPr>
          <w:trHeight w:val="145"/>
        </w:trPr>
        <w:tc>
          <w:tcPr>
            <w:tcW w:w="2714" w:type="dxa"/>
            <w:shd w:val="clear" w:color="auto" w:fill="FFFFFF"/>
            <w:vAlign w:val="center"/>
          </w:tcPr>
          <w:p w:rsidR="00A92422" w:rsidRPr="00D87B79" w:rsidRDefault="00A92422" w:rsidP="00EA30FC">
            <w:pPr>
              <w:pStyle w:val="ProductNames"/>
              <w:spacing w:beforeLines="20" w:before="48" w:afterLines="20" w:after="48"/>
              <w:rPr>
                <w:rFonts w:ascii="Tahoma" w:hAnsi="Tahoma" w:cs="Tahoma"/>
                <w:sz w:val="14"/>
              </w:rPr>
            </w:pPr>
            <w:r w:rsidRPr="00D87B79">
              <w:rPr>
                <w:rFonts w:ascii="Tahoma" w:hAnsi="Tahoma" w:cs="Tahoma"/>
                <w:position w:val="-6"/>
                <w:sz w:val="14"/>
                <w:lang w:val="it-IT"/>
              </w:rPr>
              <w:lastRenderedPageBreak/>
              <w:t>SQL Server</w:t>
            </w:r>
            <w:r w:rsidRPr="003A0F2F">
              <w:rPr>
                <w:rFonts w:ascii="Tahoma" w:hAnsi="Tahoma" w:cs="Tahoma"/>
                <w:color w:val="000000"/>
                <w:position w:val="-6"/>
                <w:sz w:val="18"/>
                <w:vertAlign w:val="superscript"/>
                <w:lang w:val="it-IT"/>
              </w:rPr>
              <w:t>®</w:t>
            </w:r>
            <w:r w:rsidRPr="00D87B79">
              <w:rPr>
                <w:rFonts w:ascii="Tahoma" w:hAnsi="Tahoma" w:cs="Tahoma"/>
                <w:position w:val="-6"/>
                <w:sz w:val="14"/>
                <w:lang w:val="it-IT"/>
              </w:rPr>
              <w:t xml:space="preserve"> 2008 R2 Parallel Data Warehouse</w:t>
            </w:r>
            <w:bookmarkEnd w:id="401"/>
          </w:p>
        </w:tc>
        <w:tc>
          <w:tcPr>
            <w:tcW w:w="450" w:type="dxa"/>
            <w:shd w:val="clear" w:color="auto" w:fill="FFFFFF"/>
            <w:vAlign w:val="center"/>
          </w:tcPr>
          <w:p w:rsidR="00A92422" w:rsidRPr="001E1017" w:rsidRDefault="00A92422" w:rsidP="00EA30FC">
            <w:pPr>
              <w:pStyle w:val="TableText"/>
              <w:widowControl w:val="0"/>
              <w:rPr>
                <w:rStyle w:val="EndnoteReference"/>
                <w:rFonts w:cs="Tahoma"/>
                <w:color w:val="000000"/>
                <w:sz w:val="13"/>
                <w:szCs w:val="13"/>
                <w:u w:val="single"/>
              </w:rPr>
            </w:pPr>
            <w:hyperlink w:anchor="_71_SQL_Server®" w:history="1">
              <w:r w:rsidRPr="001E1017">
                <w:rPr>
                  <w:rStyle w:val="Hyperlink"/>
                  <w:rFonts w:cs="Tahoma"/>
                  <w:b/>
                  <w:sz w:val="13"/>
                  <w:szCs w:val="13"/>
                </w:rPr>
                <w:t>71</w:t>
              </w:r>
            </w:hyperlink>
          </w:p>
        </w:tc>
        <w:tc>
          <w:tcPr>
            <w:tcW w:w="450" w:type="dxa"/>
            <w:shd w:val="clear" w:color="auto" w:fill="FFFFFF"/>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11/10</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200</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500</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400</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300</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300</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200</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100</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A,S</w:t>
            </w: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FFFFF"/>
          </w:tcPr>
          <w:p w:rsidR="00A92422" w:rsidRPr="00D87B79" w:rsidRDefault="00A92422" w:rsidP="00EA30FC">
            <w:pPr>
              <w:pStyle w:val="TableText"/>
              <w:widowControl w:val="0"/>
              <w:rPr>
                <w:rFonts w:ascii="Tahoma" w:hAnsi="Tahoma" w:cs="Tahoma"/>
                <w:sz w:val="13"/>
              </w:rPr>
            </w:pPr>
          </w:p>
        </w:tc>
        <w:tc>
          <w:tcPr>
            <w:tcW w:w="486" w:type="dxa"/>
            <w:shd w:val="clear" w:color="auto" w:fill="FFFFF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ABF8F"/>
            <w:vAlign w:val="center"/>
          </w:tcPr>
          <w:p w:rsidR="00A92422" w:rsidRPr="00D87B79" w:rsidRDefault="00A92422" w:rsidP="00EA30FC">
            <w:pPr>
              <w:pStyle w:val="ProductNames"/>
              <w:spacing w:beforeLines="20" w:before="48" w:afterLines="20" w:after="48"/>
              <w:rPr>
                <w:rFonts w:ascii="Tahoma" w:hAnsi="Tahoma" w:cs="Tahoma"/>
                <w:sz w:val="14"/>
              </w:rPr>
            </w:pPr>
            <w:bookmarkStart w:id="402" w:name="_Toc336338047"/>
            <w:bookmarkStart w:id="403" w:name="_Toc342900095"/>
            <w:bookmarkEnd w:id="402"/>
            <w:r w:rsidRPr="00D87B79">
              <w:rPr>
                <w:rFonts w:ascii="Tahoma" w:hAnsi="Tahoma" w:cs="Tahoma"/>
                <w:position w:val="-6"/>
                <w:sz w:val="14"/>
                <w:lang w:val="it-IT"/>
              </w:rPr>
              <w:t>SQL Server</w:t>
            </w:r>
            <w:r w:rsidRPr="003A0F2F">
              <w:rPr>
                <w:rFonts w:ascii="Tahoma" w:hAnsi="Tahoma" w:cs="Tahoma"/>
                <w:color w:val="000000"/>
                <w:position w:val="-6"/>
                <w:sz w:val="18"/>
                <w:vertAlign w:val="superscript"/>
                <w:lang w:val="it-IT"/>
              </w:rPr>
              <w:t>®</w:t>
            </w:r>
            <w:r w:rsidRPr="00D87B79">
              <w:rPr>
                <w:rFonts w:ascii="Tahoma" w:hAnsi="Tahoma" w:cs="Tahoma"/>
                <w:position w:val="-6"/>
                <w:sz w:val="14"/>
                <w:lang w:val="it-IT"/>
              </w:rPr>
              <w:t xml:space="preserve"> 2008 R2 Parallel Data Warehouse Developer</w:t>
            </w:r>
            <w:bookmarkEnd w:id="403"/>
          </w:p>
        </w:tc>
        <w:tc>
          <w:tcPr>
            <w:tcW w:w="450" w:type="dxa"/>
            <w:shd w:val="clear" w:color="auto" w:fill="FABF8F"/>
            <w:vAlign w:val="center"/>
          </w:tcPr>
          <w:p w:rsidR="00A92422" w:rsidRPr="001E1017" w:rsidRDefault="00A92422" w:rsidP="00EA30FC">
            <w:pPr>
              <w:pStyle w:val="TableText"/>
              <w:widowControl w:val="0"/>
              <w:rPr>
                <w:rStyle w:val="EndnoteReference"/>
                <w:rFonts w:cs="Tahoma"/>
                <w:color w:val="000000"/>
                <w:sz w:val="13"/>
                <w:szCs w:val="13"/>
                <w:u w:val="single"/>
              </w:rPr>
            </w:pPr>
          </w:p>
        </w:tc>
        <w:tc>
          <w:tcPr>
            <w:tcW w:w="450" w:type="dxa"/>
            <w:shd w:val="clear" w:color="auto" w:fill="FABF8F"/>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11/10</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tcPr>
          <w:p w:rsidR="00A92422" w:rsidRPr="00D87B79" w:rsidRDefault="00A92422" w:rsidP="00EA30FC">
            <w:pPr>
              <w:pStyle w:val="TableText"/>
              <w:widowControl w:val="0"/>
              <w:rPr>
                <w:rFonts w:ascii="Tahoma" w:hAnsi="Tahoma" w:cs="Tahoma"/>
                <w:sz w:val="13"/>
              </w:rPr>
            </w:pP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FFFFF"/>
            <w:vAlign w:val="center"/>
          </w:tcPr>
          <w:p w:rsidR="00A92422" w:rsidRPr="00D87B79" w:rsidRDefault="00A92422" w:rsidP="00EA30FC">
            <w:pPr>
              <w:pStyle w:val="ProductNames"/>
              <w:spacing w:beforeLines="20" w:before="48" w:afterLines="20" w:after="48"/>
              <w:rPr>
                <w:rFonts w:ascii="Tahoma" w:hAnsi="Tahoma" w:cs="Tahoma"/>
                <w:sz w:val="14"/>
              </w:rPr>
            </w:pPr>
            <w:bookmarkStart w:id="404" w:name="_Toc336338048"/>
            <w:bookmarkStart w:id="405" w:name="_Toc342900096"/>
            <w:bookmarkEnd w:id="404"/>
            <w:r w:rsidRPr="00D87B79">
              <w:rPr>
                <w:rFonts w:ascii="Tahoma" w:hAnsi="Tahoma" w:cs="Tahoma"/>
                <w:position w:val="-6"/>
                <w:sz w:val="14"/>
                <w:lang w:val="it-IT"/>
              </w:rPr>
              <w:t>SQL Server</w:t>
            </w:r>
            <w:r w:rsidRPr="003A0F2F">
              <w:rPr>
                <w:rFonts w:ascii="Tahoma" w:hAnsi="Tahoma" w:cs="Tahoma"/>
                <w:color w:val="000000"/>
                <w:position w:val="-6"/>
                <w:sz w:val="18"/>
                <w:vertAlign w:val="superscript"/>
                <w:lang w:val="it-IT"/>
              </w:rPr>
              <w:t>®</w:t>
            </w:r>
            <w:r w:rsidRPr="00D87B79">
              <w:rPr>
                <w:rFonts w:ascii="Tahoma" w:hAnsi="Tahoma" w:cs="Tahoma"/>
                <w:position w:val="-6"/>
                <w:sz w:val="14"/>
                <w:lang w:val="it-IT"/>
              </w:rPr>
              <w:t xml:space="preserve"> 2008 R2 Small Business</w:t>
            </w:r>
            <w:bookmarkEnd w:id="405"/>
          </w:p>
        </w:tc>
        <w:tc>
          <w:tcPr>
            <w:tcW w:w="450" w:type="dxa"/>
            <w:shd w:val="clear" w:color="auto" w:fill="FFFFFF"/>
            <w:vAlign w:val="center"/>
          </w:tcPr>
          <w:p w:rsidR="00A92422" w:rsidRPr="001E1017" w:rsidRDefault="00A92422" w:rsidP="00EA30FC">
            <w:pPr>
              <w:pStyle w:val="TableText"/>
              <w:widowControl w:val="0"/>
              <w:rPr>
                <w:rStyle w:val="EndnoteReference"/>
                <w:rFonts w:cs="Tahoma"/>
                <w:color w:val="000000"/>
                <w:sz w:val="13"/>
                <w:szCs w:val="13"/>
                <w:u w:val="single"/>
              </w:rPr>
            </w:pPr>
            <w:hyperlink w:anchor="_72_SQL_Server®" w:history="1">
              <w:r w:rsidRPr="001E1017">
                <w:rPr>
                  <w:rStyle w:val="Hyperlink"/>
                  <w:rFonts w:cs="Tahoma"/>
                  <w:b/>
                  <w:sz w:val="13"/>
                  <w:szCs w:val="13"/>
                </w:rPr>
                <w:t>72</w:t>
              </w:r>
            </w:hyperlink>
          </w:p>
        </w:tc>
        <w:tc>
          <w:tcPr>
            <w:tcW w:w="450" w:type="dxa"/>
            <w:shd w:val="clear" w:color="auto" w:fill="FFFFFF"/>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01/11</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FFFFF"/>
          </w:tcPr>
          <w:p w:rsidR="00A92422" w:rsidRPr="00D87B79" w:rsidRDefault="00A92422" w:rsidP="00EA30FC">
            <w:pPr>
              <w:pStyle w:val="TableText"/>
              <w:widowControl w:val="0"/>
              <w:rPr>
                <w:rFonts w:ascii="Tahoma" w:hAnsi="Tahoma" w:cs="Tahoma"/>
                <w:sz w:val="13"/>
              </w:rPr>
            </w:pPr>
          </w:p>
        </w:tc>
        <w:tc>
          <w:tcPr>
            <w:tcW w:w="486" w:type="dxa"/>
            <w:shd w:val="clear" w:color="auto" w:fill="FFFFF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ABF8F"/>
            <w:vAlign w:val="center"/>
          </w:tcPr>
          <w:p w:rsidR="00A92422" w:rsidRPr="00D87B79" w:rsidRDefault="00A92422" w:rsidP="00EA30FC">
            <w:pPr>
              <w:pStyle w:val="ProductNames"/>
              <w:spacing w:beforeLines="20" w:before="48" w:afterLines="20" w:after="48"/>
              <w:rPr>
                <w:rFonts w:ascii="Tahoma" w:hAnsi="Tahoma" w:cs="Tahoma"/>
                <w:sz w:val="14"/>
              </w:rPr>
            </w:pPr>
            <w:bookmarkStart w:id="406" w:name="_Toc336338049"/>
            <w:bookmarkStart w:id="407" w:name="_Toc342900097"/>
            <w:bookmarkEnd w:id="406"/>
            <w:r w:rsidRPr="00D87B79">
              <w:rPr>
                <w:rFonts w:ascii="Tahoma" w:hAnsi="Tahoma" w:cs="Tahoma"/>
                <w:position w:val="-6"/>
                <w:sz w:val="14"/>
                <w:lang w:val="it-IT"/>
              </w:rPr>
              <w:t>CAL per SQL Server</w:t>
            </w:r>
            <w:r w:rsidRPr="003A0F2F">
              <w:rPr>
                <w:rFonts w:ascii="Tahoma" w:hAnsi="Tahoma" w:cs="Tahoma"/>
                <w:color w:val="000000"/>
                <w:position w:val="-6"/>
                <w:sz w:val="18"/>
                <w:vertAlign w:val="superscript"/>
                <w:lang w:val="it-IT"/>
              </w:rPr>
              <w:t>®</w:t>
            </w:r>
            <w:r w:rsidRPr="00D87B79">
              <w:rPr>
                <w:rFonts w:ascii="Tahoma" w:hAnsi="Tahoma" w:cs="Tahoma"/>
                <w:position w:val="-6"/>
                <w:sz w:val="14"/>
                <w:lang w:val="it-IT"/>
              </w:rPr>
              <w:t xml:space="preserve"> 2008 R2 Small</w:t>
            </w:r>
            <w:r>
              <w:rPr>
                <w:rFonts w:ascii="Tahoma" w:hAnsi="Tahoma" w:cs="Tahoma"/>
                <w:position w:val="-6"/>
                <w:sz w:val="14"/>
                <w:lang w:val="it-IT"/>
              </w:rPr>
              <w:t> </w:t>
            </w:r>
            <w:r w:rsidRPr="00D87B79">
              <w:rPr>
                <w:rFonts w:ascii="Tahoma" w:hAnsi="Tahoma" w:cs="Tahoma"/>
                <w:position w:val="-6"/>
                <w:sz w:val="14"/>
                <w:lang w:val="it-IT"/>
              </w:rPr>
              <w:t>Business</w:t>
            </w:r>
            <w:bookmarkEnd w:id="407"/>
          </w:p>
        </w:tc>
        <w:tc>
          <w:tcPr>
            <w:tcW w:w="450" w:type="dxa"/>
            <w:shd w:val="clear" w:color="auto" w:fill="FABF8F"/>
            <w:vAlign w:val="center"/>
          </w:tcPr>
          <w:p w:rsidR="00A92422" w:rsidRPr="001E1017" w:rsidRDefault="00A92422" w:rsidP="00EA30FC">
            <w:pPr>
              <w:pStyle w:val="TableText"/>
              <w:widowControl w:val="0"/>
              <w:rPr>
                <w:rStyle w:val="EndnoteReference"/>
                <w:rFonts w:cs="Tahoma"/>
                <w:color w:val="000000"/>
                <w:sz w:val="13"/>
                <w:szCs w:val="13"/>
                <w:u w:val="single"/>
              </w:rPr>
            </w:pPr>
          </w:p>
        </w:tc>
        <w:tc>
          <w:tcPr>
            <w:tcW w:w="450" w:type="dxa"/>
            <w:shd w:val="clear" w:color="auto" w:fill="FABF8F"/>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01/11</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tcPr>
          <w:p w:rsidR="00A92422" w:rsidRPr="00D87B79" w:rsidRDefault="00A92422" w:rsidP="00EA30FC">
            <w:pPr>
              <w:pStyle w:val="TableText"/>
              <w:widowControl w:val="0"/>
              <w:rPr>
                <w:rFonts w:ascii="Tahoma" w:hAnsi="Tahoma" w:cs="Tahoma"/>
                <w:sz w:val="13"/>
              </w:rPr>
            </w:pP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FFFFF"/>
            <w:vAlign w:val="center"/>
          </w:tcPr>
          <w:p w:rsidR="00A92422" w:rsidRPr="00D87B79" w:rsidRDefault="00A92422" w:rsidP="00EA30FC">
            <w:pPr>
              <w:pStyle w:val="ProductNames"/>
              <w:spacing w:beforeLines="20" w:before="48" w:afterLines="20" w:after="48"/>
              <w:rPr>
                <w:rFonts w:ascii="Tahoma" w:hAnsi="Tahoma" w:cs="Tahoma"/>
                <w:sz w:val="14"/>
              </w:rPr>
            </w:pPr>
            <w:bookmarkStart w:id="408" w:name="_Toc336338050"/>
            <w:bookmarkStart w:id="409" w:name="_Toc342900098"/>
            <w:bookmarkEnd w:id="408"/>
            <w:r w:rsidRPr="00D87B79">
              <w:rPr>
                <w:rFonts w:ascii="Tahoma" w:hAnsi="Tahoma" w:cs="Tahoma"/>
                <w:position w:val="-6"/>
                <w:sz w:val="14"/>
                <w:lang w:val="it-IT"/>
              </w:rPr>
              <w:t>Licenza per Processore per SQL Server</w:t>
            </w:r>
            <w:r w:rsidRPr="003A0F2F">
              <w:rPr>
                <w:rFonts w:ascii="Tahoma" w:hAnsi="Tahoma" w:cs="Tahoma"/>
                <w:color w:val="000000"/>
                <w:position w:val="-6"/>
                <w:sz w:val="18"/>
                <w:vertAlign w:val="superscript"/>
                <w:lang w:val="it-IT"/>
              </w:rPr>
              <w:t>®</w:t>
            </w:r>
            <w:r w:rsidRPr="00D87B79">
              <w:rPr>
                <w:rFonts w:ascii="Tahoma" w:hAnsi="Tahoma" w:cs="Tahoma"/>
                <w:position w:val="-6"/>
                <w:sz w:val="14"/>
                <w:lang w:val="it-IT"/>
              </w:rPr>
              <w:t xml:space="preserve"> 2008 R2 Web</w:t>
            </w:r>
            <w:bookmarkEnd w:id="409"/>
          </w:p>
        </w:tc>
        <w:tc>
          <w:tcPr>
            <w:tcW w:w="450" w:type="dxa"/>
            <w:shd w:val="clear" w:color="auto" w:fill="FFFFFF"/>
            <w:vAlign w:val="center"/>
          </w:tcPr>
          <w:p w:rsidR="00A92422" w:rsidRPr="001E1017" w:rsidRDefault="00A92422" w:rsidP="00EA30FC">
            <w:pPr>
              <w:pStyle w:val="TableText"/>
              <w:widowControl w:val="0"/>
              <w:rPr>
                <w:rStyle w:val="EndnoteReference"/>
                <w:rFonts w:cs="Tahoma"/>
                <w:color w:val="000000"/>
                <w:sz w:val="13"/>
                <w:szCs w:val="13"/>
                <w:u w:val="single"/>
              </w:rPr>
            </w:pPr>
            <w:hyperlink w:anchor="_73_Licenza_Per" w:history="1">
              <w:r w:rsidRPr="001E1017">
                <w:rPr>
                  <w:rStyle w:val="Hyperlink"/>
                  <w:rFonts w:cs="Tahoma"/>
                  <w:b/>
                  <w:sz w:val="13"/>
                  <w:szCs w:val="13"/>
                </w:rPr>
                <w:t>73</w:t>
              </w:r>
            </w:hyperlink>
          </w:p>
        </w:tc>
        <w:tc>
          <w:tcPr>
            <w:tcW w:w="450" w:type="dxa"/>
            <w:shd w:val="clear" w:color="auto" w:fill="FFFFFF"/>
          </w:tcPr>
          <w:p w:rsidR="00A92422" w:rsidRPr="00D87B79" w:rsidRDefault="00A92422" w:rsidP="00EA30FC">
            <w:pPr>
              <w:pStyle w:val="TableText"/>
              <w:widowControl w:val="0"/>
              <w:spacing w:before="80"/>
              <w:rPr>
                <w:rFonts w:ascii="Tahoma" w:hAnsi="Tahoma" w:cs="Tahoma"/>
                <w:sz w:val="13"/>
              </w:rPr>
            </w:pP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FFFFF"/>
          </w:tcPr>
          <w:p w:rsidR="00A92422" w:rsidRPr="00D87B79" w:rsidRDefault="00A92422" w:rsidP="00EA30FC">
            <w:pPr>
              <w:pStyle w:val="TableText"/>
              <w:widowControl w:val="0"/>
              <w:rPr>
                <w:rFonts w:ascii="Tahoma" w:hAnsi="Tahoma" w:cs="Tahoma"/>
                <w:sz w:val="13"/>
              </w:rPr>
            </w:pPr>
          </w:p>
        </w:tc>
        <w:tc>
          <w:tcPr>
            <w:tcW w:w="486" w:type="dxa"/>
            <w:shd w:val="clear" w:color="auto" w:fill="FFFFF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ABF8F"/>
            <w:vAlign w:val="center"/>
          </w:tcPr>
          <w:p w:rsidR="00A92422" w:rsidRPr="00873B3F" w:rsidRDefault="00A92422" w:rsidP="00EA30FC">
            <w:pPr>
              <w:pStyle w:val="ProductNames"/>
              <w:spacing w:beforeLines="20" w:before="48" w:afterLines="20" w:after="48"/>
              <w:rPr>
                <w:rFonts w:ascii="Tahoma" w:hAnsi="Tahoma" w:cs="Tahoma"/>
                <w:sz w:val="14"/>
                <w:szCs w:val="14"/>
              </w:rPr>
            </w:pPr>
            <w:bookmarkStart w:id="410" w:name="_Toc336338051"/>
            <w:bookmarkStart w:id="411" w:name="_Toc342900099"/>
            <w:bookmarkEnd w:id="410"/>
            <w:r w:rsidRPr="00873B3F">
              <w:rPr>
                <w:rFonts w:ascii="Tahoma" w:hAnsi="Tahoma" w:cs="Tahoma"/>
                <w:sz w:val="14"/>
                <w:szCs w:val="14"/>
                <w:lang w:val="it-IT"/>
              </w:rPr>
              <w:t>CAL per SQL Server</w:t>
            </w:r>
            <w:r w:rsidRPr="003A0F2F">
              <w:rPr>
                <w:rFonts w:ascii="Tahoma" w:hAnsi="Tahoma" w:cs="Tahoma"/>
                <w:color w:val="000000"/>
                <w:sz w:val="14"/>
                <w:szCs w:val="14"/>
                <w:vertAlign w:val="superscript"/>
                <w:lang w:val="it-IT"/>
              </w:rPr>
              <w:t>®</w:t>
            </w:r>
            <w:r w:rsidRPr="00873B3F">
              <w:rPr>
                <w:rFonts w:ascii="Tahoma" w:hAnsi="Tahoma" w:cs="Tahoma"/>
                <w:sz w:val="14"/>
                <w:szCs w:val="14"/>
                <w:lang w:val="it-IT"/>
              </w:rPr>
              <w:t xml:space="preserve"> 2008 R2 Workgroup</w:t>
            </w:r>
            <w:bookmarkEnd w:id="411"/>
          </w:p>
        </w:tc>
        <w:tc>
          <w:tcPr>
            <w:tcW w:w="450" w:type="dxa"/>
            <w:shd w:val="clear" w:color="auto" w:fill="FABF8F"/>
            <w:vAlign w:val="center"/>
          </w:tcPr>
          <w:p w:rsidR="00A92422" w:rsidRPr="001E1017" w:rsidRDefault="00A92422" w:rsidP="00EA30FC">
            <w:pPr>
              <w:pStyle w:val="TableText"/>
              <w:widowControl w:val="0"/>
              <w:rPr>
                <w:rStyle w:val="EndnoteReference"/>
                <w:rFonts w:cs="Tahoma"/>
                <w:color w:val="000000"/>
                <w:sz w:val="13"/>
                <w:szCs w:val="13"/>
                <w:u w:val="single"/>
              </w:rPr>
            </w:pPr>
            <w:hyperlink w:anchor="_Toc336338342" w:history="1">
              <w:r w:rsidRPr="001E1017">
                <w:rPr>
                  <w:rStyle w:val="Hyperlink"/>
                  <w:rFonts w:cs="Tahoma"/>
                  <w:b/>
                  <w:sz w:val="13"/>
                  <w:szCs w:val="13"/>
                </w:rPr>
                <w:t>73</w:t>
              </w:r>
            </w:hyperlink>
          </w:p>
        </w:tc>
        <w:tc>
          <w:tcPr>
            <w:tcW w:w="450" w:type="dxa"/>
            <w:shd w:val="clear" w:color="auto" w:fill="FABF8F"/>
          </w:tcPr>
          <w:p w:rsidR="00A92422" w:rsidRPr="00D87B79" w:rsidRDefault="00A92422" w:rsidP="00EA30FC">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tcPr>
          <w:p w:rsidR="00A92422" w:rsidRPr="00D87B79" w:rsidRDefault="00A92422" w:rsidP="00EA30FC">
            <w:pPr>
              <w:pStyle w:val="TableText"/>
              <w:widowControl w:val="0"/>
              <w:rPr>
                <w:rFonts w:ascii="Tahoma" w:hAnsi="Tahoma" w:cs="Tahoma"/>
                <w:sz w:val="13"/>
              </w:rPr>
            </w:pP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cantSplit/>
          <w:trHeight w:val="145"/>
        </w:trPr>
        <w:tc>
          <w:tcPr>
            <w:tcW w:w="2714" w:type="dxa"/>
            <w:shd w:val="clear" w:color="auto" w:fill="FFFFFF"/>
            <w:vAlign w:val="center"/>
          </w:tcPr>
          <w:p w:rsidR="00A92422" w:rsidRPr="00D87B79" w:rsidRDefault="00A92422" w:rsidP="00EA30FC">
            <w:pPr>
              <w:pStyle w:val="ProductNames"/>
              <w:spacing w:beforeLines="20" w:before="48" w:afterLines="20" w:after="48"/>
              <w:rPr>
                <w:rFonts w:ascii="Tahoma" w:hAnsi="Tahoma" w:cs="Tahoma"/>
                <w:sz w:val="14"/>
              </w:rPr>
            </w:pPr>
            <w:bookmarkStart w:id="412" w:name="_Toc336338052"/>
            <w:bookmarkStart w:id="413" w:name="_Toc342900100"/>
            <w:bookmarkEnd w:id="412"/>
            <w:r w:rsidRPr="00D87B79">
              <w:rPr>
                <w:rFonts w:ascii="Tahoma" w:hAnsi="Tahoma" w:cs="Tahoma"/>
                <w:position w:val="-6"/>
                <w:sz w:val="14"/>
                <w:lang w:val="it-IT"/>
              </w:rPr>
              <w:t>1 Licenza per Processore per SQL Server</w:t>
            </w:r>
            <w:r w:rsidRPr="003A0F2F">
              <w:rPr>
                <w:rFonts w:ascii="Tahoma" w:hAnsi="Tahoma" w:cs="Tahoma"/>
                <w:color w:val="000000"/>
                <w:position w:val="-6"/>
                <w:sz w:val="18"/>
                <w:vertAlign w:val="superscript"/>
                <w:lang w:val="it-IT"/>
              </w:rPr>
              <w:t>®</w:t>
            </w:r>
            <w:r w:rsidRPr="00D87B79">
              <w:rPr>
                <w:rFonts w:ascii="Tahoma" w:hAnsi="Tahoma" w:cs="Tahoma"/>
                <w:position w:val="-6"/>
                <w:lang w:val="it-IT"/>
              </w:rPr>
              <w:t xml:space="preserve"> </w:t>
            </w:r>
            <w:r w:rsidRPr="00D87B79">
              <w:rPr>
                <w:rFonts w:ascii="Tahoma" w:hAnsi="Tahoma" w:cs="Tahoma"/>
                <w:position w:val="-6"/>
                <w:sz w:val="14"/>
                <w:lang w:val="it-IT"/>
              </w:rPr>
              <w:t>2008 R2 Workgroup</w:t>
            </w:r>
            <w:bookmarkEnd w:id="413"/>
          </w:p>
        </w:tc>
        <w:bookmarkStart w:id="414" w:name="_Hlt336251145"/>
        <w:bookmarkStart w:id="415" w:name="_Hlt336251184"/>
        <w:bookmarkEnd w:id="414"/>
        <w:bookmarkEnd w:id="415"/>
        <w:tc>
          <w:tcPr>
            <w:tcW w:w="450" w:type="dxa"/>
            <w:shd w:val="clear" w:color="auto" w:fill="FFFFFF"/>
            <w:vAlign w:val="center"/>
          </w:tcPr>
          <w:p w:rsidR="00A92422" w:rsidRPr="001E1017" w:rsidRDefault="00A92422" w:rsidP="00EA30FC">
            <w:pPr>
              <w:pStyle w:val="TableText"/>
              <w:widowControl w:val="0"/>
              <w:rPr>
                <w:rStyle w:val="EndnoteReference"/>
                <w:rFonts w:cs="Tahoma"/>
                <w:color w:val="000000"/>
                <w:sz w:val="13"/>
                <w:szCs w:val="13"/>
                <w:u w:val="single"/>
              </w:rPr>
            </w:pPr>
            <w:r w:rsidRPr="001E1017">
              <w:rPr>
                <w:rFonts w:cs="Tahoma"/>
                <w:sz w:val="13"/>
                <w:szCs w:val="13"/>
              </w:rPr>
              <w:fldChar w:fldCharType="begin"/>
            </w:r>
            <w:r w:rsidRPr="001E1017">
              <w:rPr>
                <w:rFonts w:cs="Tahoma"/>
                <w:sz w:val="13"/>
                <w:szCs w:val="13"/>
              </w:rPr>
              <w:instrText>HYPERLINK  \l "_74_SQL_Server®"</w:instrText>
            </w:r>
            <w:r w:rsidRPr="001E1017">
              <w:rPr>
                <w:rFonts w:cs="Tahoma"/>
                <w:sz w:val="13"/>
                <w:szCs w:val="13"/>
              </w:rPr>
              <w:fldChar w:fldCharType="separate"/>
            </w:r>
            <w:r w:rsidRPr="001E1017">
              <w:rPr>
                <w:rStyle w:val="Hyperlink"/>
                <w:rFonts w:cs="Tahoma"/>
                <w:b/>
                <w:sz w:val="13"/>
                <w:szCs w:val="13"/>
              </w:rPr>
              <w:t>74</w:t>
            </w:r>
            <w:r w:rsidRPr="001E1017">
              <w:rPr>
                <w:rFonts w:cs="Tahoma"/>
                <w:sz w:val="13"/>
                <w:szCs w:val="13"/>
              </w:rPr>
              <w:fldChar w:fldCharType="end"/>
            </w:r>
          </w:p>
        </w:tc>
        <w:tc>
          <w:tcPr>
            <w:tcW w:w="450" w:type="dxa"/>
            <w:shd w:val="clear" w:color="auto" w:fill="FFFFFF"/>
          </w:tcPr>
          <w:p w:rsidR="00A92422" w:rsidRPr="00D87B79" w:rsidRDefault="00A92422" w:rsidP="00EA30FC">
            <w:pPr>
              <w:pStyle w:val="TableText"/>
              <w:widowControl w:val="0"/>
              <w:spacing w:before="120"/>
              <w:rPr>
                <w:rFonts w:ascii="Tahoma" w:hAnsi="Tahoma" w:cs="Tahoma"/>
                <w:sz w:val="13"/>
              </w:rPr>
            </w:pP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FFFFF"/>
          </w:tcPr>
          <w:p w:rsidR="00A92422" w:rsidRPr="00D87B79" w:rsidRDefault="00A92422" w:rsidP="00EA30FC">
            <w:pPr>
              <w:pStyle w:val="TableText"/>
              <w:widowControl w:val="0"/>
              <w:rPr>
                <w:rFonts w:ascii="Tahoma" w:hAnsi="Tahoma" w:cs="Tahoma"/>
                <w:sz w:val="13"/>
              </w:rPr>
            </w:pPr>
          </w:p>
        </w:tc>
        <w:tc>
          <w:tcPr>
            <w:tcW w:w="486" w:type="dxa"/>
            <w:shd w:val="clear" w:color="auto" w:fill="FFFFF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ABF8F"/>
            <w:vAlign w:val="center"/>
          </w:tcPr>
          <w:p w:rsidR="00A92422" w:rsidRPr="00D87B79" w:rsidRDefault="00A92422" w:rsidP="00EA30FC">
            <w:pPr>
              <w:pStyle w:val="ProductNames"/>
              <w:spacing w:beforeLines="20" w:before="48" w:afterLines="20" w:after="48"/>
              <w:rPr>
                <w:rFonts w:ascii="Tahoma" w:hAnsi="Tahoma" w:cs="Tahoma"/>
                <w:sz w:val="14"/>
                <w:szCs w:val="18"/>
              </w:rPr>
            </w:pPr>
            <w:bookmarkStart w:id="416" w:name="_Toc336338053"/>
            <w:bookmarkStart w:id="417" w:name="_Toc342900101"/>
            <w:bookmarkEnd w:id="416"/>
            <w:r w:rsidRPr="00D87B79">
              <w:rPr>
                <w:rFonts w:ascii="Tahoma" w:hAnsi="Tahoma" w:cs="Tahoma"/>
                <w:sz w:val="14"/>
                <w:lang w:val="it-IT"/>
              </w:rPr>
              <w:t>SQL Server</w:t>
            </w:r>
            <w:r w:rsidRPr="003A0F2F">
              <w:rPr>
                <w:rFonts w:ascii="Tahoma" w:hAnsi="Tahoma" w:cs="Tahoma"/>
                <w:color w:val="000000"/>
                <w:sz w:val="14"/>
                <w:vertAlign w:val="superscript"/>
                <w:lang w:val="it-IT"/>
              </w:rPr>
              <w:t>®</w:t>
            </w:r>
            <w:r w:rsidRPr="00D87B79">
              <w:rPr>
                <w:rFonts w:ascii="Tahoma" w:hAnsi="Tahoma" w:cs="Tahoma"/>
                <w:sz w:val="14"/>
                <w:lang w:val="it-IT"/>
              </w:rPr>
              <w:t xml:space="preserve"> 2008 R2 Workgroup </w:t>
            </w:r>
            <w:r>
              <w:rPr>
                <w:rFonts w:ascii="Tahoma" w:hAnsi="Tahoma" w:cs="Tahoma"/>
                <w:sz w:val="14"/>
                <w:lang w:val="it-IT"/>
              </w:rPr>
              <w:br/>
            </w:r>
            <w:r w:rsidRPr="00D87B79">
              <w:rPr>
                <w:rFonts w:ascii="Tahoma" w:hAnsi="Tahoma" w:cs="Tahoma"/>
                <w:sz w:val="14"/>
                <w:lang w:val="it-IT"/>
              </w:rPr>
              <w:t>(5 Add On Client)</w:t>
            </w:r>
            <w:bookmarkEnd w:id="417"/>
            <w:r w:rsidRPr="00D87B79">
              <w:rPr>
                <w:rFonts w:ascii="Tahoma" w:hAnsi="Tahoma" w:cs="Tahoma"/>
              </w:rPr>
              <w:t xml:space="preserve"> </w:t>
            </w:r>
          </w:p>
        </w:tc>
        <w:bookmarkStart w:id="418" w:name="_Hlt336249754"/>
        <w:bookmarkStart w:id="419" w:name="_Hlt336251139"/>
        <w:bookmarkStart w:id="420" w:name="_Hlt336251161"/>
        <w:bookmarkEnd w:id="418"/>
        <w:bookmarkEnd w:id="419"/>
        <w:bookmarkEnd w:id="420"/>
        <w:tc>
          <w:tcPr>
            <w:tcW w:w="450" w:type="dxa"/>
            <w:shd w:val="clear" w:color="auto" w:fill="FABF8F"/>
            <w:vAlign w:val="center"/>
          </w:tcPr>
          <w:p w:rsidR="00A92422" w:rsidRPr="001E1017" w:rsidRDefault="00A92422" w:rsidP="00EA30FC">
            <w:pPr>
              <w:pStyle w:val="TableText"/>
              <w:widowControl w:val="0"/>
              <w:rPr>
                <w:rStyle w:val="EndnoteReference"/>
                <w:rFonts w:cs="Tahoma"/>
                <w:color w:val="000000"/>
                <w:sz w:val="13"/>
                <w:szCs w:val="13"/>
                <w:u w:val="single"/>
              </w:rPr>
            </w:pPr>
            <w:r w:rsidRPr="001E1017">
              <w:rPr>
                <w:rFonts w:cs="Tahoma"/>
                <w:sz w:val="13"/>
                <w:szCs w:val="13"/>
              </w:rPr>
              <w:fldChar w:fldCharType="begin"/>
            </w:r>
            <w:r w:rsidRPr="001E1017">
              <w:rPr>
                <w:rFonts w:cs="Tahoma"/>
                <w:sz w:val="13"/>
                <w:szCs w:val="13"/>
              </w:rPr>
              <w:instrText>HYPERLINK  \l "_75_Licenza_per"</w:instrText>
            </w:r>
            <w:r w:rsidRPr="001E1017">
              <w:rPr>
                <w:rFonts w:cs="Tahoma"/>
                <w:sz w:val="13"/>
                <w:szCs w:val="13"/>
              </w:rPr>
              <w:fldChar w:fldCharType="separate"/>
            </w:r>
            <w:r w:rsidRPr="001E1017">
              <w:rPr>
                <w:rStyle w:val="Hyperlink"/>
                <w:rFonts w:cs="Tahoma"/>
                <w:b/>
                <w:sz w:val="13"/>
                <w:szCs w:val="13"/>
              </w:rPr>
              <w:t>75</w:t>
            </w:r>
            <w:r w:rsidRPr="001E1017">
              <w:rPr>
                <w:rFonts w:cs="Tahoma"/>
                <w:sz w:val="13"/>
                <w:szCs w:val="13"/>
              </w:rPr>
              <w:fldChar w:fldCharType="end"/>
            </w:r>
          </w:p>
        </w:tc>
        <w:tc>
          <w:tcPr>
            <w:tcW w:w="450" w:type="dxa"/>
            <w:shd w:val="clear" w:color="auto" w:fill="FABF8F"/>
          </w:tcPr>
          <w:p w:rsidR="00A92422" w:rsidRPr="00D87B79" w:rsidRDefault="00A92422" w:rsidP="00EA30FC">
            <w:pPr>
              <w:pStyle w:val="TableText"/>
              <w:widowControl w:val="0"/>
              <w:spacing w:before="12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tcPr>
          <w:p w:rsidR="00A92422" w:rsidRPr="00D87B79" w:rsidRDefault="00A92422" w:rsidP="00EA30FC">
            <w:pPr>
              <w:pStyle w:val="TableText"/>
              <w:widowControl w:val="0"/>
              <w:rPr>
                <w:rFonts w:ascii="Tahoma" w:hAnsi="Tahoma" w:cs="Tahoma"/>
                <w:sz w:val="13"/>
              </w:rPr>
            </w:pP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FFFFF"/>
            <w:vAlign w:val="center"/>
          </w:tcPr>
          <w:p w:rsidR="00A92422" w:rsidRPr="00D87B79" w:rsidRDefault="00A92422" w:rsidP="00EA30FC">
            <w:pPr>
              <w:pStyle w:val="ProductNames"/>
              <w:spacing w:beforeLines="20" w:before="48" w:afterLines="20" w:after="48"/>
              <w:rPr>
                <w:rFonts w:ascii="Tahoma" w:hAnsi="Tahoma" w:cs="Tahoma"/>
                <w:sz w:val="14"/>
              </w:rPr>
            </w:pPr>
            <w:bookmarkStart w:id="421" w:name="_Toc336338054"/>
            <w:bookmarkStart w:id="422" w:name="_Toc342900102"/>
            <w:bookmarkEnd w:id="421"/>
            <w:r w:rsidRPr="00D87B79">
              <w:rPr>
                <w:rFonts w:ascii="Tahoma" w:hAnsi="Tahoma" w:cs="Tahoma"/>
                <w:position w:val="-6"/>
                <w:sz w:val="14"/>
                <w:lang w:val="it-IT"/>
              </w:rPr>
              <w:t>SQL Server</w:t>
            </w:r>
            <w:r w:rsidRPr="003A0F2F">
              <w:rPr>
                <w:rFonts w:ascii="Tahoma" w:hAnsi="Tahoma" w:cs="Tahoma"/>
                <w:color w:val="000000"/>
                <w:position w:val="-6"/>
                <w:sz w:val="18"/>
                <w:vertAlign w:val="superscript"/>
                <w:lang w:val="it-IT"/>
              </w:rPr>
              <w:t>®</w:t>
            </w:r>
            <w:r w:rsidRPr="00D87B79">
              <w:rPr>
                <w:rFonts w:ascii="Tahoma" w:hAnsi="Tahoma" w:cs="Tahoma"/>
                <w:position w:val="-6"/>
                <w:sz w:val="14"/>
                <w:lang w:val="it-IT"/>
              </w:rPr>
              <w:t xml:space="preserve"> 2012 Business Intelligence</w:t>
            </w:r>
            <w:bookmarkEnd w:id="422"/>
          </w:p>
        </w:tc>
        <w:tc>
          <w:tcPr>
            <w:tcW w:w="450" w:type="dxa"/>
            <w:shd w:val="clear" w:color="auto" w:fill="FFFFFF"/>
            <w:vAlign w:val="center"/>
          </w:tcPr>
          <w:p w:rsidR="00A92422" w:rsidRPr="001E1017" w:rsidRDefault="00A92422" w:rsidP="00EA30FC">
            <w:pPr>
              <w:pStyle w:val="TableText"/>
              <w:widowControl w:val="0"/>
              <w:rPr>
                <w:rStyle w:val="EndnoteReference"/>
                <w:rFonts w:cs="Tahoma"/>
                <w:color w:val="000000"/>
                <w:sz w:val="13"/>
                <w:szCs w:val="13"/>
                <w:u w:val="single"/>
              </w:rPr>
            </w:pPr>
          </w:p>
        </w:tc>
        <w:tc>
          <w:tcPr>
            <w:tcW w:w="450" w:type="dxa"/>
            <w:shd w:val="clear" w:color="auto" w:fill="FFFFFF"/>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04/12</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FFFFFF"/>
            <w:vAlign w:val="bottom"/>
          </w:tcPr>
          <w:p w:rsidR="00A92422" w:rsidRPr="00D87B79" w:rsidRDefault="00A92422" w:rsidP="00EA30FC">
            <w:pPr>
              <w:pStyle w:val="TableText"/>
              <w:widowControl w:val="0"/>
              <w:rPr>
                <w:rFonts w:ascii="Tahoma" w:hAnsi="Tahoma" w:cs="Tahoma"/>
                <w:sz w:val="13"/>
                <w:szCs w:val="13"/>
              </w:rPr>
            </w:pPr>
            <w:r w:rsidRPr="00D87B79">
              <w:rPr>
                <w:rFonts w:ascii="Tahoma" w:hAnsi="Tahoma" w:cs="Tahoma"/>
                <w:sz w:val="13"/>
                <w:u w:val="single"/>
              </w:rPr>
              <w:t>75</w:t>
            </w:r>
          </w:p>
        </w:tc>
        <w:tc>
          <w:tcPr>
            <w:tcW w:w="450" w:type="dxa"/>
            <w:shd w:val="clear" w:color="auto" w:fill="FFFFFF"/>
            <w:vAlign w:val="bottom"/>
          </w:tcPr>
          <w:p w:rsidR="00A92422" w:rsidRPr="00D87B79" w:rsidRDefault="00A92422" w:rsidP="00EA30FC">
            <w:pPr>
              <w:pStyle w:val="TableText"/>
              <w:widowControl w:val="0"/>
              <w:rPr>
                <w:rFonts w:ascii="Tahoma" w:hAnsi="Tahoma" w:cs="Tahoma"/>
                <w:sz w:val="13"/>
                <w:szCs w:val="13"/>
              </w:rPr>
            </w:pPr>
            <w:r w:rsidRPr="00D87B79">
              <w:rPr>
                <w:rFonts w:ascii="Tahoma" w:hAnsi="Tahoma" w:cs="Tahoma"/>
                <w:sz w:val="13"/>
              </w:rPr>
              <w:t>188</w:t>
            </w:r>
          </w:p>
        </w:tc>
        <w:tc>
          <w:tcPr>
            <w:tcW w:w="450" w:type="dxa"/>
            <w:shd w:val="clear" w:color="auto" w:fill="FFFFFF"/>
            <w:vAlign w:val="bottom"/>
          </w:tcPr>
          <w:p w:rsidR="00A92422" w:rsidRPr="00D87B79" w:rsidRDefault="00A92422" w:rsidP="00EA30FC">
            <w:pPr>
              <w:pStyle w:val="TableText"/>
              <w:widowControl w:val="0"/>
              <w:rPr>
                <w:rFonts w:ascii="Tahoma" w:hAnsi="Tahoma" w:cs="Tahoma"/>
                <w:sz w:val="13"/>
                <w:szCs w:val="13"/>
              </w:rPr>
            </w:pPr>
            <w:r w:rsidRPr="00D87B79">
              <w:rPr>
                <w:rFonts w:ascii="Tahoma" w:hAnsi="Tahoma" w:cs="Tahoma"/>
                <w:sz w:val="13"/>
              </w:rPr>
              <w:t>150</w:t>
            </w:r>
          </w:p>
        </w:tc>
        <w:tc>
          <w:tcPr>
            <w:tcW w:w="450" w:type="dxa"/>
            <w:shd w:val="clear" w:color="auto" w:fill="FFFFFF"/>
            <w:vAlign w:val="bottom"/>
          </w:tcPr>
          <w:p w:rsidR="00A92422" w:rsidRPr="00D87B79" w:rsidRDefault="00A92422" w:rsidP="00EA30FC">
            <w:pPr>
              <w:pStyle w:val="TableText"/>
              <w:widowControl w:val="0"/>
              <w:rPr>
                <w:rFonts w:ascii="Tahoma" w:hAnsi="Tahoma" w:cs="Tahoma"/>
                <w:sz w:val="13"/>
                <w:szCs w:val="13"/>
              </w:rPr>
            </w:pPr>
            <w:r w:rsidRPr="00D87B79">
              <w:rPr>
                <w:rFonts w:ascii="Tahoma" w:hAnsi="Tahoma" w:cs="Tahoma"/>
                <w:sz w:val="13"/>
              </w:rPr>
              <w:t>113</w:t>
            </w:r>
          </w:p>
        </w:tc>
        <w:tc>
          <w:tcPr>
            <w:tcW w:w="450" w:type="dxa"/>
            <w:shd w:val="clear" w:color="auto" w:fill="FFFFFF"/>
            <w:vAlign w:val="bottom"/>
          </w:tcPr>
          <w:p w:rsidR="00A92422" w:rsidRPr="00D87B79" w:rsidRDefault="00A92422" w:rsidP="00EA30FC">
            <w:pPr>
              <w:pStyle w:val="TableText"/>
              <w:widowControl w:val="0"/>
              <w:rPr>
                <w:rFonts w:ascii="Tahoma" w:hAnsi="Tahoma" w:cs="Tahoma"/>
                <w:sz w:val="13"/>
                <w:szCs w:val="13"/>
              </w:rPr>
            </w:pPr>
            <w:r w:rsidRPr="00D87B79">
              <w:rPr>
                <w:rFonts w:ascii="Tahoma" w:hAnsi="Tahoma" w:cs="Tahoma"/>
                <w:sz w:val="13"/>
              </w:rPr>
              <w:t>113</w:t>
            </w:r>
          </w:p>
        </w:tc>
        <w:tc>
          <w:tcPr>
            <w:tcW w:w="450" w:type="dxa"/>
            <w:shd w:val="clear" w:color="auto" w:fill="FFFFFF"/>
            <w:vAlign w:val="bottom"/>
          </w:tcPr>
          <w:p w:rsidR="00A92422" w:rsidRPr="00D87B79" w:rsidRDefault="00A92422" w:rsidP="00EA30FC">
            <w:pPr>
              <w:pStyle w:val="TableText"/>
              <w:widowControl w:val="0"/>
              <w:rPr>
                <w:rFonts w:ascii="Tahoma" w:hAnsi="Tahoma" w:cs="Tahoma"/>
                <w:sz w:val="13"/>
                <w:szCs w:val="13"/>
              </w:rPr>
            </w:pPr>
            <w:r w:rsidRPr="00D87B79">
              <w:rPr>
                <w:rFonts w:ascii="Tahoma" w:hAnsi="Tahoma" w:cs="Tahoma"/>
                <w:sz w:val="13"/>
              </w:rPr>
              <w:t>75</w:t>
            </w:r>
          </w:p>
        </w:tc>
        <w:tc>
          <w:tcPr>
            <w:tcW w:w="360" w:type="dxa"/>
            <w:tcBorders>
              <w:right w:val="single" w:sz="18" w:space="0" w:color="auto"/>
            </w:tcBorders>
            <w:shd w:val="clear" w:color="auto" w:fill="FFFFFF"/>
            <w:vAlign w:val="bottom"/>
          </w:tcPr>
          <w:p w:rsidR="00A92422" w:rsidRPr="00D87B79" w:rsidRDefault="00A92422" w:rsidP="00EA30FC">
            <w:pPr>
              <w:pStyle w:val="TableText"/>
              <w:widowControl w:val="0"/>
              <w:rPr>
                <w:rFonts w:ascii="Tahoma" w:hAnsi="Tahoma" w:cs="Tahoma"/>
                <w:sz w:val="13"/>
                <w:szCs w:val="13"/>
              </w:rPr>
            </w:pPr>
            <w:r w:rsidRPr="00D87B79">
              <w:rPr>
                <w:rFonts w:ascii="Tahoma" w:hAnsi="Tahoma" w:cs="Tahoma"/>
                <w:sz w:val="13"/>
              </w:rPr>
              <w:t>38</w:t>
            </w:r>
          </w:p>
        </w:tc>
        <w:tc>
          <w:tcPr>
            <w:tcW w:w="450" w:type="dxa"/>
            <w:tcBorders>
              <w:left w:val="single" w:sz="18" w:space="0" w:color="auto"/>
            </w:tcBorders>
            <w:shd w:val="clear" w:color="auto" w:fill="FFFFFF"/>
            <w:vAlign w:val="bottom"/>
          </w:tcPr>
          <w:p w:rsidR="00A92422" w:rsidRPr="00D87B79" w:rsidRDefault="00A92422" w:rsidP="00EA30FC">
            <w:pPr>
              <w:pStyle w:val="TableText"/>
              <w:widowControl w:val="0"/>
              <w:rPr>
                <w:rFonts w:ascii="Tahoma" w:hAnsi="Tahoma" w:cs="Tahoma"/>
                <w:sz w:val="13"/>
                <w:szCs w:val="13"/>
              </w:rPr>
            </w:pPr>
            <w:r w:rsidRPr="00D87B79">
              <w:rPr>
                <w:rFonts w:ascii="Tahoma" w:hAnsi="Tahoma" w:cs="Tahoma"/>
                <w:sz w:val="13"/>
              </w:rPr>
              <w:t>75</w:t>
            </w:r>
          </w:p>
        </w:tc>
        <w:tc>
          <w:tcPr>
            <w:tcW w:w="450" w:type="dxa"/>
            <w:shd w:val="clear" w:color="auto" w:fill="FFFFFF"/>
            <w:vAlign w:val="bottom"/>
          </w:tcPr>
          <w:p w:rsidR="00A92422" w:rsidRPr="00D87B79" w:rsidRDefault="00A92422" w:rsidP="00EA30FC">
            <w:pPr>
              <w:pStyle w:val="TableText"/>
              <w:widowControl w:val="0"/>
              <w:rPr>
                <w:rFonts w:ascii="Tahoma" w:hAnsi="Tahoma" w:cs="Tahoma"/>
                <w:sz w:val="13"/>
                <w:szCs w:val="13"/>
              </w:rPr>
            </w:pPr>
            <w:r w:rsidRPr="00D87B79">
              <w:rPr>
                <w:rFonts w:ascii="Tahoma" w:hAnsi="Tahoma" w:cs="Tahoma"/>
                <w:sz w:val="13"/>
              </w:rPr>
              <w:t>150</w:t>
            </w:r>
          </w:p>
        </w:tc>
        <w:tc>
          <w:tcPr>
            <w:tcW w:w="450" w:type="dxa"/>
            <w:tcBorders>
              <w:right w:val="single" w:sz="18" w:space="0" w:color="auto"/>
            </w:tcBorders>
            <w:shd w:val="clear" w:color="auto" w:fill="FFFFFF"/>
            <w:vAlign w:val="bottom"/>
          </w:tcPr>
          <w:p w:rsidR="00A92422" w:rsidRPr="00D87B79" w:rsidRDefault="00A92422" w:rsidP="00EA30FC">
            <w:pPr>
              <w:pStyle w:val="TableText"/>
              <w:widowControl w:val="0"/>
              <w:rPr>
                <w:rFonts w:ascii="Tahoma" w:hAnsi="Tahoma" w:cs="Tahoma"/>
                <w:sz w:val="13"/>
                <w:szCs w:val="13"/>
              </w:rPr>
            </w:pPr>
            <w:r w:rsidRPr="00D87B79">
              <w:rPr>
                <w:rFonts w:ascii="Tahoma" w:hAnsi="Tahoma" w:cs="Tahoma"/>
                <w:sz w:val="13"/>
              </w:rPr>
              <w:t>75</w:t>
            </w:r>
          </w:p>
        </w:tc>
        <w:tc>
          <w:tcPr>
            <w:tcW w:w="450" w:type="dxa"/>
            <w:tcBorders>
              <w:left w:val="single" w:sz="18" w:space="0" w:color="auto"/>
            </w:tcBorders>
            <w:shd w:val="clear" w:color="auto" w:fill="FFFFFF"/>
            <w:vAlign w:val="bottom"/>
          </w:tcPr>
          <w:p w:rsidR="00A92422" w:rsidRPr="00D87B79" w:rsidRDefault="00A92422" w:rsidP="00EA30FC">
            <w:pPr>
              <w:pStyle w:val="TableText"/>
              <w:widowControl w:val="0"/>
              <w:rPr>
                <w:rFonts w:ascii="Tahoma" w:hAnsi="Tahoma" w:cs="Tahoma"/>
                <w:sz w:val="13"/>
                <w:szCs w:val="13"/>
              </w:rPr>
            </w:pPr>
            <w:r w:rsidRPr="00D87B79">
              <w:rPr>
                <w:rFonts w:ascii="Tahoma" w:hAnsi="Tahoma" w:cs="Tahoma"/>
                <w:sz w:val="13"/>
              </w:rPr>
              <w:t>75</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szCs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FFFFF"/>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86" w:type="dxa"/>
            <w:shd w:val="clear" w:color="auto" w:fill="FFFFF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ABF8F"/>
            <w:vAlign w:val="center"/>
          </w:tcPr>
          <w:p w:rsidR="00A92422" w:rsidRPr="00D87B79" w:rsidRDefault="00A92422" w:rsidP="00EA30FC">
            <w:pPr>
              <w:pStyle w:val="ProductNames"/>
              <w:spacing w:beforeLines="20" w:before="48" w:afterLines="20" w:after="48"/>
              <w:rPr>
                <w:rFonts w:ascii="Tahoma" w:hAnsi="Tahoma" w:cs="Tahoma"/>
                <w:sz w:val="14"/>
              </w:rPr>
            </w:pPr>
            <w:bookmarkStart w:id="423" w:name="_Toc336338055"/>
            <w:bookmarkStart w:id="424" w:name="_Toc342900103"/>
            <w:bookmarkEnd w:id="423"/>
            <w:r w:rsidRPr="00D87B79">
              <w:rPr>
                <w:rFonts w:ascii="Tahoma" w:hAnsi="Tahoma" w:cs="Tahoma"/>
                <w:position w:val="-6"/>
                <w:sz w:val="14"/>
                <w:lang w:val="it-IT"/>
              </w:rPr>
              <w:t>CAL per SQL Server</w:t>
            </w:r>
            <w:r w:rsidRPr="003A0F2F">
              <w:rPr>
                <w:rFonts w:ascii="Tahoma" w:hAnsi="Tahoma" w:cs="Tahoma"/>
                <w:color w:val="000000"/>
                <w:position w:val="-6"/>
                <w:sz w:val="18"/>
                <w:vertAlign w:val="superscript"/>
                <w:lang w:val="it-IT"/>
              </w:rPr>
              <w:t>®</w:t>
            </w:r>
            <w:r w:rsidRPr="00D87B79">
              <w:rPr>
                <w:rFonts w:ascii="Tahoma" w:hAnsi="Tahoma" w:cs="Tahoma"/>
                <w:position w:val="-6"/>
                <w:sz w:val="14"/>
                <w:lang w:val="it-IT"/>
              </w:rPr>
              <w:t xml:space="preserve"> 2012 </w:t>
            </w:r>
            <w:r>
              <w:rPr>
                <w:rFonts w:ascii="Tahoma" w:hAnsi="Tahoma" w:cs="Tahoma"/>
                <w:position w:val="-6"/>
                <w:sz w:val="14"/>
                <w:lang w:val="it-IT"/>
              </w:rPr>
              <w:br/>
            </w:r>
            <w:r w:rsidRPr="00D87B79">
              <w:rPr>
                <w:rFonts w:ascii="Tahoma" w:hAnsi="Tahoma" w:cs="Tahoma"/>
                <w:position w:val="-6"/>
                <w:sz w:val="14"/>
                <w:lang w:val="it-IT"/>
              </w:rPr>
              <w:t>(SL per Dispositivo e Utente)</w:t>
            </w:r>
            <w:bookmarkEnd w:id="424"/>
          </w:p>
        </w:tc>
        <w:tc>
          <w:tcPr>
            <w:tcW w:w="450" w:type="dxa"/>
            <w:shd w:val="clear" w:color="auto" w:fill="FABF8F"/>
            <w:vAlign w:val="center"/>
          </w:tcPr>
          <w:p w:rsidR="00A92422" w:rsidRPr="001E1017" w:rsidRDefault="00A92422" w:rsidP="00EA30FC">
            <w:pPr>
              <w:pStyle w:val="TableText"/>
              <w:widowControl w:val="0"/>
              <w:rPr>
                <w:rStyle w:val="EndnoteReference"/>
                <w:rFonts w:cs="Tahoma"/>
                <w:color w:val="000000"/>
                <w:sz w:val="13"/>
                <w:szCs w:val="13"/>
                <w:u w:val="single"/>
              </w:rPr>
            </w:pPr>
          </w:p>
        </w:tc>
        <w:tc>
          <w:tcPr>
            <w:tcW w:w="450" w:type="dxa"/>
            <w:shd w:val="clear" w:color="auto" w:fill="FABF8F"/>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04/12</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A,S,D</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ABF8F"/>
          </w:tcPr>
          <w:p w:rsidR="00A92422" w:rsidRPr="00D87B79" w:rsidRDefault="00A92422" w:rsidP="00EA30FC">
            <w:pPr>
              <w:pStyle w:val="TableText"/>
              <w:widowControl w:val="0"/>
              <w:ind w:right="-56"/>
              <w:rPr>
                <w:rFonts w:ascii="Tahoma" w:hAnsi="Tahoma" w:cs="Tahoma"/>
                <w:sz w:val="13"/>
              </w:rPr>
            </w:pPr>
            <w:r w:rsidRPr="00D87B79">
              <w:rPr>
                <w:rFonts w:ascii="Tahoma" w:hAnsi="Tahoma" w:cs="Tahoma"/>
                <w:sz w:val="13"/>
                <w:lang w:val="it-IT"/>
              </w:rPr>
              <w:t>A,AO,ST</w:t>
            </w: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260"/>
        </w:trPr>
        <w:tc>
          <w:tcPr>
            <w:tcW w:w="2714" w:type="dxa"/>
            <w:shd w:val="clear" w:color="auto" w:fill="FFFFFF"/>
            <w:vAlign w:val="center"/>
          </w:tcPr>
          <w:p w:rsidR="00A92422" w:rsidRPr="00D87B79" w:rsidRDefault="00A92422" w:rsidP="00EA30FC">
            <w:pPr>
              <w:pStyle w:val="ProductNames"/>
              <w:spacing w:beforeLines="20" w:before="48" w:afterLines="20" w:after="48"/>
              <w:rPr>
                <w:rFonts w:ascii="Tahoma" w:hAnsi="Tahoma" w:cs="Tahoma"/>
                <w:sz w:val="14"/>
              </w:rPr>
            </w:pPr>
            <w:bookmarkStart w:id="425" w:name="_Toc336338056"/>
            <w:bookmarkStart w:id="426" w:name="_Toc342900104"/>
            <w:bookmarkEnd w:id="425"/>
            <w:r w:rsidRPr="00D87B79">
              <w:rPr>
                <w:rFonts w:ascii="Tahoma" w:hAnsi="Tahoma" w:cs="Tahoma"/>
                <w:position w:val="-6"/>
                <w:sz w:val="14"/>
                <w:lang w:val="it-IT"/>
              </w:rPr>
              <w:t>SQL Server</w:t>
            </w:r>
            <w:r w:rsidRPr="003A0F2F">
              <w:rPr>
                <w:rFonts w:ascii="Tahoma" w:hAnsi="Tahoma" w:cs="Tahoma"/>
                <w:color w:val="000000"/>
                <w:position w:val="-6"/>
                <w:sz w:val="18"/>
                <w:vertAlign w:val="superscript"/>
                <w:lang w:val="it-IT"/>
              </w:rPr>
              <w:t>®</w:t>
            </w:r>
            <w:r w:rsidRPr="00D87B79">
              <w:rPr>
                <w:rFonts w:ascii="Tahoma" w:hAnsi="Tahoma" w:cs="Tahoma"/>
                <w:position w:val="-6"/>
                <w:sz w:val="14"/>
                <w:lang w:val="it-IT"/>
              </w:rPr>
              <w:t xml:space="preserve"> 2012 Developer</w:t>
            </w:r>
            <w:bookmarkEnd w:id="426"/>
            <w:r w:rsidRPr="00D87B79">
              <w:rPr>
                <w:rFonts w:ascii="Tahoma" w:hAnsi="Tahoma" w:cs="Tahoma"/>
              </w:rPr>
              <w:t xml:space="preserve"> </w:t>
            </w:r>
          </w:p>
        </w:tc>
        <w:tc>
          <w:tcPr>
            <w:tcW w:w="450" w:type="dxa"/>
            <w:shd w:val="clear" w:color="auto" w:fill="FFFFFF"/>
            <w:vAlign w:val="center"/>
          </w:tcPr>
          <w:p w:rsidR="00A92422" w:rsidRPr="001E1017" w:rsidRDefault="00A92422" w:rsidP="00EA30FC">
            <w:pPr>
              <w:pStyle w:val="TableText"/>
              <w:widowControl w:val="0"/>
              <w:rPr>
                <w:rStyle w:val="EndnoteReference"/>
                <w:rFonts w:cs="Tahoma"/>
                <w:color w:val="000000"/>
                <w:sz w:val="13"/>
                <w:szCs w:val="13"/>
                <w:u w:val="single"/>
              </w:rPr>
            </w:pPr>
            <w:hyperlink w:anchor="_76_SQL_Server®" w:history="1">
              <w:r w:rsidRPr="001E1017">
                <w:rPr>
                  <w:rStyle w:val="Hyperlink"/>
                  <w:rFonts w:cs="Tahoma"/>
                  <w:b/>
                  <w:sz w:val="13"/>
                  <w:szCs w:val="13"/>
                </w:rPr>
                <w:t>76</w:t>
              </w:r>
            </w:hyperlink>
          </w:p>
        </w:tc>
        <w:tc>
          <w:tcPr>
            <w:tcW w:w="450" w:type="dxa"/>
            <w:shd w:val="clear" w:color="auto" w:fill="FFFFFF"/>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04/12</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FFFFF"/>
          </w:tcPr>
          <w:p w:rsidR="00A92422" w:rsidRPr="00D87B79" w:rsidRDefault="00A92422" w:rsidP="00EA30FC">
            <w:pPr>
              <w:pStyle w:val="TableText"/>
              <w:widowControl w:val="0"/>
              <w:rPr>
                <w:rFonts w:ascii="Tahoma" w:hAnsi="Tahoma" w:cs="Tahoma"/>
                <w:sz w:val="13"/>
              </w:rPr>
            </w:pPr>
          </w:p>
        </w:tc>
        <w:tc>
          <w:tcPr>
            <w:tcW w:w="486" w:type="dxa"/>
            <w:shd w:val="clear" w:color="auto" w:fill="FFFFF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ABF8F"/>
            <w:vAlign w:val="center"/>
          </w:tcPr>
          <w:p w:rsidR="00A92422" w:rsidRPr="00D87B79" w:rsidRDefault="00A92422" w:rsidP="00EA30FC">
            <w:pPr>
              <w:pStyle w:val="ProductNames"/>
              <w:spacing w:beforeLines="20" w:before="48" w:afterLines="20" w:after="48"/>
              <w:rPr>
                <w:rFonts w:ascii="Tahoma" w:hAnsi="Tahoma" w:cs="Tahoma"/>
                <w:sz w:val="14"/>
              </w:rPr>
            </w:pPr>
            <w:bookmarkStart w:id="427" w:name="_Toc336338057"/>
            <w:bookmarkStart w:id="428" w:name="_Toc342900105"/>
            <w:bookmarkEnd w:id="427"/>
            <w:r w:rsidRPr="00D87B79">
              <w:rPr>
                <w:rFonts w:ascii="Tahoma" w:hAnsi="Tahoma" w:cs="Tahoma"/>
                <w:position w:val="-6"/>
                <w:sz w:val="14"/>
                <w:lang w:val="it-IT"/>
              </w:rPr>
              <w:t>SQL Server</w:t>
            </w:r>
            <w:r w:rsidRPr="003A0F2F">
              <w:rPr>
                <w:rFonts w:ascii="Tahoma" w:hAnsi="Tahoma" w:cs="Tahoma"/>
                <w:color w:val="000000"/>
                <w:position w:val="-6"/>
                <w:sz w:val="18"/>
                <w:vertAlign w:val="superscript"/>
                <w:lang w:val="it-IT"/>
              </w:rPr>
              <w:t>®</w:t>
            </w:r>
            <w:r w:rsidRPr="00D87B79">
              <w:rPr>
                <w:rFonts w:ascii="Tahoma" w:hAnsi="Tahoma" w:cs="Tahoma"/>
                <w:position w:val="-6"/>
                <w:sz w:val="14"/>
                <w:lang w:val="it-IT"/>
              </w:rPr>
              <w:t xml:space="preserve"> 2012 Enterprise</w:t>
            </w:r>
            <w:bookmarkEnd w:id="428"/>
            <w:r w:rsidRPr="00D87B79">
              <w:rPr>
                <w:rFonts w:ascii="Tahoma" w:hAnsi="Tahoma" w:cs="Tahoma"/>
              </w:rPr>
              <w:t xml:space="preserve"> </w:t>
            </w:r>
          </w:p>
        </w:tc>
        <w:bookmarkStart w:id="429" w:name="_Hlt336251217"/>
        <w:bookmarkEnd w:id="429"/>
        <w:tc>
          <w:tcPr>
            <w:tcW w:w="450" w:type="dxa"/>
            <w:shd w:val="clear" w:color="auto" w:fill="FABF8F"/>
            <w:vAlign w:val="center"/>
          </w:tcPr>
          <w:p w:rsidR="00A92422" w:rsidRPr="001E1017" w:rsidRDefault="00A92422" w:rsidP="00EA30FC">
            <w:pPr>
              <w:pStyle w:val="TableText"/>
              <w:widowControl w:val="0"/>
              <w:rPr>
                <w:rStyle w:val="EndnoteReference"/>
                <w:rFonts w:cs="Tahoma"/>
                <w:color w:val="000000"/>
                <w:sz w:val="13"/>
                <w:szCs w:val="13"/>
                <w:u w:val="single"/>
              </w:rPr>
            </w:pPr>
            <w:r w:rsidRPr="001E1017">
              <w:rPr>
                <w:rFonts w:cs="Tahoma"/>
                <w:sz w:val="13"/>
                <w:szCs w:val="13"/>
              </w:rPr>
              <w:fldChar w:fldCharType="begin"/>
            </w:r>
            <w:r w:rsidRPr="001E1017">
              <w:rPr>
                <w:rFonts w:cs="Tahoma"/>
                <w:sz w:val="13"/>
                <w:szCs w:val="13"/>
              </w:rPr>
              <w:instrText>HYPERLINK  \l "_77_SQL_Server®"</w:instrText>
            </w:r>
            <w:r w:rsidRPr="001E1017">
              <w:rPr>
                <w:rFonts w:cs="Tahoma"/>
                <w:sz w:val="13"/>
                <w:szCs w:val="13"/>
              </w:rPr>
              <w:fldChar w:fldCharType="separate"/>
            </w:r>
            <w:r w:rsidRPr="001E1017">
              <w:rPr>
                <w:rStyle w:val="Hyperlink"/>
                <w:rFonts w:cs="Tahoma"/>
                <w:b/>
                <w:sz w:val="13"/>
                <w:szCs w:val="13"/>
              </w:rPr>
              <w:t>77</w:t>
            </w:r>
            <w:r w:rsidRPr="001E1017">
              <w:rPr>
                <w:rFonts w:cs="Tahoma"/>
                <w:sz w:val="13"/>
                <w:szCs w:val="13"/>
              </w:rPr>
              <w:fldChar w:fldCharType="end"/>
            </w:r>
          </w:p>
        </w:tc>
        <w:tc>
          <w:tcPr>
            <w:tcW w:w="450" w:type="dxa"/>
            <w:shd w:val="clear" w:color="auto" w:fill="FABF8F"/>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04/12</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75</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188</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150</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113</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113</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75</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38</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75</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150</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75</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75</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r w:rsidRPr="00D87B79">
              <w:rPr>
                <w:rFonts w:ascii="Tahoma" w:hAnsi="Tahoma" w:cs="Tahoma"/>
              </w:rPr>
              <w:t xml:space="preserve"> </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ABF8F"/>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FFFFF"/>
            <w:vAlign w:val="center"/>
          </w:tcPr>
          <w:p w:rsidR="00A92422" w:rsidRPr="00D87B79" w:rsidRDefault="00A92422" w:rsidP="00EA30FC">
            <w:pPr>
              <w:pStyle w:val="ProductNames"/>
              <w:spacing w:beforeLines="20" w:before="48" w:afterLines="20" w:after="48"/>
              <w:rPr>
                <w:rFonts w:ascii="Tahoma" w:hAnsi="Tahoma" w:cs="Tahoma"/>
                <w:sz w:val="14"/>
              </w:rPr>
            </w:pPr>
            <w:bookmarkStart w:id="430" w:name="_Toc336338058"/>
            <w:bookmarkStart w:id="431" w:name="_Toc342900106"/>
            <w:bookmarkEnd w:id="430"/>
            <w:r w:rsidRPr="00D87B79">
              <w:rPr>
                <w:rFonts w:ascii="Tahoma" w:hAnsi="Tahoma" w:cs="Tahoma"/>
                <w:position w:val="-6"/>
                <w:sz w:val="14"/>
                <w:lang w:val="it-IT"/>
              </w:rPr>
              <w:t>SQL Server</w:t>
            </w:r>
            <w:r w:rsidRPr="003A0F2F">
              <w:rPr>
                <w:rFonts w:ascii="Tahoma" w:hAnsi="Tahoma" w:cs="Tahoma"/>
                <w:color w:val="000000"/>
                <w:position w:val="-6"/>
                <w:sz w:val="18"/>
                <w:vertAlign w:val="superscript"/>
                <w:lang w:val="it-IT"/>
              </w:rPr>
              <w:t>®</w:t>
            </w:r>
            <w:r w:rsidRPr="00D87B79">
              <w:rPr>
                <w:rFonts w:ascii="Tahoma" w:hAnsi="Tahoma" w:cs="Tahoma"/>
                <w:position w:val="-6"/>
                <w:sz w:val="14"/>
                <w:lang w:val="it-IT"/>
              </w:rPr>
              <w:t xml:space="preserve"> 2012 Enterprise Core </w:t>
            </w:r>
            <w:r>
              <w:rPr>
                <w:rFonts w:ascii="Tahoma" w:hAnsi="Tahoma" w:cs="Tahoma"/>
                <w:position w:val="-6"/>
                <w:sz w:val="14"/>
                <w:lang w:val="it-IT"/>
              </w:rPr>
              <w:br/>
            </w:r>
            <w:r w:rsidRPr="00D87B79">
              <w:rPr>
                <w:rFonts w:ascii="Tahoma" w:hAnsi="Tahoma" w:cs="Tahoma"/>
                <w:position w:val="-6"/>
                <w:sz w:val="14"/>
                <w:lang w:val="it-IT"/>
              </w:rPr>
              <w:t>(2 Licenze Core per confezione)</w:t>
            </w:r>
            <w:bookmarkEnd w:id="431"/>
          </w:p>
        </w:tc>
        <w:bookmarkStart w:id="432" w:name="_Hlt336251224"/>
        <w:bookmarkEnd w:id="432"/>
        <w:tc>
          <w:tcPr>
            <w:tcW w:w="450" w:type="dxa"/>
            <w:shd w:val="clear" w:color="auto" w:fill="FFFFFF"/>
            <w:vAlign w:val="center"/>
          </w:tcPr>
          <w:p w:rsidR="00A92422" w:rsidRPr="001E1017" w:rsidRDefault="00A92422" w:rsidP="00EA30FC">
            <w:pPr>
              <w:pStyle w:val="TableText"/>
              <w:widowControl w:val="0"/>
              <w:rPr>
                <w:rStyle w:val="EndnoteReference"/>
                <w:rFonts w:cs="Tahoma"/>
                <w:b w:val="0"/>
                <w:color w:val="0000FF"/>
                <w:sz w:val="13"/>
                <w:szCs w:val="13"/>
                <w:u w:val="single"/>
              </w:rPr>
            </w:pPr>
            <w:r w:rsidRPr="001E1017">
              <w:rPr>
                <w:rFonts w:cs="Tahoma"/>
                <w:sz w:val="13"/>
                <w:szCs w:val="13"/>
              </w:rPr>
              <w:fldChar w:fldCharType="begin"/>
            </w:r>
            <w:r w:rsidRPr="001E1017">
              <w:rPr>
                <w:rFonts w:cs="Tahoma"/>
                <w:sz w:val="13"/>
                <w:szCs w:val="13"/>
              </w:rPr>
              <w:instrText>HYPERLINK  \l "_78_SQL_Server®"</w:instrText>
            </w:r>
            <w:r w:rsidRPr="001E1017">
              <w:rPr>
                <w:rFonts w:cs="Tahoma"/>
                <w:sz w:val="13"/>
                <w:szCs w:val="13"/>
              </w:rPr>
              <w:fldChar w:fldCharType="separate"/>
            </w:r>
            <w:r w:rsidRPr="001E1017">
              <w:rPr>
                <w:rStyle w:val="Hyperlink"/>
                <w:rFonts w:cs="Tahoma"/>
                <w:b/>
                <w:sz w:val="13"/>
                <w:szCs w:val="13"/>
              </w:rPr>
              <w:t>78</w:t>
            </w:r>
            <w:r w:rsidRPr="001E1017">
              <w:rPr>
                <w:rFonts w:cs="Tahoma"/>
                <w:sz w:val="13"/>
                <w:szCs w:val="13"/>
              </w:rPr>
              <w:fldChar w:fldCharType="end"/>
            </w:r>
          </w:p>
        </w:tc>
        <w:tc>
          <w:tcPr>
            <w:tcW w:w="450" w:type="dxa"/>
            <w:shd w:val="clear" w:color="auto" w:fill="FFFFFF"/>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04/12</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125</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313</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250</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188</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188</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125</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63</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125</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250</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125</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125</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FFFFF"/>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86"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OL/OV</w:t>
            </w:r>
          </w:p>
        </w:tc>
      </w:tr>
      <w:tr w:rsidR="00A92422" w:rsidRPr="00D87B79" w:rsidTr="00EA30FC">
        <w:trPr>
          <w:trHeight w:val="145"/>
        </w:trPr>
        <w:tc>
          <w:tcPr>
            <w:tcW w:w="2714" w:type="dxa"/>
            <w:shd w:val="clear" w:color="auto" w:fill="FABF8F"/>
            <w:vAlign w:val="center"/>
          </w:tcPr>
          <w:p w:rsidR="00A92422" w:rsidRPr="00D87B79" w:rsidRDefault="00A92422" w:rsidP="00EA30FC">
            <w:pPr>
              <w:pStyle w:val="ProductNames"/>
              <w:spacing w:beforeLines="20" w:before="48" w:afterLines="20" w:after="48"/>
              <w:rPr>
                <w:rFonts w:ascii="Tahoma" w:hAnsi="Tahoma" w:cs="Tahoma"/>
                <w:sz w:val="14"/>
              </w:rPr>
            </w:pPr>
            <w:bookmarkStart w:id="433" w:name="_Toc336338059"/>
            <w:bookmarkStart w:id="434" w:name="_Toc342900107"/>
            <w:bookmarkEnd w:id="433"/>
            <w:r w:rsidRPr="00D87B79">
              <w:rPr>
                <w:rFonts w:ascii="Tahoma" w:hAnsi="Tahoma" w:cs="Tahoma"/>
                <w:position w:val="-6"/>
                <w:sz w:val="14"/>
                <w:lang w:val="it-IT"/>
              </w:rPr>
              <w:t>SQL Server</w:t>
            </w:r>
            <w:r w:rsidRPr="003A0F2F">
              <w:rPr>
                <w:rFonts w:ascii="Tahoma" w:hAnsi="Tahoma" w:cs="Tahoma"/>
                <w:color w:val="000000"/>
                <w:position w:val="-6"/>
                <w:sz w:val="18"/>
                <w:vertAlign w:val="superscript"/>
                <w:lang w:val="it-IT"/>
              </w:rPr>
              <w:t>®</w:t>
            </w:r>
            <w:r w:rsidRPr="00D87B79">
              <w:rPr>
                <w:rFonts w:ascii="Tahoma" w:hAnsi="Tahoma" w:cs="Tahoma"/>
                <w:position w:val="-6"/>
                <w:sz w:val="14"/>
                <w:lang w:val="it-IT"/>
              </w:rPr>
              <w:t xml:space="preserve"> 2012 Standard</w:t>
            </w:r>
            <w:bookmarkEnd w:id="434"/>
            <w:r w:rsidRPr="00D87B79">
              <w:rPr>
                <w:rFonts w:ascii="Tahoma" w:hAnsi="Tahoma" w:cs="Tahoma"/>
              </w:rPr>
              <w:t xml:space="preserve"> </w:t>
            </w:r>
          </w:p>
        </w:tc>
        <w:bookmarkStart w:id="435" w:name="_Hlt336251233"/>
        <w:bookmarkEnd w:id="435"/>
        <w:tc>
          <w:tcPr>
            <w:tcW w:w="450" w:type="dxa"/>
            <w:shd w:val="clear" w:color="auto" w:fill="FABF8F"/>
            <w:vAlign w:val="center"/>
          </w:tcPr>
          <w:p w:rsidR="00A92422" w:rsidRPr="001E1017" w:rsidRDefault="00A92422" w:rsidP="00EA30FC">
            <w:pPr>
              <w:pStyle w:val="TableText"/>
              <w:widowControl w:val="0"/>
              <w:rPr>
                <w:rStyle w:val="EndnoteReference"/>
                <w:rFonts w:cs="Tahoma"/>
                <w:color w:val="0000FF"/>
                <w:sz w:val="13"/>
                <w:szCs w:val="13"/>
                <w:u w:val="single"/>
              </w:rPr>
            </w:pPr>
            <w:r w:rsidRPr="001E1017">
              <w:rPr>
                <w:rFonts w:cs="Tahoma"/>
                <w:sz w:val="13"/>
                <w:szCs w:val="13"/>
              </w:rPr>
              <w:fldChar w:fldCharType="begin"/>
            </w:r>
            <w:r w:rsidRPr="001E1017">
              <w:rPr>
                <w:rFonts w:cs="Tahoma"/>
                <w:sz w:val="13"/>
                <w:szCs w:val="13"/>
              </w:rPr>
              <w:instrText>HYPERLINK  \l "_79_SQL_Server®"</w:instrText>
            </w:r>
            <w:r w:rsidRPr="001E1017">
              <w:rPr>
                <w:rFonts w:cs="Tahoma"/>
                <w:sz w:val="13"/>
                <w:szCs w:val="13"/>
              </w:rPr>
              <w:fldChar w:fldCharType="separate"/>
            </w:r>
            <w:r w:rsidRPr="001E1017">
              <w:rPr>
                <w:rStyle w:val="Hyperlink"/>
                <w:rFonts w:cs="Tahoma"/>
                <w:b/>
                <w:sz w:val="13"/>
                <w:szCs w:val="13"/>
              </w:rPr>
              <w:t>79</w:t>
            </w:r>
            <w:r w:rsidRPr="001E1017">
              <w:rPr>
                <w:rFonts w:cs="Tahoma"/>
                <w:sz w:val="13"/>
                <w:szCs w:val="13"/>
              </w:rPr>
              <w:fldChar w:fldCharType="end"/>
            </w:r>
          </w:p>
        </w:tc>
        <w:tc>
          <w:tcPr>
            <w:tcW w:w="450" w:type="dxa"/>
            <w:shd w:val="clear" w:color="auto" w:fill="FABF8F"/>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04/12</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15</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38</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30</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23</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23</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15</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8</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15</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30</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15</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15</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ABF8F"/>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FFFFF"/>
            <w:vAlign w:val="center"/>
          </w:tcPr>
          <w:p w:rsidR="00A92422" w:rsidRPr="00D87B79" w:rsidRDefault="00A92422" w:rsidP="00EA30FC">
            <w:pPr>
              <w:pStyle w:val="ProductNames"/>
              <w:spacing w:beforeLines="20" w:before="48" w:afterLines="20" w:after="48"/>
              <w:rPr>
                <w:rFonts w:ascii="Tahoma" w:hAnsi="Tahoma" w:cs="Tahoma"/>
                <w:sz w:val="14"/>
              </w:rPr>
            </w:pPr>
            <w:bookmarkStart w:id="436" w:name="_Toc336338060"/>
            <w:bookmarkStart w:id="437" w:name="_Toc342900108"/>
            <w:bookmarkEnd w:id="436"/>
            <w:r w:rsidRPr="00D87B79">
              <w:rPr>
                <w:rFonts w:ascii="Tahoma" w:hAnsi="Tahoma" w:cs="Tahoma"/>
                <w:position w:val="-6"/>
                <w:sz w:val="14"/>
                <w:lang w:val="it-IT"/>
              </w:rPr>
              <w:t>SQL Server</w:t>
            </w:r>
            <w:r w:rsidRPr="003A0F2F">
              <w:rPr>
                <w:rFonts w:ascii="Tahoma" w:hAnsi="Tahoma" w:cs="Tahoma"/>
                <w:position w:val="-6"/>
                <w:sz w:val="18"/>
                <w:vertAlign w:val="superscript"/>
                <w:lang w:val="it-IT"/>
              </w:rPr>
              <w:t>®</w:t>
            </w:r>
            <w:r w:rsidRPr="00D87B79">
              <w:rPr>
                <w:rFonts w:ascii="Tahoma" w:hAnsi="Tahoma" w:cs="Tahoma"/>
                <w:position w:val="-6"/>
                <w:sz w:val="14"/>
                <w:lang w:val="it-IT"/>
              </w:rPr>
              <w:t xml:space="preserve"> 2012 Standard Core </w:t>
            </w:r>
            <w:r>
              <w:rPr>
                <w:rFonts w:ascii="Tahoma" w:hAnsi="Tahoma" w:cs="Tahoma"/>
                <w:position w:val="-6"/>
                <w:sz w:val="14"/>
                <w:lang w:val="it-IT"/>
              </w:rPr>
              <w:br/>
            </w:r>
            <w:r w:rsidRPr="00D87B79">
              <w:rPr>
                <w:rFonts w:ascii="Tahoma" w:hAnsi="Tahoma" w:cs="Tahoma"/>
                <w:position w:val="-6"/>
                <w:sz w:val="14"/>
                <w:lang w:val="it-IT"/>
              </w:rPr>
              <w:t>(2 Licenze Core per confezione)</w:t>
            </w:r>
            <w:bookmarkEnd w:id="437"/>
          </w:p>
        </w:tc>
        <w:tc>
          <w:tcPr>
            <w:tcW w:w="450" w:type="dxa"/>
            <w:shd w:val="clear" w:color="auto" w:fill="FFFFFF"/>
            <w:vAlign w:val="center"/>
          </w:tcPr>
          <w:p w:rsidR="00A92422" w:rsidRPr="001E1017" w:rsidRDefault="00A92422" w:rsidP="00EA30FC">
            <w:pPr>
              <w:pStyle w:val="TableText"/>
              <w:widowControl w:val="0"/>
              <w:rPr>
                <w:rStyle w:val="EndnoteReference"/>
                <w:rFonts w:cs="Tahoma"/>
                <w:color w:val="000000"/>
                <w:sz w:val="13"/>
                <w:szCs w:val="13"/>
                <w:u w:val="single"/>
              </w:rPr>
            </w:pPr>
            <w:hyperlink w:anchor="_80_SQL_Server®" w:history="1">
              <w:r w:rsidRPr="001E1017">
                <w:rPr>
                  <w:rStyle w:val="Hyperlink"/>
                  <w:rFonts w:cs="Tahoma"/>
                  <w:b/>
                  <w:sz w:val="13"/>
                  <w:szCs w:val="13"/>
                </w:rPr>
                <w:t>80</w:t>
              </w:r>
            </w:hyperlink>
          </w:p>
        </w:tc>
        <w:tc>
          <w:tcPr>
            <w:tcW w:w="450" w:type="dxa"/>
            <w:shd w:val="clear" w:color="auto" w:fill="FFFFFF"/>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04/12</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125</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100</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75</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75</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25</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100</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FFFFF"/>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86"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OL/OV</w:t>
            </w:r>
          </w:p>
        </w:tc>
      </w:tr>
      <w:tr w:rsidR="00A92422" w:rsidRPr="00D87B79" w:rsidTr="00EA30FC">
        <w:trPr>
          <w:trHeight w:val="145"/>
        </w:trPr>
        <w:tc>
          <w:tcPr>
            <w:tcW w:w="2714" w:type="dxa"/>
            <w:shd w:val="clear" w:color="auto" w:fill="FABF8F"/>
            <w:vAlign w:val="center"/>
          </w:tcPr>
          <w:p w:rsidR="00A92422" w:rsidRPr="00D87B79" w:rsidRDefault="00A92422" w:rsidP="00EA30FC">
            <w:pPr>
              <w:pStyle w:val="ProductNames"/>
              <w:spacing w:beforeLines="20" w:before="48" w:afterLines="20" w:after="48"/>
              <w:rPr>
                <w:rFonts w:ascii="Tahoma" w:hAnsi="Tahoma" w:cs="Tahoma"/>
                <w:sz w:val="14"/>
                <w:szCs w:val="18"/>
              </w:rPr>
            </w:pPr>
            <w:bookmarkStart w:id="438" w:name="_Toc336338061"/>
            <w:bookmarkStart w:id="439" w:name="_Toc342900109"/>
            <w:bookmarkEnd w:id="438"/>
            <w:r w:rsidRPr="00D87B79">
              <w:rPr>
                <w:rFonts w:ascii="Tahoma" w:hAnsi="Tahoma" w:cs="Tahoma"/>
                <w:sz w:val="14"/>
                <w:lang w:val="it-IT"/>
              </w:rPr>
              <w:t>System Center Configuration Manager</w:t>
            </w:r>
            <w:r>
              <w:rPr>
                <w:rFonts w:ascii="Tahoma" w:hAnsi="Tahoma" w:cs="Tahoma"/>
                <w:sz w:val="14"/>
                <w:lang w:val="it-IT"/>
              </w:rPr>
              <w:t> </w:t>
            </w:r>
            <w:r w:rsidRPr="00D87B79">
              <w:rPr>
                <w:rFonts w:ascii="Tahoma" w:hAnsi="Tahoma" w:cs="Tahoma"/>
                <w:sz w:val="14"/>
                <w:lang w:val="it-IT"/>
              </w:rPr>
              <w:t>2007 R3</w:t>
            </w:r>
            <w:bookmarkEnd w:id="439"/>
          </w:p>
        </w:tc>
        <w:tc>
          <w:tcPr>
            <w:tcW w:w="450" w:type="dxa"/>
            <w:shd w:val="clear" w:color="auto" w:fill="FABF8F"/>
            <w:vAlign w:val="center"/>
          </w:tcPr>
          <w:p w:rsidR="00A92422" w:rsidRPr="001E1017" w:rsidRDefault="00A92422" w:rsidP="00EA30FC">
            <w:pPr>
              <w:pStyle w:val="TableText"/>
              <w:widowControl w:val="0"/>
              <w:rPr>
                <w:rStyle w:val="EndnoteReference"/>
                <w:rFonts w:cs="Tahoma"/>
                <w:color w:val="000000"/>
                <w:sz w:val="13"/>
                <w:szCs w:val="13"/>
                <w:u w:val="single"/>
              </w:rPr>
            </w:pPr>
            <w:hyperlink w:anchor="_81_Licenze_di" w:history="1">
              <w:r w:rsidRPr="001E1017">
                <w:rPr>
                  <w:rStyle w:val="Hyperlink"/>
                  <w:rFonts w:cs="Tahoma"/>
                  <w:b/>
                  <w:sz w:val="13"/>
                  <w:szCs w:val="13"/>
                </w:rPr>
                <w:t>81</w:t>
              </w:r>
            </w:hyperlink>
          </w:p>
        </w:tc>
        <w:tc>
          <w:tcPr>
            <w:tcW w:w="450" w:type="dxa"/>
            <w:shd w:val="clear" w:color="auto" w:fill="FABF8F"/>
          </w:tcPr>
          <w:p w:rsidR="00A92422" w:rsidRPr="00D87B79" w:rsidRDefault="00A92422" w:rsidP="00EA30FC">
            <w:pPr>
              <w:pStyle w:val="TableText"/>
              <w:widowControl w:val="0"/>
              <w:spacing w:before="120"/>
              <w:rPr>
                <w:rFonts w:ascii="Tahoma" w:hAnsi="Tahoma" w:cs="Tahoma"/>
                <w:color w:val="000000"/>
                <w:sz w:val="13"/>
              </w:rPr>
            </w:pPr>
            <w:r w:rsidRPr="00D87B79">
              <w:rPr>
                <w:rFonts w:ascii="Tahoma" w:hAnsi="Tahoma" w:cs="Tahoma"/>
                <w:color w:val="000000"/>
                <w:sz w:val="13"/>
              </w:rPr>
              <w:t>11/10</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5</w:t>
            </w: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5</w:t>
            </w: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504" w:type="dxa"/>
            <w:shd w:val="clear" w:color="auto" w:fill="FABF8F"/>
          </w:tcPr>
          <w:p w:rsidR="00A92422" w:rsidRPr="00D87B79" w:rsidRDefault="00A92422" w:rsidP="00EA30FC">
            <w:pPr>
              <w:pStyle w:val="TableText"/>
              <w:widowControl w:val="0"/>
              <w:rPr>
                <w:rFonts w:ascii="Tahoma" w:hAnsi="Tahoma" w:cs="Tahoma"/>
                <w:color w:val="000000"/>
                <w:sz w:val="13"/>
              </w:rPr>
            </w:pPr>
          </w:p>
        </w:tc>
        <w:tc>
          <w:tcPr>
            <w:tcW w:w="486"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r>
      <w:tr w:rsidR="00A92422" w:rsidRPr="00D87B79" w:rsidTr="00EA30FC">
        <w:trPr>
          <w:trHeight w:val="145"/>
        </w:trPr>
        <w:tc>
          <w:tcPr>
            <w:tcW w:w="2714" w:type="dxa"/>
            <w:shd w:val="clear" w:color="auto" w:fill="FFFFFF"/>
            <w:vAlign w:val="center"/>
          </w:tcPr>
          <w:p w:rsidR="00A92422" w:rsidRPr="00D87B79" w:rsidRDefault="00A92422" w:rsidP="00EA30FC">
            <w:pPr>
              <w:pStyle w:val="ProductNames"/>
              <w:spacing w:beforeLines="20" w:before="48" w:afterLines="20" w:after="48"/>
              <w:rPr>
                <w:rFonts w:ascii="Tahoma" w:hAnsi="Tahoma" w:cs="Tahoma"/>
                <w:sz w:val="14"/>
              </w:rPr>
            </w:pPr>
            <w:bookmarkStart w:id="440" w:name="_Toc336338062"/>
            <w:bookmarkStart w:id="441" w:name="_Toc342900110"/>
            <w:bookmarkEnd w:id="440"/>
            <w:r w:rsidRPr="00D87B79">
              <w:rPr>
                <w:rFonts w:ascii="Tahoma" w:hAnsi="Tahoma" w:cs="Tahoma"/>
                <w:sz w:val="14"/>
                <w:lang w:val="it-IT"/>
              </w:rPr>
              <w:t>Licenza di Gestione Server Enterprise per</w:t>
            </w:r>
            <w:r>
              <w:rPr>
                <w:rFonts w:ascii="Tahoma" w:hAnsi="Tahoma" w:cs="Tahoma"/>
                <w:sz w:val="14"/>
                <w:lang w:val="it-IT"/>
              </w:rPr>
              <w:t> </w:t>
            </w:r>
            <w:r w:rsidRPr="00D87B79">
              <w:rPr>
                <w:rFonts w:ascii="Tahoma" w:hAnsi="Tahoma" w:cs="Tahoma"/>
                <w:sz w:val="14"/>
                <w:lang w:val="it-IT"/>
              </w:rPr>
              <w:t>System Center Configuration Manager</w:t>
            </w:r>
            <w:r>
              <w:rPr>
                <w:rFonts w:ascii="Tahoma" w:hAnsi="Tahoma" w:cs="Tahoma"/>
                <w:sz w:val="14"/>
                <w:lang w:val="it-IT"/>
              </w:rPr>
              <w:t> </w:t>
            </w:r>
            <w:r w:rsidRPr="00D87B79">
              <w:rPr>
                <w:rFonts w:ascii="Tahoma" w:hAnsi="Tahoma" w:cs="Tahoma"/>
                <w:sz w:val="14"/>
                <w:lang w:val="it-IT"/>
              </w:rPr>
              <w:t>2007 R3</w:t>
            </w:r>
            <w:bookmarkEnd w:id="441"/>
            <w:r w:rsidRPr="00D87B79">
              <w:rPr>
                <w:rFonts w:ascii="Tahoma" w:hAnsi="Tahoma" w:cs="Tahoma"/>
                <w:sz w:val="14"/>
              </w:rPr>
              <w:t xml:space="preserve"> </w:t>
            </w:r>
          </w:p>
        </w:tc>
        <w:tc>
          <w:tcPr>
            <w:tcW w:w="450" w:type="dxa"/>
            <w:shd w:val="clear" w:color="auto" w:fill="FFFFFF"/>
            <w:vAlign w:val="center"/>
          </w:tcPr>
          <w:p w:rsidR="00A92422" w:rsidRPr="001E1017" w:rsidRDefault="00A92422" w:rsidP="00EA30FC">
            <w:pPr>
              <w:pStyle w:val="TableText"/>
              <w:widowControl w:val="0"/>
              <w:rPr>
                <w:rStyle w:val="EndnoteReference"/>
                <w:rFonts w:cs="Tahoma"/>
                <w:color w:val="0000FF"/>
                <w:sz w:val="13"/>
                <w:szCs w:val="13"/>
                <w:u w:val="single"/>
              </w:rPr>
            </w:pPr>
          </w:p>
        </w:tc>
        <w:tc>
          <w:tcPr>
            <w:tcW w:w="450" w:type="dxa"/>
            <w:shd w:val="clear" w:color="auto" w:fill="FFFFFF"/>
          </w:tcPr>
          <w:p w:rsidR="00A92422" w:rsidRPr="00D87B79" w:rsidRDefault="00A92422" w:rsidP="00EA30FC">
            <w:pPr>
              <w:pStyle w:val="TableText"/>
              <w:widowControl w:val="0"/>
              <w:spacing w:before="180"/>
              <w:rPr>
                <w:rFonts w:ascii="Tahoma" w:hAnsi="Tahoma" w:cs="Tahoma"/>
                <w:color w:val="000000"/>
                <w:sz w:val="13"/>
              </w:rPr>
            </w:pPr>
            <w:r w:rsidRPr="00D87B79">
              <w:rPr>
                <w:rFonts w:ascii="Tahoma" w:hAnsi="Tahoma" w:cs="Tahoma"/>
                <w:color w:val="000000"/>
                <w:sz w:val="13"/>
              </w:rPr>
              <w:t>11/10</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SRV</w:t>
            </w: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5</w:t>
            </w: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5</w:t>
            </w: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5</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c>
          <w:tcPr>
            <w:tcW w:w="504" w:type="dxa"/>
            <w:shd w:val="clear" w:color="auto" w:fill="FFFFFF"/>
          </w:tcPr>
          <w:p w:rsidR="00A92422" w:rsidRPr="00D87B79" w:rsidRDefault="00A92422" w:rsidP="00EA30FC">
            <w:pPr>
              <w:pStyle w:val="TableText"/>
              <w:widowControl w:val="0"/>
              <w:rPr>
                <w:rFonts w:ascii="Tahoma" w:hAnsi="Tahoma" w:cs="Tahoma"/>
                <w:color w:val="000000"/>
                <w:sz w:val="13"/>
              </w:rPr>
            </w:pPr>
          </w:p>
        </w:tc>
        <w:tc>
          <w:tcPr>
            <w:tcW w:w="486"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r>
      <w:tr w:rsidR="00A92422" w:rsidRPr="00D87B79" w:rsidTr="00EA30FC">
        <w:trPr>
          <w:trHeight w:val="145"/>
        </w:trPr>
        <w:tc>
          <w:tcPr>
            <w:tcW w:w="2714" w:type="dxa"/>
            <w:shd w:val="clear" w:color="auto" w:fill="FABF8F"/>
            <w:vAlign w:val="center"/>
          </w:tcPr>
          <w:p w:rsidR="00A92422" w:rsidRPr="00D87B79" w:rsidRDefault="00A92422" w:rsidP="00EA30FC">
            <w:pPr>
              <w:pStyle w:val="ProductNames"/>
              <w:spacing w:beforeLines="20" w:before="48" w:afterLines="20" w:after="48"/>
              <w:rPr>
                <w:rFonts w:ascii="Tahoma" w:hAnsi="Tahoma" w:cs="Tahoma"/>
                <w:sz w:val="14"/>
              </w:rPr>
            </w:pPr>
            <w:bookmarkStart w:id="442" w:name="_Toc336338063"/>
            <w:bookmarkStart w:id="443" w:name="_Toc342900111"/>
            <w:bookmarkEnd w:id="442"/>
            <w:r w:rsidRPr="00D87B79">
              <w:rPr>
                <w:rFonts w:ascii="Tahoma" w:hAnsi="Tahoma" w:cs="Tahoma"/>
                <w:sz w:val="14"/>
                <w:lang w:val="it-IT"/>
              </w:rPr>
              <w:t>Licenza di Gestione Server Standard (Standard Server ML) per System Center Configuration Manager 2007 R3</w:t>
            </w:r>
            <w:bookmarkEnd w:id="443"/>
          </w:p>
        </w:tc>
        <w:tc>
          <w:tcPr>
            <w:tcW w:w="450" w:type="dxa"/>
            <w:shd w:val="clear" w:color="auto" w:fill="FABF8F"/>
            <w:vAlign w:val="center"/>
          </w:tcPr>
          <w:p w:rsidR="00A92422" w:rsidRPr="001E1017" w:rsidRDefault="00A92422" w:rsidP="00EA30FC">
            <w:pPr>
              <w:pStyle w:val="TableText"/>
              <w:widowControl w:val="0"/>
              <w:rPr>
                <w:rStyle w:val="EndnoteReference"/>
                <w:rFonts w:cs="Tahoma"/>
                <w:color w:val="0000FF"/>
                <w:sz w:val="13"/>
                <w:szCs w:val="13"/>
                <w:u w:val="single"/>
              </w:rPr>
            </w:pPr>
          </w:p>
        </w:tc>
        <w:tc>
          <w:tcPr>
            <w:tcW w:w="450" w:type="dxa"/>
            <w:shd w:val="clear" w:color="auto" w:fill="FABF8F"/>
          </w:tcPr>
          <w:p w:rsidR="00A92422" w:rsidRPr="00D87B79" w:rsidRDefault="00A92422" w:rsidP="00EA30FC">
            <w:pPr>
              <w:pStyle w:val="TableText"/>
              <w:widowControl w:val="0"/>
              <w:spacing w:before="180"/>
              <w:rPr>
                <w:rFonts w:ascii="Tahoma" w:hAnsi="Tahoma" w:cs="Tahoma"/>
                <w:color w:val="000000"/>
                <w:sz w:val="13"/>
              </w:rPr>
            </w:pPr>
            <w:r w:rsidRPr="00D87B79">
              <w:rPr>
                <w:rFonts w:ascii="Tahoma" w:hAnsi="Tahoma" w:cs="Tahoma"/>
                <w:color w:val="000000"/>
                <w:sz w:val="13"/>
              </w:rPr>
              <w:t>11/10</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504" w:type="dxa"/>
            <w:shd w:val="clear" w:color="auto" w:fill="FABF8F"/>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lang w:val="it-IT"/>
              </w:rPr>
              <w:t>A</w:t>
            </w:r>
          </w:p>
        </w:tc>
        <w:tc>
          <w:tcPr>
            <w:tcW w:w="486"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r>
      <w:tr w:rsidR="00A92422" w:rsidRPr="00D87B79" w:rsidTr="00EA30FC">
        <w:trPr>
          <w:trHeight w:val="145"/>
        </w:trPr>
        <w:tc>
          <w:tcPr>
            <w:tcW w:w="2714" w:type="dxa"/>
            <w:shd w:val="clear" w:color="auto" w:fill="FFFFFF"/>
            <w:vAlign w:val="center"/>
          </w:tcPr>
          <w:p w:rsidR="00A92422" w:rsidRPr="00D87B79" w:rsidRDefault="00A92422" w:rsidP="00EA30FC">
            <w:pPr>
              <w:pStyle w:val="ProductNames"/>
              <w:spacing w:beforeLines="20" w:before="48" w:afterLines="20" w:after="48"/>
              <w:rPr>
                <w:rFonts w:ascii="Tahoma" w:hAnsi="Tahoma" w:cs="Tahoma"/>
                <w:sz w:val="14"/>
              </w:rPr>
            </w:pPr>
            <w:bookmarkStart w:id="444" w:name="_Toc336338064"/>
            <w:bookmarkStart w:id="445" w:name="_Toc342900112"/>
            <w:bookmarkEnd w:id="444"/>
            <w:r w:rsidRPr="00D87B79">
              <w:rPr>
                <w:rFonts w:ascii="Tahoma" w:hAnsi="Tahoma" w:cs="Tahoma"/>
                <w:sz w:val="14"/>
                <w:lang w:val="it-IT"/>
              </w:rPr>
              <w:t>System Center Configuration Manager 2007 R3 con Tecnologia SQL Server 2008</w:t>
            </w:r>
            <w:bookmarkEnd w:id="445"/>
          </w:p>
        </w:tc>
        <w:tc>
          <w:tcPr>
            <w:tcW w:w="450" w:type="dxa"/>
            <w:shd w:val="clear" w:color="auto" w:fill="FFFFFF"/>
            <w:vAlign w:val="center"/>
          </w:tcPr>
          <w:p w:rsidR="00A92422" w:rsidRPr="001E1017" w:rsidRDefault="00A92422" w:rsidP="00EA30FC">
            <w:pPr>
              <w:pStyle w:val="TableText"/>
              <w:widowControl w:val="0"/>
              <w:rPr>
                <w:rStyle w:val="EndnoteReference"/>
                <w:rFonts w:cs="Tahoma"/>
                <w:color w:val="0000FF"/>
                <w:sz w:val="13"/>
                <w:szCs w:val="13"/>
                <w:u w:val="single"/>
              </w:rPr>
            </w:pPr>
          </w:p>
        </w:tc>
        <w:tc>
          <w:tcPr>
            <w:tcW w:w="450" w:type="dxa"/>
            <w:shd w:val="clear" w:color="auto" w:fill="FFFFFF"/>
          </w:tcPr>
          <w:p w:rsidR="00A92422" w:rsidRPr="00D87B79" w:rsidRDefault="00A92422" w:rsidP="00EA30FC">
            <w:pPr>
              <w:pStyle w:val="TableText"/>
              <w:widowControl w:val="0"/>
              <w:spacing w:before="180"/>
              <w:rPr>
                <w:rFonts w:ascii="Tahoma" w:hAnsi="Tahoma" w:cs="Tahoma"/>
                <w:color w:val="000000"/>
                <w:sz w:val="13"/>
              </w:rPr>
            </w:pPr>
            <w:r w:rsidRPr="00D87B79">
              <w:rPr>
                <w:rFonts w:ascii="Tahoma" w:hAnsi="Tahoma" w:cs="Tahoma"/>
                <w:color w:val="000000"/>
                <w:sz w:val="13"/>
              </w:rPr>
              <w:t>11/10</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SRV</w:t>
            </w: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25</w:t>
            </w: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 xml:space="preserve"> </w:t>
            </w: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25</w:t>
            </w: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c>
          <w:tcPr>
            <w:tcW w:w="504" w:type="dxa"/>
            <w:shd w:val="clear" w:color="auto" w:fill="FFFFFF"/>
          </w:tcPr>
          <w:p w:rsidR="00A92422" w:rsidRPr="00D87B79" w:rsidRDefault="00A92422" w:rsidP="00EA30FC">
            <w:pPr>
              <w:pStyle w:val="TableText"/>
              <w:widowControl w:val="0"/>
              <w:rPr>
                <w:rFonts w:ascii="Tahoma" w:hAnsi="Tahoma" w:cs="Tahoma"/>
                <w:color w:val="000000"/>
                <w:sz w:val="13"/>
              </w:rPr>
            </w:pPr>
          </w:p>
        </w:tc>
        <w:tc>
          <w:tcPr>
            <w:tcW w:w="486"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r>
      <w:tr w:rsidR="00A92422" w:rsidRPr="00D87B79" w:rsidTr="00EA30FC">
        <w:trPr>
          <w:trHeight w:val="145"/>
        </w:trPr>
        <w:tc>
          <w:tcPr>
            <w:tcW w:w="2714" w:type="dxa"/>
            <w:shd w:val="clear" w:color="auto" w:fill="FABF8F"/>
            <w:vAlign w:val="center"/>
          </w:tcPr>
          <w:p w:rsidR="00A92422" w:rsidRPr="00D87B79" w:rsidRDefault="00A92422" w:rsidP="00EA30FC">
            <w:pPr>
              <w:pStyle w:val="ProductNames"/>
              <w:spacing w:beforeLines="20" w:before="48" w:afterLines="20" w:after="48"/>
              <w:rPr>
                <w:rFonts w:ascii="Tahoma" w:hAnsi="Tahoma" w:cs="Tahoma"/>
                <w:sz w:val="14"/>
              </w:rPr>
            </w:pPr>
            <w:bookmarkStart w:id="446" w:name="_Toc257333901"/>
            <w:bookmarkStart w:id="447" w:name="_Toc336338065"/>
            <w:bookmarkStart w:id="448" w:name="_Toc342900113"/>
            <w:bookmarkEnd w:id="446"/>
            <w:bookmarkEnd w:id="447"/>
            <w:r w:rsidRPr="00D87B79">
              <w:rPr>
                <w:rFonts w:ascii="Tahoma" w:hAnsi="Tahoma" w:cs="Tahoma"/>
                <w:sz w:val="14"/>
                <w:lang w:val="it-IT"/>
              </w:rPr>
              <w:t>Licenza di Gestione Client per Utente per</w:t>
            </w:r>
            <w:r>
              <w:rPr>
                <w:rFonts w:ascii="Tahoma" w:hAnsi="Tahoma" w:cs="Tahoma"/>
                <w:sz w:val="14"/>
                <w:lang w:val="it-IT"/>
              </w:rPr>
              <w:t> </w:t>
            </w:r>
            <w:r w:rsidRPr="00D87B79">
              <w:rPr>
                <w:rFonts w:ascii="Tahoma" w:hAnsi="Tahoma" w:cs="Tahoma"/>
                <w:sz w:val="14"/>
                <w:lang w:val="it-IT"/>
              </w:rPr>
              <w:t>System Center Data Protection Manager 2010</w:t>
            </w:r>
            <w:bookmarkEnd w:id="448"/>
          </w:p>
        </w:tc>
        <w:tc>
          <w:tcPr>
            <w:tcW w:w="450" w:type="dxa"/>
            <w:shd w:val="clear" w:color="auto" w:fill="FABF8F"/>
            <w:vAlign w:val="center"/>
          </w:tcPr>
          <w:p w:rsidR="00A92422" w:rsidRPr="001E1017" w:rsidRDefault="00A92422" w:rsidP="00EA30FC">
            <w:pPr>
              <w:pStyle w:val="TableText"/>
              <w:widowControl w:val="0"/>
              <w:rPr>
                <w:rStyle w:val="EndnoteReference"/>
                <w:rFonts w:cs="Tahoma"/>
                <w:sz w:val="13"/>
                <w:szCs w:val="13"/>
                <w:u w:val="single"/>
              </w:rPr>
            </w:pPr>
            <w:hyperlink w:anchor="_82_Licenze_di" w:history="1">
              <w:r w:rsidRPr="001E1017">
                <w:rPr>
                  <w:rStyle w:val="Hyperlink"/>
                  <w:rFonts w:cs="Tahoma"/>
                  <w:b/>
                  <w:sz w:val="13"/>
                  <w:szCs w:val="13"/>
                </w:rPr>
                <w:t>82</w:t>
              </w:r>
            </w:hyperlink>
          </w:p>
        </w:tc>
        <w:tc>
          <w:tcPr>
            <w:tcW w:w="450" w:type="dxa"/>
            <w:shd w:val="clear" w:color="auto" w:fill="FABF8F"/>
          </w:tcPr>
          <w:p w:rsidR="00A92422" w:rsidRPr="00D87B79" w:rsidRDefault="00A92422" w:rsidP="00EA30FC">
            <w:pPr>
              <w:pStyle w:val="TableText"/>
              <w:widowControl w:val="0"/>
              <w:spacing w:before="120"/>
              <w:rPr>
                <w:rFonts w:ascii="Tahoma" w:hAnsi="Tahoma" w:cs="Tahoma"/>
                <w:color w:val="000000"/>
                <w:sz w:val="13"/>
              </w:rPr>
            </w:pPr>
            <w:r w:rsidRPr="00D87B79">
              <w:rPr>
                <w:rFonts w:ascii="Tahoma" w:hAnsi="Tahoma" w:cs="Tahoma"/>
                <w:sz w:val="13"/>
              </w:rPr>
              <w:t>06/10</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504" w:type="dxa"/>
            <w:shd w:val="clear" w:color="auto" w:fill="FABF8F"/>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lang w:val="it-IT"/>
              </w:rPr>
              <w:t>AO, ST</w:t>
            </w:r>
          </w:p>
        </w:tc>
        <w:tc>
          <w:tcPr>
            <w:tcW w:w="486"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r>
      <w:tr w:rsidR="00A92422" w:rsidRPr="00D87B79" w:rsidTr="00EA30FC">
        <w:trPr>
          <w:cantSplit/>
          <w:trHeight w:val="145"/>
        </w:trPr>
        <w:tc>
          <w:tcPr>
            <w:tcW w:w="2714" w:type="dxa"/>
            <w:shd w:val="clear" w:color="auto" w:fill="FFFFFF"/>
            <w:vAlign w:val="center"/>
          </w:tcPr>
          <w:p w:rsidR="00A92422" w:rsidRPr="00D87B79" w:rsidRDefault="00A92422" w:rsidP="00EA30FC">
            <w:pPr>
              <w:pStyle w:val="ProductNames"/>
              <w:spacing w:beforeLines="20" w:before="48" w:afterLines="20" w:after="48"/>
              <w:rPr>
                <w:rFonts w:ascii="Tahoma" w:hAnsi="Tahoma" w:cs="Tahoma"/>
                <w:sz w:val="14"/>
              </w:rPr>
            </w:pPr>
            <w:bookmarkStart w:id="449" w:name="_Toc257333902"/>
            <w:bookmarkStart w:id="450" w:name="_Toc336338066"/>
            <w:bookmarkStart w:id="451" w:name="_Toc342900114"/>
            <w:bookmarkEnd w:id="449"/>
            <w:bookmarkEnd w:id="450"/>
            <w:r w:rsidRPr="00D87B79">
              <w:rPr>
                <w:rFonts w:ascii="Tahoma" w:hAnsi="Tahoma" w:cs="Tahoma"/>
                <w:sz w:val="14"/>
                <w:lang w:val="it-IT"/>
              </w:rPr>
              <w:t>Licenza di Gestione Client per OSE per</w:t>
            </w:r>
            <w:r>
              <w:rPr>
                <w:rFonts w:ascii="Tahoma" w:hAnsi="Tahoma" w:cs="Tahoma"/>
                <w:sz w:val="14"/>
                <w:lang w:val="it-IT"/>
              </w:rPr>
              <w:t> </w:t>
            </w:r>
            <w:r w:rsidRPr="00D87B79">
              <w:rPr>
                <w:rFonts w:ascii="Tahoma" w:hAnsi="Tahoma" w:cs="Tahoma"/>
                <w:sz w:val="14"/>
                <w:lang w:val="it-IT"/>
              </w:rPr>
              <w:t>System Center Data Protection Manager 2010</w:t>
            </w:r>
            <w:bookmarkEnd w:id="451"/>
          </w:p>
        </w:tc>
        <w:tc>
          <w:tcPr>
            <w:tcW w:w="450" w:type="dxa"/>
            <w:shd w:val="clear" w:color="auto" w:fill="FFFFFF"/>
            <w:vAlign w:val="center"/>
          </w:tcPr>
          <w:p w:rsidR="00A92422" w:rsidRPr="001E1017" w:rsidRDefault="00A92422" w:rsidP="00EA30FC">
            <w:pPr>
              <w:pStyle w:val="TableText"/>
              <w:widowControl w:val="0"/>
              <w:rPr>
                <w:rStyle w:val="EndnoteReference"/>
                <w:rFonts w:cs="Tahoma"/>
                <w:sz w:val="13"/>
                <w:szCs w:val="13"/>
                <w:u w:val="single"/>
              </w:rPr>
            </w:pPr>
          </w:p>
        </w:tc>
        <w:tc>
          <w:tcPr>
            <w:tcW w:w="450" w:type="dxa"/>
            <w:shd w:val="clear" w:color="auto" w:fill="FFFFFF"/>
          </w:tcPr>
          <w:p w:rsidR="00A92422" w:rsidRPr="00D87B79" w:rsidRDefault="00A92422" w:rsidP="00EA30FC">
            <w:pPr>
              <w:pStyle w:val="TableText"/>
              <w:widowControl w:val="0"/>
              <w:spacing w:before="120"/>
              <w:rPr>
                <w:rFonts w:ascii="Tahoma" w:hAnsi="Tahoma" w:cs="Tahoma"/>
                <w:color w:val="000000"/>
                <w:sz w:val="13"/>
              </w:rPr>
            </w:pPr>
            <w:r w:rsidRPr="00D87B79">
              <w:rPr>
                <w:rFonts w:ascii="Tahoma" w:hAnsi="Tahoma" w:cs="Tahoma"/>
                <w:sz w:val="13"/>
              </w:rPr>
              <w:t>06/10</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SRV</w:t>
            </w: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c>
          <w:tcPr>
            <w:tcW w:w="504" w:type="dxa"/>
            <w:shd w:val="clear" w:color="auto" w:fill="FFFFFF"/>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lang w:val="it-IT"/>
              </w:rPr>
              <w:t>AO, ST</w:t>
            </w:r>
          </w:p>
        </w:tc>
        <w:tc>
          <w:tcPr>
            <w:tcW w:w="486"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r>
      <w:tr w:rsidR="00A92422" w:rsidRPr="00D87B79" w:rsidTr="00EA30FC">
        <w:trPr>
          <w:trHeight w:val="145"/>
        </w:trPr>
        <w:tc>
          <w:tcPr>
            <w:tcW w:w="2714" w:type="dxa"/>
            <w:shd w:val="clear" w:color="auto" w:fill="FABF8F"/>
            <w:vAlign w:val="center"/>
          </w:tcPr>
          <w:p w:rsidR="00A92422" w:rsidRPr="00D87B79" w:rsidRDefault="00A92422" w:rsidP="00EA30FC">
            <w:pPr>
              <w:pStyle w:val="ProductNames"/>
              <w:spacing w:beforeLines="20" w:before="48" w:afterLines="20" w:after="48"/>
              <w:rPr>
                <w:rFonts w:ascii="Tahoma" w:hAnsi="Tahoma" w:cs="Tahoma"/>
                <w:sz w:val="14"/>
              </w:rPr>
            </w:pPr>
            <w:bookmarkStart w:id="452" w:name="_Toc257333903"/>
            <w:bookmarkStart w:id="453" w:name="_Toc336338067"/>
            <w:bookmarkStart w:id="454" w:name="_Toc342900115"/>
            <w:bookmarkEnd w:id="452"/>
            <w:bookmarkEnd w:id="453"/>
            <w:r w:rsidRPr="00D87B79">
              <w:rPr>
                <w:rFonts w:ascii="Tahoma" w:hAnsi="Tahoma" w:cs="Tahoma"/>
                <w:sz w:val="14"/>
                <w:lang w:val="it-IT"/>
              </w:rPr>
              <w:t>Licenza di Gestione Server Enterprise per</w:t>
            </w:r>
            <w:r>
              <w:rPr>
                <w:rFonts w:ascii="Tahoma" w:hAnsi="Tahoma" w:cs="Tahoma"/>
                <w:sz w:val="14"/>
                <w:lang w:val="it-IT"/>
              </w:rPr>
              <w:t> </w:t>
            </w:r>
            <w:r w:rsidRPr="00D87B79">
              <w:rPr>
                <w:rFonts w:ascii="Tahoma" w:hAnsi="Tahoma" w:cs="Tahoma"/>
                <w:sz w:val="14"/>
                <w:lang w:val="it-IT"/>
              </w:rPr>
              <w:t>System Center Data Protection Manager 2010</w:t>
            </w:r>
            <w:bookmarkEnd w:id="454"/>
            <w:r w:rsidRPr="00D87B79">
              <w:rPr>
                <w:rFonts w:ascii="Tahoma" w:hAnsi="Tahoma" w:cs="Tahoma"/>
                <w:sz w:val="14"/>
              </w:rPr>
              <w:t xml:space="preserve"> </w:t>
            </w:r>
          </w:p>
        </w:tc>
        <w:tc>
          <w:tcPr>
            <w:tcW w:w="450" w:type="dxa"/>
            <w:shd w:val="clear" w:color="auto" w:fill="FABF8F"/>
            <w:vAlign w:val="center"/>
          </w:tcPr>
          <w:p w:rsidR="00A92422" w:rsidRPr="001E1017" w:rsidRDefault="00A92422" w:rsidP="00EA30FC">
            <w:pPr>
              <w:pStyle w:val="TableText"/>
              <w:widowControl w:val="0"/>
              <w:jc w:val="left"/>
              <w:rPr>
                <w:rStyle w:val="EndnoteReference"/>
                <w:rFonts w:cs="Tahoma"/>
                <w:sz w:val="13"/>
                <w:szCs w:val="13"/>
                <w:u w:val="single"/>
              </w:rPr>
            </w:pPr>
          </w:p>
        </w:tc>
        <w:tc>
          <w:tcPr>
            <w:tcW w:w="450" w:type="dxa"/>
            <w:shd w:val="clear" w:color="auto" w:fill="FABF8F"/>
          </w:tcPr>
          <w:p w:rsidR="00A92422" w:rsidRPr="00D87B79" w:rsidRDefault="00A92422" w:rsidP="00EA30FC">
            <w:pPr>
              <w:pStyle w:val="TableText"/>
              <w:widowControl w:val="0"/>
              <w:spacing w:before="180"/>
              <w:rPr>
                <w:rFonts w:ascii="Tahoma" w:hAnsi="Tahoma" w:cs="Tahoma"/>
                <w:color w:val="000000"/>
                <w:sz w:val="13"/>
              </w:rPr>
            </w:pPr>
            <w:r w:rsidRPr="00D87B79">
              <w:rPr>
                <w:rFonts w:ascii="Tahoma" w:hAnsi="Tahoma" w:cs="Tahoma"/>
                <w:sz w:val="13"/>
              </w:rPr>
              <w:t>06/10</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5</w:t>
            </w: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5</w:t>
            </w: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5</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5</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504" w:type="dxa"/>
            <w:shd w:val="clear" w:color="auto" w:fill="FABF8F"/>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lang w:val="it-IT"/>
              </w:rPr>
              <w:t>AO, ST</w:t>
            </w:r>
          </w:p>
        </w:tc>
        <w:tc>
          <w:tcPr>
            <w:tcW w:w="486"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r>
      <w:tr w:rsidR="00A92422" w:rsidRPr="00D87B79" w:rsidTr="00EA30FC">
        <w:trPr>
          <w:trHeight w:val="145"/>
        </w:trPr>
        <w:tc>
          <w:tcPr>
            <w:tcW w:w="2714" w:type="dxa"/>
            <w:shd w:val="clear" w:color="auto" w:fill="FFFFFF"/>
            <w:vAlign w:val="center"/>
          </w:tcPr>
          <w:p w:rsidR="00A92422" w:rsidRPr="00D87B79" w:rsidRDefault="00A92422" w:rsidP="00EA30FC">
            <w:pPr>
              <w:pStyle w:val="ProductNames"/>
              <w:spacing w:beforeLines="20" w:before="48" w:afterLines="20" w:after="48"/>
              <w:rPr>
                <w:rFonts w:ascii="Tahoma" w:hAnsi="Tahoma" w:cs="Tahoma"/>
                <w:sz w:val="14"/>
              </w:rPr>
            </w:pPr>
            <w:bookmarkStart w:id="455" w:name="_Toc257333904"/>
            <w:bookmarkStart w:id="456" w:name="_Toc336338068"/>
            <w:bookmarkStart w:id="457" w:name="_Toc342900116"/>
            <w:bookmarkEnd w:id="455"/>
            <w:bookmarkEnd w:id="456"/>
            <w:r w:rsidRPr="00D87B79">
              <w:rPr>
                <w:rFonts w:ascii="Tahoma" w:hAnsi="Tahoma" w:cs="Tahoma"/>
                <w:sz w:val="14"/>
                <w:lang w:val="it-IT"/>
              </w:rPr>
              <w:t>Licenza di Gestione Server Standard per</w:t>
            </w:r>
            <w:r>
              <w:rPr>
                <w:rFonts w:ascii="Tahoma" w:hAnsi="Tahoma" w:cs="Tahoma"/>
                <w:sz w:val="14"/>
                <w:lang w:val="it-IT"/>
              </w:rPr>
              <w:t> </w:t>
            </w:r>
            <w:r w:rsidRPr="00D87B79">
              <w:rPr>
                <w:rFonts w:ascii="Tahoma" w:hAnsi="Tahoma" w:cs="Tahoma"/>
                <w:sz w:val="14"/>
                <w:lang w:val="it-IT"/>
              </w:rPr>
              <w:t>System Center Data Protection Manager 2010</w:t>
            </w:r>
            <w:bookmarkEnd w:id="457"/>
            <w:r w:rsidRPr="00D87B79">
              <w:rPr>
                <w:rFonts w:ascii="Tahoma" w:hAnsi="Tahoma" w:cs="Tahoma"/>
                <w:sz w:val="14"/>
              </w:rPr>
              <w:t xml:space="preserve"> </w:t>
            </w:r>
          </w:p>
        </w:tc>
        <w:tc>
          <w:tcPr>
            <w:tcW w:w="450" w:type="dxa"/>
            <w:shd w:val="clear" w:color="auto" w:fill="FFFFFF"/>
            <w:vAlign w:val="center"/>
          </w:tcPr>
          <w:p w:rsidR="00A92422" w:rsidRPr="001E1017" w:rsidRDefault="00A92422" w:rsidP="00EA30FC">
            <w:pPr>
              <w:pStyle w:val="TableText"/>
              <w:widowControl w:val="0"/>
              <w:rPr>
                <w:rStyle w:val="EndnoteReference"/>
                <w:rFonts w:cs="Tahoma"/>
                <w:color w:val="0000FF"/>
                <w:sz w:val="13"/>
                <w:szCs w:val="13"/>
                <w:u w:val="single"/>
              </w:rPr>
            </w:pPr>
          </w:p>
        </w:tc>
        <w:tc>
          <w:tcPr>
            <w:tcW w:w="450" w:type="dxa"/>
            <w:shd w:val="clear" w:color="auto" w:fill="FFFFFF"/>
          </w:tcPr>
          <w:p w:rsidR="00A92422" w:rsidRPr="00D87B79" w:rsidRDefault="00A92422" w:rsidP="00EA30FC">
            <w:pPr>
              <w:pStyle w:val="TableText"/>
              <w:widowControl w:val="0"/>
              <w:spacing w:before="180"/>
              <w:rPr>
                <w:rFonts w:ascii="Tahoma" w:hAnsi="Tahoma" w:cs="Tahoma"/>
                <w:color w:val="000000"/>
                <w:sz w:val="13"/>
              </w:rPr>
            </w:pPr>
            <w:r w:rsidRPr="00D87B79">
              <w:rPr>
                <w:rFonts w:ascii="Tahoma" w:hAnsi="Tahoma" w:cs="Tahoma"/>
                <w:sz w:val="13"/>
              </w:rPr>
              <w:t>06/10</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SRV</w:t>
            </w: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c>
          <w:tcPr>
            <w:tcW w:w="504" w:type="dxa"/>
            <w:shd w:val="clear" w:color="auto" w:fill="FFFFFF"/>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lang w:val="it-IT"/>
              </w:rPr>
              <w:t>AO, ST</w:t>
            </w:r>
          </w:p>
        </w:tc>
        <w:tc>
          <w:tcPr>
            <w:tcW w:w="486"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r>
      <w:tr w:rsidR="00A92422" w:rsidRPr="00D87B79" w:rsidTr="00EA30FC">
        <w:trPr>
          <w:trHeight w:val="145"/>
        </w:trPr>
        <w:tc>
          <w:tcPr>
            <w:tcW w:w="2714" w:type="dxa"/>
            <w:shd w:val="clear" w:color="auto" w:fill="FABF8F"/>
            <w:vAlign w:val="center"/>
          </w:tcPr>
          <w:p w:rsidR="00A92422" w:rsidRPr="00D87B79" w:rsidRDefault="00A92422" w:rsidP="00EA30FC">
            <w:pPr>
              <w:pStyle w:val="ProductNames"/>
              <w:spacing w:beforeLines="20" w:before="48" w:afterLines="20" w:after="48"/>
              <w:rPr>
                <w:rFonts w:ascii="Tahoma" w:hAnsi="Tahoma" w:cs="Tahoma"/>
                <w:sz w:val="14"/>
              </w:rPr>
            </w:pPr>
            <w:bookmarkStart w:id="458" w:name="_Toc336338069"/>
            <w:bookmarkStart w:id="459" w:name="_Toc257333905"/>
            <w:bookmarkStart w:id="460" w:name="_Toc342900117"/>
            <w:bookmarkEnd w:id="458"/>
            <w:bookmarkEnd w:id="459"/>
            <w:r w:rsidRPr="00D87B79">
              <w:rPr>
                <w:rFonts w:ascii="Tahoma" w:hAnsi="Tahoma" w:cs="Tahoma"/>
                <w:sz w:val="14"/>
                <w:lang w:val="it-IT"/>
              </w:rPr>
              <w:t>System Center Essentials 2010</w:t>
            </w:r>
            <w:bookmarkEnd w:id="460"/>
            <w:r w:rsidRPr="00D87B79">
              <w:rPr>
                <w:rFonts w:ascii="Tahoma" w:hAnsi="Tahoma" w:cs="Tahoma"/>
                <w:sz w:val="14"/>
              </w:rPr>
              <w:t xml:space="preserve"> </w:t>
            </w:r>
          </w:p>
        </w:tc>
        <w:tc>
          <w:tcPr>
            <w:tcW w:w="450" w:type="dxa"/>
            <w:shd w:val="clear" w:color="auto" w:fill="FABF8F"/>
            <w:vAlign w:val="center"/>
          </w:tcPr>
          <w:p w:rsidR="00A92422" w:rsidRPr="001E1017" w:rsidRDefault="00A92422" w:rsidP="00EA30FC">
            <w:pPr>
              <w:pStyle w:val="TableText"/>
              <w:widowControl w:val="0"/>
              <w:rPr>
                <w:rStyle w:val="EndnoteReference"/>
                <w:rFonts w:cs="Tahoma"/>
                <w:color w:val="0000FF"/>
                <w:sz w:val="13"/>
                <w:szCs w:val="13"/>
                <w:u w:val="single"/>
              </w:rPr>
            </w:pPr>
            <w:hyperlink w:anchor="_79_System_Center" w:history="1">
              <w:r w:rsidRPr="001E1017">
                <w:rPr>
                  <w:rStyle w:val="Hyperlink"/>
                  <w:rFonts w:cs="Tahoma"/>
                  <w:b/>
                  <w:sz w:val="13"/>
                  <w:szCs w:val="13"/>
                </w:rPr>
                <w:t>83</w:t>
              </w:r>
            </w:hyperlink>
          </w:p>
        </w:tc>
        <w:tc>
          <w:tcPr>
            <w:tcW w:w="450" w:type="dxa"/>
            <w:shd w:val="clear" w:color="auto" w:fill="FABF8F"/>
          </w:tcPr>
          <w:p w:rsidR="00A92422" w:rsidRPr="00D87B79" w:rsidRDefault="00A92422" w:rsidP="00EA30FC">
            <w:pPr>
              <w:pStyle w:val="TableText"/>
              <w:widowControl w:val="0"/>
              <w:spacing w:before="120"/>
              <w:rPr>
                <w:rFonts w:ascii="Tahoma" w:hAnsi="Tahoma" w:cs="Tahoma"/>
                <w:color w:val="000000"/>
                <w:sz w:val="13"/>
              </w:rPr>
            </w:pPr>
            <w:r w:rsidRPr="00D87B79">
              <w:rPr>
                <w:rFonts w:ascii="Tahoma" w:hAnsi="Tahoma" w:cs="Tahoma"/>
                <w:sz w:val="13"/>
              </w:rPr>
              <w:t>04/10</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3</w:t>
            </w: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2</w:t>
            </w: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2</w:t>
            </w: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2</w:t>
            </w: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2</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A</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P</w:t>
            </w:r>
          </w:p>
        </w:tc>
        <w:tc>
          <w:tcPr>
            <w:tcW w:w="504" w:type="dxa"/>
            <w:shd w:val="clear" w:color="auto" w:fill="FABF8F"/>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lang w:val="it-IT"/>
              </w:rPr>
              <w:t>A</w:t>
            </w:r>
          </w:p>
        </w:tc>
        <w:tc>
          <w:tcPr>
            <w:tcW w:w="486"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r>
      <w:tr w:rsidR="00A92422" w:rsidRPr="00D87B79" w:rsidTr="00EA30FC">
        <w:trPr>
          <w:trHeight w:val="145"/>
        </w:trPr>
        <w:tc>
          <w:tcPr>
            <w:tcW w:w="2714" w:type="dxa"/>
            <w:shd w:val="clear" w:color="auto" w:fill="FFFFFF"/>
            <w:vAlign w:val="center"/>
          </w:tcPr>
          <w:p w:rsidR="00A92422" w:rsidRPr="00D87B79" w:rsidRDefault="00A92422" w:rsidP="00EA30FC">
            <w:pPr>
              <w:pStyle w:val="ProductNames"/>
              <w:spacing w:beforeLines="20" w:before="48" w:afterLines="20" w:after="48"/>
              <w:rPr>
                <w:rFonts w:ascii="Tahoma" w:hAnsi="Tahoma" w:cs="Tahoma"/>
                <w:sz w:val="14"/>
              </w:rPr>
            </w:pPr>
            <w:bookmarkStart w:id="461" w:name="_Toc257333906"/>
            <w:bookmarkStart w:id="462" w:name="_Toc336338070"/>
            <w:bookmarkStart w:id="463" w:name="_Toc342900118"/>
            <w:bookmarkEnd w:id="461"/>
            <w:bookmarkEnd w:id="462"/>
            <w:r w:rsidRPr="00D87B79">
              <w:rPr>
                <w:rFonts w:ascii="Tahoma" w:hAnsi="Tahoma" w:cs="Tahoma"/>
                <w:sz w:val="14"/>
                <w:lang w:val="it-IT"/>
              </w:rPr>
              <w:t>Client ML per System Center Essentials</w:t>
            </w:r>
            <w:r>
              <w:rPr>
                <w:rFonts w:ascii="Tahoma" w:hAnsi="Tahoma" w:cs="Tahoma"/>
                <w:sz w:val="14"/>
                <w:lang w:val="it-IT"/>
              </w:rPr>
              <w:t> </w:t>
            </w:r>
            <w:r w:rsidRPr="00D87B79">
              <w:rPr>
                <w:rFonts w:ascii="Tahoma" w:hAnsi="Tahoma" w:cs="Tahoma"/>
                <w:sz w:val="14"/>
                <w:lang w:val="it-IT"/>
              </w:rPr>
              <w:t>2010</w:t>
            </w:r>
            <w:bookmarkEnd w:id="463"/>
          </w:p>
        </w:tc>
        <w:tc>
          <w:tcPr>
            <w:tcW w:w="450" w:type="dxa"/>
            <w:shd w:val="clear" w:color="auto" w:fill="FFFFFF"/>
            <w:vAlign w:val="center"/>
          </w:tcPr>
          <w:p w:rsidR="00A92422" w:rsidRPr="001E1017" w:rsidRDefault="00A92422" w:rsidP="00EA30FC">
            <w:pPr>
              <w:pStyle w:val="TableText"/>
              <w:widowControl w:val="0"/>
              <w:rPr>
                <w:rStyle w:val="EndnoteReference"/>
                <w:rFonts w:cs="Tahoma"/>
                <w:sz w:val="13"/>
                <w:szCs w:val="13"/>
                <w:u w:val="single"/>
              </w:rPr>
            </w:pPr>
          </w:p>
        </w:tc>
        <w:tc>
          <w:tcPr>
            <w:tcW w:w="450" w:type="dxa"/>
            <w:shd w:val="clear" w:color="auto" w:fill="FFFFFF"/>
          </w:tcPr>
          <w:p w:rsidR="00A92422" w:rsidRPr="00D87B79" w:rsidRDefault="00A92422" w:rsidP="00EA30FC">
            <w:pPr>
              <w:pStyle w:val="TableText"/>
              <w:widowControl w:val="0"/>
              <w:spacing w:before="100"/>
              <w:rPr>
                <w:rFonts w:ascii="Tahoma" w:hAnsi="Tahoma" w:cs="Tahoma"/>
                <w:color w:val="000000"/>
                <w:sz w:val="13"/>
              </w:rPr>
            </w:pPr>
            <w:r w:rsidRPr="00D87B79">
              <w:rPr>
                <w:rFonts w:ascii="Tahoma" w:hAnsi="Tahoma" w:cs="Tahoma"/>
                <w:sz w:val="13"/>
              </w:rPr>
              <w:t>04/10</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color w:val="000000"/>
                <w:sz w:val="13"/>
                <w:lang w:val="it-IT"/>
              </w:rPr>
              <w:t>SRV</w:t>
            </w: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3</w:t>
            </w: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2</w:t>
            </w: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2</w:t>
            </w: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2</w:t>
            </w: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2</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A</w:t>
            </w: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P</w:t>
            </w:r>
          </w:p>
        </w:tc>
        <w:tc>
          <w:tcPr>
            <w:tcW w:w="504" w:type="dxa"/>
            <w:shd w:val="clear" w:color="auto" w:fill="FFFFFF"/>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lang w:val="it-IT"/>
              </w:rPr>
              <w:t>A, ST</w:t>
            </w:r>
          </w:p>
        </w:tc>
        <w:tc>
          <w:tcPr>
            <w:tcW w:w="486"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r>
      <w:tr w:rsidR="00A92422" w:rsidRPr="00D87B79" w:rsidTr="00EA30FC">
        <w:trPr>
          <w:trHeight w:val="145"/>
        </w:trPr>
        <w:tc>
          <w:tcPr>
            <w:tcW w:w="2714" w:type="dxa"/>
            <w:shd w:val="clear" w:color="auto" w:fill="FABF8F"/>
            <w:vAlign w:val="center"/>
          </w:tcPr>
          <w:p w:rsidR="00A92422" w:rsidRPr="00D87B79" w:rsidRDefault="00A92422" w:rsidP="00EA30FC">
            <w:pPr>
              <w:pStyle w:val="ProductNames"/>
              <w:spacing w:beforeLines="20" w:before="48" w:afterLines="20" w:after="48"/>
              <w:rPr>
                <w:rFonts w:ascii="Tahoma" w:hAnsi="Tahoma" w:cs="Tahoma"/>
                <w:sz w:val="14"/>
              </w:rPr>
            </w:pPr>
            <w:bookmarkStart w:id="464" w:name="_Toc257333908"/>
            <w:bookmarkStart w:id="465" w:name="_Toc336338071"/>
            <w:bookmarkStart w:id="466" w:name="_Toc342900119"/>
            <w:bookmarkEnd w:id="464"/>
            <w:bookmarkEnd w:id="465"/>
            <w:r w:rsidRPr="00D87B79">
              <w:rPr>
                <w:rFonts w:ascii="Tahoma" w:hAnsi="Tahoma" w:cs="Tahoma"/>
                <w:sz w:val="14"/>
                <w:lang w:val="it-IT"/>
              </w:rPr>
              <w:t>Server ML per System Center Essentials</w:t>
            </w:r>
            <w:r>
              <w:rPr>
                <w:rFonts w:ascii="Tahoma" w:hAnsi="Tahoma" w:cs="Tahoma"/>
                <w:sz w:val="14"/>
                <w:lang w:val="it-IT"/>
              </w:rPr>
              <w:t> </w:t>
            </w:r>
            <w:r w:rsidRPr="00D87B79">
              <w:rPr>
                <w:rFonts w:ascii="Tahoma" w:hAnsi="Tahoma" w:cs="Tahoma"/>
                <w:sz w:val="14"/>
                <w:lang w:val="it-IT"/>
              </w:rPr>
              <w:t>2010</w:t>
            </w:r>
            <w:bookmarkEnd w:id="466"/>
          </w:p>
        </w:tc>
        <w:tc>
          <w:tcPr>
            <w:tcW w:w="450" w:type="dxa"/>
            <w:shd w:val="clear" w:color="auto" w:fill="FABF8F"/>
            <w:vAlign w:val="center"/>
          </w:tcPr>
          <w:p w:rsidR="00A92422" w:rsidRPr="001E1017" w:rsidRDefault="00A92422" w:rsidP="00EA30FC">
            <w:pPr>
              <w:pStyle w:val="TableText"/>
              <w:widowControl w:val="0"/>
              <w:rPr>
                <w:rStyle w:val="EndnoteReference"/>
                <w:rFonts w:cs="Tahoma"/>
                <w:sz w:val="13"/>
                <w:szCs w:val="13"/>
                <w:u w:val="single"/>
              </w:rPr>
            </w:pPr>
          </w:p>
        </w:tc>
        <w:tc>
          <w:tcPr>
            <w:tcW w:w="450" w:type="dxa"/>
            <w:shd w:val="clear" w:color="auto" w:fill="FABF8F"/>
          </w:tcPr>
          <w:p w:rsidR="00A92422" w:rsidRPr="00D87B79" w:rsidRDefault="00A92422" w:rsidP="00EA30FC">
            <w:pPr>
              <w:pStyle w:val="TableText"/>
              <w:widowControl w:val="0"/>
              <w:spacing w:before="80"/>
              <w:rPr>
                <w:rFonts w:ascii="Tahoma" w:hAnsi="Tahoma" w:cs="Tahoma"/>
                <w:color w:val="000000"/>
                <w:sz w:val="13"/>
              </w:rPr>
            </w:pPr>
            <w:r w:rsidRPr="00D87B79">
              <w:rPr>
                <w:rFonts w:ascii="Tahoma" w:hAnsi="Tahoma" w:cs="Tahoma"/>
                <w:sz w:val="13"/>
              </w:rPr>
              <w:t>04/10</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3</w:t>
            </w: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2</w:t>
            </w: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2</w:t>
            </w: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2</w:t>
            </w: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2</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A</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P</w:t>
            </w:r>
          </w:p>
        </w:tc>
        <w:tc>
          <w:tcPr>
            <w:tcW w:w="504" w:type="dxa"/>
            <w:shd w:val="clear" w:color="auto" w:fill="FABF8F"/>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lang w:val="it-IT"/>
              </w:rPr>
              <w:t>A</w:t>
            </w:r>
          </w:p>
        </w:tc>
        <w:tc>
          <w:tcPr>
            <w:tcW w:w="486"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r>
      <w:tr w:rsidR="00A92422" w:rsidRPr="00D87B79" w:rsidTr="00EA30FC">
        <w:trPr>
          <w:trHeight w:val="145"/>
        </w:trPr>
        <w:tc>
          <w:tcPr>
            <w:tcW w:w="2714" w:type="dxa"/>
            <w:shd w:val="clear" w:color="auto" w:fill="FFFFFF"/>
            <w:vAlign w:val="center"/>
          </w:tcPr>
          <w:p w:rsidR="00A92422" w:rsidRPr="00D87B79" w:rsidRDefault="00A92422" w:rsidP="00EA30FC">
            <w:pPr>
              <w:pStyle w:val="ProductNames"/>
              <w:spacing w:beforeLines="20" w:before="48" w:afterLines="20" w:after="48"/>
              <w:rPr>
                <w:rFonts w:ascii="Tahoma" w:hAnsi="Tahoma" w:cs="Tahoma"/>
                <w:sz w:val="14"/>
              </w:rPr>
            </w:pPr>
            <w:bookmarkStart w:id="467" w:name="_Toc336338072"/>
            <w:bookmarkStart w:id="468" w:name="_Toc257333910"/>
            <w:bookmarkStart w:id="469" w:name="_Toc342900120"/>
            <w:bookmarkEnd w:id="467"/>
            <w:bookmarkEnd w:id="468"/>
            <w:r w:rsidRPr="00D87B79">
              <w:rPr>
                <w:rFonts w:ascii="Tahoma" w:hAnsi="Tahoma" w:cs="Tahoma"/>
                <w:sz w:val="14"/>
                <w:lang w:val="it-IT"/>
              </w:rPr>
              <w:t>System Center Essentials 2010 con Tecnologia SQL Server 2008</w:t>
            </w:r>
            <w:bookmarkEnd w:id="469"/>
            <w:r w:rsidRPr="00D87B79">
              <w:rPr>
                <w:rFonts w:ascii="Tahoma" w:hAnsi="Tahoma" w:cs="Tahoma"/>
                <w:sz w:val="14"/>
              </w:rPr>
              <w:t xml:space="preserve"> </w:t>
            </w:r>
          </w:p>
        </w:tc>
        <w:tc>
          <w:tcPr>
            <w:tcW w:w="450" w:type="dxa"/>
            <w:shd w:val="clear" w:color="auto" w:fill="FFFFFF"/>
            <w:vAlign w:val="center"/>
          </w:tcPr>
          <w:p w:rsidR="00A92422" w:rsidRPr="001E1017" w:rsidRDefault="00A92422" w:rsidP="00EA30FC">
            <w:pPr>
              <w:pStyle w:val="TableText"/>
              <w:widowControl w:val="0"/>
              <w:rPr>
                <w:rStyle w:val="EndnoteReference"/>
                <w:rFonts w:cs="Tahoma"/>
                <w:sz w:val="13"/>
                <w:szCs w:val="13"/>
                <w:u w:val="single"/>
              </w:rPr>
            </w:pPr>
          </w:p>
        </w:tc>
        <w:tc>
          <w:tcPr>
            <w:tcW w:w="450" w:type="dxa"/>
            <w:shd w:val="clear" w:color="auto" w:fill="FFFFFF"/>
          </w:tcPr>
          <w:p w:rsidR="00A92422" w:rsidRPr="00D87B79" w:rsidRDefault="00A92422" w:rsidP="00EA30FC">
            <w:pPr>
              <w:pStyle w:val="TableText"/>
              <w:widowControl w:val="0"/>
              <w:spacing w:before="200"/>
              <w:rPr>
                <w:rFonts w:ascii="Tahoma" w:hAnsi="Tahoma" w:cs="Tahoma"/>
                <w:color w:val="000000"/>
                <w:sz w:val="13"/>
              </w:rPr>
            </w:pPr>
            <w:r w:rsidRPr="00D87B79">
              <w:rPr>
                <w:rFonts w:ascii="Tahoma" w:hAnsi="Tahoma" w:cs="Tahoma"/>
                <w:sz w:val="13"/>
              </w:rPr>
              <w:t>04/10</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SRV</w:t>
            </w: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10</w:t>
            </w: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25</w:t>
            </w: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20</w:t>
            </w: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15</w:t>
            </w: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15</w:t>
            </w: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10</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5</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10</w:t>
            </w: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20</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10</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10</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A</w:t>
            </w: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P</w:t>
            </w:r>
          </w:p>
        </w:tc>
        <w:tc>
          <w:tcPr>
            <w:tcW w:w="504" w:type="dxa"/>
            <w:shd w:val="clear" w:color="auto" w:fill="FFFFFF"/>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lang w:val="it-IT"/>
              </w:rPr>
              <w:t>A</w:t>
            </w:r>
          </w:p>
        </w:tc>
        <w:tc>
          <w:tcPr>
            <w:tcW w:w="486"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OL/OV</w:t>
            </w:r>
          </w:p>
        </w:tc>
      </w:tr>
      <w:tr w:rsidR="00A92422" w:rsidRPr="00D87B79" w:rsidTr="00EA30FC">
        <w:trPr>
          <w:trHeight w:val="145"/>
        </w:trPr>
        <w:tc>
          <w:tcPr>
            <w:tcW w:w="2714" w:type="dxa"/>
            <w:shd w:val="clear" w:color="auto" w:fill="FABF8F"/>
            <w:vAlign w:val="center"/>
          </w:tcPr>
          <w:p w:rsidR="00A92422" w:rsidRPr="00D87B79" w:rsidRDefault="00A92422" w:rsidP="00EA30FC">
            <w:pPr>
              <w:pStyle w:val="ProductNames"/>
              <w:spacing w:beforeLines="20" w:before="48" w:afterLines="20" w:after="48"/>
              <w:rPr>
                <w:rFonts w:ascii="Tahoma" w:hAnsi="Tahoma" w:cs="Tahoma"/>
                <w:sz w:val="14"/>
              </w:rPr>
            </w:pPr>
            <w:bookmarkStart w:id="470" w:name="_Toc336338073"/>
            <w:bookmarkStart w:id="471" w:name="_Toc342900121"/>
            <w:bookmarkEnd w:id="470"/>
            <w:r w:rsidRPr="00D87B79">
              <w:rPr>
                <w:rFonts w:ascii="Tahoma" w:hAnsi="Tahoma" w:cs="Tahoma"/>
                <w:sz w:val="14"/>
                <w:lang w:val="it-IT"/>
              </w:rPr>
              <w:t>Suite di Licenza di Gestione Client per System Center Essentials Plus 2010</w:t>
            </w:r>
            <w:bookmarkEnd w:id="471"/>
          </w:p>
        </w:tc>
        <w:tc>
          <w:tcPr>
            <w:tcW w:w="450" w:type="dxa"/>
            <w:shd w:val="clear" w:color="auto" w:fill="FABF8F"/>
            <w:vAlign w:val="center"/>
          </w:tcPr>
          <w:p w:rsidR="00A92422" w:rsidRPr="001E1017" w:rsidRDefault="00A92422" w:rsidP="00EA30FC">
            <w:pPr>
              <w:pStyle w:val="TableText"/>
              <w:widowControl w:val="0"/>
              <w:rPr>
                <w:rStyle w:val="EndnoteReference"/>
                <w:rFonts w:cs="Tahoma"/>
                <w:sz w:val="13"/>
                <w:szCs w:val="13"/>
                <w:u w:val="single"/>
              </w:rPr>
            </w:pPr>
          </w:p>
        </w:tc>
        <w:tc>
          <w:tcPr>
            <w:tcW w:w="450" w:type="dxa"/>
            <w:shd w:val="clear" w:color="auto" w:fill="FABF8F"/>
          </w:tcPr>
          <w:p w:rsidR="00A92422" w:rsidRPr="00D87B79" w:rsidRDefault="00A92422" w:rsidP="00EA30FC">
            <w:pPr>
              <w:pStyle w:val="TableText"/>
              <w:widowControl w:val="0"/>
              <w:spacing w:before="80"/>
              <w:rPr>
                <w:rFonts w:ascii="Tahoma" w:hAnsi="Tahoma" w:cs="Tahoma"/>
                <w:color w:val="000000"/>
                <w:sz w:val="13"/>
              </w:rPr>
            </w:pPr>
            <w:r w:rsidRPr="00D87B79">
              <w:rPr>
                <w:rFonts w:ascii="Tahoma" w:hAnsi="Tahoma" w:cs="Tahoma"/>
                <w:color w:val="000000"/>
                <w:sz w:val="13"/>
              </w:rPr>
              <w:t>07/10</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3</w:t>
            </w: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2</w:t>
            </w: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2</w:t>
            </w: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2</w:t>
            </w: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2</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A</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P</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504"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A</w:t>
            </w:r>
          </w:p>
        </w:tc>
        <w:tc>
          <w:tcPr>
            <w:tcW w:w="486"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r>
      <w:tr w:rsidR="00A92422" w:rsidRPr="00D87B79" w:rsidTr="00EA30FC">
        <w:trPr>
          <w:trHeight w:val="145"/>
        </w:trPr>
        <w:tc>
          <w:tcPr>
            <w:tcW w:w="2714" w:type="dxa"/>
            <w:shd w:val="clear" w:color="auto" w:fill="FFFFFF"/>
            <w:vAlign w:val="center"/>
          </w:tcPr>
          <w:p w:rsidR="00A92422" w:rsidRPr="00D87B79" w:rsidRDefault="00A92422" w:rsidP="00EA30FC">
            <w:pPr>
              <w:pStyle w:val="ProductNames"/>
              <w:spacing w:beforeLines="20" w:before="48" w:afterLines="20" w:after="48"/>
              <w:rPr>
                <w:rFonts w:ascii="Tahoma" w:hAnsi="Tahoma" w:cs="Tahoma"/>
                <w:sz w:val="14"/>
              </w:rPr>
            </w:pPr>
            <w:bookmarkStart w:id="472" w:name="_Toc336338074"/>
            <w:bookmarkStart w:id="473" w:name="_Toc342900122"/>
            <w:bookmarkEnd w:id="472"/>
            <w:r w:rsidRPr="00D87B79">
              <w:rPr>
                <w:rFonts w:ascii="Tahoma" w:hAnsi="Tahoma" w:cs="Tahoma"/>
                <w:sz w:val="14"/>
                <w:lang w:val="it-IT"/>
              </w:rPr>
              <w:lastRenderedPageBreak/>
              <w:t>Suite di Licenza di Gestione Server per System Center Essentials Plus 2010</w:t>
            </w:r>
            <w:bookmarkEnd w:id="473"/>
          </w:p>
        </w:tc>
        <w:tc>
          <w:tcPr>
            <w:tcW w:w="450" w:type="dxa"/>
            <w:shd w:val="clear" w:color="auto" w:fill="FFFFFF"/>
            <w:vAlign w:val="center"/>
          </w:tcPr>
          <w:p w:rsidR="00A92422" w:rsidRPr="001E1017" w:rsidRDefault="00A92422" w:rsidP="00EA30FC">
            <w:pPr>
              <w:pStyle w:val="TableText"/>
              <w:widowControl w:val="0"/>
              <w:rPr>
                <w:rStyle w:val="EndnoteReference"/>
                <w:rFonts w:cs="Tahoma"/>
                <w:sz w:val="13"/>
                <w:szCs w:val="13"/>
                <w:u w:val="single"/>
              </w:rPr>
            </w:pPr>
          </w:p>
        </w:tc>
        <w:tc>
          <w:tcPr>
            <w:tcW w:w="450" w:type="dxa"/>
            <w:shd w:val="clear" w:color="auto" w:fill="FFFFFF"/>
          </w:tcPr>
          <w:p w:rsidR="00A92422" w:rsidRPr="00D87B79" w:rsidRDefault="00A92422" w:rsidP="00EA30FC">
            <w:pPr>
              <w:pStyle w:val="TableText"/>
              <w:widowControl w:val="0"/>
              <w:spacing w:before="80"/>
              <w:rPr>
                <w:rFonts w:ascii="Tahoma" w:hAnsi="Tahoma" w:cs="Tahoma"/>
                <w:color w:val="000000"/>
                <w:sz w:val="13"/>
              </w:rPr>
            </w:pPr>
            <w:r w:rsidRPr="00D87B79">
              <w:rPr>
                <w:rFonts w:ascii="Tahoma" w:hAnsi="Tahoma" w:cs="Tahoma"/>
                <w:color w:val="000000"/>
                <w:sz w:val="13"/>
              </w:rPr>
              <w:t>07/10</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SRV</w:t>
            </w: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5</w:t>
            </w: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13</w:t>
            </w: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10</w:t>
            </w: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8</w:t>
            </w: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8</w:t>
            </w: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5</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3</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5</w:t>
            </w:r>
          </w:p>
        </w:tc>
        <w:tc>
          <w:tcPr>
            <w:tcW w:w="450"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10</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5</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A</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P</w:t>
            </w: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c>
          <w:tcPr>
            <w:tcW w:w="504"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A</w:t>
            </w:r>
          </w:p>
        </w:tc>
        <w:tc>
          <w:tcPr>
            <w:tcW w:w="486"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r>
      <w:tr w:rsidR="00A92422" w:rsidRPr="00D87B79" w:rsidTr="00EA30FC">
        <w:trPr>
          <w:trHeight w:val="145"/>
        </w:trPr>
        <w:tc>
          <w:tcPr>
            <w:tcW w:w="2714" w:type="dxa"/>
            <w:shd w:val="clear" w:color="auto" w:fill="FABF8F"/>
            <w:vAlign w:val="center"/>
          </w:tcPr>
          <w:p w:rsidR="00A92422" w:rsidRPr="00D87B79" w:rsidRDefault="00A92422" w:rsidP="00EA30FC">
            <w:pPr>
              <w:pStyle w:val="ProductNames"/>
              <w:spacing w:beforeLines="20" w:before="48" w:afterLines="20" w:after="48"/>
              <w:rPr>
                <w:rFonts w:ascii="Tahoma" w:hAnsi="Tahoma" w:cs="Tahoma"/>
                <w:sz w:val="14"/>
              </w:rPr>
            </w:pPr>
            <w:bookmarkStart w:id="474" w:name="_Toc272832015"/>
            <w:bookmarkStart w:id="475" w:name="_Toc336338075"/>
            <w:bookmarkStart w:id="476" w:name="_Toc342900123"/>
            <w:bookmarkEnd w:id="474"/>
            <w:bookmarkEnd w:id="475"/>
            <w:r w:rsidRPr="00D87B79">
              <w:rPr>
                <w:rFonts w:ascii="Tahoma" w:hAnsi="Tahoma" w:cs="Tahoma"/>
                <w:sz w:val="14"/>
                <w:lang w:val="it-IT"/>
              </w:rPr>
              <w:t>System Center Operations Manager</w:t>
            </w:r>
            <w:r>
              <w:rPr>
                <w:rFonts w:ascii="Tahoma" w:hAnsi="Tahoma" w:cs="Tahoma"/>
                <w:sz w:val="14"/>
                <w:lang w:val="it-IT"/>
              </w:rPr>
              <w:t> </w:t>
            </w:r>
            <w:r w:rsidRPr="00D87B79">
              <w:rPr>
                <w:rFonts w:ascii="Tahoma" w:hAnsi="Tahoma" w:cs="Tahoma"/>
                <w:sz w:val="14"/>
                <w:lang w:val="it-IT"/>
              </w:rPr>
              <w:t>2007</w:t>
            </w:r>
            <w:r>
              <w:rPr>
                <w:rFonts w:ascii="Tahoma" w:hAnsi="Tahoma" w:cs="Tahoma"/>
                <w:sz w:val="14"/>
                <w:lang w:val="it-IT"/>
              </w:rPr>
              <w:t> </w:t>
            </w:r>
            <w:r w:rsidRPr="00D87B79">
              <w:rPr>
                <w:rFonts w:ascii="Tahoma" w:hAnsi="Tahoma" w:cs="Tahoma"/>
                <w:sz w:val="14"/>
                <w:lang w:val="it-IT"/>
              </w:rPr>
              <w:t>R2</w:t>
            </w:r>
            <w:bookmarkEnd w:id="476"/>
          </w:p>
        </w:tc>
        <w:tc>
          <w:tcPr>
            <w:tcW w:w="450" w:type="dxa"/>
            <w:shd w:val="clear" w:color="auto" w:fill="FABF8F"/>
            <w:vAlign w:val="center"/>
          </w:tcPr>
          <w:p w:rsidR="00A92422" w:rsidRPr="001E1017" w:rsidRDefault="00A92422" w:rsidP="00EA30FC">
            <w:pPr>
              <w:pStyle w:val="TableText"/>
              <w:widowControl w:val="0"/>
              <w:rPr>
                <w:rStyle w:val="EndnoteReference"/>
                <w:rFonts w:cs="Tahoma"/>
                <w:sz w:val="13"/>
                <w:szCs w:val="13"/>
                <w:u w:val="single"/>
              </w:rPr>
            </w:pPr>
            <w:hyperlink w:anchor="_84_Licenze_di" w:history="1">
              <w:r w:rsidRPr="001E1017">
                <w:rPr>
                  <w:rStyle w:val="Hyperlink"/>
                  <w:rFonts w:cs="Tahoma"/>
                  <w:b/>
                  <w:sz w:val="13"/>
                  <w:szCs w:val="13"/>
                </w:rPr>
                <w:t>84</w:t>
              </w:r>
            </w:hyperlink>
          </w:p>
        </w:tc>
        <w:tc>
          <w:tcPr>
            <w:tcW w:w="450" w:type="dxa"/>
            <w:shd w:val="clear" w:color="auto" w:fill="FABF8F"/>
          </w:tcPr>
          <w:p w:rsidR="00A92422" w:rsidRPr="00D87B79" w:rsidRDefault="00A92422" w:rsidP="00EA30FC">
            <w:pPr>
              <w:pStyle w:val="TableText"/>
              <w:widowControl w:val="0"/>
              <w:spacing w:before="80"/>
              <w:rPr>
                <w:rFonts w:ascii="Tahoma" w:hAnsi="Tahoma" w:cs="Tahoma"/>
                <w:color w:val="000000"/>
                <w:sz w:val="13"/>
              </w:rPr>
            </w:pPr>
            <w:r w:rsidRPr="00D87B79">
              <w:rPr>
                <w:rFonts w:ascii="Tahoma" w:hAnsi="Tahoma" w:cs="Tahoma"/>
                <w:color w:val="000000"/>
                <w:sz w:val="13"/>
              </w:rPr>
              <w:t>07/09</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5</w:t>
            </w: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5</w:t>
            </w: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504" w:type="dxa"/>
            <w:shd w:val="clear" w:color="auto" w:fill="FABF8F"/>
          </w:tcPr>
          <w:p w:rsidR="00A92422" w:rsidRPr="00D87B79" w:rsidRDefault="00A92422" w:rsidP="00EA30FC">
            <w:pPr>
              <w:pStyle w:val="TableText"/>
              <w:widowControl w:val="0"/>
              <w:spacing w:before="120"/>
              <w:rPr>
                <w:rFonts w:ascii="Tahoma" w:hAnsi="Tahoma" w:cs="Tahoma"/>
                <w:color w:val="000000"/>
                <w:sz w:val="13"/>
              </w:rPr>
            </w:pPr>
          </w:p>
        </w:tc>
        <w:tc>
          <w:tcPr>
            <w:tcW w:w="486"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r>
      <w:tr w:rsidR="00A92422" w:rsidRPr="00D87B79" w:rsidTr="00EA30FC">
        <w:trPr>
          <w:trHeight w:val="145"/>
        </w:trPr>
        <w:tc>
          <w:tcPr>
            <w:tcW w:w="2714" w:type="dxa"/>
            <w:vAlign w:val="center"/>
          </w:tcPr>
          <w:p w:rsidR="00A92422" w:rsidRPr="00D87B79" w:rsidRDefault="00A92422" w:rsidP="00EA30FC">
            <w:pPr>
              <w:pStyle w:val="ProductNames"/>
              <w:spacing w:beforeLines="20" w:before="48" w:afterLines="20" w:after="48"/>
              <w:rPr>
                <w:rFonts w:ascii="Tahoma" w:hAnsi="Tahoma" w:cs="Tahoma"/>
                <w:sz w:val="14"/>
              </w:rPr>
            </w:pPr>
            <w:bookmarkStart w:id="477" w:name="_Toc272832016"/>
            <w:bookmarkStart w:id="478" w:name="_Toc336338076"/>
            <w:bookmarkStart w:id="479" w:name="_Toc342900124"/>
            <w:bookmarkEnd w:id="477"/>
            <w:bookmarkEnd w:id="478"/>
            <w:r w:rsidRPr="00D87B79">
              <w:rPr>
                <w:rFonts w:ascii="Tahoma" w:hAnsi="Tahoma" w:cs="Tahoma"/>
                <w:sz w:val="14"/>
                <w:lang w:val="it-IT"/>
              </w:rPr>
              <w:t>System Center Operations Manager 2007 R2 con Tecnologia SQL Server 2008</w:t>
            </w:r>
            <w:bookmarkEnd w:id="479"/>
          </w:p>
        </w:tc>
        <w:tc>
          <w:tcPr>
            <w:tcW w:w="450" w:type="dxa"/>
            <w:vAlign w:val="center"/>
          </w:tcPr>
          <w:p w:rsidR="00A92422" w:rsidRPr="001E1017" w:rsidRDefault="00A92422" w:rsidP="00EA30FC">
            <w:pPr>
              <w:pStyle w:val="TableText"/>
              <w:widowControl w:val="0"/>
              <w:rPr>
                <w:rStyle w:val="EndnoteReference"/>
                <w:rFonts w:cs="Tahoma"/>
                <w:sz w:val="13"/>
                <w:szCs w:val="13"/>
                <w:u w:val="single"/>
              </w:rPr>
            </w:pPr>
          </w:p>
        </w:tc>
        <w:tc>
          <w:tcPr>
            <w:tcW w:w="450" w:type="dxa"/>
          </w:tcPr>
          <w:p w:rsidR="00A92422" w:rsidRPr="00D87B79" w:rsidRDefault="00A92422" w:rsidP="00EA30FC">
            <w:pPr>
              <w:pStyle w:val="TableText"/>
              <w:widowControl w:val="0"/>
              <w:spacing w:before="80"/>
              <w:rPr>
                <w:rFonts w:ascii="Tahoma" w:hAnsi="Tahoma" w:cs="Tahoma"/>
                <w:color w:val="000000"/>
                <w:sz w:val="13"/>
              </w:rPr>
            </w:pPr>
            <w:r w:rsidRPr="00D87B79">
              <w:rPr>
                <w:rFonts w:ascii="Tahoma" w:hAnsi="Tahoma" w:cs="Tahoma"/>
                <w:color w:val="000000"/>
                <w:sz w:val="13"/>
              </w:rPr>
              <w:t>07/09</w:t>
            </w:r>
          </w:p>
        </w:tc>
        <w:tc>
          <w:tcPr>
            <w:tcW w:w="360" w:type="dxa"/>
            <w:tcBorders>
              <w:right w:val="single" w:sz="18" w:space="0" w:color="auto"/>
            </w:tcBorders>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SRV</w:t>
            </w:r>
          </w:p>
        </w:tc>
        <w:tc>
          <w:tcPr>
            <w:tcW w:w="360" w:type="dxa"/>
            <w:tcBorders>
              <w:left w:val="single" w:sz="18" w:space="0" w:color="auto"/>
            </w:tcBorders>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25</w:t>
            </w:r>
          </w:p>
        </w:tc>
        <w:tc>
          <w:tcPr>
            <w:tcW w:w="450" w:type="dxa"/>
            <w:vAlign w:val="center"/>
          </w:tcPr>
          <w:p w:rsidR="00A92422" w:rsidRPr="00D87B79" w:rsidRDefault="00A92422" w:rsidP="00EA30FC">
            <w:pPr>
              <w:pStyle w:val="TableText"/>
              <w:widowControl w:val="0"/>
              <w:rPr>
                <w:rFonts w:ascii="Tahoma" w:hAnsi="Tahoma" w:cs="Tahoma"/>
                <w:color w:val="000000"/>
                <w:sz w:val="13"/>
              </w:rPr>
            </w:pPr>
          </w:p>
        </w:tc>
        <w:tc>
          <w:tcPr>
            <w:tcW w:w="450" w:type="dxa"/>
            <w:vAlign w:val="center"/>
          </w:tcPr>
          <w:p w:rsidR="00A92422" w:rsidRPr="00D87B79" w:rsidRDefault="00A92422" w:rsidP="00EA30FC">
            <w:pPr>
              <w:pStyle w:val="TableText"/>
              <w:widowControl w:val="0"/>
              <w:rPr>
                <w:rFonts w:ascii="Tahoma" w:hAnsi="Tahoma" w:cs="Tahoma"/>
                <w:color w:val="000000"/>
                <w:sz w:val="13"/>
              </w:rPr>
            </w:pPr>
          </w:p>
        </w:tc>
        <w:tc>
          <w:tcPr>
            <w:tcW w:w="450" w:type="dxa"/>
            <w:vAlign w:val="center"/>
          </w:tcPr>
          <w:p w:rsidR="00A92422" w:rsidRPr="00D87B79" w:rsidRDefault="00A92422" w:rsidP="00EA30FC">
            <w:pPr>
              <w:pStyle w:val="TableText"/>
              <w:widowControl w:val="0"/>
              <w:rPr>
                <w:rFonts w:ascii="Tahoma" w:hAnsi="Tahoma" w:cs="Tahoma"/>
                <w:color w:val="000000"/>
                <w:sz w:val="13"/>
              </w:rPr>
            </w:pPr>
          </w:p>
        </w:tc>
        <w:tc>
          <w:tcPr>
            <w:tcW w:w="450" w:type="dxa"/>
            <w:vAlign w:val="center"/>
          </w:tcPr>
          <w:p w:rsidR="00A92422" w:rsidRPr="00D87B79" w:rsidRDefault="00A92422" w:rsidP="00EA30FC">
            <w:pPr>
              <w:pStyle w:val="TableText"/>
              <w:widowControl w:val="0"/>
              <w:rPr>
                <w:rFonts w:ascii="Tahoma" w:hAnsi="Tahoma" w:cs="Tahoma"/>
                <w:color w:val="000000"/>
                <w:sz w:val="13"/>
              </w:rPr>
            </w:pPr>
          </w:p>
        </w:tc>
        <w:tc>
          <w:tcPr>
            <w:tcW w:w="450" w:type="dxa"/>
            <w:vAlign w:val="center"/>
          </w:tcPr>
          <w:p w:rsidR="00A92422" w:rsidRPr="00D87B79" w:rsidRDefault="00A92422" w:rsidP="00EA30FC">
            <w:pPr>
              <w:pStyle w:val="TableText"/>
              <w:widowControl w:val="0"/>
              <w:rPr>
                <w:rFonts w:ascii="Tahoma" w:hAnsi="Tahoma" w:cs="Tahoma"/>
                <w:color w:val="000000"/>
                <w:sz w:val="13"/>
              </w:rPr>
            </w:pPr>
          </w:p>
        </w:tc>
        <w:tc>
          <w:tcPr>
            <w:tcW w:w="360" w:type="dxa"/>
            <w:tcBorders>
              <w:right w:val="single" w:sz="18" w:space="0" w:color="auto"/>
            </w:tcBorders>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left w:val="single" w:sz="18" w:space="0" w:color="auto"/>
            </w:tcBorders>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25</w:t>
            </w:r>
          </w:p>
        </w:tc>
        <w:tc>
          <w:tcPr>
            <w:tcW w:w="450" w:type="dxa"/>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right w:val="single" w:sz="18" w:space="0" w:color="auto"/>
            </w:tcBorders>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left w:val="single" w:sz="18" w:space="0" w:color="auto"/>
            </w:tcBorders>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right w:val="single" w:sz="18" w:space="0" w:color="auto"/>
            </w:tcBorders>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vAlign w:val="center"/>
          </w:tcPr>
          <w:p w:rsidR="00A92422" w:rsidRPr="00D87B79" w:rsidRDefault="00A92422" w:rsidP="00EA30FC">
            <w:pPr>
              <w:pStyle w:val="TableText"/>
              <w:widowControl w:val="0"/>
              <w:rPr>
                <w:rFonts w:ascii="Tahoma" w:hAnsi="Tahoma" w:cs="Tahoma"/>
                <w:color w:val="000000"/>
                <w:sz w:val="13"/>
              </w:rPr>
            </w:pPr>
          </w:p>
        </w:tc>
        <w:tc>
          <w:tcPr>
            <w:tcW w:w="504" w:type="dxa"/>
          </w:tcPr>
          <w:p w:rsidR="00A92422" w:rsidRPr="00D87B79" w:rsidRDefault="00A92422" w:rsidP="00EA30FC">
            <w:pPr>
              <w:pStyle w:val="TableText"/>
              <w:widowControl w:val="0"/>
              <w:spacing w:before="120"/>
              <w:rPr>
                <w:rFonts w:ascii="Tahoma" w:hAnsi="Tahoma" w:cs="Tahoma"/>
                <w:color w:val="000000"/>
                <w:sz w:val="13"/>
              </w:rPr>
            </w:pPr>
          </w:p>
        </w:tc>
        <w:tc>
          <w:tcPr>
            <w:tcW w:w="486" w:type="dxa"/>
            <w:vAlign w:val="center"/>
          </w:tcPr>
          <w:p w:rsidR="00A92422" w:rsidRPr="00D87B79" w:rsidRDefault="00A92422" w:rsidP="00EA30FC">
            <w:pPr>
              <w:pStyle w:val="TableText"/>
              <w:widowControl w:val="0"/>
              <w:rPr>
                <w:rFonts w:ascii="Tahoma" w:hAnsi="Tahoma" w:cs="Tahoma"/>
                <w:color w:val="000000"/>
                <w:sz w:val="13"/>
              </w:rPr>
            </w:pPr>
          </w:p>
        </w:tc>
      </w:tr>
      <w:tr w:rsidR="00A92422" w:rsidRPr="00D87B79" w:rsidTr="00EA30FC">
        <w:trPr>
          <w:trHeight w:val="145"/>
        </w:trPr>
        <w:tc>
          <w:tcPr>
            <w:tcW w:w="2714" w:type="dxa"/>
            <w:shd w:val="clear" w:color="auto" w:fill="FABF8F"/>
            <w:vAlign w:val="center"/>
          </w:tcPr>
          <w:p w:rsidR="00A92422" w:rsidRPr="00D87B79" w:rsidRDefault="00A92422" w:rsidP="00EA30FC">
            <w:pPr>
              <w:pStyle w:val="ProductNames"/>
              <w:spacing w:beforeLines="20" w:before="48" w:afterLines="20" w:after="48"/>
              <w:rPr>
                <w:rFonts w:ascii="Tahoma" w:hAnsi="Tahoma" w:cs="Tahoma"/>
                <w:sz w:val="14"/>
              </w:rPr>
            </w:pPr>
            <w:bookmarkStart w:id="480" w:name="_Toc336338077"/>
            <w:bookmarkStart w:id="481" w:name="_Toc342900125"/>
            <w:bookmarkEnd w:id="480"/>
            <w:r w:rsidRPr="00D87B79">
              <w:rPr>
                <w:rFonts w:ascii="Tahoma" w:hAnsi="Tahoma" w:cs="Tahoma"/>
                <w:sz w:val="14"/>
                <w:lang w:val="it-IT"/>
              </w:rPr>
              <w:t>Licenza di Gestione Server Standard per</w:t>
            </w:r>
            <w:r>
              <w:rPr>
                <w:rFonts w:ascii="Tahoma" w:hAnsi="Tahoma" w:cs="Tahoma"/>
                <w:sz w:val="14"/>
                <w:lang w:val="it-IT"/>
              </w:rPr>
              <w:t> </w:t>
            </w:r>
            <w:r w:rsidRPr="00D87B79">
              <w:rPr>
                <w:rFonts w:ascii="Tahoma" w:hAnsi="Tahoma" w:cs="Tahoma"/>
                <w:sz w:val="14"/>
                <w:lang w:val="it-IT"/>
              </w:rPr>
              <w:t>System Center Operations Manager</w:t>
            </w:r>
            <w:r>
              <w:rPr>
                <w:rFonts w:ascii="Tahoma" w:hAnsi="Tahoma" w:cs="Tahoma"/>
                <w:sz w:val="14"/>
                <w:lang w:val="it-IT"/>
              </w:rPr>
              <w:t> </w:t>
            </w:r>
            <w:r w:rsidRPr="00D87B79">
              <w:rPr>
                <w:rFonts w:ascii="Tahoma" w:hAnsi="Tahoma" w:cs="Tahoma"/>
                <w:sz w:val="14"/>
                <w:lang w:val="it-IT"/>
              </w:rPr>
              <w:t>2007 R2</w:t>
            </w:r>
            <w:bookmarkEnd w:id="481"/>
            <w:r w:rsidRPr="00D87B79">
              <w:rPr>
                <w:rFonts w:ascii="Tahoma" w:hAnsi="Tahoma" w:cs="Tahoma"/>
                <w:sz w:val="14"/>
              </w:rPr>
              <w:t xml:space="preserve"> </w:t>
            </w:r>
          </w:p>
        </w:tc>
        <w:tc>
          <w:tcPr>
            <w:tcW w:w="450" w:type="dxa"/>
            <w:shd w:val="clear" w:color="auto" w:fill="FABF8F"/>
            <w:vAlign w:val="center"/>
          </w:tcPr>
          <w:p w:rsidR="00A92422" w:rsidRPr="001E1017" w:rsidRDefault="00A92422" w:rsidP="00EA30FC">
            <w:pPr>
              <w:pStyle w:val="TableText"/>
              <w:widowControl w:val="0"/>
              <w:rPr>
                <w:rStyle w:val="EndnoteReference"/>
                <w:rFonts w:cs="Tahoma"/>
                <w:color w:val="000000"/>
                <w:sz w:val="13"/>
                <w:szCs w:val="13"/>
                <w:u w:val="single"/>
              </w:rPr>
            </w:pPr>
          </w:p>
        </w:tc>
        <w:tc>
          <w:tcPr>
            <w:tcW w:w="450" w:type="dxa"/>
            <w:shd w:val="clear" w:color="auto" w:fill="FABF8F"/>
          </w:tcPr>
          <w:p w:rsidR="00A92422" w:rsidRPr="00D87B79" w:rsidRDefault="00A92422" w:rsidP="00EA30FC">
            <w:pPr>
              <w:pStyle w:val="TableText"/>
              <w:widowControl w:val="0"/>
              <w:spacing w:before="200"/>
              <w:rPr>
                <w:rFonts w:ascii="Tahoma" w:hAnsi="Tahoma" w:cs="Tahoma"/>
                <w:color w:val="000000"/>
                <w:sz w:val="13"/>
              </w:rPr>
            </w:pPr>
            <w:r w:rsidRPr="00D87B79">
              <w:rPr>
                <w:rFonts w:ascii="Tahoma" w:hAnsi="Tahoma" w:cs="Tahoma"/>
                <w:color w:val="000000"/>
                <w:sz w:val="13"/>
              </w:rPr>
              <w:t>07/09</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504" w:type="dxa"/>
            <w:shd w:val="clear" w:color="auto" w:fill="FABF8F"/>
          </w:tcPr>
          <w:p w:rsidR="00A92422" w:rsidRPr="00D87B79" w:rsidRDefault="00A92422" w:rsidP="00EA30FC">
            <w:pPr>
              <w:pStyle w:val="TableText"/>
              <w:widowControl w:val="0"/>
              <w:spacing w:before="120"/>
              <w:rPr>
                <w:rFonts w:ascii="Tahoma" w:hAnsi="Tahoma" w:cs="Tahoma"/>
                <w:color w:val="000000"/>
                <w:sz w:val="13"/>
              </w:rPr>
            </w:pPr>
            <w:r w:rsidRPr="00D87B79">
              <w:rPr>
                <w:rFonts w:ascii="Tahoma" w:hAnsi="Tahoma" w:cs="Tahoma"/>
                <w:sz w:val="13"/>
                <w:lang w:val="it-IT"/>
              </w:rPr>
              <w:t>A</w:t>
            </w:r>
          </w:p>
        </w:tc>
        <w:tc>
          <w:tcPr>
            <w:tcW w:w="486"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r>
      <w:tr w:rsidR="00A92422" w:rsidRPr="00D87B79" w:rsidTr="00EA30FC">
        <w:trPr>
          <w:trHeight w:val="145"/>
        </w:trPr>
        <w:tc>
          <w:tcPr>
            <w:tcW w:w="2714" w:type="dxa"/>
            <w:vAlign w:val="center"/>
          </w:tcPr>
          <w:p w:rsidR="00A92422" w:rsidRPr="00D87B79" w:rsidRDefault="00A92422" w:rsidP="00EA30FC">
            <w:pPr>
              <w:pStyle w:val="ProductNames"/>
              <w:spacing w:beforeLines="20" w:before="48" w:afterLines="20" w:after="48"/>
              <w:rPr>
                <w:rFonts w:ascii="Tahoma" w:hAnsi="Tahoma" w:cs="Tahoma"/>
                <w:sz w:val="14"/>
              </w:rPr>
            </w:pPr>
            <w:bookmarkStart w:id="482" w:name="_Toc336338078"/>
            <w:bookmarkStart w:id="483" w:name="_Toc342900126"/>
            <w:bookmarkEnd w:id="482"/>
            <w:r w:rsidRPr="00D87B79">
              <w:rPr>
                <w:rFonts w:ascii="Tahoma" w:hAnsi="Tahoma" w:cs="Tahoma"/>
                <w:sz w:val="14"/>
                <w:lang w:val="it-IT"/>
              </w:rPr>
              <w:t>Licenza di Gestione Server Enterprise per</w:t>
            </w:r>
            <w:r>
              <w:rPr>
                <w:rFonts w:ascii="Tahoma" w:hAnsi="Tahoma" w:cs="Tahoma"/>
                <w:sz w:val="14"/>
                <w:lang w:val="it-IT"/>
              </w:rPr>
              <w:t> </w:t>
            </w:r>
            <w:r w:rsidRPr="00D87B79">
              <w:rPr>
                <w:rFonts w:ascii="Tahoma" w:hAnsi="Tahoma" w:cs="Tahoma"/>
                <w:sz w:val="14"/>
                <w:lang w:val="it-IT"/>
              </w:rPr>
              <w:t>System Center Operations Manager</w:t>
            </w:r>
            <w:r>
              <w:rPr>
                <w:rFonts w:ascii="Tahoma" w:hAnsi="Tahoma" w:cs="Tahoma"/>
                <w:sz w:val="14"/>
                <w:lang w:val="it-IT"/>
              </w:rPr>
              <w:t> </w:t>
            </w:r>
            <w:r w:rsidRPr="00D87B79">
              <w:rPr>
                <w:rFonts w:ascii="Tahoma" w:hAnsi="Tahoma" w:cs="Tahoma"/>
                <w:sz w:val="14"/>
                <w:lang w:val="it-IT"/>
              </w:rPr>
              <w:t>2007 R2</w:t>
            </w:r>
            <w:bookmarkEnd w:id="483"/>
            <w:r w:rsidRPr="00D87B79">
              <w:rPr>
                <w:rFonts w:ascii="Tahoma" w:hAnsi="Tahoma" w:cs="Tahoma"/>
                <w:sz w:val="14"/>
              </w:rPr>
              <w:t xml:space="preserve"> </w:t>
            </w:r>
          </w:p>
        </w:tc>
        <w:tc>
          <w:tcPr>
            <w:tcW w:w="450" w:type="dxa"/>
            <w:vAlign w:val="center"/>
          </w:tcPr>
          <w:p w:rsidR="00A92422" w:rsidRPr="001E1017" w:rsidRDefault="00A92422" w:rsidP="00EA30FC">
            <w:pPr>
              <w:pStyle w:val="TableText"/>
              <w:widowControl w:val="0"/>
              <w:rPr>
                <w:rStyle w:val="EndnoteReference"/>
                <w:rFonts w:cs="Tahoma"/>
                <w:color w:val="000000"/>
                <w:sz w:val="13"/>
                <w:szCs w:val="13"/>
                <w:u w:val="single"/>
              </w:rPr>
            </w:pPr>
          </w:p>
        </w:tc>
        <w:tc>
          <w:tcPr>
            <w:tcW w:w="450" w:type="dxa"/>
          </w:tcPr>
          <w:p w:rsidR="00A92422" w:rsidRPr="00D87B79" w:rsidRDefault="00A92422" w:rsidP="00EA30FC">
            <w:pPr>
              <w:pStyle w:val="TableText"/>
              <w:widowControl w:val="0"/>
              <w:spacing w:before="200"/>
              <w:rPr>
                <w:rFonts w:ascii="Tahoma" w:hAnsi="Tahoma" w:cs="Tahoma"/>
                <w:color w:val="000000"/>
                <w:sz w:val="13"/>
              </w:rPr>
            </w:pPr>
            <w:r w:rsidRPr="00D87B79">
              <w:rPr>
                <w:rFonts w:ascii="Tahoma" w:hAnsi="Tahoma" w:cs="Tahoma"/>
                <w:color w:val="000000"/>
                <w:sz w:val="13"/>
              </w:rPr>
              <w:t>07/09</w:t>
            </w:r>
          </w:p>
        </w:tc>
        <w:tc>
          <w:tcPr>
            <w:tcW w:w="360" w:type="dxa"/>
            <w:tcBorders>
              <w:right w:val="single" w:sz="18" w:space="0" w:color="auto"/>
            </w:tcBorders>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SRV</w:t>
            </w:r>
          </w:p>
        </w:tc>
        <w:tc>
          <w:tcPr>
            <w:tcW w:w="360" w:type="dxa"/>
            <w:tcBorders>
              <w:left w:val="single" w:sz="18" w:space="0" w:color="auto"/>
            </w:tcBorders>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5</w:t>
            </w:r>
          </w:p>
        </w:tc>
        <w:tc>
          <w:tcPr>
            <w:tcW w:w="450" w:type="dxa"/>
            <w:vAlign w:val="center"/>
          </w:tcPr>
          <w:p w:rsidR="00A92422" w:rsidRPr="00D87B79" w:rsidRDefault="00A92422" w:rsidP="00EA30FC">
            <w:pPr>
              <w:pStyle w:val="TableText"/>
              <w:widowControl w:val="0"/>
              <w:rPr>
                <w:rFonts w:ascii="Tahoma" w:hAnsi="Tahoma" w:cs="Tahoma"/>
                <w:color w:val="000000"/>
                <w:sz w:val="13"/>
              </w:rPr>
            </w:pPr>
          </w:p>
        </w:tc>
        <w:tc>
          <w:tcPr>
            <w:tcW w:w="450" w:type="dxa"/>
            <w:vAlign w:val="center"/>
          </w:tcPr>
          <w:p w:rsidR="00A92422" w:rsidRPr="00D87B79" w:rsidRDefault="00A92422" w:rsidP="00EA30FC">
            <w:pPr>
              <w:pStyle w:val="TableText"/>
              <w:widowControl w:val="0"/>
              <w:rPr>
                <w:rFonts w:ascii="Tahoma" w:hAnsi="Tahoma" w:cs="Tahoma"/>
                <w:color w:val="000000"/>
                <w:sz w:val="13"/>
              </w:rPr>
            </w:pPr>
          </w:p>
        </w:tc>
        <w:tc>
          <w:tcPr>
            <w:tcW w:w="450" w:type="dxa"/>
            <w:vAlign w:val="center"/>
          </w:tcPr>
          <w:p w:rsidR="00A92422" w:rsidRPr="00D87B79" w:rsidRDefault="00A92422" w:rsidP="00EA30FC">
            <w:pPr>
              <w:pStyle w:val="TableText"/>
              <w:widowControl w:val="0"/>
              <w:rPr>
                <w:rFonts w:ascii="Tahoma" w:hAnsi="Tahoma" w:cs="Tahoma"/>
                <w:color w:val="000000"/>
                <w:sz w:val="13"/>
              </w:rPr>
            </w:pPr>
          </w:p>
        </w:tc>
        <w:tc>
          <w:tcPr>
            <w:tcW w:w="450" w:type="dxa"/>
            <w:vAlign w:val="center"/>
          </w:tcPr>
          <w:p w:rsidR="00A92422" w:rsidRPr="00D87B79" w:rsidRDefault="00A92422" w:rsidP="00EA30FC">
            <w:pPr>
              <w:pStyle w:val="TableText"/>
              <w:widowControl w:val="0"/>
              <w:rPr>
                <w:rFonts w:ascii="Tahoma" w:hAnsi="Tahoma" w:cs="Tahoma"/>
                <w:color w:val="000000"/>
                <w:sz w:val="13"/>
              </w:rPr>
            </w:pPr>
          </w:p>
        </w:tc>
        <w:tc>
          <w:tcPr>
            <w:tcW w:w="450" w:type="dxa"/>
            <w:vAlign w:val="center"/>
          </w:tcPr>
          <w:p w:rsidR="00A92422" w:rsidRPr="00D87B79" w:rsidRDefault="00A92422" w:rsidP="00EA30FC">
            <w:pPr>
              <w:pStyle w:val="TableText"/>
              <w:widowControl w:val="0"/>
              <w:rPr>
                <w:rFonts w:ascii="Tahoma" w:hAnsi="Tahoma" w:cs="Tahoma"/>
                <w:color w:val="000000"/>
                <w:sz w:val="13"/>
              </w:rPr>
            </w:pPr>
          </w:p>
        </w:tc>
        <w:tc>
          <w:tcPr>
            <w:tcW w:w="360" w:type="dxa"/>
            <w:tcBorders>
              <w:right w:val="single" w:sz="18" w:space="0" w:color="auto"/>
            </w:tcBorders>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left w:val="single" w:sz="18" w:space="0" w:color="auto"/>
            </w:tcBorders>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5</w:t>
            </w:r>
          </w:p>
        </w:tc>
        <w:tc>
          <w:tcPr>
            <w:tcW w:w="450" w:type="dxa"/>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right w:val="single" w:sz="18" w:space="0" w:color="auto"/>
            </w:tcBorders>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left w:val="single" w:sz="18" w:space="0" w:color="auto"/>
            </w:tcBorders>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5</w:t>
            </w:r>
          </w:p>
        </w:tc>
        <w:tc>
          <w:tcPr>
            <w:tcW w:w="450" w:type="dxa"/>
            <w:tcBorders>
              <w:right w:val="single" w:sz="18" w:space="0" w:color="auto"/>
            </w:tcBorders>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vAlign w:val="center"/>
          </w:tcPr>
          <w:p w:rsidR="00A92422" w:rsidRPr="00D87B79" w:rsidRDefault="00A92422" w:rsidP="00EA30FC">
            <w:pPr>
              <w:pStyle w:val="TableText"/>
              <w:widowControl w:val="0"/>
              <w:rPr>
                <w:rFonts w:ascii="Tahoma" w:hAnsi="Tahoma" w:cs="Tahoma"/>
                <w:color w:val="000000"/>
                <w:sz w:val="13"/>
              </w:rPr>
            </w:pPr>
          </w:p>
        </w:tc>
        <w:tc>
          <w:tcPr>
            <w:tcW w:w="504" w:type="dxa"/>
          </w:tcPr>
          <w:p w:rsidR="00A92422" w:rsidRPr="00D87B79" w:rsidRDefault="00A92422" w:rsidP="00EA30FC">
            <w:pPr>
              <w:pStyle w:val="TableText"/>
              <w:widowControl w:val="0"/>
              <w:spacing w:before="120"/>
              <w:rPr>
                <w:rFonts w:ascii="Tahoma" w:hAnsi="Tahoma" w:cs="Tahoma"/>
                <w:color w:val="000000"/>
                <w:sz w:val="13"/>
              </w:rPr>
            </w:pPr>
            <w:r w:rsidRPr="00D87B79">
              <w:rPr>
                <w:rFonts w:ascii="Tahoma" w:hAnsi="Tahoma" w:cs="Tahoma"/>
                <w:sz w:val="13"/>
                <w:lang w:val="it-IT"/>
              </w:rPr>
              <w:t>A</w:t>
            </w:r>
          </w:p>
        </w:tc>
        <w:tc>
          <w:tcPr>
            <w:tcW w:w="486" w:type="dxa"/>
            <w:vAlign w:val="center"/>
          </w:tcPr>
          <w:p w:rsidR="00A92422" w:rsidRPr="00D87B79" w:rsidRDefault="00A92422" w:rsidP="00EA30FC">
            <w:pPr>
              <w:pStyle w:val="TableText"/>
              <w:widowControl w:val="0"/>
              <w:rPr>
                <w:rFonts w:ascii="Tahoma" w:hAnsi="Tahoma" w:cs="Tahoma"/>
                <w:color w:val="000000"/>
                <w:sz w:val="13"/>
              </w:rPr>
            </w:pPr>
          </w:p>
        </w:tc>
      </w:tr>
      <w:tr w:rsidR="00A92422" w:rsidRPr="00D87B79" w:rsidTr="00EA30FC">
        <w:trPr>
          <w:trHeight w:val="145"/>
        </w:trPr>
        <w:tc>
          <w:tcPr>
            <w:tcW w:w="2714" w:type="dxa"/>
            <w:shd w:val="clear" w:color="auto" w:fill="FABF8F"/>
            <w:vAlign w:val="center"/>
          </w:tcPr>
          <w:p w:rsidR="00A92422" w:rsidRPr="00D87B79" w:rsidRDefault="00A92422" w:rsidP="00EA30FC">
            <w:pPr>
              <w:pStyle w:val="ProductNames"/>
              <w:spacing w:beforeLines="20" w:before="48" w:afterLines="20" w:after="48"/>
              <w:rPr>
                <w:rFonts w:ascii="Tahoma" w:hAnsi="Tahoma" w:cs="Tahoma"/>
                <w:sz w:val="14"/>
              </w:rPr>
            </w:pPr>
            <w:bookmarkStart w:id="484" w:name="_Toc336338079"/>
            <w:bookmarkStart w:id="485" w:name="_Toc342900127"/>
            <w:bookmarkEnd w:id="484"/>
            <w:r w:rsidRPr="00D87B79">
              <w:rPr>
                <w:rFonts w:ascii="Tahoma" w:hAnsi="Tahoma" w:cs="Tahoma"/>
                <w:sz w:val="14"/>
                <w:lang w:val="it-IT"/>
              </w:rPr>
              <w:t>Licenza di Gestione Client per OSE per</w:t>
            </w:r>
            <w:r>
              <w:rPr>
                <w:rFonts w:ascii="Tahoma" w:hAnsi="Tahoma" w:cs="Tahoma"/>
                <w:sz w:val="14"/>
                <w:lang w:val="it-IT"/>
              </w:rPr>
              <w:t> </w:t>
            </w:r>
            <w:r w:rsidRPr="00D87B79">
              <w:rPr>
                <w:rFonts w:ascii="Tahoma" w:hAnsi="Tahoma" w:cs="Tahoma"/>
                <w:sz w:val="14"/>
                <w:lang w:val="it-IT"/>
              </w:rPr>
              <w:t>System Center Operations Manager</w:t>
            </w:r>
            <w:r>
              <w:rPr>
                <w:rFonts w:ascii="Tahoma" w:hAnsi="Tahoma" w:cs="Tahoma"/>
                <w:sz w:val="14"/>
                <w:lang w:val="it-IT"/>
              </w:rPr>
              <w:t> </w:t>
            </w:r>
            <w:r w:rsidRPr="00D87B79">
              <w:rPr>
                <w:rFonts w:ascii="Tahoma" w:hAnsi="Tahoma" w:cs="Tahoma"/>
                <w:sz w:val="14"/>
                <w:lang w:val="it-IT"/>
              </w:rPr>
              <w:t>2007 R2</w:t>
            </w:r>
            <w:bookmarkEnd w:id="485"/>
          </w:p>
        </w:tc>
        <w:tc>
          <w:tcPr>
            <w:tcW w:w="450" w:type="dxa"/>
            <w:shd w:val="clear" w:color="auto" w:fill="FABF8F"/>
            <w:vAlign w:val="center"/>
          </w:tcPr>
          <w:p w:rsidR="00A92422" w:rsidRPr="001E1017" w:rsidRDefault="00A92422" w:rsidP="00EA30FC">
            <w:pPr>
              <w:pStyle w:val="TableText"/>
              <w:widowControl w:val="0"/>
              <w:rPr>
                <w:rStyle w:val="EndnoteReference"/>
                <w:rFonts w:cs="Tahoma"/>
                <w:color w:val="000000"/>
                <w:sz w:val="13"/>
                <w:szCs w:val="13"/>
                <w:u w:val="single"/>
              </w:rPr>
            </w:pPr>
          </w:p>
        </w:tc>
        <w:tc>
          <w:tcPr>
            <w:tcW w:w="450" w:type="dxa"/>
            <w:shd w:val="clear" w:color="auto" w:fill="FABF8F"/>
          </w:tcPr>
          <w:p w:rsidR="00A92422" w:rsidRPr="00D87B79" w:rsidRDefault="00A92422" w:rsidP="00EA30FC">
            <w:pPr>
              <w:pStyle w:val="TableText"/>
              <w:widowControl w:val="0"/>
              <w:spacing w:before="200"/>
              <w:rPr>
                <w:rFonts w:ascii="Tahoma" w:hAnsi="Tahoma" w:cs="Tahoma"/>
                <w:color w:val="000000"/>
                <w:sz w:val="13"/>
              </w:rPr>
            </w:pPr>
            <w:r w:rsidRPr="00D87B79">
              <w:rPr>
                <w:rFonts w:ascii="Tahoma" w:hAnsi="Tahoma" w:cs="Tahoma"/>
                <w:color w:val="000000"/>
                <w:sz w:val="13"/>
              </w:rPr>
              <w:t>07/09</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rPr>
              <w:t>1</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504" w:type="dxa"/>
            <w:shd w:val="clear" w:color="auto" w:fill="FABF8F"/>
          </w:tcPr>
          <w:p w:rsidR="00A92422" w:rsidRPr="00D87B79" w:rsidRDefault="00A92422" w:rsidP="00EA30FC">
            <w:pPr>
              <w:pStyle w:val="TableText"/>
              <w:widowControl w:val="0"/>
              <w:spacing w:before="120"/>
              <w:rPr>
                <w:rFonts w:ascii="Tahoma" w:hAnsi="Tahoma" w:cs="Tahoma"/>
                <w:color w:val="000000"/>
                <w:sz w:val="13"/>
              </w:rPr>
            </w:pPr>
            <w:r w:rsidRPr="00D87B79">
              <w:rPr>
                <w:rFonts w:ascii="Tahoma" w:hAnsi="Tahoma" w:cs="Tahoma"/>
                <w:sz w:val="13"/>
                <w:lang w:val="it-IT"/>
              </w:rPr>
              <w:t>AO, ST</w:t>
            </w:r>
          </w:p>
        </w:tc>
        <w:tc>
          <w:tcPr>
            <w:tcW w:w="486"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r>
      <w:tr w:rsidR="00A92422" w:rsidRPr="00D87B79" w:rsidTr="00EA30FC">
        <w:trPr>
          <w:trHeight w:val="145"/>
        </w:trPr>
        <w:tc>
          <w:tcPr>
            <w:tcW w:w="2714" w:type="dxa"/>
            <w:vAlign w:val="center"/>
          </w:tcPr>
          <w:p w:rsidR="00A92422" w:rsidRPr="00D87B79" w:rsidRDefault="00A92422" w:rsidP="00EA30FC">
            <w:pPr>
              <w:pStyle w:val="ProductNames"/>
              <w:spacing w:beforeLines="20" w:before="48" w:afterLines="20" w:after="48"/>
              <w:rPr>
                <w:rFonts w:ascii="Tahoma" w:hAnsi="Tahoma" w:cs="Tahoma"/>
                <w:sz w:val="14"/>
              </w:rPr>
            </w:pPr>
            <w:bookmarkStart w:id="486" w:name="_Toc336338080"/>
            <w:bookmarkStart w:id="487" w:name="_Toc342900128"/>
            <w:bookmarkEnd w:id="486"/>
            <w:r w:rsidRPr="00D87B79">
              <w:rPr>
                <w:rFonts w:ascii="Tahoma" w:hAnsi="Tahoma" w:cs="Tahoma"/>
                <w:sz w:val="14"/>
                <w:lang w:val="it-IT"/>
              </w:rPr>
              <w:t>Licenza di Gestione Client per Utente per</w:t>
            </w:r>
            <w:r>
              <w:rPr>
                <w:rFonts w:ascii="Tahoma" w:hAnsi="Tahoma" w:cs="Tahoma"/>
                <w:sz w:val="14"/>
                <w:lang w:val="it-IT"/>
              </w:rPr>
              <w:t> </w:t>
            </w:r>
            <w:r w:rsidRPr="00D87B79">
              <w:rPr>
                <w:rFonts w:ascii="Tahoma" w:hAnsi="Tahoma" w:cs="Tahoma"/>
                <w:sz w:val="14"/>
                <w:lang w:val="it-IT"/>
              </w:rPr>
              <w:t>System Center Operations Manager</w:t>
            </w:r>
            <w:r>
              <w:rPr>
                <w:rFonts w:ascii="Tahoma" w:hAnsi="Tahoma" w:cs="Tahoma"/>
                <w:sz w:val="14"/>
                <w:lang w:val="it-IT"/>
              </w:rPr>
              <w:t> </w:t>
            </w:r>
            <w:r w:rsidRPr="00D87B79">
              <w:rPr>
                <w:rFonts w:ascii="Tahoma" w:hAnsi="Tahoma" w:cs="Tahoma"/>
                <w:sz w:val="14"/>
                <w:lang w:val="it-IT"/>
              </w:rPr>
              <w:t>2007 R2</w:t>
            </w:r>
            <w:bookmarkEnd w:id="487"/>
          </w:p>
        </w:tc>
        <w:tc>
          <w:tcPr>
            <w:tcW w:w="450" w:type="dxa"/>
            <w:vAlign w:val="center"/>
          </w:tcPr>
          <w:p w:rsidR="00A92422" w:rsidRPr="001E1017" w:rsidRDefault="00A92422" w:rsidP="00EA30FC">
            <w:pPr>
              <w:pStyle w:val="TableText"/>
              <w:widowControl w:val="0"/>
              <w:rPr>
                <w:rStyle w:val="EndnoteReference"/>
                <w:rFonts w:cs="Tahoma"/>
                <w:color w:val="000000"/>
                <w:sz w:val="13"/>
                <w:szCs w:val="13"/>
                <w:u w:val="single"/>
              </w:rPr>
            </w:pPr>
          </w:p>
        </w:tc>
        <w:tc>
          <w:tcPr>
            <w:tcW w:w="450" w:type="dxa"/>
          </w:tcPr>
          <w:p w:rsidR="00A92422" w:rsidRPr="00D87B79" w:rsidRDefault="00A92422" w:rsidP="00EA30FC">
            <w:pPr>
              <w:pStyle w:val="TableText"/>
              <w:widowControl w:val="0"/>
              <w:spacing w:before="200"/>
              <w:rPr>
                <w:rFonts w:ascii="Tahoma" w:hAnsi="Tahoma" w:cs="Tahoma"/>
                <w:sz w:val="13"/>
              </w:rPr>
            </w:pPr>
            <w:r w:rsidRPr="00D87B79">
              <w:rPr>
                <w:rFonts w:ascii="Tahoma" w:hAnsi="Tahoma" w:cs="Tahoma"/>
                <w:sz w:val="13"/>
              </w:rPr>
              <w:t>07/09</w:t>
            </w:r>
          </w:p>
        </w:tc>
        <w:tc>
          <w:tcPr>
            <w:tcW w:w="360"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vAlign w:val="center"/>
          </w:tcPr>
          <w:p w:rsidR="00A92422" w:rsidRPr="00D87B79" w:rsidRDefault="00A92422" w:rsidP="00EA30FC">
            <w:pPr>
              <w:pStyle w:val="TableText"/>
              <w:widowControl w:val="0"/>
              <w:rPr>
                <w:rFonts w:ascii="Tahoma" w:hAnsi="Tahoma" w:cs="Tahoma"/>
                <w:sz w:val="13"/>
              </w:rPr>
            </w:pPr>
          </w:p>
        </w:tc>
        <w:tc>
          <w:tcPr>
            <w:tcW w:w="450" w:type="dxa"/>
            <w:vAlign w:val="center"/>
          </w:tcPr>
          <w:p w:rsidR="00A92422" w:rsidRPr="00D87B79" w:rsidRDefault="00A92422" w:rsidP="00EA30FC">
            <w:pPr>
              <w:pStyle w:val="TableText"/>
              <w:widowControl w:val="0"/>
              <w:rPr>
                <w:rFonts w:ascii="Tahoma" w:hAnsi="Tahoma" w:cs="Tahoma"/>
                <w:sz w:val="13"/>
              </w:rPr>
            </w:pPr>
          </w:p>
        </w:tc>
        <w:tc>
          <w:tcPr>
            <w:tcW w:w="450" w:type="dxa"/>
            <w:vAlign w:val="center"/>
          </w:tcPr>
          <w:p w:rsidR="00A92422" w:rsidRPr="00D87B79" w:rsidRDefault="00A92422" w:rsidP="00EA30FC">
            <w:pPr>
              <w:pStyle w:val="TableText"/>
              <w:widowControl w:val="0"/>
              <w:rPr>
                <w:rFonts w:ascii="Tahoma" w:hAnsi="Tahoma" w:cs="Tahoma"/>
                <w:sz w:val="13"/>
              </w:rPr>
            </w:pPr>
          </w:p>
        </w:tc>
        <w:tc>
          <w:tcPr>
            <w:tcW w:w="450" w:type="dxa"/>
            <w:vAlign w:val="center"/>
          </w:tcPr>
          <w:p w:rsidR="00A92422" w:rsidRPr="00D87B79" w:rsidRDefault="00A92422" w:rsidP="00EA30FC">
            <w:pPr>
              <w:pStyle w:val="TableText"/>
              <w:widowControl w:val="0"/>
              <w:rPr>
                <w:rFonts w:ascii="Tahoma" w:hAnsi="Tahoma" w:cs="Tahoma"/>
                <w:sz w:val="13"/>
              </w:rPr>
            </w:pPr>
          </w:p>
        </w:tc>
        <w:tc>
          <w:tcPr>
            <w:tcW w:w="450" w:type="dxa"/>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left w:val="single" w:sz="18" w:space="0" w:color="auto"/>
            </w:tcBorders>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rsidR="00A92422" w:rsidRPr="00D87B79" w:rsidRDefault="00A92422" w:rsidP="00EA30FC">
            <w:pPr>
              <w:pStyle w:val="TableText"/>
              <w:widowControl w:val="0"/>
              <w:spacing w:before="120"/>
              <w:rPr>
                <w:rFonts w:ascii="Tahoma" w:hAnsi="Tahoma" w:cs="Tahoma"/>
              </w:rPr>
            </w:pPr>
          </w:p>
          <w:p w:rsidR="00A92422" w:rsidRPr="00D87B79" w:rsidRDefault="00A92422" w:rsidP="00EA30FC">
            <w:pPr>
              <w:pStyle w:val="TableText"/>
              <w:widowControl w:val="0"/>
              <w:rPr>
                <w:rFonts w:ascii="Tahoma" w:hAnsi="Tahoma" w:cs="Tahoma"/>
                <w:sz w:val="13"/>
              </w:rPr>
            </w:pPr>
          </w:p>
        </w:tc>
        <w:tc>
          <w:tcPr>
            <w:tcW w:w="504" w:type="dxa"/>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lang w:val="it-IT"/>
              </w:rPr>
              <w:t>AO, ST</w:t>
            </w:r>
          </w:p>
        </w:tc>
        <w:tc>
          <w:tcPr>
            <w:tcW w:w="486" w:type="dxa"/>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ABF8F"/>
            <w:vAlign w:val="center"/>
          </w:tcPr>
          <w:p w:rsidR="00A92422" w:rsidRPr="00D87B79" w:rsidRDefault="00A92422" w:rsidP="00EA30FC">
            <w:pPr>
              <w:pStyle w:val="ProductNames"/>
              <w:spacing w:beforeLines="20" w:before="48" w:afterLines="20" w:after="48"/>
              <w:rPr>
                <w:rFonts w:ascii="Tahoma" w:hAnsi="Tahoma" w:cs="Tahoma"/>
                <w:sz w:val="14"/>
              </w:rPr>
            </w:pPr>
            <w:bookmarkStart w:id="488" w:name="_Toc336338081"/>
            <w:bookmarkStart w:id="489" w:name="_Toc342900129"/>
            <w:bookmarkEnd w:id="488"/>
            <w:r w:rsidRPr="00D87B79">
              <w:rPr>
                <w:rFonts w:ascii="Tahoma" w:hAnsi="Tahoma" w:cs="Tahoma"/>
                <w:sz w:val="14"/>
                <w:lang w:val="it-IT"/>
              </w:rPr>
              <w:t>System Center Reporting Manager 2006</w:t>
            </w:r>
            <w:bookmarkEnd w:id="489"/>
            <w:r w:rsidRPr="00D87B79">
              <w:rPr>
                <w:rFonts w:ascii="Tahoma" w:hAnsi="Tahoma" w:cs="Tahoma"/>
                <w:sz w:val="14"/>
              </w:rPr>
              <w:t xml:space="preserve"> </w:t>
            </w:r>
          </w:p>
        </w:tc>
        <w:tc>
          <w:tcPr>
            <w:tcW w:w="450" w:type="dxa"/>
            <w:shd w:val="clear" w:color="auto" w:fill="FABF8F"/>
            <w:vAlign w:val="center"/>
          </w:tcPr>
          <w:p w:rsidR="00A92422" w:rsidRPr="001E1017" w:rsidRDefault="00A92422" w:rsidP="00EA30FC">
            <w:pPr>
              <w:pStyle w:val="TableText"/>
              <w:widowControl w:val="0"/>
              <w:rPr>
                <w:rStyle w:val="EndnoteReference"/>
                <w:rFonts w:cs="Tahoma"/>
                <w:color w:val="0000FF"/>
                <w:sz w:val="13"/>
                <w:szCs w:val="13"/>
                <w:u w:val="single"/>
              </w:rPr>
            </w:pPr>
            <w:hyperlink w:anchor="_81_System_Center" w:history="1">
              <w:r w:rsidRPr="001E1017">
                <w:rPr>
                  <w:rStyle w:val="Hyperlink"/>
                  <w:rFonts w:cs="Tahoma"/>
                  <w:b/>
                  <w:sz w:val="13"/>
                  <w:szCs w:val="13"/>
                </w:rPr>
                <w:t>85</w:t>
              </w:r>
            </w:hyperlink>
          </w:p>
        </w:tc>
        <w:tc>
          <w:tcPr>
            <w:tcW w:w="450" w:type="dxa"/>
            <w:shd w:val="clear" w:color="auto" w:fill="FABF8F"/>
          </w:tcPr>
          <w:p w:rsidR="00A92422" w:rsidRPr="00D87B79" w:rsidRDefault="00A92422" w:rsidP="00EA30FC">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tcPr>
          <w:p w:rsidR="00A92422" w:rsidRPr="00D87B79" w:rsidRDefault="00A92422" w:rsidP="00EA30FC">
            <w:pPr>
              <w:pStyle w:val="TableText"/>
              <w:widowControl w:val="0"/>
              <w:spacing w:before="120"/>
              <w:rPr>
                <w:rFonts w:ascii="Tahoma" w:hAnsi="Tahoma" w:cs="Tahoma"/>
                <w:sz w:val="13"/>
              </w:rPr>
            </w:pP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vAlign w:val="center"/>
          </w:tcPr>
          <w:p w:rsidR="00A92422" w:rsidRPr="00D87B79" w:rsidRDefault="00A92422" w:rsidP="00EA30FC">
            <w:pPr>
              <w:pStyle w:val="ProductNames"/>
              <w:spacing w:beforeLines="20" w:before="48" w:afterLines="20" w:after="48"/>
              <w:rPr>
                <w:rFonts w:ascii="Tahoma" w:hAnsi="Tahoma" w:cs="Tahoma"/>
                <w:sz w:val="14"/>
              </w:rPr>
            </w:pPr>
            <w:bookmarkStart w:id="490" w:name="_Toc336338082"/>
            <w:bookmarkStart w:id="491" w:name="_Toc342900130"/>
            <w:bookmarkEnd w:id="490"/>
            <w:r w:rsidRPr="00D87B79">
              <w:rPr>
                <w:rFonts w:ascii="Tahoma" w:hAnsi="Tahoma" w:cs="Tahoma"/>
                <w:sz w:val="14"/>
                <w:lang w:val="it-IT"/>
              </w:rPr>
              <w:t>System Center Server Management Suite</w:t>
            </w:r>
            <w:r>
              <w:rPr>
                <w:rFonts w:ascii="Tahoma" w:hAnsi="Tahoma" w:cs="Tahoma"/>
                <w:sz w:val="14"/>
                <w:lang w:val="it-IT"/>
              </w:rPr>
              <w:t> </w:t>
            </w:r>
            <w:r w:rsidRPr="00D87B79">
              <w:rPr>
                <w:rFonts w:ascii="Tahoma" w:hAnsi="Tahoma" w:cs="Tahoma"/>
                <w:sz w:val="14"/>
                <w:lang w:val="it-IT"/>
              </w:rPr>
              <w:t>Enterprise</w:t>
            </w:r>
            <w:bookmarkEnd w:id="491"/>
            <w:r w:rsidRPr="00D87B79">
              <w:rPr>
                <w:rFonts w:ascii="Tahoma" w:hAnsi="Tahoma" w:cs="Tahoma"/>
                <w:sz w:val="14"/>
              </w:rPr>
              <w:t xml:space="preserve"> </w:t>
            </w:r>
          </w:p>
        </w:tc>
        <w:tc>
          <w:tcPr>
            <w:tcW w:w="450" w:type="dxa"/>
            <w:vAlign w:val="center"/>
          </w:tcPr>
          <w:p w:rsidR="00A92422" w:rsidRPr="001E1017" w:rsidRDefault="00A92422" w:rsidP="00EA30FC">
            <w:pPr>
              <w:pStyle w:val="TableText"/>
              <w:widowControl w:val="0"/>
              <w:rPr>
                <w:rStyle w:val="EndnoteReference"/>
                <w:rFonts w:cs="Tahoma"/>
                <w:color w:val="0000FF"/>
                <w:sz w:val="13"/>
                <w:szCs w:val="13"/>
                <w:u w:val="single"/>
              </w:rPr>
            </w:pPr>
            <w:hyperlink w:anchor="_85_System_Center" w:history="1">
              <w:r w:rsidRPr="001E1017">
                <w:rPr>
                  <w:rStyle w:val="Hyperlink"/>
                  <w:rFonts w:cs="Tahoma"/>
                  <w:b/>
                  <w:sz w:val="13"/>
                  <w:szCs w:val="13"/>
                </w:rPr>
                <w:t>86</w:t>
              </w:r>
            </w:hyperlink>
          </w:p>
        </w:tc>
        <w:tc>
          <w:tcPr>
            <w:tcW w:w="450" w:type="dxa"/>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10/07</w:t>
            </w:r>
          </w:p>
        </w:tc>
        <w:tc>
          <w:tcPr>
            <w:tcW w:w="360"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450" w:type="dxa"/>
            <w:vAlign w:val="bottom"/>
          </w:tcPr>
          <w:p w:rsidR="00A92422" w:rsidRPr="00D87B79" w:rsidRDefault="00A92422" w:rsidP="00EA30FC">
            <w:pPr>
              <w:pStyle w:val="TableText"/>
              <w:widowControl w:val="0"/>
              <w:spacing w:after="60"/>
              <w:rPr>
                <w:rFonts w:ascii="Tahoma" w:hAnsi="Tahoma" w:cs="Tahoma"/>
                <w:sz w:val="13"/>
                <w:szCs w:val="13"/>
              </w:rPr>
            </w:pPr>
          </w:p>
        </w:tc>
        <w:tc>
          <w:tcPr>
            <w:tcW w:w="450" w:type="dxa"/>
            <w:vAlign w:val="bottom"/>
          </w:tcPr>
          <w:p w:rsidR="00A92422" w:rsidRPr="00D87B79" w:rsidRDefault="00A92422" w:rsidP="00EA30FC">
            <w:pPr>
              <w:pStyle w:val="TableText"/>
              <w:widowControl w:val="0"/>
              <w:spacing w:after="60"/>
              <w:rPr>
                <w:rFonts w:ascii="Tahoma" w:hAnsi="Tahoma" w:cs="Tahoma"/>
                <w:sz w:val="13"/>
                <w:szCs w:val="13"/>
              </w:rPr>
            </w:pPr>
          </w:p>
        </w:tc>
        <w:tc>
          <w:tcPr>
            <w:tcW w:w="450" w:type="dxa"/>
            <w:vAlign w:val="bottom"/>
          </w:tcPr>
          <w:p w:rsidR="00A92422" w:rsidRPr="00D87B79" w:rsidRDefault="00A92422" w:rsidP="00EA30FC">
            <w:pPr>
              <w:pStyle w:val="TableText"/>
              <w:widowControl w:val="0"/>
              <w:spacing w:after="60"/>
              <w:rPr>
                <w:rFonts w:ascii="Tahoma" w:hAnsi="Tahoma" w:cs="Tahoma"/>
                <w:sz w:val="13"/>
                <w:szCs w:val="13"/>
              </w:rPr>
            </w:pPr>
          </w:p>
        </w:tc>
        <w:tc>
          <w:tcPr>
            <w:tcW w:w="450" w:type="dxa"/>
            <w:vAlign w:val="bottom"/>
          </w:tcPr>
          <w:p w:rsidR="00A92422" w:rsidRPr="00D87B79" w:rsidRDefault="00A92422" w:rsidP="00EA30FC">
            <w:pPr>
              <w:pStyle w:val="TableText"/>
              <w:widowControl w:val="0"/>
              <w:spacing w:after="60"/>
              <w:rPr>
                <w:rFonts w:ascii="Tahoma" w:hAnsi="Tahoma" w:cs="Tahoma"/>
                <w:sz w:val="13"/>
                <w:szCs w:val="13"/>
              </w:rPr>
            </w:pPr>
          </w:p>
        </w:tc>
        <w:tc>
          <w:tcPr>
            <w:tcW w:w="450" w:type="dxa"/>
            <w:vAlign w:val="bottom"/>
          </w:tcPr>
          <w:p w:rsidR="00A92422" w:rsidRPr="00D87B79" w:rsidRDefault="00A92422" w:rsidP="00EA30FC">
            <w:pPr>
              <w:pStyle w:val="TableText"/>
              <w:widowControl w:val="0"/>
              <w:spacing w:after="60"/>
              <w:rPr>
                <w:rFonts w:ascii="Tahoma" w:hAnsi="Tahoma" w:cs="Tahoma"/>
                <w:sz w:val="13"/>
                <w:szCs w:val="13"/>
              </w:rPr>
            </w:pPr>
          </w:p>
        </w:tc>
        <w:tc>
          <w:tcPr>
            <w:tcW w:w="360" w:type="dxa"/>
            <w:tcBorders>
              <w:right w:val="single" w:sz="18" w:space="0" w:color="auto"/>
            </w:tcBorders>
            <w:vAlign w:val="bottom"/>
          </w:tcPr>
          <w:p w:rsidR="00A92422" w:rsidRPr="00D87B79" w:rsidRDefault="00A92422" w:rsidP="00EA30FC">
            <w:pPr>
              <w:pStyle w:val="TableText"/>
              <w:widowControl w:val="0"/>
              <w:spacing w:after="60"/>
              <w:rPr>
                <w:rFonts w:ascii="Tahoma" w:hAnsi="Tahoma" w:cs="Tahoma"/>
                <w:sz w:val="13"/>
                <w:szCs w:val="13"/>
              </w:rPr>
            </w:pPr>
          </w:p>
        </w:tc>
        <w:tc>
          <w:tcPr>
            <w:tcW w:w="450" w:type="dxa"/>
            <w:tcBorders>
              <w:lef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450" w:type="dxa"/>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15</w:t>
            </w:r>
          </w:p>
        </w:tc>
        <w:tc>
          <w:tcPr>
            <w:tcW w:w="450"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504" w:type="dxa"/>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lang w:val="it-IT"/>
              </w:rPr>
              <w:t>A</w:t>
            </w:r>
          </w:p>
        </w:tc>
        <w:tc>
          <w:tcPr>
            <w:tcW w:w="486" w:type="dxa"/>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ABF8F"/>
          </w:tcPr>
          <w:p w:rsidR="00A92422" w:rsidRPr="00D87B79" w:rsidRDefault="00A92422" w:rsidP="00EA30FC">
            <w:pPr>
              <w:pStyle w:val="Heading4"/>
              <w:spacing w:beforeLines="20" w:before="48" w:afterLines="20" w:after="48"/>
              <w:ind w:left="0" w:firstLine="0"/>
              <w:rPr>
                <w:rFonts w:ascii="Tahoma" w:hAnsi="Tahoma" w:cs="Tahoma"/>
                <w:b w:val="0"/>
                <w:sz w:val="18"/>
                <w:szCs w:val="18"/>
              </w:rPr>
            </w:pPr>
            <w:bookmarkStart w:id="492" w:name="_Toc336338083"/>
            <w:bookmarkStart w:id="493" w:name="_Toc342900131"/>
            <w:bookmarkEnd w:id="492"/>
            <w:r w:rsidRPr="00D87B79">
              <w:rPr>
                <w:rFonts w:ascii="Tahoma" w:hAnsi="Tahoma" w:cs="Tahoma"/>
                <w:b w:val="0"/>
                <w:sz w:val="14"/>
                <w:lang w:val="it-IT"/>
              </w:rPr>
              <w:t>System Center Server Management Suite</w:t>
            </w:r>
            <w:r>
              <w:rPr>
                <w:rFonts w:ascii="Tahoma" w:hAnsi="Tahoma" w:cs="Tahoma"/>
                <w:b w:val="0"/>
                <w:sz w:val="14"/>
                <w:lang w:val="it-IT"/>
              </w:rPr>
              <w:t> </w:t>
            </w:r>
            <w:r w:rsidRPr="00D87B79">
              <w:rPr>
                <w:rFonts w:ascii="Tahoma" w:hAnsi="Tahoma" w:cs="Tahoma"/>
                <w:b w:val="0"/>
                <w:sz w:val="14"/>
                <w:lang w:val="it-IT"/>
              </w:rPr>
              <w:t>Datacenter</w:t>
            </w:r>
            <w:bookmarkEnd w:id="493"/>
          </w:p>
        </w:tc>
        <w:tc>
          <w:tcPr>
            <w:tcW w:w="450" w:type="dxa"/>
            <w:shd w:val="clear" w:color="auto" w:fill="FABF8F"/>
          </w:tcPr>
          <w:p w:rsidR="00A92422" w:rsidRPr="001E1017" w:rsidRDefault="00A92422" w:rsidP="00EA30FC">
            <w:pPr>
              <w:pStyle w:val="TableText"/>
              <w:widowControl w:val="0"/>
              <w:spacing w:before="120"/>
              <w:rPr>
                <w:rStyle w:val="EndnoteReference"/>
                <w:rFonts w:cs="Tahoma"/>
                <w:sz w:val="13"/>
                <w:szCs w:val="13"/>
                <w:u w:val="single"/>
              </w:rPr>
            </w:pPr>
            <w:hyperlink w:anchor="_87_System_Center" w:history="1">
              <w:r w:rsidRPr="001E1017">
                <w:rPr>
                  <w:rStyle w:val="Hyperlink"/>
                  <w:rFonts w:cs="Tahoma"/>
                  <w:b/>
                  <w:sz w:val="13"/>
                  <w:szCs w:val="13"/>
                </w:rPr>
                <w:t>87</w:t>
              </w:r>
            </w:hyperlink>
          </w:p>
        </w:tc>
        <w:tc>
          <w:tcPr>
            <w:tcW w:w="450" w:type="dxa"/>
            <w:shd w:val="clear" w:color="auto" w:fill="FABF8F"/>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rPr>
              <w:t>07/09</w:t>
            </w:r>
          </w:p>
        </w:tc>
        <w:tc>
          <w:tcPr>
            <w:tcW w:w="360" w:type="dxa"/>
            <w:tcBorders>
              <w:right w:val="single" w:sz="18" w:space="0" w:color="auto"/>
            </w:tcBorders>
            <w:shd w:val="clear" w:color="auto" w:fill="FABF8F"/>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ABF8F"/>
          </w:tcPr>
          <w:p w:rsidR="00A92422" w:rsidRPr="00D87B79" w:rsidRDefault="00A92422" w:rsidP="00EA30FC">
            <w:pPr>
              <w:pStyle w:val="TableText"/>
              <w:widowControl w:val="0"/>
              <w:spacing w:before="120"/>
              <w:rPr>
                <w:rFonts w:ascii="Tahoma" w:hAnsi="Tahoma" w:cs="Tahoma"/>
                <w:sz w:val="13"/>
              </w:rPr>
            </w:pPr>
          </w:p>
        </w:tc>
        <w:tc>
          <w:tcPr>
            <w:tcW w:w="450" w:type="dxa"/>
            <w:shd w:val="clear" w:color="auto" w:fill="FABF8F"/>
          </w:tcPr>
          <w:p w:rsidR="00A92422" w:rsidRPr="00D87B79" w:rsidRDefault="00A92422" w:rsidP="00EA30FC">
            <w:pPr>
              <w:pStyle w:val="TableText"/>
              <w:widowControl w:val="0"/>
              <w:spacing w:before="120"/>
              <w:rPr>
                <w:rFonts w:ascii="Tahoma" w:hAnsi="Tahoma" w:cs="Tahoma"/>
                <w:sz w:val="13"/>
              </w:rPr>
            </w:pPr>
          </w:p>
        </w:tc>
        <w:tc>
          <w:tcPr>
            <w:tcW w:w="450" w:type="dxa"/>
            <w:shd w:val="clear" w:color="auto" w:fill="FABF8F"/>
          </w:tcPr>
          <w:p w:rsidR="00A92422" w:rsidRPr="00D87B79" w:rsidRDefault="00A92422" w:rsidP="00EA30FC">
            <w:pPr>
              <w:pStyle w:val="TableText"/>
              <w:widowControl w:val="0"/>
              <w:spacing w:before="120"/>
              <w:rPr>
                <w:rFonts w:ascii="Tahoma" w:hAnsi="Tahoma" w:cs="Tahoma"/>
                <w:sz w:val="13"/>
              </w:rPr>
            </w:pPr>
          </w:p>
        </w:tc>
        <w:tc>
          <w:tcPr>
            <w:tcW w:w="450" w:type="dxa"/>
            <w:shd w:val="clear" w:color="auto" w:fill="FABF8F"/>
          </w:tcPr>
          <w:p w:rsidR="00A92422" w:rsidRPr="00D87B79" w:rsidRDefault="00A92422" w:rsidP="00EA30FC">
            <w:pPr>
              <w:pStyle w:val="TableText"/>
              <w:widowControl w:val="0"/>
              <w:spacing w:before="120"/>
              <w:rPr>
                <w:rFonts w:ascii="Tahoma" w:hAnsi="Tahoma" w:cs="Tahoma"/>
                <w:sz w:val="13"/>
              </w:rPr>
            </w:pPr>
          </w:p>
        </w:tc>
        <w:tc>
          <w:tcPr>
            <w:tcW w:w="450" w:type="dxa"/>
            <w:shd w:val="clear" w:color="auto" w:fill="FABF8F"/>
          </w:tcPr>
          <w:p w:rsidR="00A92422" w:rsidRPr="00D87B79" w:rsidRDefault="00A92422" w:rsidP="00EA30FC">
            <w:pPr>
              <w:pStyle w:val="TableText"/>
              <w:widowControl w:val="0"/>
              <w:spacing w:before="120"/>
              <w:rPr>
                <w:rFonts w:ascii="Tahoma" w:hAnsi="Tahoma" w:cs="Tahoma"/>
                <w:sz w:val="13"/>
              </w:rPr>
            </w:pPr>
          </w:p>
        </w:tc>
        <w:tc>
          <w:tcPr>
            <w:tcW w:w="450" w:type="dxa"/>
            <w:shd w:val="clear" w:color="auto" w:fill="FABF8F"/>
          </w:tcPr>
          <w:p w:rsidR="00A92422" w:rsidRPr="00D87B79" w:rsidRDefault="00A92422" w:rsidP="00EA30FC">
            <w:pPr>
              <w:pStyle w:val="TableText"/>
              <w:widowControl w:val="0"/>
              <w:spacing w:before="120"/>
              <w:rPr>
                <w:rFonts w:ascii="Tahoma" w:hAnsi="Tahoma" w:cs="Tahoma"/>
                <w:sz w:val="13"/>
              </w:rPr>
            </w:pPr>
          </w:p>
        </w:tc>
        <w:tc>
          <w:tcPr>
            <w:tcW w:w="360" w:type="dxa"/>
            <w:tcBorders>
              <w:right w:val="single" w:sz="18" w:space="0" w:color="auto"/>
            </w:tcBorders>
            <w:shd w:val="clear" w:color="auto" w:fill="FABF8F"/>
          </w:tcPr>
          <w:p w:rsidR="00A92422" w:rsidRPr="00D87B79" w:rsidRDefault="00A92422" w:rsidP="00EA30FC">
            <w:pPr>
              <w:pStyle w:val="TableText"/>
              <w:widowControl w:val="0"/>
              <w:spacing w:before="120"/>
              <w:rPr>
                <w:rFonts w:ascii="Tahoma" w:hAnsi="Tahoma" w:cs="Tahoma"/>
                <w:sz w:val="13"/>
              </w:rPr>
            </w:pPr>
          </w:p>
        </w:tc>
        <w:tc>
          <w:tcPr>
            <w:tcW w:w="450" w:type="dxa"/>
            <w:tcBorders>
              <w:left w:val="single" w:sz="18" w:space="0" w:color="auto"/>
            </w:tcBorders>
            <w:shd w:val="clear" w:color="auto" w:fill="FABF8F"/>
          </w:tcPr>
          <w:p w:rsidR="00A92422" w:rsidRPr="00D87B79" w:rsidRDefault="00A92422" w:rsidP="00EA30FC">
            <w:pPr>
              <w:pStyle w:val="TableText"/>
              <w:widowControl w:val="0"/>
              <w:spacing w:before="120"/>
              <w:rPr>
                <w:rFonts w:ascii="Tahoma" w:hAnsi="Tahoma" w:cs="Tahoma"/>
                <w:sz w:val="13"/>
              </w:rPr>
            </w:pPr>
          </w:p>
        </w:tc>
        <w:tc>
          <w:tcPr>
            <w:tcW w:w="450" w:type="dxa"/>
            <w:shd w:val="clear" w:color="auto" w:fill="FABF8F"/>
          </w:tcPr>
          <w:p w:rsidR="00A92422" w:rsidRPr="00D87B79" w:rsidRDefault="00A92422" w:rsidP="00EA30FC">
            <w:pPr>
              <w:pStyle w:val="TableText"/>
              <w:widowControl w:val="0"/>
              <w:spacing w:before="120"/>
              <w:rPr>
                <w:rFonts w:ascii="Tahoma" w:hAnsi="Tahoma" w:cs="Tahoma"/>
                <w:sz w:val="13"/>
              </w:rPr>
            </w:pPr>
          </w:p>
        </w:tc>
        <w:tc>
          <w:tcPr>
            <w:tcW w:w="450" w:type="dxa"/>
            <w:tcBorders>
              <w:right w:val="single" w:sz="18" w:space="0" w:color="auto"/>
            </w:tcBorders>
            <w:shd w:val="clear" w:color="auto" w:fill="FABF8F"/>
          </w:tcPr>
          <w:p w:rsidR="00A92422" w:rsidRPr="00D87B79" w:rsidRDefault="00A92422" w:rsidP="00EA30FC">
            <w:pPr>
              <w:pStyle w:val="TableText"/>
              <w:widowControl w:val="0"/>
              <w:spacing w:before="120"/>
              <w:rPr>
                <w:rFonts w:ascii="Tahoma" w:hAnsi="Tahoma" w:cs="Tahoma"/>
                <w:sz w:val="13"/>
              </w:rPr>
            </w:pPr>
          </w:p>
        </w:tc>
        <w:tc>
          <w:tcPr>
            <w:tcW w:w="450" w:type="dxa"/>
            <w:tcBorders>
              <w:left w:val="single" w:sz="18" w:space="0" w:color="auto"/>
            </w:tcBorders>
            <w:shd w:val="clear" w:color="auto" w:fill="FABF8F"/>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rPr>
              <w:t>10</w:t>
            </w:r>
          </w:p>
        </w:tc>
        <w:tc>
          <w:tcPr>
            <w:tcW w:w="450" w:type="dxa"/>
            <w:tcBorders>
              <w:right w:val="single" w:sz="18" w:space="0" w:color="auto"/>
            </w:tcBorders>
            <w:shd w:val="clear" w:color="auto" w:fill="FABF8F"/>
          </w:tcPr>
          <w:p w:rsidR="00A92422" w:rsidRPr="00D87B79" w:rsidRDefault="00A92422" w:rsidP="00EA30FC">
            <w:pPr>
              <w:pStyle w:val="TableText"/>
              <w:widowControl w:val="0"/>
              <w:spacing w:before="120"/>
              <w:rPr>
                <w:rFonts w:ascii="Tahoma" w:hAnsi="Tahoma" w:cs="Tahoma"/>
                <w:sz w:val="13"/>
              </w:rPr>
            </w:pPr>
          </w:p>
        </w:tc>
        <w:tc>
          <w:tcPr>
            <w:tcW w:w="450" w:type="dxa"/>
            <w:tcBorders>
              <w:left w:val="single" w:sz="18" w:space="0" w:color="auto"/>
              <w:right w:val="single" w:sz="18" w:space="0" w:color="auto"/>
            </w:tcBorders>
            <w:shd w:val="clear" w:color="auto" w:fill="FABF8F"/>
          </w:tcPr>
          <w:p w:rsidR="00A92422" w:rsidRPr="00D87B79" w:rsidRDefault="00A92422" w:rsidP="00EA30FC">
            <w:pPr>
              <w:pStyle w:val="TableText"/>
              <w:widowControl w:val="0"/>
              <w:spacing w:before="120"/>
              <w:rPr>
                <w:rFonts w:ascii="Tahoma" w:hAnsi="Tahoma" w:cs="Tahoma"/>
                <w:sz w:val="13"/>
              </w:rPr>
            </w:pPr>
          </w:p>
        </w:tc>
        <w:tc>
          <w:tcPr>
            <w:tcW w:w="504" w:type="dxa"/>
            <w:shd w:val="clear" w:color="auto" w:fill="FABF8F"/>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lang w:val="it-IT"/>
              </w:rPr>
              <w:t>A</w:t>
            </w:r>
          </w:p>
        </w:tc>
        <w:tc>
          <w:tcPr>
            <w:tcW w:w="486" w:type="dxa"/>
            <w:shd w:val="clear" w:color="auto" w:fill="FABF8F"/>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tcPr>
          <w:p w:rsidR="00A92422" w:rsidRPr="00D87B79" w:rsidRDefault="00A92422" w:rsidP="00EA30FC">
            <w:pPr>
              <w:pStyle w:val="Heading3"/>
              <w:spacing w:beforeLines="20" w:before="48" w:afterLines="20" w:after="48"/>
              <w:rPr>
                <w:rFonts w:ascii="Tahoma" w:hAnsi="Tahoma" w:cs="Tahoma"/>
                <w:b w:val="0"/>
                <w:sz w:val="14"/>
                <w:szCs w:val="16"/>
              </w:rPr>
            </w:pPr>
            <w:bookmarkStart w:id="494" w:name="_Toc336338084"/>
            <w:bookmarkStart w:id="495" w:name="_Toc342900132"/>
            <w:bookmarkEnd w:id="494"/>
            <w:r w:rsidRPr="00D87B79">
              <w:rPr>
                <w:rFonts w:ascii="Tahoma" w:hAnsi="Tahoma" w:cs="Tahoma"/>
                <w:b w:val="0"/>
                <w:sz w:val="14"/>
                <w:szCs w:val="16"/>
                <w:lang w:val="it-IT"/>
              </w:rPr>
              <w:t>System Center Service Manager 2010</w:t>
            </w:r>
            <w:bookmarkEnd w:id="495"/>
          </w:p>
        </w:tc>
        <w:tc>
          <w:tcPr>
            <w:tcW w:w="450" w:type="dxa"/>
          </w:tcPr>
          <w:p w:rsidR="00A92422" w:rsidRPr="001E1017" w:rsidRDefault="00A92422" w:rsidP="00EA30FC">
            <w:pPr>
              <w:pStyle w:val="TableText"/>
              <w:widowControl w:val="0"/>
              <w:spacing w:before="120"/>
              <w:rPr>
                <w:rStyle w:val="EndnoteReference"/>
                <w:rFonts w:cs="Tahoma"/>
                <w:sz w:val="13"/>
                <w:szCs w:val="13"/>
                <w:u w:val="single"/>
              </w:rPr>
            </w:pPr>
            <w:hyperlink w:anchor="_88_Licenze_di" w:history="1">
              <w:r w:rsidRPr="001E1017">
                <w:rPr>
                  <w:rStyle w:val="Hyperlink"/>
                  <w:rFonts w:cs="Tahoma"/>
                  <w:b/>
                  <w:sz w:val="13"/>
                  <w:szCs w:val="13"/>
                </w:rPr>
                <w:t>88</w:t>
              </w:r>
            </w:hyperlink>
          </w:p>
        </w:tc>
        <w:tc>
          <w:tcPr>
            <w:tcW w:w="450" w:type="dxa"/>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rPr>
              <w:t>04/10</w:t>
            </w:r>
          </w:p>
        </w:tc>
        <w:tc>
          <w:tcPr>
            <w:tcW w:w="360" w:type="dxa"/>
            <w:tcBorders>
              <w:right w:val="single" w:sz="18" w:space="0" w:color="auto"/>
            </w:tcBorders>
            <w:vAlign w:val="center"/>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rPr>
              <w:t>5</w:t>
            </w:r>
          </w:p>
        </w:tc>
        <w:tc>
          <w:tcPr>
            <w:tcW w:w="450" w:type="dxa"/>
          </w:tcPr>
          <w:p w:rsidR="00A92422" w:rsidRPr="00D87B79" w:rsidRDefault="00A92422" w:rsidP="00EA30FC">
            <w:pPr>
              <w:pStyle w:val="TableText"/>
              <w:widowControl w:val="0"/>
              <w:spacing w:before="120"/>
              <w:rPr>
                <w:rFonts w:ascii="Tahoma" w:hAnsi="Tahoma" w:cs="Tahoma"/>
                <w:sz w:val="13"/>
              </w:rPr>
            </w:pPr>
          </w:p>
        </w:tc>
        <w:tc>
          <w:tcPr>
            <w:tcW w:w="450" w:type="dxa"/>
          </w:tcPr>
          <w:p w:rsidR="00A92422" w:rsidRPr="00D87B79" w:rsidRDefault="00A92422" w:rsidP="00EA30FC">
            <w:pPr>
              <w:pStyle w:val="TableText"/>
              <w:widowControl w:val="0"/>
              <w:spacing w:before="120"/>
              <w:rPr>
                <w:rFonts w:ascii="Tahoma" w:hAnsi="Tahoma" w:cs="Tahoma"/>
                <w:sz w:val="13"/>
              </w:rPr>
            </w:pPr>
          </w:p>
        </w:tc>
        <w:tc>
          <w:tcPr>
            <w:tcW w:w="450" w:type="dxa"/>
          </w:tcPr>
          <w:p w:rsidR="00A92422" w:rsidRPr="00D87B79" w:rsidRDefault="00A92422" w:rsidP="00EA30FC">
            <w:pPr>
              <w:pStyle w:val="TableText"/>
              <w:widowControl w:val="0"/>
              <w:spacing w:before="120"/>
              <w:rPr>
                <w:rFonts w:ascii="Tahoma" w:hAnsi="Tahoma" w:cs="Tahoma"/>
                <w:sz w:val="13"/>
              </w:rPr>
            </w:pPr>
          </w:p>
        </w:tc>
        <w:tc>
          <w:tcPr>
            <w:tcW w:w="450" w:type="dxa"/>
          </w:tcPr>
          <w:p w:rsidR="00A92422" w:rsidRPr="00D87B79" w:rsidRDefault="00A92422" w:rsidP="00EA30FC">
            <w:pPr>
              <w:pStyle w:val="TableText"/>
              <w:widowControl w:val="0"/>
              <w:spacing w:before="120"/>
              <w:rPr>
                <w:rFonts w:ascii="Tahoma" w:hAnsi="Tahoma" w:cs="Tahoma"/>
                <w:sz w:val="13"/>
              </w:rPr>
            </w:pPr>
          </w:p>
        </w:tc>
        <w:tc>
          <w:tcPr>
            <w:tcW w:w="450" w:type="dxa"/>
          </w:tcPr>
          <w:p w:rsidR="00A92422" w:rsidRPr="00D87B79" w:rsidRDefault="00A92422" w:rsidP="00EA30FC">
            <w:pPr>
              <w:pStyle w:val="TableText"/>
              <w:widowControl w:val="0"/>
              <w:spacing w:before="120"/>
              <w:rPr>
                <w:rFonts w:ascii="Tahoma" w:hAnsi="Tahoma" w:cs="Tahoma"/>
                <w:sz w:val="13"/>
              </w:rPr>
            </w:pPr>
          </w:p>
        </w:tc>
        <w:tc>
          <w:tcPr>
            <w:tcW w:w="360" w:type="dxa"/>
            <w:tcBorders>
              <w:right w:val="single" w:sz="18" w:space="0" w:color="auto"/>
            </w:tcBorders>
          </w:tcPr>
          <w:p w:rsidR="00A92422" w:rsidRPr="00D87B79" w:rsidRDefault="00A92422" w:rsidP="00EA30FC">
            <w:pPr>
              <w:pStyle w:val="TableText"/>
              <w:widowControl w:val="0"/>
              <w:spacing w:before="120"/>
              <w:rPr>
                <w:rFonts w:ascii="Tahoma" w:hAnsi="Tahoma" w:cs="Tahoma"/>
                <w:sz w:val="13"/>
              </w:rPr>
            </w:pPr>
          </w:p>
        </w:tc>
        <w:tc>
          <w:tcPr>
            <w:tcW w:w="450" w:type="dxa"/>
            <w:tcBorders>
              <w:left w:val="single" w:sz="18" w:space="0" w:color="auto"/>
            </w:tcBorders>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rPr>
              <w:t>5</w:t>
            </w:r>
          </w:p>
        </w:tc>
        <w:tc>
          <w:tcPr>
            <w:tcW w:w="450" w:type="dxa"/>
          </w:tcPr>
          <w:p w:rsidR="00A92422" w:rsidRPr="00D87B79" w:rsidRDefault="00A92422" w:rsidP="00EA30FC">
            <w:pPr>
              <w:pStyle w:val="TableText"/>
              <w:widowControl w:val="0"/>
              <w:spacing w:before="120"/>
              <w:rPr>
                <w:rFonts w:ascii="Tahoma" w:hAnsi="Tahoma" w:cs="Tahoma"/>
                <w:sz w:val="13"/>
              </w:rPr>
            </w:pPr>
          </w:p>
        </w:tc>
        <w:tc>
          <w:tcPr>
            <w:tcW w:w="450" w:type="dxa"/>
            <w:tcBorders>
              <w:right w:val="single" w:sz="18" w:space="0" w:color="auto"/>
            </w:tcBorders>
          </w:tcPr>
          <w:p w:rsidR="00A92422" w:rsidRPr="00D87B79" w:rsidRDefault="00A92422" w:rsidP="00EA30FC">
            <w:pPr>
              <w:pStyle w:val="TableText"/>
              <w:widowControl w:val="0"/>
              <w:spacing w:before="120"/>
              <w:rPr>
                <w:rFonts w:ascii="Tahoma" w:hAnsi="Tahoma" w:cs="Tahoma"/>
                <w:sz w:val="13"/>
              </w:rPr>
            </w:pPr>
          </w:p>
        </w:tc>
        <w:tc>
          <w:tcPr>
            <w:tcW w:w="450" w:type="dxa"/>
            <w:tcBorders>
              <w:left w:val="single" w:sz="18" w:space="0" w:color="auto"/>
            </w:tcBorders>
          </w:tcPr>
          <w:p w:rsidR="00A92422" w:rsidRPr="00D87B79" w:rsidRDefault="00A92422" w:rsidP="00EA30FC">
            <w:pPr>
              <w:pStyle w:val="TableText"/>
              <w:widowControl w:val="0"/>
              <w:spacing w:before="120"/>
              <w:rPr>
                <w:rFonts w:ascii="Tahoma" w:hAnsi="Tahoma" w:cs="Tahoma"/>
                <w:sz w:val="13"/>
              </w:rPr>
            </w:pPr>
          </w:p>
        </w:tc>
        <w:tc>
          <w:tcPr>
            <w:tcW w:w="450" w:type="dxa"/>
            <w:tcBorders>
              <w:right w:val="single" w:sz="18" w:space="0" w:color="auto"/>
            </w:tcBorders>
          </w:tcPr>
          <w:p w:rsidR="00A92422" w:rsidRPr="00D87B79" w:rsidRDefault="00A92422" w:rsidP="00EA30FC">
            <w:pPr>
              <w:pStyle w:val="TableText"/>
              <w:widowControl w:val="0"/>
              <w:spacing w:before="120"/>
              <w:rPr>
                <w:rFonts w:ascii="Tahoma" w:hAnsi="Tahoma" w:cs="Tahoma"/>
                <w:sz w:val="13"/>
              </w:rPr>
            </w:pPr>
          </w:p>
        </w:tc>
        <w:tc>
          <w:tcPr>
            <w:tcW w:w="450" w:type="dxa"/>
            <w:tcBorders>
              <w:left w:val="single" w:sz="18" w:space="0" w:color="auto"/>
              <w:right w:val="single" w:sz="18" w:space="0" w:color="auto"/>
            </w:tcBorders>
          </w:tcPr>
          <w:p w:rsidR="00A92422" w:rsidRPr="00D87B79" w:rsidRDefault="00A92422" w:rsidP="00EA30FC">
            <w:pPr>
              <w:pStyle w:val="TableText"/>
              <w:widowControl w:val="0"/>
              <w:spacing w:before="120"/>
              <w:rPr>
                <w:rFonts w:ascii="Tahoma" w:hAnsi="Tahoma" w:cs="Tahoma"/>
                <w:sz w:val="13"/>
              </w:rPr>
            </w:pPr>
          </w:p>
        </w:tc>
        <w:tc>
          <w:tcPr>
            <w:tcW w:w="504" w:type="dxa"/>
          </w:tcPr>
          <w:p w:rsidR="00A92422" w:rsidRPr="00D87B79" w:rsidRDefault="00A92422" w:rsidP="00EA30FC">
            <w:pPr>
              <w:pStyle w:val="TableText"/>
              <w:widowControl w:val="0"/>
              <w:spacing w:before="120"/>
              <w:rPr>
                <w:rFonts w:ascii="Tahoma" w:hAnsi="Tahoma" w:cs="Tahoma"/>
                <w:sz w:val="13"/>
              </w:rPr>
            </w:pPr>
          </w:p>
        </w:tc>
        <w:tc>
          <w:tcPr>
            <w:tcW w:w="486" w:type="dxa"/>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ABF8F"/>
          </w:tcPr>
          <w:p w:rsidR="00A92422" w:rsidRPr="00D87B79" w:rsidRDefault="00A92422" w:rsidP="00EA30FC">
            <w:pPr>
              <w:pStyle w:val="Heading3"/>
              <w:spacing w:beforeLines="20" w:before="48" w:afterLines="20" w:after="48"/>
              <w:rPr>
                <w:rFonts w:ascii="Tahoma" w:hAnsi="Tahoma" w:cs="Tahoma"/>
                <w:b w:val="0"/>
                <w:sz w:val="14"/>
                <w:szCs w:val="16"/>
              </w:rPr>
            </w:pPr>
            <w:bookmarkStart w:id="496" w:name="_Toc336338085"/>
            <w:bookmarkStart w:id="497" w:name="_Toc342900133"/>
            <w:bookmarkEnd w:id="496"/>
            <w:r w:rsidRPr="00D87B79">
              <w:rPr>
                <w:rFonts w:ascii="Tahoma" w:hAnsi="Tahoma" w:cs="Tahoma"/>
                <w:b w:val="0"/>
                <w:sz w:val="14"/>
                <w:szCs w:val="16"/>
                <w:lang w:val="it-IT"/>
              </w:rPr>
              <w:t>System Center Service Manager 2010 con Tecnologia SQL Server 2008</w:t>
            </w:r>
            <w:bookmarkEnd w:id="497"/>
          </w:p>
        </w:tc>
        <w:tc>
          <w:tcPr>
            <w:tcW w:w="450" w:type="dxa"/>
            <w:shd w:val="clear" w:color="auto" w:fill="FABF8F"/>
          </w:tcPr>
          <w:p w:rsidR="00A92422" w:rsidRPr="001E1017" w:rsidRDefault="00A92422" w:rsidP="00EA30FC">
            <w:pPr>
              <w:pStyle w:val="TableText"/>
              <w:widowControl w:val="0"/>
              <w:rPr>
                <w:rStyle w:val="EndnoteReference"/>
                <w:rFonts w:cs="Tahoma"/>
                <w:sz w:val="13"/>
                <w:szCs w:val="13"/>
                <w:u w:val="single"/>
              </w:rPr>
            </w:pPr>
          </w:p>
        </w:tc>
        <w:tc>
          <w:tcPr>
            <w:tcW w:w="450" w:type="dxa"/>
            <w:shd w:val="clear" w:color="auto" w:fill="FABF8F"/>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rPr>
              <w:t>04/10</w:t>
            </w:r>
          </w:p>
        </w:tc>
        <w:tc>
          <w:tcPr>
            <w:tcW w:w="360" w:type="dxa"/>
            <w:tcBorders>
              <w:right w:val="single" w:sz="18" w:space="0" w:color="auto"/>
            </w:tcBorders>
            <w:shd w:val="clear" w:color="auto" w:fill="FABF8F"/>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ABF8F"/>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rPr>
              <w:t>25</w:t>
            </w:r>
          </w:p>
        </w:tc>
        <w:tc>
          <w:tcPr>
            <w:tcW w:w="450" w:type="dxa"/>
            <w:shd w:val="clear" w:color="auto" w:fill="FABF8F"/>
          </w:tcPr>
          <w:p w:rsidR="00A92422" w:rsidRPr="00D87B79" w:rsidRDefault="00A92422" w:rsidP="00EA30FC">
            <w:pPr>
              <w:pStyle w:val="TableText"/>
              <w:widowControl w:val="0"/>
              <w:spacing w:before="120"/>
              <w:rPr>
                <w:rFonts w:ascii="Tahoma" w:hAnsi="Tahoma" w:cs="Tahoma"/>
                <w:sz w:val="13"/>
              </w:rPr>
            </w:pPr>
          </w:p>
        </w:tc>
        <w:tc>
          <w:tcPr>
            <w:tcW w:w="450" w:type="dxa"/>
            <w:shd w:val="clear" w:color="auto" w:fill="FABF8F"/>
          </w:tcPr>
          <w:p w:rsidR="00A92422" w:rsidRPr="00D87B79" w:rsidRDefault="00A92422" w:rsidP="00EA30FC">
            <w:pPr>
              <w:pStyle w:val="TableText"/>
              <w:widowControl w:val="0"/>
              <w:spacing w:before="120"/>
              <w:rPr>
                <w:rFonts w:ascii="Tahoma" w:hAnsi="Tahoma" w:cs="Tahoma"/>
                <w:sz w:val="13"/>
              </w:rPr>
            </w:pPr>
          </w:p>
        </w:tc>
        <w:tc>
          <w:tcPr>
            <w:tcW w:w="450" w:type="dxa"/>
            <w:shd w:val="clear" w:color="auto" w:fill="FABF8F"/>
          </w:tcPr>
          <w:p w:rsidR="00A92422" w:rsidRPr="00D87B79" w:rsidRDefault="00A92422" w:rsidP="00EA30FC">
            <w:pPr>
              <w:pStyle w:val="TableText"/>
              <w:widowControl w:val="0"/>
              <w:spacing w:before="120"/>
              <w:rPr>
                <w:rFonts w:ascii="Tahoma" w:hAnsi="Tahoma" w:cs="Tahoma"/>
                <w:sz w:val="13"/>
              </w:rPr>
            </w:pPr>
          </w:p>
        </w:tc>
        <w:tc>
          <w:tcPr>
            <w:tcW w:w="450" w:type="dxa"/>
            <w:shd w:val="clear" w:color="auto" w:fill="FABF8F"/>
          </w:tcPr>
          <w:p w:rsidR="00A92422" w:rsidRPr="00D87B79" w:rsidRDefault="00A92422" w:rsidP="00EA30FC">
            <w:pPr>
              <w:pStyle w:val="TableText"/>
              <w:widowControl w:val="0"/>
              <w:spacing w:before="120"/>
              <w:rPr>
                <w:rFonts w:ascii="Tahoma" w:hAnsi="Tahoma" w:cs="Tahoma"/>
                <w:sz w:val="13"/>
              </w:rPr>
            </w:pPr>
          </w:p>
        </w:tc>
        <w:tc>
          <w:tcPr>
            <w:tcW w:w="450" w:type="dxa"/>
            <w:shd w:val="clear" w:color="auto" w:fill="FABF8F"/>
          </w:tcPr>
          <w:p w:rsidR="00A92422" w:rsidRPr="00D87B79" w:rsidRDefault="00A92422" w:rsidP="00EA30FC">
            <w:pPr>
              <w:pStyle w:val="TableText"/>
              <w:widowControl w:val="0"/>
              <w:spacing w:before="120"/>
              <w:rPr>
                <w:rFonts w:ascii="Tahoma" w:hAnsi="Tahoma" w:cs="Tahoma"/>
                <w:sz w:val="13"/>
              </w:rPr>
            </w:pPr>
          </w:p>
        </w:tc>
        <w:tc>
          <w:tcPr>
            <w:tcW w:w="360" w:type="dxa"/>
            <w:tcBorders>
              <w:right w:val="single" w:sz="18" w:space="0" w:color="auto"/>
            </w:tcBorders>
            <w:shd w:val="clear" w:color="auto" w:fill="FABF8F"/>
          </w:tcPr>
          <w:p w:rsidR="00A92422" w:rsidRPr="00D87B79" w:rsidRDefault="00A92422" w:rsidP="00EA30FC">
            <w:pPr>
              <w:pStyle w:val="TableText"/>
              <w:widowControl w:val="0"/>
              <w:spacing w:before="120"/>
              <w:rPr>
                <w:rFonts w:ascii="Tahoma" w:hAnsi="Tahoma" w:cs="Tahoma"/>
                <w:sz w:val="13"/>
              </w:rPr>
            </w:pPr>
          </w:p>
        </w:tc>
        <w:tc>
          <w:tcPr>
            <w:tcW w:w="450" w:type="dxa"/>
            <w:tcBorders>
              <w:left w:val="single" w:sz="18" w:space="0" w:color="auto"/>
            </w:tcBorders>
            <w:shd w:val="clear" w:color="auto" w:fill="FABF8F"/>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rPr>
              <w:t>25</w:t>
            </w:r>
          </w:p>
        </w:tc>
        <w:tc>
          <w:tcPr>
            <w:tcW w:w="450" w:type="dxa"/>
            <w:shd w:val="clear" w:color="auto" w:fill="FABF8F"/>
          </w:tcPr>
          <w:p w:rsidR="00A92422" w:rsidRPr="00D87B79" w:rsidRDefault="00A92422" w:rsidP="00EA30FC">
            <w:pPr>
              <w:pStyle w:val="TableText"/>
              <w:widowControl w:val="0"/>
              <w:spacing w:before="120"/>
              <w:rPr>
                <w:rFonts w:ascii="Tahoma" w:hAnsi="Tahoma" w:cs="Tahoma"/>
                <w:sz w:val="13"/>
              </w:rPr>
            </w:pPr>
          </w:p>
        </w:tc>
        <w:tc>
          <w:tcPr>
            <w:tcW w:w="450" w:type="dxa"/>
            <w:tcBorders>
              <w:right w:val="single" w:sz="18" w:space="0" w:color="auto"/>
            </w:tcBorders>
            <w:shd w:val="clear" w:color="auto" w:fill="FABF8F"/>
          </w:tcPr>
          <w:p w:rsidR="00A92422" w:rsidRPr="00D87B79" w:rsidRDefault="00A92422" w:rsidP="00EA30FC">
            <w:pPr>
              <w:pStyle w:val="TableText"/>
              <w:widowControl w:val="0"/>
              <w:spacing w:before="120"/>
              <w:rPr>
                <w:rFonts w:ascii="Tahoma" w:hAnsi="Tahoma" w:cs="Tahoma"/>
                <w:sz w:val="13"/>
              </w:rPr>
            </w:pPr>
          </w:p>
        </w:tc>
        <w:tc>
          <w:tcPr>
            <w:tcW w:w="450" w:type="dxa"/>
            <w:tcBorders>
              <w:left w:val="single" w:sz="18" w:space="0" w:color="auto"/>
            </w:tcBorders>
            <w:shd w:val="clear" w:color="auto" w:fill="FABF8F"/>
          </w:tcPr>
          <w:p w:rsidR="00A92422" w:rsidRPr="00D87B79" w:rsidRDefault="00A92422" w:rsidP="00EA30FC">
            <w:pPr>
              <w:pStyle w:val="TableText"/>
              <w:widowControl w:val="0"/>
              <w:spacing w:before="120"/>
              <w:rPr>
                <w:rFonts w:ascii="Tahoma" w:hAnsi="Tahoma" w:cs="Tahoma"/>
                <w:sz w:val="13"/>
              </w:rPr>
            </w:pPr>
          </w:p>
        </w:tc>
        <w:tc>
          <w:tcPr>
            <w:tcW w:w="450" w:type="dxa"/>
            <w:tcBorders>
              <w:right w:val="single" w:sz="18" w:space="0" w:color="auto"/>
            </w:tcBorders>
            <w:shd w:val="clear" w:color="auto" w:fill="FABF8F"/>
          </w:tcPr>
          <w:p w:rsidR="00A92422" w:rsidRPr="00D87B79" w:rsidRDefault="00A92422" w:rsidP="00EA30FC">
            <w:pPr>
              <w:pStyle w:val="TableText"/>
              <w:widowControl w:val="0"/>
              <w:spacing w:before="120"/>
              <w:rPr>
                <w:rFonts w:ascii="Tahoma" w:hAnsi="Tahoma" w:cs="Tahoma"/>
                <w:sz w:val="13"/>
              </w:rPr>
            </w:pPr>
          </w:p>
        </w:tc>
        <w:tc>
          <w:tcPr>
            <w:tcW w:w="450" w:type="dxa"/>
            <w:tcBorders>
              <w:left w:val="single" w:sz="18" w:space="0" w:color="auto"/>
              <w:right w:val="single" w:sz="18" w:space="0" w:color="auto"/>
            </w:tcBorders>
            <w:shd w:val="clear" w:color="auto" w:fill="FABF8F"/>
          </w:tcPr>
          <w:p w:rsidR="00A92422" w:rsidRPr="00D87B79" w:rsidRDefault="00A92422" w:rsidP="00EA30FC">
            <w:pPr>
              <w:pStyle w:val="TableText"/>
              <w:widowControl w:val="0"/>
              <w:spacing w:before="120"/>
              <w:rPr>
                <w:rFonts w:ascii="Tahoma" w:hAnsi="Tahoma" w:cs="Tahoma"/>
                <w:sz w:val="13"/>
              </w:rPr>
            </w:pPr>
          </w:p>
        </w:tc>
        <w:tc>
          <w:tcPr>
            <w:tcW w:w="504" w:type="dxa"/>
            <w:shd w:val="clear" w:color="auto" w:fill="FABF8F"/>
          </w:tcPr>
          <w:p w:rsidR="00A92422" w:rsidRPr="00D87B79" w:rsidRDefault="00A92422" w:rsidP="00EA30FC">
            <w:pPr>
              <w:pStyle w:val="TableText"/>
              <w:widowControl w:val="0"/>
              <w:spacing w:before="120"/>
              <w:rPr>
                <w:rFonts w:ascii="Tahoma" w:hAnsi="Tahoma" w:cs="Tahoma"/>
                <w:sz w:val="13"/>
              </w:rPr>
            </w:pPr>
          </w:p>
        </w:tc>
        <w:tc>
          <w:tcPr>
            <w:tcW w:w="486" w:type="dxa"/>
            <w:shd w:val="clear" w:color="auto" w:fill="FABF8F"/>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tcPr>
          <w:p w:rsidR="00A92422" w:rsidRPr="00D87B79" w:rsidRDefault="00A92422" w:rsidP="00EA30FC">
            <w:pPr>
              <w:pStyle w:val="Heading3"/>
              <w:spacing w:beforeLines="20" w:before="48" w:afterLines="20" w:after="48"/>
              <w:rPr>
                <w:rFonts w:ascii="Tahoma" w:hAnsi="Tahoma" w:cs="Tahoma"/>
                <w:b w:val="0"/>
                <w:sz w:val="14"/>
                <w:szCs w:val="16"/>
              </w:rPr>
            </w:pPr>
            <w:bookmarkStart w:id="498" w:name="_Toc336338086"/>
            <w:bookmarkStart w:id="499" w:name="_Toc342900134"/>
            <w:bookmarkEnd w:id="498"/>
            <w:r w:rsidRPr="00D87B79">
              <w:rPr>
                <w:rFonts w:ascii="Tahoma" w:hAnsi="Tahoma" w:cs="Tahoma"/>
                <w:b w:val="0"/>
                <w:sz w:val="14"/>
                <w:szCs w:val="16"/>
                <w:lang w:val="it-IT"/>
              </w:rPr>
              <w:t>Licenza di Gestione Client (Client ML) per</w:t>
            </w:r>
            <w:r>
              <w:rPr>
                <w:rFonts w:ascii="Tahoma" w:hAnsi="Tahoma" w:cs="Tahoma"/>
                <w:b w:val="0"/>
                <w:sz w:val="14"/>
                <w:szCs w:val="16"/>
                <w:lang w:val="it-IT"/>
              </w:rPr>
              <w:t> </w:t>
            </w:r>
            <w:r w:rsidRPr="00D87B79">
              <w:rPr>
                <w:rFonts w:ascii="Tahoma" w:hAnsi="Tahoma" w:cs="Tahoma"/>
                <w:b w:val="0"/>
                <w:sz w:val="14"/>
                <w:szCs w:val="16"/>
                <w:lang w:val="it-IT"/>
              </w:rPr>
              <w:t>OSE per System Center Service Manager 2010</w:t>
            </w:r>
            <w:bookmarkEnd w:id="499"/>
          </w:p>
        </w:tc>
        <w:tc>
          <w:tcPr>
            <w:tcW w:w="450" w:type="dxa"/>
          </w:tcPr>
          <w:p w:rsidR="00A92422" w:rsidRPr="001E1017" w:rsidRDefault="00A92422" w:rsidP="00EA30FC">
            <w:pPr>
              <w:pStyle w:val="TableText"/>
              <w:widowControl w:val="0"/>
              <w:rPr>
                <w:rStyle w:val="EndnoteReference"/>
                <w:rFonts w:cs="Tahoma"/>
                <w:sz w:val="13"/>
                <w:szCs w:val="13"/>
                <w:u w:val="single"/>
              </w:rPr>
            </w:pPr>
          </w:p>
        </w:tc>
        <w:tc>
          <w:tcPr>
            <w:tcW w:w="450" w:type="dxa"/>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rPr>
              <w:t>04/10</w:t>
            </w:r>
          </w:p>
        </w:tc>
        <w:tc>
          <w:tcPr>
            <w:tcW w:w="360" w:type="dxa"/>
            <w:tcBorders>
              <w:right w:val="single" w:sz="18" w:space="0" w:color="auto"/>
            </w:tcBorders>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vAlign w:val="center"/>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rPr>
              <w:t>1</w:t>
            </w:r>
          </w:p>
        </w:tc>
        <w:tc>
          <w:tcPr>
            <w:tcW w:w="450" w:type="dxa"/>
            <w:vAlign w:val="center"/>
          </w:tcPr>
          <w:p w:rsidR="00A92422" w:rsidRPr="00D87B79" w:rsidRDefault="00A92422" w:rsidP="00EA30FC">
            <w:pPr>
              <w:pStyle w:val="TableText"/>
              <w:widowControl w:val="0"/>
              <w:spacing w:before="120"/>
              <w:rPr>
                <w:rFonts w:ascii="Tahoma" w:hAnsi="Tahoma" w:cs="Tahoma"/>
                <w:sz w:val="13"/>
              </w:rPr>
            </w:pPr>
          </w:p>
        </w:tc>
        <w:tc>
          <w:tcPr>
            <w:tcW w:w="450" w:type="dxa"/>
            <w:vAlign w:val="center"/>
          </w:tcPr>
          <w:p w:rsidR="00A92422" w:rsidRPr="00D87B79" w:rsidRDefault="00A92422" w:rsidP="00EA30FC">
            <w:pPr>
              <w:pStyle w:val="TableText"/>
              <w:widowControl w:val="0"/>
              <w:spacing w:before="120"/>
              <w:rPr>
                <w:rFonts w:ascii="Tahoma" w:hAnsi="Tahoma" w:cs="Tahoma"/>
                <w:sz w:val="13"/>
              </w:rPr>
            </w:pPr>
          </w:p>
        </w:tc>
        <w:tc>
          <w:tcPr>
            <w:tcW w:w="450" w:type="dxa"/>
            <w:vAlign w:val="center"/>
          </w:tcPr>
          <w:p w:rsidR="00A92422" w:rsidRPr="00D87B79" w:rsidRDefault="00A92422" w:rsidP="00EA30FC">
            <w:pPr>
              <w:pStyle w:val="TableText"/>
              <w:widowControl w:val="0"/>
              <w:spacing w:before="120"/>
              <w:rPr>
                <w:rFonts w:ascii="Tahoma" w:hAnsi="Tahoma" w:cs="Tahoma"/>
                <w:sz w:val="13"/>
              </w:rPr>
            </w:pPr>
          </w:p>
        </w:tc>
        <w:tc>
          <w:tcPr>
            <w:tcW w:w="450" w:type="dxa"/>
            <w:vAlign w:val="center"/>
          </w:tcPr>
          <w:p w:rsidR="00A92422" w:rsidRPr="00D87B79" w:rsidRDefault="00A92422" w:rsidP="00EA30FC">
            <w:pPr>
              <w:pStyle w:val="TableText"/>
              <w:widowControl w:val="0"/>
              <w:spacing w:before="120"/>
              <w:rPr>
                <w:rFonts w:ascii="Tahoma" w:hAnsi="Tahoma" w:cs="Tahoma"/>
                <w:sz w:val="13"/>
              </w:rPr>
            </w:pPr>
          </w:p>
        </w:tc>
        <w:tc>
          <w:tcPr>
            <w:tcW w:w="450" w:type="dxa"/>
            <w:vAlign w:val="center"/>
          </w:tcPr>
          <w:p w:rsidR="00A92422" w:rsidRPr="00D87B79" w:rsidRDefault="00A92422" w:rsidP="00EA30FC">
            <w:pPr>
              <w:pStyle w:val="TableText"/>
              <w:widowControl w:val="0"/>
              <w:spacing w:before="120"/>
              <w:rPr>
                <w:rFonts w:ascii="Tahoma" w:hAnsi="Tahoma" w:cs="Tahoma"/>
                <w:sz w:val="13"/>
              </w:rPr>
            </w:pPr>
          </w:p>
        </w:tc>
        <w:tc>
          <w:tcPr>
            <w:tcW w:w="360" w:type="dxa"/>
            <w:tcBorders>
              <w:right w:val="single" w:sz="18" w:space="0" w:color="auto"/>
            </w:tcBorders>
            <w:vAlign w:val="center"/>
          </w:tcPr>
          <w:p w:rsidR="00A92422" w:rsidRPr="00D87B79" w:rsidRDefault="00A92422" w:rsidP="00EA30FC">
            <w:pPr>
              <w:pStyle w:val="TableText"/>
              <w:widowControl w:val="0"/>
              <w:spacing w:before="120"/>
              <w:rPr>
                <w:rFonts w:ascii="Tahoma" w:hAnsi="Tahoma" w:cs="Tahoma"/>
                <w:sz w:val="13"/>
              </w:rPr>
            </w:pPr>
          </w:p>
        </w:tc>
        <w:tc>
          <w:tcPr>
            <w:tcW w:w="450" w:type="dxa"/>
            <w:tcBorders>
              <w:left w:val="single" w:sz="18" w:space="0" w:color="auto"/>
            </w:tcBorders>
            <w:vAlign w:val="center"/>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rPr>
              <w:t>1</w:t>
            </w:r>
          </w:p>
        </w:tc>
        <w:tc>
          <w:tcPr>
            <w:tcW w:w="450" w:type="dxa"/>
            <w:vAlign w:val="center"/>
          </w:tcPr>
          <w:p w:rsidR="00A92422" w:rsidRPr="00D87B79" w:rsidRDefault="00A92422" w:rsidP="00EA30FC">
            <w:pPr>
              <w:pStyle w:val="TableText"/>
              <w:widowControl w:val="0"/>
              <w:spacing w:before="120"/>
              <w:jc w:val="left"/>
              <w:rPr>
                <w:rFonts w:ascii="Tahoma" w:hAnsi="Tahoma" w:cs="Tahoma"/>
                <w:sz w:val="13"/>
              </w:rPr>
            </w:pPr>
          </w:p>
        </w:tc>
        <w:tc>
          <w:tcPr>
            <w:tcW w:w="450" w:type="dxa"/>
            <w:tcBorders>
              <w:right w:val="single" w:sz="18" w:space="0" w:color="auto"/>
            </w:tcBorders>
            <w:vAlign w:val="center"/>
          </w:tcPr>
          <w:p w:rsidR="00A92422" w:rsidRPr="00D87B79" w:rsidRDefault="00A92422" w:rsidP="00EA30FC">
            <w:pPr>
              <w:pStyle w:val="TableText"/>
              <w:widowControl w:val="0"/>
              <w:spacing w:before="120"/>
              <w:rPr>
                <w:rFonts w:ascii="Tahoma" w:hAnsi="Tahoma" w:cs="Tahoma"/>
                <w:sz w:val="13"/>
              </w:rPr>
            </w:pPr>
          </w:p>
        </w:tc>
        <w:tc>
          <w:tcPr>
            <w:tcW w:w="450" w:type="dxa"/>
            <w:tcBorders>
              <w:left w:val="single" w:sz="18" w:space="0" w:color="auto"/>
            </w:tcBorders>
            <w:vAlign w:val="center"/>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rPr>
              <w:t>1</w:t>
            </w:r>
          </w:p>
        </w:tc>
        <w:tc>
          <w:tcPr>
            <w:tcW w:w="450" w:type="dxa"/>
            <w:tcBorders>
              <w:right w:val="single" w:sz="18" w:space="0" w:color="auto"/>
            </w:tcBorders>
            <w:vAlign w:val="center"/>
          </w:tcPr>
          <w:p w:rsidR="00A92422" w:rsidRPr="00D87B79" w:rsidRDefault="00A92422" w:rsidP="00EA30FC">
            <w:pPr>
              <w:pStyle w:val="TableText"/>
              <w:widowControl w:val="0"/>
              <w:spacing w:before="120"/>
              <w:rPr>
                <w:rFonts w:ascii="Tahoma" w:hAnsi="Tahoma" w:cs="Tahoma"/>
                <w:sz w:val="13"/>
              </w:rPr>
            </w:pPr>
          </w:p>
        </w:tc>
        <w:tc>
          <w:tcPr>
            <w:tcW w:w="450" w:type="dxa"/>
            <w:tcBorders>
              <w:left w:val="single" w:sz="18" w:space="0" w:color="auto"/>
              <w:right w:val="single" w:sz="18" w:space="0" w:color="auto"/>
            </w:tcBorders>
            <w:vAlign w:val="center"/>
          </w:tcPr>
          <w:p w:rsidR="00A92422" w:rsidRPr="00D87B79" w:rsidRDefault="00A92422" w:rsidP="00EA30FC">
            <w:pPr>
              <w:pStyle w:val="TableText"/>
              <w:widowControl w:val="0"/>
              <w:spacing w:before="120"/>
              <w:rPr>
                <w:rFonts w:ascii="Tahoma" w:hAnsi="Tahoma" w:cs="Tahoma"/>
              </w:rPr>
            </w:pPr>
          </w:p>
          <w:p w:rsidR="00A92422" w:rsidRPr="00D87B79" w:rsidRDefault="00A92422" w:rsidP="00EA30FC">
            <w:pPr>
              <w:pStyle w:val="TableText"/>
              <w:widowControl w:val="0"/>
              <w:spacing w:before="120"/>
              <w:rPr>
                <w:rFonts w:ascii="Tahoma" w:hAnsi="Tahoma" w:cs="Tahoma"/>
                <w:sz w:val="13"/>
              </w:rPr>
            </w:pPr>
          </w:p>
        </w:tc>
        <w:tc>
          <w:tcPr>
            <w:tcW w:w="504" w:type="dxa"/>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lang w:val="it-IT"/>
              </w:rPr>
              <w:t>AO, ST</w:t>
            </w:r>
          </w:p>
        </w:tc>
        <w:tc>
          <w:tcPr>
            <w:tcW w:w="486" w:type="dxa"/>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ABF8F"/>
          </w:tcPr>
          <w:p w:rsidR="00A92422" w:rsidRPr="00D87B79" w:rsidRDefault="00A92422" w:rsidP="00EA30FC">
            <w:pPr>
              <w:pStyle w:val="Heading3"/>
              <w:spacing w:beforeLines="20" w:before="48" w:afterLines="20" w:after="48"/>
              <w:rPr>
                <w:rFonts w:ascii="Tahoma" w:hAnsi="Tahoma" w:cs="Tahoma"/>
                <w:b w:val="0"/>
                <w:sz w:val="14"/>
                <w:szCs w:val="16"/>
              </w:rPr>
            </w:pPr>
            <w:bookmarkStart w:id="500" w:name="_Toc336338087"/>
            <w:bookmarkStart w:id="501" w:name="_Toc342900135"/>
            <w:bookmarkEnd w:id="500"/>
            <w:r w:rsidRPr="00D87B79">
              <w:rPr>
                <w:rFonts w:ascii="Tahoma" w:hAnsi="Tahoma" w:cs="Tahoma"/>
                <w:b w:val="0"/>
                <w:sz w:val="14"/>
                <w:szCs w:val="16"/>
                <w:lang w:val="it-IT"/>
              </w:rPr>
              <w:t>Licenza di Gestione Client (Client ML) per</w:t>
            </w:r>
            <w:r>
              <w:rPr>
                <w:rFonts w:ascii="Tahoma" w:hAnsi="Tahoma" w:cs="Tahoma"/>
                <w:b w:val="0"/>
                <w:sz w:val="14"/>
                <w:szCs w:val="16"/>
                <w:lang w:val="it-IT"/>
              </w:rPr>
              <w:t> </w:t>
            </w:r>
            <w:r w:rsidRPr="00D87B79">
              <w:rPr>
                <w:rFonts w:ascii="Tahoma" w:hAnsi="Tahoma" w:cs="Tahoma"/>
                <w:b w:val="0"/>
                <w:sz w:val="14"/>
                <w:szCs w:val="16"/>
                <w:lang w:val="it-IT"/>
              </w:rPr>
              <w:t>Utente per System Center Service Manager 2010</w:t>
            </w:r>
            <w:bookmarkEnd w:id="501"/>
          </w:p>
        </w:tc>
        <w:tc>
          <w:tcPr>
            <w:tcW w:w="450" w:type="dxa"/>
            <w:shd w:val="clear" w:color="auto" w:fill="FABF8F"/>
          </w:tcPr>
          <w:p w:rsidR="00A92422" w:rsidRPr="001E1017" w:rsidRDefault="00A92422" w:rsidP="00EA30FC">
            <w:pPr>
              <w:pStyle w:val="TableText"/>
              <w:widowControl w:val="0"/>
              <w:rPr>
                <w:rStyle w:val="EndnoteReference"/>
                <w:rFonts w:cs="Tahoma"/>
                <w:sz w:val="13"/>
                <w:szCs w:val="13"/>
                <w:u w:val="single"/>
              </w:rPr>
            </w:pPr>
          </w:p>
        </w:tc>
        <w:tc>
          <w:tcPr>
            <w:tcW w:w="450" w:type="dxa"/>
            <w:shd w:val="clear" w:color="auto" w:fill="FABF8F"/>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rPr>
              <w:t>04/10</w:t>
            </w:r>
          </w:p>
        </w:tc>
        <w:tc>
          <w:tcPr>
            <w:tcW w:w="360" w:type="dxa"/>
            <w:tcBorders>
              <w:right w:val="single" w:sz="18" w:space="0" w:color="auto"/>
            </w:tcBorders>
            <w:shd w:val="clear" w:color="auto" w:fill="FABF8F"/>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rPr>
              <w:t>1</w:t>
            </w:r>
          </w:p>
        </w:tc>
        <w:tc>
          <w:tcPr>
            <w:tcW w:w="450" w:type="dxa"/>
            <w:shd w:val="clear" w:color="auto" w:fill="FABF8F"/>
            <w:vAlign w:val="center"/>
          </w:tcPr>
          <w:p w:rsidR="00A92422" w:rsidRPr="00D87B79" w:rsidRDefault="00A92422" w:rsidP="00EA30FC">
            <w:pPr>
              <w:pStyle w:val="TableText"/>
              <w:widowControl w:val="0"/>
              <w:spacing w:before="12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spacing w:before="12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spacing w:before="12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spacing w:before="12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spacing w:before="12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spacing w:before="12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rPr>
              <w:t>1</w:t>
            </w:r>
          </w:p>
        </w:tc>
        <w:tc>
          <w:tcPr>
            <w:tcW w:w="450" w:type="dxa"/>
            <w:shd w:val="clear" w:color="auto" w:fill="FABF8F"/>
            <w:vAlign w:val="center"/>
          </w:tcPr>
          <w:p w:rsidR="00A92422" w:rsidRPr="00D87B79" w:rsidRDefault="00A92422" w:rsidP="00EA30FC">
            <w:pPr>
              <w:pStyle w:val="TableText"/>
              <w:widowControl w:val="0"/>
              <w:spacing w:before="12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spacing w:before="12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rPr>
              <w:t>1</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spacing w:before="12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spacing w:before="120"/>
              <w:rPr>
                <w:rFonts w:ascii="Tahoma" w:hAnsi="Tahoma" w:cs="Tahoma"/>
              </w:rPr>
            </w:pPr>
          </w:p>
          <w:p w:rsidR="00A92422" w:rsidRPr="00D87B79" w:rsidRDefault="00A92422" w:rsidP="00EA30FC">
            <w:pPr>
              <w:pStyle w:val="TableText"/>
              <w:widowControl w:val="0"/>
              <w:spacing w:before="120"/>
              <w:rPr>
                <w:rFonts w:ascii="Tahoma" w:hAnsi="Tahoma" w:cs="Tahoma"/>
                <w:sz w:val="13"/>
              </w:rPr>
            </w:pPr>
          </w:p>
        </w:tc>
        <w:tc>
          <w:tcPr>
            <w:tcW w:w="504" w:type="dxa"/>
            <w:shd w:val="clear" w:color="auto" w:fill="FABF8F"/>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lang w:val="it-IT"/>
              </w:rPr>
              <w:t>AO, ST</w:t>
            </w:r>
          </w:p>
        </w:tc>
        <w:tc>
          <w:tcPr>
            <w:tcW w:w="486" w:type="dxa"/>
            <w:shd w:val="clear" w:color="auto" w:fill="FABF8F"/>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tcPr>
          <w:p w:rsidR="00A92422" w:rsidRPr="00D87B79" w:rsidRDefault="00A92422" w:rsidP="00EA30FC">
            <w:pPr>
              <w:pStyle w:val="Heading3"/>
              <w:spacing w:beforeLines="20" w:before="48" w:afterLines="20" w:after="48"/>
              <w:rPr>
                <w:rFonts w:ascii="Tahoma" w:hAnsi="Tahoma" w:cs="Tahoma"/>
                <w:b w:val="0"/>
                <w:sz w:val="14"/>
                <w:szCs w:val="16"/>
              </w:rPr>
            </w:pPr>
            <w:bookmarkStart w:id="502" w:name="_Toc336338088"/>
            <w:bookmarkStart w:id="503" w:name="_Toc342900136"/>
            <w:bookmarkEnd w:id="502"/>
            <w:r w:rsidRPr="00D87B79">
              <w:rPr>
                <w:rFonts w:ascii="Tahoma" w:hAnsi="Tahoma" w:cs="Tahoma"/>
                <w:b w:val="0"/>
                <w:sz w:val="14"/>
                <w:szCs w:val="16"/>
                <w:lang w:val="it-IT"/>
              </w:rPr>
              <w:t xml:space="preserve">Licenza di Gestione Server (Server ML) </w:t>
            </w:r>
            <w:r>
              <w:rPr>
                <w:rFonts w:ascii="Tahoma" w:hAnsi="Tahoma" w:cs="Tahoma"/>
                <w:b w:val="0"/>
                <w:sz w:val="14"/>
                <w:szCs w:val="16"/>
                <w:lang w:val="it-IT"/>
              </w:rPr>
              <w:br/>
            </w:r>
            <w:r w:rsidRPr="00D87B79">
              <w:rPr>
                <w:rFonts w:ascii="Tahoma" w:hAnsi="Tahoma" w:cs="Tahoma"/>
                <w:b w:val="0"/>
                <w:sz w:val="14"/>
                <w:szCs w:val="16"/>
                <w:lang w:val="it-IT"/>
              </w:rPr>
              <w:t>per OSE per System Center Service Manager 2010</w:t>
            </w:r>
            <w:bookmarkEnd w:id="503"/>
          </w:p>
        </w:tc>
        <w:tc>
          <w:tcPr>
            <w:tcW w:w="450" w:type="dxa"/>
          </w:tcPr>
          <w:p w:rsidR="00A92422" w:rsidRPr="001E1017" w:rsidRDefault="00A92422" w:rsidP="00EA30FC">
            <w:pPr>
              <w:pStyle w:val="TableText"/>
              <w:widowControl w:val="0"/>
              <w:rPr>
                <w:rStyle w:val="EndnoteReference"/>
                <w:rFonts w:cs="Tahoma"/>
                <w:sz w:val="13"/>
                <w:szCs w:val="13"/>
                <w:u w:val="single"/>
              </w:rPr>
            </w:pPr>
          </w:p>
        </w:tc>
        <w:tc>
          <w:tcPr>
            <w:tcW w:w="450" w:type="dxa"/>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rPr>
              <w:t>04/10</w:t>
            </w:r>
          </w:p>
        </w:tc>
        <w:tc>
          <w:tcPr>
            <w:tcW w:w="360" w:type="dxa"/>
            <w:tcBorders>
              <w:right w:val="single" w:sz="18" w:space="0" w:color="auto"/>
            </w:tcBorders>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vAlign w:val="center"/>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rPr>
              <w:t>1</w:t>
            </w:r>
          </w:p>
        </w:tc>
        <w:tc>
          <w:tcPr>
            <w:tcW w:w="450" w:type="dxa"/>
            <w:vAlign w:val="center"/>
          </w:tcPr>
          <w:p w:rsidR="00A92422" w:rsidRPr="00D87B79" w:rsidRDefault="00A92422" w:rsidP="00EA30FC">
            <w:pPr>
              <w:pStyle w:val="TableText"/>
              <w:widowControl w:val="0"/>
              <w:spacing w:before="120"/>
              <w:rPr>
                <w:rFonts w:ascii="Tahoma" w:hAnsi="Tahoma" w:cs="Tahoma"/>
                <w:sz w:val="13"/>
              </w:rPr>
            </w:pPr>
          </w:p>
        </w:tc>
        <w:tc>
          <w:tcPr>
            <w:tcW w:w="450" w:type="dxa"/>
            <w:vAlign w:val="center"/>
          </w:tcPr>
          <w:p w:rsidR="00A92422" w:rsidRPr="00D87B79" w:rsidRDefault="00A92422" w:rsidP="00EA30FC">
            <w:pPr>
              <w:pStyle w:val="TableText"/>
              <w:widowControl w:val="0"/>
              <w:spacing w:before="120"/>
              <w:rPr>
                <w:rFonts w:ascii="Tahoma" w:hAnsi="Tahoma" w:cs="Tahoma"/>
                <w:sz w:val="13"/>
              </w:rPr>
            </w:pPr>
          </w:p>
        </w:tc>
        <w:tc>
          <w:tcPr>
            <w:tcW w:w="450" w:type="dxa"/>
            <w:vAlign w:val="center"/>
          </w:tcPr>
          <w:p w:rsidR="00A92422" w:rsidRPr="00D87B79" w:rsidRDefault="00A92422" w:rsidP="00EA30FC">
            <w:pPr>
              <w:pStyle w:val="TableText"/>
              <w:widowControl w:val="0"/>
              <w:spacing w:before="120"/>
              <w:rPr>
                <w:rFonts w:ascii="Tahoma" w:hAnsi="Tahoma" w:cs="Tahoma"/>
                <w:sz w:val="13"/>
              </w:rPr>
            </w:pPr>
          </w:p>
        </w:tc>
        <w:tc>
          <w:tcPr>
            <w:tcW w:w="450" w:type="dxa"/>
            <w:vAlign w:val="center"/>
          </w:tcPr>
          <w:p w:rsidR="00A92422" w:rsidRPr="00D87B79" w:rsidRDefault="00A92422" w:rsidP="00EA30FC">
            <w:pPr>
              <w:pStyle w:val="TableText"/>
              <w:widowControl w:val="0"/>
              <w:spacing w:before="120"/>
              <w:rPr>
                <w:rFonts w:ascii="Tahoma" w:hAnsi="Tahoma" w:cs="Tahoma"/>
                <w:sz w:val="13"/>
              </w:rPr>
            </w:pPr>
          </w:p>
        </w:tc>
        <w:tc>
          <w:tcPr>
            <w:tcW w:w="450" w:type="dxa"/>
            <w:vAlign w:val="center"/>
          </w:tcPr>
          <w:p w:rsidR="00A92422" w:rsidRPr="00D87B79" w:rsidRDefault="00A92422" w:rsidP="00EA30FC">
            <w:pPr>
              <w:pStyle w:val="TableText"/>
              <w:widowControl w:val="0"/>
              <w:spacing w:before="120"/>
              <w:rPr>
                <w:rFonts w:ascii="Tahoma" w:hAnsi="Tahoma" w:cs="Tahoma"/>
                <w:sz w:val="13"/>
              </w:rPr>
            </w:pPr>
          </w:p>
        </w:tc>
        <w:tc>
          <w:tcPr>
            <w:tcW w:w="360" w:type="dxa"/>
            <w:tcBorders>
              <w:right w:val="single" w:sz="18" w:space="0" w:color="auto"/>
            </w:tcBorders>
            <w:vAlign w:val="center"/>
          </w:tcPr>
          <w:p w:rsidR="00A92422" w:rsidRPr="00D87B79" w:rsidRDefault="00A92422" w:rsidP="00EA30FC">
            <w:pPr>
              <w:pStyle w:val="TableText"/>
              <w:widowControl w:val="0"/>
              <w:spacing w:before="120"/>
              <w:rPr>
                <w:rFonts w:ascii="Tahoma" w:hAnsi="Tahoma" w:cs="Tahoma"/>
                <w:sz w:val="13"/>
              </w:rPr>
            </w:pPr>
          </w:p>
        </w:tc>
        <w:tc>
          <w:tcPr>
            <w:tcW w:w="450" w:type="dxa"/>
            <w:tcBorders>
              <w:left w:val="single" w:sz="18" w:space="0" w:color="auto"/>
            </w:tcBorders>
            <w:vAlign w:val="center"/>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rPr>
              <w:t>1</w:t>
            </w:r>
          </w:p>
        </w:tc>
        <w:tc>
          <w:tcPr>
            <w:tcW w:w="450" w:type="dxa"/>
            <w:vAlign w:val="center"/>
          </w:tcPr>
          <w:p w:rsidR="00A92422" w:rsidRPr="00D87B79" w:rsidRDefault="00A92422" w:rsidP="00EA30FC">
            <w:pPr>
              <w:pStyle w:val="TableText"/>
              <w:widowControl w:val="0"/>
              <w:spacing w:before="120"/>
              <w:rPr>
                <w:rFonts w:ascii="Tahoma" w:hAnsi="Tahoma" w:cs="Tahoma"/>
                <w:sz w:val="13"/>
              </w:rPr>
            </w:pPr>
          </w:p>
        </w:tc>
        <w:tc>
          <w:tcPr>
            <w:tcW w:w="450" w:type="dxa"/>
            <w:tcBorders>
              <w:right w:val="single" w:sz="18" w:space="0" w:color="auto"/>
            </w:tcBorders>
            <w:vAlign w:val="center"/>
          </w:tcPr>
          <w:p w:rsidR="00A92422" w:rsidRPr="00D87B79" w:rsidRDefault="00A92422" w:rsidP="00EA30FC">
            <w:pPr>
              <w:pStyle w:val="TableText"/>
              <w:widowControl w:val="0"/>
              <w:spacing w:before="120"/>
              <w:rPr>
                <w:rFonts w:ascii="Tahoma" w:hAnsi="Tahoma" w:cs="Tahoma"/>
                <w:sz w:val="13"/>
              </w:rPr>
            </w:pPr>
          </w:p>
        </w:tc>
        <w:tc>
          <w:tcPr>
            <w:tcW w:w="450" w:type="dxa"/>
            <w:tcBorders>
              <w:left w:val="single" w:sz="18" w:space="0" w:color="auto"/>
            </w:tcBorders>
            <w:vAlign w:val="center"/>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rPr>
              <w:t>1</w:t>
            </w:r>
          </w:p>
        </w:tc>
        <w:tc>
          <w:tcPr>
            <w:tcW w:w="450" w:type="dxa"/>
            <w:tcBorders>
              <w:right w:val="single" w:sz="18" w:space="0" w:color="auto"/>
            </w:tcBorders>
            <w:vAlign w:val="center"/>
          </w:tcPr>
          <w:p w:rsidR="00A92422" w:rsidRPr="00D87B79" w:rsidRDefault="00A92422" w:rsidP="00EA30FC">
            <w:pPr>
              <w:pStyle w:val="TableText"/>
              <w:widowControl w:val="0"/>
              <w:spacing w:before="120"/>
              <w:rPr>
                <w:rFonts w:ascii="Tahoma" w:hAnsi="Tahoma" w:cs="Tahoma"/>
                <w:sz w:val="13"/>
              </w:rPr>
            </w:pPr>
          </w:p>
        </w:tc>
        <w:tc>
          <w:tcPr>
            <w:tcW w:w="450" w:type="dxa"/>
            <w:tcBorders>
              <w:left w:val="single" w:sz="18" w:space="0" w:color="auto"/>
              <w:right w:val="single" w:sz="18" w:space="0" w:color="auto"/>
            </w:tcBorders>
            <w:vAlign w:val="center"/>
          </w:tcPr>
          <w:p w:rsidR="00A92422" w:rsidRPr="00D87B79" w:rsidRDefault="00A92422" w:rsidP="00EA30FC">
            <w:pPr>
              <w:pStyle w:val="TableText"/>
              <w:widowControl w:val="0"/>
              <w:spacing w:before="120"/>
              <w:rPr>
                <w:rFonts w:ascii="Tahoma" w:hAnsi="Tahoma" w:cs="Tahoma"/>
              </w:rPr>
            </w:pPr>
          </w:p>
          <w:p w:rsidR="00A92422" w:rsidRPr="00D87B79" w:rsidRDefault="00A92422" w:rsidP="00EA30FC">
            <w:pPr>
              <w:pStyle w:val="TableText"/>
              <w:widowControl w:val="0"/>
              <w:spacing w:before="120"/>
              <w:rPr>
                <w:rFonts w:ascii="Tahoma" w:hAnsi="Tahoma" w:cs="Tahoma"/>
                <w:sz w:val="13"/>
              </w:rPr>
            </w:pPr>
          </w:p>
        </w:tc>
        <w:tc>
          <w:tcPr>
            <w:tcW w:w="504" w:type="dxa"/>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lang w:val="it-IT"/>
              </w:rPr>
              <w:t>A, ST</w:t>
            </w:r>
          </w:p>
        </w:tc>
        <w:tc>
          <w:tcPr>
            <w:tcW w:w="486" w:type="dxa"/>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ABF8F"/>
          </w:tcPr>
          <w:p w:rsidR="00A92422" w:rsidRPr="00D87B79" w:rsidRDefault="00A92422" w:rsidP="00EA30FC">
            <w:pPr>
              <w:pStyle w:val="Heading2"/>
              <w:spacing w:beforeLines="20" w:before="48" w:afterLines="20" w:after="48"/>
              <w:ind w:left="0"/>
              <w:rPr>
                <w:rFonts w:ascii="Tahoma" w:hAnsi="Tahoma" w:cs="Tahoma"/>
                <w:b w:val="0"/>
                <w:sz w:val="14"/>
                <w:szCs w:val="14"/>
              </w:rPr>
            </w:pPr>
            <w:bookmarkStart w:id="504" w:name="_Toc336338089"/>
            <w:bookmarkStart w:id="505" w:name="_Toc342900137"/>
            <w:bookmarkEnd w:id="504"/>
            <w:r w:rsidRPr="00D87B79">
              <w:rPr>
                <w:rFonts w:ascii="Tahoma" w:hAnsi="Tahoma" w:cs="Tahoma"/>
                <w:b w:val="0"/>
                <w:sz w:val="14"/>
                <w:szCs w:val="14"/>
                <w:lang w:val="it-IT"/>
              </w:rPr>
              <w:t>Licenza di Gestione Client per OSE per</w:t>
            </w:r>
            <w:r>
              <w:rPr>
                <w:rFonts w:ascii="Tahoma" w:hAnsi="Tahoma" w:cs="Tahoma"/>
                <w:b w:val="0"/>
                <w:sz w:val="14"/>
                <w:szCs w:val="14"/>
                <w:lang w:val="it-IT"/>
              </w:rPr>
              <w:t> </w:t>
            </w:r>
            <w:r w:rsidRPr="00D87B79">
              <w:rPr>
                <w:rFonts w:ascii="Tahoma" w:hAnsi="Tahoma" w:cs="Tahoma"/>
                <w:b w:val="0"/>
                <w:sz w:val="14"/>
                <w:szCs w:val="14"/>
                <w:lang w:val="it-IT"/>
              </w:rPr>
              <w:t>System Center Virtual Machine Manager 2008 R2</w:t>
            </w:r>
            <w:bookmarkEnd w:id="505"/>
          </w:p>
        </w:tc>
        <w:tc>
          <w:tcPr>
            <w:tcW w:w="450" w:type="dxa"/>
            <w:shd w:val="clear" w:color="auto" w:fill="FABF8F"/>
          </w:tcPr>
          <w:p w:rsidR="00A92422" w:rsidRPr="001E1017" w:rsidRDefault="00A92422" w:rsidP="00EA30FC">
            <w:pPr>
              <w:pStyle w:val="TableText"/>
              <w:widowControl w:val="0"/>
              <w:spacing w:before="60"/>
              <w:rPr>
                <w:rStyle w:val="EndnoteReference"/>
                <w:rFonts w:cs="Tahoma"/>
                <w:color w:val="0000FF"/>
                <w:sz w:val="13"/>
                <w:szCs w:val="13"/>
                <w:u w:val="single"/>
              </w:rPr>
            </w:pPr>
            <w:hyperlink w:anchor="_89_Licenze_di" w:history="1">
              <w:r w:rsidRPr="001E1017">
                <w:rPr>
                  <w:rStyle w:val="Hyperlink"/>
                  <w:rFonts w:cs="Tahoma"/>
                  <w:b/>
                  <w:sz w:val="13"/>
                  <w:szCs w:val="13"/>
                </w:rPr>
                <w:t>89</w:t>
              </w:r>
            </w:hyperlink>
          </w:p>
        </w:tc>
        <w:tc>
          <w:tcPr>
            <w:tcW w:w="450" w:type="dxa"/>
            <w:shd w:val="clear" w:color="auto" w:fill="FABF8F"/>
          </w:tcPr>
          <w:p w:rsidR="00A92422" w:rsidRPr="00D87B79" w:rsidRDefault="00A92422" w:rsidP="00EA30FC">
            <w:pPr>
              <w:pStyle w:val="TableText"/>
              <w:widowControl w:val="0"/>
              <w:spacing w:before="120"/>
              <w:rPr>
                <w:rFonts w:ascii="Tahoma" w:hAnsi="Tahoma" w:cs="Tahoma"/>
                <w:sz w:val="13"/>
                <w:szCs w:val="13"/>
              </w:rPr>
            </w:pPr>
            <w:r w:rsidRPr="00D87B79">
              <w:rPr>
                <w:rFonts w:ascii="Tahoma" w:hAnsi="Tahoma" w:cs="Tahoma"/>
                <w:sz w:val="13"/>
                <w:szCs w:val="13"/>
              </w:rPr>
              <w:t>11/09</w:t>
            </w:r>
          </w:p>
        </w:tc>
        <w:tc>
          <w:tcPr>
            <w:tcW w:w="360" w:type="dxa"/>
            <w:tcBorders>
              <w:right w:val="single" w:sz="18" w:space="0" w:color="auto"/>
            </w:tcBorders>
            <w:shd w:val="clear" w:color="auto" w:fill="FABF8F"/>
          </w:tcPr>
          <w:p w:rsidR="00A92422" w:rsidRPr="00D87B79" w:rsidRDefault="00A92422" w:rsidP="00EA30FC">
            <w:pPr>
              <w:pStyle w:val="TableText"/>
              <w:widowControl w:val="0"/>
              <w:spacing w:before="120"/>
              <w:rPr>
                <w:rFonts w:ascii="Tahoma" w:hAnsi="Tahoma" w:cs="Tahoma"/>
                <w:sz w:val="14"/>
                <w:szCs w:val="14"/>
              </w:rPr>
            </w:pPr>
            <w:r w:rsidRPr="00D87B79">
              <w:rPr>
                <w:rFonts w:ascii="Tahoma" w:hAnsi="Tahoma" w:cs="Tahoma"/>
                <w:sz w:val="14"/>
                <w:szCs w:val="14"/>
                <w:lang w:val="it-IT"/>
              </w:rPr>
              <w:t>SRV</w:t>
            </w:r>
          </w:p>
        </w:tc>
        <w:tc>
          <w:tcPr>
            <w:tcW w:w="360" w:type="dxa"/>
            <w:tcBorders>
              <w:left w:val="single" w:sz="18" w:space="0" w:color="auto"/>
            </w:tcBorders>
            <w:shd w:val="clear" w:color="auto" w:fill="FABF8F"/>
          </w:tcPr>
          <w:p w:rsidR="00A92422" w:rsidRPr="00D87B79" w:rsidRDefault="00A92422" w:rsidP="00EA30FC">
            <w:pPr>
              <w:pStyle w:val="TableText"/>
              <w:widowControl w:val="0"/>
              <w:spacing w:before="120"/>
              <w:rPr>
                <w:rFonts w:ascii="Tahoma" w:hAnsi="Tahoma" w:cs="Tahoma"/>
                <w:sz w:val="14"/>
                <w:szCs w:val="14"/>
              </w:rPr>
            </w:pPr>
            <w:r w:rsidRPr="00D87B79">
              <w:rPr>
                <w:rFonts w:ascii="Tahoma" w:hAnsi="Tahoma" w:cs="Tahoma"/>
                <w:sz w:val="14"/>
                <w:szCs w:val="14"/>
              </w:rPr>
              <w:t>1</w:t>
            </w:r>
          </w:p>
        </w:tc>
        <w:tc>
          <w:tcPr>
            <w:tcW w:w="450" w:type="dxa"/>
            <w:shd w:val="clear" w:color="auto" w:fill="FABF8F"/>
          </w:tcPr>
          <w:p w:rsidR="00A92422" w:rsidRPr="00D87B79" w:rsidRDefault="00A92422" w:rsidP="00EA30FC">
            <w:pPr>
              <w:pStyle w:val="TableText"/>
              <w:widowControl w:val="0"/>
              <w:spacing w:before="120"/>
              <w:rPr>
                <w:rFonts w:ascii="Tahoma" w:hAnsi="Tahoma" w:cs="Tahoma"/>
                <w:sz w:val="14"/>
                <w:szCs w:val="14"/>
              </w:rPr>
            </w:pPr>
          </w:p>
        </w:tc>
        <w:tc>
          <w:tcPr>
            <w:tcW w:w="450" w:type="dxa"/>
            <w:shd w:val="clear" w:color="auto" w:fill="FABF8F"/>
          </w:tcPr>
          <w:p w:rsidR="00A92422" w:rsidRPr="00D87B79" w:rsidRDefault="00A92422" w:rsidP="00EA30FC">
            <w:pPr>
              <w:pStyle w:val="TableText"/>
              <w:widowControl w:val="0"/>
              <w:spacing w:before="120"/>
              <w:rPr>
                <w:rFonts w:ascii="Tahoma" w:hAnsi="Tahoma" w:cs="Tahoma"/>
                <w:sz w:val="14"/>
                <w:szCs w:val="14"/>
              </w:rPr>
            </w:pPr>
          </w:p>
        </w:tc>
        <w:tc>
          <w:tcPr>
            <w:tcW w:w="450" w:type="dxa"/>
            <w:shd w:val="clear" w:color="auto" w:fill="FABF8F"/>
          </w:tcPr>
          <w:p w:rsidR="00A92422" w:rsidRPr="00D87B79" w:rsidRDefault="00A92422" w:rsidP="00EA30FC">
            <w:pPr>
              <w:pStyle w:val="TableText"/>
              <w:widowControl w:val="0"/>
              <w:spacing w:before="120"/>
              <w:rPr>
                <w:rFonts w:ascii="Tahoma" w:hAnsi="Tahoma" w:cs="Tahoma"/>
                <w:sz w:val="14"/>
                <w:szCs w:val="14"/>
              </w:rPr>
            </w:pPr>
          </w:p>
        </w:tc>
        <w:tc>
          <w:tcPr>
            <w:tcW w:w="450" w:type="dxa"/>
            <w:shd w:val="clear" w:color="auto" w:fill="FABF8F"/>
          </w:tcPr>
          <w:p w:rsidR="00A92422" w:rsidRPr="00D87B79" w:rsidRDefault="00A92422" w:rsidP="00EA30FC">
            <w:pPr>
              <w:pStyle w:val="TableText"/>
              <w:widowControl w:val="0"/>
              <w:spacing w:before="120"/>
              <w:rPr>
                <w:rFonts w:ascii="Tahoma" w:hAnsi="Tahoma" w:cs="Tahoma"/>
                <w:sz w:val="14"/>
                <w:szCs w:val="14"/>
              </w:rPr>
            </w:pPr>
          </w:p>
        </w:tc>
        <w:tc>
          <w:tcPr>
            <w:tcW w:w="450" w:type="dxa"/>
            <w:shd w:val="clear" w:color="auto" w:fill="FABF8F"/>
          </w:tcPr>
          <w:p w:rsidR="00A92422" w:rsidRPr="00D87B79" w:rsidRDefault="00A92422" w:rsidP="00EA30FC">
            <w:pPr>
              <w:pStyle w:val="TableText"/>
              <w:widowControl w:val="0"/>
              <w:spacing w:before="120"/>
              <w:rPr>
                <w:rFonts w:ascii="Tahoma" w:hAnsi="Tahoma" w:cs="Tahoma"/>
                <w:sz w:val="14"/>
                <w:szCs w:val="14"/>
              </w:rPr>
            </w:pPr>
          </w:p>
        </w:tc>
        <w:tc>
          <w:tcPr>
            <w:tcW w:w="360" w:type="dxa"/>
            <w:tcBorders>
              <w:right w:val="single" w:sz="18" w:space="0" w:color="auto"/>
            </w:tcBorders>
            <w:shd w:val="clear" w:color="auto" w:fill="FABF8F"/>
          </w:tcPr>
          <w:p w:rsidR="00A92422" w:rsidRPr="00D87B79" w:rsidRDefault="00A92422" w:rsidP="00EA30FC">
            <w:pPr>
              <w:pStyle w:val="TableText"/>
              <w:widowControl w:val="0"/>
              <w:spacing w:before="120"/>
              <w:rPr>
                <w:rFonts w:ascii="Tahoma" w:hAnsi="Tahoma" w:cs="Tahoma"/>
                <w:sz w:val="14"/>
                <w:szCs w:val="14"/>
              </w:rPr>
            </w:pPr>
          </w:p>
        </w:tc>
        <w:tc>
          <w:tcPr>
            <w:tcW w:w="450" w:type="dxa"/>
            <w:tcBorders>
              <w:left w:val="single" w:sz="18" w:space="0" w:color="auto"/>
            </w:tcBorders>
            <w:shd w:val="clear" w:color="auto" w:fill="FABF8F"/>
          </w:tcPr>
          <w:p w:rsidR="00A92422" w:rsidRPr="00D87B79" w:rsidRDefault="00A92422" w:rsidP="00EA30FC">
            <w:pPr>
              <w:pStyle w:val="TableText"/>
              <w:widowControl w:val="0"/>
              <w:spacing w:before="120"/>
              <w:rPr>
                <w:rFonts w:ascii="Tahoma" w:hAnsi="Tahoma" w:cs="Tahoma"/>
                <w:sz w:val="14"/>
                <w:szCs w:val="14"/>
              </w:rPr>
            </w:pPr>
            <w:r w:rsidRPr="00D87B79">
              <w:rPr>
                <w:rFonts w:ascii="Tahoma" w:hAnsi="Tahoma" w:cs="Tahoma"/>
                <w:sz w:val="14"/>
                <w:szCs w:val="14"/>
              </w:rPr>
              <w:t>1</w:t>
            </w:r>
          </w:p>
        </w:tc>
        <w:tc>
          <w:tcPr>
            <w:tcW w:w="450" w:type="dxa"/>
            <w:shd w:val="clear" w:color="auto" w:fill="FABF8F"/>
          </w:tcPr>
          <w:p w:rsidR="00A92422" w:rsidRPr="00D87B79" w:rsidRDefault="00A92422" w:rsidP="00EA30FC">
            <w:pPr>
              <w:pStyle w:val="TableText"/>
              <w:widowControl w:val="0"/>
              <w:spacing w:before="120"/>
              <w:rPr>
                <w:rFonts w:ascii="Tahoma" w:hAnsi="Tahoma" w:cs="Tahoma"/>
                <w:sz w:val="14"/>
                <w:szCs w:val="14"/>
              </w:rPr>
            </w:pPr>
          </w:p>
        </w:tc>
        <w:tc>
          <w:tcPr>
            <w:tcW w:w="450" w:type="dxa"/>
            <w:tcBorders>
              <w:right w:val="single" w:sz="18" w:space="0" w:color="auto"/>
            </w:tcBorders>
            <w:shd w:val="clear" w:color="auto" w:fill="FABF8F"/>
          </w:tcPr>
          <w:p w:rsidR="00A92422" w:rsidRPr="00D87B79" w:rsidRDefault="00A92422" w:rsidP="00EA30FC">
            <w:pPr>
              <w:pStyle w:val="TableText"/>
              <w:widowControl w:val="0"/>
              <w:spacing w:before="120"/>
              <w:rPr>
                <w:rFonts w:ascii="Tahoma" w:hAnsi="Tahoma" w:cs="Tahoma"/>
                <w:sz w:val="14"/>
                <w:szCs w:val="14"/>
              </w:rPr>
            </w:pPr>
          </w:p>
        </w:tc>
        <w:tc>
          <w:tcPr>
            <w:tcW w:w="450" w:type="dxa"/>
            <w:tcBorders>
              <w:left w:val="single" w:sz="18" w:space="0" w:color="auto"/>
            </w:tcBorders>
            <w:shd w:val="clear" w:color="auto" w:fill="FABF8F"/>
          </w:tcPr>
          <w:p w:rsidR="00A92422" w:rsidRPr="00D87B79" w:rsidRDefault="00A92422" w:rsidP="00EA30FC">
            <w:pPr>
              <w:pStyle w:val="TableText"/>
              <w:widowControl w:val="0"/>
              <w:spacing w:before="120"/>
              <w:rPr>
                <w:rFonts w:ascii="Tahoma" w:hAnsi="Tahoma" w:cs="Tahoma"/>
                <w:sz w:val="14"/>
                <w:szCs w:val="14"/>
              </w:rPr>
            </w:pPr>
            <w:r w:rsidRPr="00D87B79">
              <w:rPr>
                <w:rFonts w:ascii="Tahoma" w:hAnsi="Tahoma" w:cs="Tahoma"/>
                <w:sz w:val="14"/>
                <w:szCs w:val="14"/>
              </w:rPr>
              <w:t>1</w:t>
            </w:r>
          </w:p>
        </w:tc>
        <w:tc>
          <w:tcPr>
            <w:tcW w:w="450" w:type="dxa"/>
            <w:tcBorders>
              <w:right w:val="single" w:sz="18" w:space="0" w:color="auto"/>
            </w:tcBorders>
            <w:shd w:val="clear" w:color="auto" w:fill="FABF8F"/>
          </w:tcPr>
          <w:p w:rsidR="00A92422" w:rsidRPr="00D87B79" w:rsidRDefault="00A92422" w:rsidP="00EA30FC">
            <w:pPr>
              <w:pStyle w:val="TableText"/>
              <w:widowControl w:val="0"/>
              <w:spacing w:before="120"/>
              <w:rPr>
                <w:rFonts w:ascii="Tahoma" w:hAnsi="Tahoma" w:cs="Tahoma"/>
                <w:sz w:val="14"/>
                <w:szCs w:val="14"/>
              </w:rPr>
            </w:pPr>
          </w:p>
        </w:tc>
        <w:tc>
          <w:tcPr>
            <w:tcW w:w="450" w:type="dxa"/>
            <w:tcBorders>
              <w:left w:val="single" w:sz="18" w:space="0" w:color="auto"/>
              <w:right w:val="single" w:sz="18" w:space="0" w:color="auto"/>
            </w:tcBorders>
            <w:shd w:val="clear" w:color="auto" w:fill="FABF8F"/>
          </w:tcPr>
          <w:p w:rsidR="00A92422" w:rsidRPr="00D87B79" w:rsidRDefault="00A92422" w:rsidP="00EA30FC">
            <w:pPr>
              <w:pStyle w:val="TableText"/>
              <w:widowControl w:val="0"/>
              <w:spacing w:before="120"/>
              <w:rPr>
                <w:rFonts w:ascii="Tahoma" w:hAnsi="Tahoma" w:cs="Tahoma"/>
                <w:sz w:val="14"/>
                <w:szCs w:val="14"/>
              </w:rPr>
            </w:pPr>
          </w:p>
        </w:tc>
        <w:tc>
          <w:tcPr>
            <w:tcW w:w="504" w:type="dxa"/>
            <w:shd w:val="clear" w:color="auto" w:fill="FABF8F"/>
          </w:tcPr>
          <w:p w:rsidR="00A92422" w:rsidRPr="00D87B79" w:rsidRDefault="00A92422" w:rsidP="00EA30FC">
            <w:pPr>
              <w:pStyle w:val="TableText"/>
              <w:widowControl w:val="0"/>
              <w:spacing w:before="120"/>
              <w:rPr>
                <w:rFonts w:ascii="Tahoma" w:hAnsi="Tahoma" w:cs="Tahoma"/>
                <w:sz w:val="14"/>
                <w:szCs w:val="14"/>
              </w:rPr>
            </w:pPr>
            <w:r w:rsidRPr="00D87B79">
              <w:rPr>
                <w:rFonts w:ascii="Tahoma" w:hAnsi="Tahoma" w:cs="Tahoma"/>
                <w:sz w:val="13"/>
                <w:lang w:val="it-IT"/>
              </w:rPr>
              <w:t>A</w:t>
            </w:r>
          </w:p>
        </w:tc>
        <w:tc>
          <w:tcPr>
            <w:tcW w:w="486" w:type="dxa"/>
            <w:shd w:val="clear" w:color="auto" w:fill="FABF8F"/>
          </w:tcPr>
          <w:p w:rsidR="00A92422" w:rsidRPr="00D87B79" w:rsidRDefault="00A92422" w:rsidP="00EA30FC">
            <w:pPr>
              <w:pStyle w:val="TableText"/>
              <w:widowControl w:val="0"/>
              <w:rPr>
                <w:rFonts w:ascii="Tahoma" w:hAnsi="Tahoma" w:cs="Tahoma"/>
                <w:sz w:val="14"/>
                <w:szCs w:val="14"/>
              </w:rPr>
            </w:pPr>
          </w:p>
        </w:tc>
      </w:tr>
      <w:tr w:rsidR="00A92422" w:rsidRPr="00D87B79" w:rsidTr="00EA30FC">
        <w:trPr>
          <w:trHeight w:val="145"/>
        </w:trPr>
        <w:tc>
          <w:tcPr>
            <w:tcW w:w="2714" w:type="dxa"/>
          </w:tcPr>
          <w:p w:rsidR="00A92422" w:rsidRPr="00D87B79" w:rsidRDefault="00A92422" w:rsidP="00EA30FC">
            <w:pPr>
              <w:pStyle w:val="Heading2"/>
              <w:spacing w:beforeLines="20" w:before="48" w:afterLines="20" w:after="48"/>
              <w:ind w:left="0"/>
              <w:rPr>
                <w:rFonts w:ascii="Tahoma" w:hAnsi="Tahoma" w:cs="Tahoma"/>
                <w:b w:val="0"/>
                <w:sz w:val="14"/>
                <w:szCs w:val="14"/>
              </w:rPr>
            </w:pPr>
            <w:bookmarkStart w:id="506" w:name="_Toc336338090"/>
            <w:bookmarkStart w:id="507" w:name="_Toc342900138"/>
            <w:bookmarkEnd w:id="506"/>
            <w:r w:rsidRPr="00D87B79">
              <w:rPr>
                <w:rFonts w:ascii="Tahoma" w:hAnsi="Tahoma" w:cs="Tahoma"/>
                <w:b w:val="0"/>
                <w:sz w:val="14"/>
                <w:szCs w:val="14"/>
                <w:lang w:val="it-IT"/>
              </w:rPr>
              <w:t>Licenza di Gestione Client per Utente per</w:t>
            </w:r>
            <w:r>
              <w:rPr>
                <w:rFonts w:ascii="Tahoma" w:hAnsi="Tahoma" w:cs="Tahoma"/>
                <w:b w:val="0"/>
                <w:sz w:val="14"/>
                <w:szCs w:val="14"/>
                <w:lang w:val="it-IT"/>
              </w:rPr>
              <w:t> </w:t>
            </w:r>
            <w:r w:rsidRPr="00D87B79">
              <w:rPr>
                <w:rFonts w:ascii="Tahoma" w:hAnsi="Tahoma" w:cs="Tahoma"/>
                <w:b w:val="0"/>
                <w:sz w:val="14"/>
                <w:szCs w:val="14"/>
                <w:lang w:val="it-IT"/>
              </w:rPr>
              <w:t>System Center Virtual Machine Manager 2008 R2</w:t>
            </w:r>
            <w:bookmarkEnd w:id="507"/>
          </w:p>
        </w:tc>
        <w:tc>
          <w:tcPr>
            <w:tcW w:w="450" w:type="dxa"/>
          </w:tcPr>
          <w:p w:rsidR="00A92422" w:rsidRPr="001E1017" w:rsidRDefault="00A92422" w:rsidP="00EA30FC">
            <w:pPr>
              <w:pStyle w:val="TableText"/>
              <w:widowControl w:val="0"/>
              <w:spacing w:before="60"/>
              <w:rPr>
                <w:rStyle w:val="EndnoteReference"/>
                <w:rFonts w:cs="Tahoma"/>
                <w:sz w:val="13"/>
                <w:szCs w:val="13"/>
                <w:u w:val="single"/>
              </w:rPr>
            </w:pPr>
            <w:hyperlink w:anchor="_Toc336338357" w:history="1">
              <w:r w:rsidRPr="001E1017">
                <w:rPr>
                  <w:rStyle w:val="Hyperlink"/>
                  <w:rFonts w:cs="Tahoma"/>
                  <w:b/>
                  <w:sz w:val="13"/>
                  <w:szCs w:val="13"/>
                </w:rPr>
                <w:t>89</w:t>
              </w:r>
            </w:hyperlink>
          </w:p>
        </w:tc>
        <w:tc>
          <w:tcPr>
            <w:tcW w:w="450" w:type="dxa"/>
          </w:tcPr>
          <w:p w:rsidR="00A92422" w:rsidRPr="00D87B79" w:rsidRDefault="00A92422" w:rsidP="00EA30FC">
            <w:pPr>
              <w:pStyle w:val="TableText"/>
              <w:widowControl w:val="0"/>
              <w:spacing w:before="120"/>
              <w:rPr>
                <w:rFonts w:ascii="Tahoma" w:hAnsi="Tahoma" w:cs="Tahoma"/>
                <w:sz w:val="13"/>
                <w:szCs w:val="13"/>
              </w:rPr>
            </w:pPr>
            <w:r w:rsidRPr="00D87B79">
              <w:rPr>
                <w:rFonts w:ascii="Tahoma" w:hAnsi="Tahoma" w:cs="Tahoma"/>
                <w:sz w:val="13"/>
                <w:szCs w:val="13"/>
              </w:rPr>
              <w:t>11/09</w:t>
            </w:r>
          </w:p>
        </w:tc>
        <w:tc>
          <w:tcPr>
            <w:tcW w:w="360" w:type="dxa"/>
            <w:tcBorders>
              <w:right w:val="single" w:sz="18" w:space="0" w:color="auto"/>
            </w:tcBorders>
          </w:tcPr>
          <w:p w:rsidR="00A92422" w:rsidRPr="00D87B79" w:rsidRDefault="00A92422" w:rsidP="00EA30FC">
            <w:pPr>
              <w:pStyle w:val="TableText"/>
              <w:widowControl w:val="0"/>
              <w:spacing w:before="120"/>
              <w:rPr>
                <w:rFonts w:ascii="Tahoma" w:hAnsi="Tahoma" w:cs="Tahoma"/>
                <w:sz w:val="14"/>
                <w:szCs w:val="14"/>
              </w:rPr>
            </w:pPr>
            <w:r w:rsidRPr="00D87B79">
              <w:rPr>
                <w:rFonts w:ascii="Tahoma" w:hAnsi="Tahoma" w:cs="Tahoma"/>
                <w:sz w:val="14"/>
                <w:szCs w:val="14"/>
                <w:lang w:val="it-IT"/>
              </w:rPr>
              <w:t>SRV</w:t>
            </w:r>
          </w:p>
        </w:tc>
        <w:tc>
          <w:tcPr>
            <w:tcW w:w="360" w:type="dxa"/>
            <w:tcBorders>
              <w:left w:val="single" w:sz="18" w:space="0" w:color="auto"/>
            </w:tcBorders>
          </w:tcPr>
          <w:p w:rsidR="00A92422" w:rsidRPr="00D87B79" w:rsidRDefault="00A92422" w:rsidP="00EA30FC">
            <w:pPr>
              <w:pStyle w:val="TableText"/>
              <w:widowControl w:val="0"/>
              <w:spacing w:before="120"/>
              <w:rPr>
                <w:rFonts w:ascii="Tahoma" w:hAnsi="Tahoma" w:cs="Tahoma"/>
                <w:sz w:val="14"/>
                <w:szCs w:val="14"/>
              </w:rPr>
            </w:pPr>
            <w:r w:rsidRPr="00D87B79">
              <w:rPr>
                <w:rFonts w:ascii="Tahoma" w:hAnsi="Tahoma" w:cs="Tahoma"/>
                <w:sz w:val="14"/>
                <w:szCs w:val="14"/>
              </w:rPr>
              <w:t>1</w:t>
            </w:r>
          </w:p>
        </w:tc>
        <w:tc>
          <w:tcPr>
            <w:tcW w:w="450" w:type="dxa"/>
          </w:tcPr>
          <w:p w:rsidR="00A92422" w:rsidRPr="00D87B79" w:rsidRDefault="00A92422" w:rsidP="00EA30FC">
            <w:pPr>
              <w:pStyle w:val="TableText"/>
              <w:widowControl w:val="0"/>
              <w:spacing w:before="120"/>
              <w:rPr>
                <w:rFonts w:ascii="Tahoma" w:hAnsi="Tahoma" w:cs="Tahoma"/>
                <w:sz w:val="14"/>
                <w:szCs w:val="14"/>
              </w:rPr>
            </w:pPr>
          </w:p>
        </w:tc>
        <w:tc>
          <w:tcPr>
            <w:tcW w:w="450" w:type="dxa"/>
          </w:tcPr>
          <w:p w:rsidR="00A92422" w:rsidRPr="00D87B79" w:rsidRDefault="00A92422" w:rsidP="00EA30FC">
            <w:pPr>
              <w:pStyle w:val="TableText"/>
              <w:widowControl w:val="0"/>
              <w:spacing w:before="120"/>
              <w:rPr>
                <w:rFonts w:ascii="Tahoma" w:hAnsi="Tahoma" w:cs="Tahoma"/>
                <w:sz w:val="14"/>
                <w:szCs w:val="14"/>
              </w:rPr>
            </w:pPr>
          </w:p>
        </w:tc>
        <w:tc>
          <w:tcPr>
            <w:tcW w:w="450" w:type="dxa"/>
          </w:tcPr>
          <w:p w:rsidR="00A92422" w:rsidRPr="00D87B79" w:rsidRDefault="00A92422" w:rsidP="00EA30FC">
            <w:pPr>
              <w:pStyle w:val="TableText"/>
              <w:widowControl w:val="0"/>
              <w:spacing w:before="120"/>
              <w:rPr>
                <w:rFonts w:ascii="Tahoma" w:hAnsi="Tahoma" w:cs="Tahoma"/>
                <w:sz w:val="14"/>
                <w:szCs w:val="14"/>
              </w:rPr>
            </w:pPr>
          </w:p>
        </w:tc>
        <w:tc>
          <w:tcPr>
            <w:tcW w:w="450" w:type="dxa"/>
          </w:tcPr>
          <w:p w:rsidR="00A92422" w:rsidRPr="00D87B79" w:rsidRDefault="00A92422" w:rsidP="00EA30FC">
            <w:pPr>
              <w:pStyle w:val="TableText"/>
              <w:widowControl w:val="0"/>
              <w:spacing w:before="120"/>
              <w:rPr>
                <w:rFonts w:ascii="Tahoma" w:hAnsi="Tahoma" w:cs="Tahoma"/>
                <w:sz w:val="14"/>
                <w:szCs w:val="14"/>
              </w:rPr>
            </w:pPr>
          </w:p>
        </w:tc>
        <w:tc>
          <w:tcPr>
            <w:tcW w:w="450" w:type="dxa"/>
          </w:tcPr>
          <w:p w:rsidR="00A92422" w:rsidRPr="00D87B79" w:rsidRDefault="00A92422" w:rsidP="00EA30FC">
            <w:pPr>
              <w:pStyle w:val="TableText"/>
              <w:widowControl w:val="0"/>
              <w:spacing w:before="120"/>
              <w:rPr>
                <w:rFonts w:ascii="Tahoma" w:hAnsi="Tahoma" w:cs="Tahoma"/>
                <w:sz w:val="14"/>
                <w:szCs w:val="14"/>
              </w:rPr>
            </w:pPr>
          </w:p>
        </w:tc>
        <w:tc>
          <w:tcPr>
            <w:tcW w:w="360" w:type="dxa"/>
            <w:tcBorders>
              <w:right w:val="single" w:sz="18" w:space="0" w:color="auto"/>
            </w:tcBorders>
          </w:tcPr>
          <w:p w:rsidR="00A92422" w:rsidRPr="00D87B79" w:rsidRDefault="00A92422" w:rsidP="00EA30FC">
            <w:pPr>
              <w:pStyle w:val="TableText"/>
              <w:widowControl w:val="0"/>
              <w:spacing w:before="120"/>
              <w:rPr>
                <w:rFonts w:ascii="Tahoma" w:hAnsi="Tahoma" w:cs="Tahoma"/>
                <w:sz w:val="14"/>
                <w:szCs w:val="14"/>
              </w:rPr>
            </w:pPr>
          </w:p>
        </w:tc>
        <w:tc>
          <w:tcPr>
            <w:tcW w:w="450" w:type="dxa"/>
            <w:tcBorders>
              <w:left w:val="single" w:sz="18" w:space="0" w:color="auto"/>
            </w:tcBorders>
          </w:tcPr>
          <w:p w:rsidR="00A92422" w:rsidRPr="00D87B79" w:rsidRDefault="00A92422" w:rsidP="00EA30FC">
            <w:pPr>
              <w:pStyle w:val="TableText"/>
              <w:widowControl w:val="0"/>
              <w:spacing w:before="120"/>
              <w:rPr>
                <w:rFonts w:ascii="Tahoma" w:hAnsi="Tahoma" w:cs="Tahoma"/>
                <w:sz w:val="14"/>
                <w:szCs w:val="14"/>
              </w:rPr>
            </w:pPr>
            <w:r w:rsidRPr="00D87B79">
              <w:rPr>
                <w:rFonts w:ascii="Tahoma" w:hAnsi="Tahoma" w:cs="Tahoma"/>
                <w:sz w:val="14"/>
                <w:szCs w:val="14"/>
              </w:rPr>
              <w:t>1</w:t>
            </w:r>
          </w:p>
        </w:tc>
        <w:tc>
          <w:tcPr>
            <w:tcW w:w="450" w:type="dxa"/>
          </w:tcPr>
          <w:p w:rsidR="00A92422" w:rsidRPr="00D87B79" w:rsidRDefault="00A92422" w:rsidP="00EA30FC">
            <w:pPr>
              <w:pStyle w:val="TableText"/>
              <w:widowControl w:val="0"/>
              <w:spacing w:before="120"/>
              <w:rPr>
                <w:rFonts w:ascii="Tahoma" w:hAnsi="Tahoma" w:cs="Tahoma"/>
                <w:sz w:val="14"/>
                <w:szCs w:val="14"/>
              </w:rPr>
            </w:pPr>
          </w:p>
        </w:tc>
        <w:tc>
          <w:tcPr>
            <w:tcW w:w="450" w:type="dxa"/>
            <w:tcBorders>
              <w:right w:val="single" w:sz="18" w:space="0" w:color="auto"/>
            </w:tcBorders>
          </w:tcPr>
          <w:p w:rsidR="00A92422" w:rsidRPr="00D87B79" w:rsidRDefault="00A92422" w:rsidP="00EA30FC">
            <w:pPr>
              <w:pStyle w:val="TableText"/>
              <w:widowControl w:val="0"/>
              <w:spacing w:before="120"/>
              <w:rPr>
                <w:rFonts w:ascii="Tahoma" w:hAnsi="Tahoma" w:cs="Tahoma"/>
                <w:sz w:val="14"/>
                <w:szCs w:val="14"/>
              </w:rPr>
            </w:pPr>
          </w:p>
        </w:tc>
        <w:tc>
          <w:tcPr>
            <w:tcW w:w="450" w:type="dxa"/>
            <w:tcBorders>
              <w:left w:val="single" w:sz="18" w:space="0" w:color="auto"/>
            </w:tcBorders>
          </w:tcPr>
          <w:p w:rsidR="00A92422" w:rsidRPr="00D87B79" w:rsidRDefault="00A92422" w:rsidP="00EA30FC">
            <w:pPr>
              <w:pStyle w:val="TableText"/>
              <w:widowControl w:val="0"/>
              <w:spacing w:before="120"/>
              <w:rPr>
                <w:rFonts w:ascii="Tahoma" w:hAnsi="Tahoma" w:cs="Tahoma"/>
                <w:sz w:val="14"/>
                <w:szCs w:val="14"/>
              </w:rPr>
            </w:pPr>
            <w:r w:rsidRPr="00D87B79">
              <w:rPr>
                <w:rFonts w:ascii="Tahoma" w:hAnsi="Tahoma" w:cs="Tahoma"/>
                <w:sz w:val="14"/>
                <w:szCs w:val="14"/>
              </w:rPr>
              <w:t>1</w:t>
            </w:r>
          </w:p>
        </w:tc>
        <w:tc>
          <w:tcPr>
            <w:tcW w:w="450" w:type="dxa"/>
            <w:tcBorders>
              <w:right w:val="single" w:sz="18" w:space="0" w:color="auto"/>
            </w:tcBorders>
          </w:tcPr>
          <w:p w:rsidR="00A92422" w:rsidRPr="00D87B79" w:rsidRDefault="00A92422" w:rsidP="00EA30FC">
            <w:pPr>
              <w:pStyle w:val="TableText"/>
              <w:widowControl w:val="0"/>
              <w:spacing w:before="120"/>
              <w:rPr>
                <w:rFonts w:ascii="Tahoma" w:hAnsi="Tahoma" w:cs="Tahoma"/>
                <w:sz w:val="14"/>
                <w:szCs w:val="14"/>
              </w:rPr>
            </w:pPr>
          </w:p>
        </w:tc>
        <w:tc>
          <w:tcPr>
            <w:tcW w:w="450" w:type="dxa"/>
            <w:tcBorders>
              <w:left w:val="single" w:sz="18" w:space="0" w:color="auto"/>
              <w:right w:val="single" w:sz="18" w:space="0" w:color="auto"/>
            </w:tcBorders>
          </w:tcPr>
          <w:p w:rsidR="00A92422" w:rsidRPr="00D87B79" w:rsidRDefault="00A92422" w:rsidP="00EA30FC">
            <w:pPr>
              <w:pStyle w:val="TableText"/>
              <w:widowControl w:val="0"/>
              <w:spacing w:before="120"/>
              <w:rPr>
                <w:rFonts w:ascii="Tahoma" w:hAnsi="Tahoma" w:cs="Tahoma"/>
                <w:sz w:val="14"/>
                <w:szCs w:val="14"/>
              </w:rPr>
            </w:pPr>
          </w:p>
        </w:tc>
        <w:tc>
          <w:tcPr>
            <w:tcW w:w="504" w:type="dxa"/>
          </w:tcPr>
          <w:p w:rsidR="00A92422" w:rsidRPr="00D87B79" w:rsidRDefault="00A92422" w:rsidP="00EA30FC">
            <w:pPr>
              <w:pStyle w:val="TableText"/>
              <w:widowControl w:val="0"/>
              <w:spacing w:before="120"/>
              <w:rPr>
                <w:rFonts w:ascii="Tahoma" w:hAnsi="Tahoma" w:cs="Tahoma"/>
                <w:sz w:val="14"/>
                <w:szCs w:val="14"/>
              </w:rPr>
            </w:pPr>
            <w:r w:rsidRPr="00D87B79">
              <w:rPr>
                <w:rFonts w:ascii="Tahoma" w:hAnsi="Tahoma" w:cs="Tahoma"/>
                <w:sz w:val="13"/>
                <w:lang w:val="it-IT"/>
              </w:rPr>
              <w:t>A, ST</w:t>
            </w:r>
          </w:p>
        </w:tc>
        <w:tc>
          <w:tcPr>
            <w:tcW w:w="486" w:type="dxa"/>
          </w:tcPr>
          <w:p w:rsidR="00A92422" w:rsidRPr="00D87B79" w:rsidRDefault="00A92422" w:rsidP="00EA30FC">
            <w:pPr>
              <w:pStyle w:val="TableText"/>
              <w:widowControl w:val="0"/>
              <w:rPr>
                <w:rFonts w:ascii="Tahoma" w:hAnsi="Tahoma" w:cs="Tahoma"/>
                <w:sz w:val="14"/>
                <w:szCs w:val="14"/>
              </w:rPr>
            </w:pPr>
          </w:p>
        </w:tc>
      </w:tr>
      <w:tr w:rsidR="00A92422" w:rsidRPr="00D87B79" w:rsidTr="00EA30FC">
        <w:trPr>
          <w:trHeight w:val="145"/>
        </w:trPr>
        <w:tc>
          <w:tcPr>
            <w:tcW w:w="2714" w:type="dxa"/>
            <w:shd w:val="clear" w:color="auto" w:fill="FABF8F"/>
          </w:tcPr>
          <w:p w:rsidR="00A92422" w:rsidRPr="00D87B79" w:rsidRDefault="00A92422" w:rsidP="00EA30FC">
            <w:pPr>
              <w:pStyle w:val="ProductNames"/>
              <w:spacing w:beforeLines="20" w:before="48" w:afterLines="20" w:after="48"/>
              <w:rPr>
                <w:rFonts w:ascii="Tahoma" w:hAnsi="Tahoma" w:cs="Tahoma"/>
                <w:sz w:val="14"/>
                <w:szCs w:val="14"/>
              </w:rPr>
            </w:pPr>
            <w:bookmarkStart w:id="508" w:name="_Toc336338091"/>
            <w:bookmarkStart w:id="509" w:name="_Toc342900139"/>
            <w:bookmarkEnd w:id="508"/>
            <w:r w:rsidRPr="00D87B79">
              <w:rPr>
                <w:rFonts w:ascii="Tahoma" w:hAnsi="Tahoma" w:cs="Tahoma"/>
                <w:color w:val="000000"/>
                <w:sz w:val="14"/>
                <w:lang w:val="it-IT"/>
              </w:rPr>
              <w:t>Licenza di Gestione Server per System Center Virtual Machine Manager 2008 R2 Enterprise</w:t>
            </w:r>
            <w:bookmarkEnd w:id="509"/>
          </w:p>
        </w:tc>
        <w:bookmarkStart w:id="510" w:name="_Hlt336251310"/>
        <w:bookmarkEnd w:id="510"/>
        <w:tc>
          <w:tcPr>
            <w:tcW w:w="450" w:type="dxa"/>
            <w:shd w:val="clear" w:color="auto" w:fill="FABF8F"/>
          </w:tcPr>
          <w:p w:rsidR="00A92422" w:rsidRPr="001E1017" w:rsidRDefault="00A92422" w:rsidP="00EA30FC">
            <w:pPr>
              <w:pStyle w:val="TableText"/>
              <w:widowControl w:val="0"/>
              <w:spacing w:before="120"/>
              <w:rPr>
                <w:rStyle w:val="EndnoteReference"/>
                <w:rFonts w:cs="Tahoma"/>
                <w:sz w:val="13"/>
                <w:szCs w:val="13"/>
                <w:u w:val="single"/>
              </w:rPr>
            </w:pPr>
            <w:r w:rsidRPr="001E1017">
              <w:rPr>
                <w:rFonts w:cs="Tahoma"/>
                <w:sz w:val="13"/>
                <w:szCs w:val="13"/>
              </w:rPr>
              <w:fldChar w:fldCharType="begin"/>
            </w:r>
            <w:r w:rsidRPr="001E1017">
              <w:rPr>
                <w:rFonts w:cs="Tahoma"/>
                <w:sz w:val="13"/>
                <w:szCs w:val="13"/>
              </w:rPr>
              <w:instrText>HYPERLINK  \l "_Toc336338357"</w:instrText>
            </w:r>
            <w:r w:rsidRPr="001E1017">
              <w:rPr>
                <w:rFonts w:cs="Tahoma"/>
                <w:sz w:val="13"/>
                <w:szCs w:val="13"/>
              </w:rPr>
              <w:fldChar w:fldCharType="separate"/>
            </w:r>
            <w:r w:rsidRPr="001E1017">
              <w:rPr>
                <w:rStyle w:val="Hyperlink"/>
                <w:rFonts w:cs="Tahoma"/>
                <w:b/>
                <w:sz w:val="13"/>
                <w:szCs w:val="13"/>
              </w:rPr>
              <w:t>89</w:t>
            </w:r>
            <w:r w:rsidRPr="001E1017">
              <w:rPr>
                <w:rFonts w:cs="Tahoma"/>
                <w:sz w:val="13"/>
                <w:szCs w:val="13"/>
              </w:rPr>
              <w:fldChar w:fldCharType="end"/>
            </w:r>
          </w:p>
        </w:tc>
        <w:tc>
          <w:tcPr>
            <w:tcW w:w="450" w:type="dxa"/>
            <w:shd w:val="clear" w:color="auto" w:fill="FABF8F"/>
          </w:tcPr>
          <w:p w:rsidR="00A92422" w:rsidRPr="00D87B79" w:rsidRDefault="00A92422" w:rsidP="00EA30FC">
            <w:pPr>
              <w:pStyle w:val="TableText"/>
              <w:widowControl w:val="0"/>
              <w:spacing w:before="120"/>
              <w:rPr>
                <w:rFonts w:ascii="Tahoma" w:hAnsi="Tahoma" w:cs="Tahoma"/>
                <w:sz w:val="13"/>
                <w:szCs w:val="13"/>
              </w:rPr>
            </w:pPr>
            <w:r w:rsidRPr="00D87B79">
              <w:rPr>
                <w:rFonts w:ascii="Tahoma" w:hAnsi="Tahoma" w:cs="Tahoma"/>
                <w:sz w:val="13"/>
                <w:szCs w:val="13"/>
              </w:rPr>
              <w:t>10/08</w:t>
            </w:r>
          </w:p>
        </w:tc>
        <w:tc>
          <w:tcPr>
            <w:tcW w:w="360" w:type="dxa"/>
            <w:tcBorders>
              <w:right w:val="single" w:sz="18" w:space="0" w:color="auto"/>
            </w:tcBorders>
            <w:shd w:val="clear" w:color="auto" w:fill="FABF8F"/>
          </w:tcPr>
          <w:p w:rsidR="00A92422" w:rsidRPr="00D87B79" w:rsidRDefault="00A92422" w:rsidP="00EA30FC">
            <w:pPr>
              <w:pStyle w:val="TableText"/>
              <w:widowControl w:val="0"/>
              <w:spacing w:before="120"/>
              <w:rPr>
                <w:rFonts w:ascii="Tahoma" w:hAnsi="Tahoma" w:cs="Tahoma"/>
                <w:sz w:val="14"/>
                <w:szCs w:val="14"/>
              </w:rPr>
            </w:pPr>
            <w:r w:rsidRPr="00D87B79">
              <w:rPr>
                <w:rFonts w:ascii="Tahoma" w:hAnsi="Tahoma" w:cs="Tahoma"/>
                <w:sz w:val="14"/>
                <w:szCs w:val="14"/>
                <w:lang w:val="it-IT"/>
              </w:rPr>
              <w:t>SRV</w:t>
            </w:r>
          </w:p>
        </w:tc>
        <w:tc>
          <w:tcPr>
            <w:tcW w:w="360" w:type="dxa"/>
            <w:tcBorders>
              <w:left w:val="single" w:sz="18" w:space="0" w:color="auto"/>
            </w:tcBorders>
            <w:shd w:val="clear" w:color="auto" w:fill="FABF8F"/>
          </w:tcPr>
          <w:p w:rsidR="00A92422" w:rsidRPr="00D87B79" w:rsidRDefault="00A92422" w:rsidP="00EA30FC">
            <w:pPr>
              <w:pStyle w:val="TableText"/>
              <w:widowControl w:val="0"/>
              <w:spacing w:before="120"/>
              <w:rPr>
                <w:rFonts w:ascii="Tahoma" w:hAnsi="Tahoma" w:cs="Tahoma"/>
                <w:sz w:val="14"/>
                <w:szCs w:val="14"/>
              </w:rPr>
            </w:pPr>
            <w:r w:rsidRPr="00D87B79">
              <w:rPr>
                <w:rFonts w:ascii="Tahoma" w:hAnsi="Tahoma" w:cs="Tahoma"/>
                <w:sz w:val="14"/>
                <w:szCs w:val="14"/>
              </w:rPr>
              <w:t>10</w:t>
            </w:r>
          </w:p>
        </w:tc>
        <w:tc>
          <w:tcPr>
            <w:tcW w:w="450" w:type="dxa"/>
            <w:shd w:val="clear" w:color="auto" w:fill="FABF8F"/>
          </w:tcPr>
          <w:p w:rsidR="00A92422" w:rsidRPr="00D87B79" w:rsidRDefault="00A92422" w:rsidP="00EA30FC">
            <w:pPr>
              <w:pStyle w:val="TableText"/>
              <w:widowControl w:val="0"/>
              <w:spacing w:before="120"/>
              <w:rPr>
                <w:rFonts w:ascii="Tahoma" w:hAnsi="Tahoma" w:cs="Tahoma"/>
                <w:sz w:val="14"/>
                <w:szCs w:val="14"/>
              </w:rPr>
            </w:pPr>
          </w:p>
        </w:tc>
        <w:tc>
          <w:tcPr>
            <w:tcW w:w="450" w:type="dxa"/>
            <w:shd w:val="clear" w:color="auto" w:fill="FABF8F"/>
          </w:tcPr>
          <w:p w:rsidR="00A92422" w:rsidRPr="00D87B79" w:rsidRDefault="00A92422" w:rsidP="00EA30FC">
            <w:pPr>
              <w:pStyle w:val="TableText"/>
              <w:widowControl w:val="0"/>
              <w:spacing w:before="120"/>
              <w:rPr>
                <w:rFonts w:ascii="Tahoma" w:hAnsi="Tahoma" w:cs="Tahoma"/>
                <w:sz w:val="14"/>
                <w:szCs w:val="14"/>
              </w:rPr>
            </w:pPr>
          </w:p>
        </w:tc>
        <w:tc>
          <w:tcPr>
            <w:tcW w:w="450" w:type="dxa"/>
            <w:shd w:val="clear" w:color="auto" w:fill="FABF8F"/>
          </w:tcPr>
          <w:p w:rsidR="00A92422" w:rsidRPr="00D87B79" w:rsidRDefault="00A92422" w:rsidP="00EA30FC">
            <w:pPr>
              <w:pStyle w:val="TableText"/>
              <w:widowControl w:val="0"/>
              <w:spacing w:before="120"/>
              <w:rPr>
                <w:rFonts w:ascii="Tahoma" w:hAnsi="Tahoma" w:cs="Tahoma"/>
                <w:sz w:val="14"/>
                <w:szCs w:val="14"/>
              </w:rPr>
            </w:pPr>
          </w:p>
        </w:tc>
        <w:tc>
          <w:tcPr>
            <w:tcW w:w="450" w:type="dxa"/>
            <w:shd w:val="clear" w:color="auto" w:fill="FABF8F"/>
          </w:tcPr>
          <w:p w:rsidR="00A92422" w:rsidRPr="00D87B79" w:rsidRDefault="00A92422" w:rsidP="00EA30FC">
            <w:pPr>
              <w:pStyle w:val="TableText"/>
              <w:widowControl w:val="0"/>
              <w:spacing w:before="120"/>
              <w:rPr>
                <w:rFonts w:ascii="Tahoma" w:hAnsi="Tahoma" w:cs="Tahoma"/>
                <w:sz w:val="14"/>
                <w:szCs w:val="14"/>
              </w:rPr>
            </w:pPr>
          </w:p>
        </w:tc>
        <w:tc>
          <w:tcPr>
            <w:tcW w:w="450" w:type="dxa"/>
            <w:shd w:val="clear" w:color="auto" w:fill="FABF8F"/>
          </w:tcPr>
          <w:p w:rsidR="00A92422" w:rsidRPr="00D87B79" w:rsidRDefault="00A92422" w:rsidP="00EA30FC">
            <w:pPr>
              <w:pStyle w:val="TableText"/>
              <w:widowControl w:val="0"/>
              <w:spacing w:before="120"/>
              <w:rPr>
                <w:rFonts w:ascii="Tahoma" w:hAnsi="Tahoma" w:cs="Tahoma"/>
                <w:sz w:val="14"/>
                <w:szCs w:val="14"/>
              </w:rPr>
            </w:pPr>
          </w:p>
        </w:tc>
        <w:tc>
          <w:tcPr>
            <w:tcW w:w="360" w:type="dxa"/>
            <w:tcBorders>
              <w:right w:val="single" w:sz="18" w:space="0" w:color="auto"/>
            </w:tcBorders>
            <w:shd w:val="clear" w:color="auto" w:fill="FABF8F"/>
          </w:tcPr>
          <w:p w:rsidR="00A92422" w:rsidRPr="00D87B79" w:rsidRDefault="00A92422" w:rsidP="00EA30FC">
            <w:pPr>
              <w:pStyle w:val="TableText"/>
              <w:widowControl w:val="0"/>
              <w:spacing w:before="120"/>
              <w:rPr>
                <w:rFonts w:ascii="Tahoma" w:hAnsi="Tahoma" w:cs="Tahoma"/>
                <w:sz w:val="14"/>
                <w:szCs w:val="14"/>
              </w:rPr>
            </w:pPr>
          </w:p>
        </w:tc>
        <w:tc>
          <w:tcPr>
            <w:tcW w:w="450" w:type="dxa"/>
            <w:tcBorders>
              <w:left w:val="single" w:sz="18" w:space="0" w:color="auto"/>
            </w:tcBorders>
            <w:shd w:val="clear" w:color="auto" w:fill="FABF8F"/>
          </w:tcPr>
          <w:p w:rsidR="00A92422" w:rsidRPr="00D87B79" w:rsidRDefault="00A92422" w:rsidP="00EA30FC">
            <w:pPr>
              <w:pStyle w:val="TableText"/>
              <w:widowControl w:val="0"/>
              <w:spacing w:before="120"/>
              <w:rPr>
                <w:rFonts w:ascii="Tahoma" w:hAnsi="Tahoma" w:cs="Tahoma"/>
                <w:sz w:val="14"/>
                <w:szCs w:val="14"/>
              </w:rPr>
            </w:pPr>
            <w:r w:rsidRPr="00D87B79">
              <w:rPr>
                <w:rFonts w:ascii="Tahoma" w:hAnsi="Tahoma" w:cs="Tahoma"/>
                <w:sz w:val="14"/>
                <w:szCs w:val="14"/>
              </w:rPr>
              <w:t>10</w:t>
            </w:r>
          </w:p>
        </w:tc>
        <w:tc>
          <w:tcPr>
            <w:tcW w:w="450" w:type="dxa"/>
            <w:shd w:val="clear" w:color="auto" w:fill="FABF8F"/>
          </w:tcPr>
          <w:p w:rsidR="00A92422" w:rsidRPr="00D87B79" w:rsidRDefault="00A92422" w:rsidP="00EA30FC">
            <w:pPr>
              <w:pStyle w:val="TableText"/>
              <w:widowControl w:val="0"/>
              <w:spacing w:before="120"/>
              <w:rPr>
                <w:rFonts w:ascii="Tahoma" w:hAnsi="Tahoma" w:cs="Tahoma"/>
                <w:sz w:val="14"/>
                <w:szCs w:val="14"/>
              </w:rPr>
            </w:pPr>
          </w:p>
        </w:tc>
        <w:tc>
          <w:tcPr>
            <w:tcW w:w="450" w:type="dxa"/>
            <w:tcBorders>
              <w:right w:val="single" w:sz="18" w:space="0" w:color="auto"/>
            </w:tcBorders>
            <w:shd w:val="clear" w:color="auto" w:fill="FABF8F"/>
          </w:tcPr>
          <w:p w:rsidR="00A92422" w:rsidRPr="00D87B79" w:rsidRDefault="00A92422" w:rsidP="00EA30FC">
            <w:pPr>
              <w:pStyle w:val="TableText"/>
              <w:widowControl w:val="0"/>
              <w:spacing w:before="120"/>
              <w:rPr>
                <w:rFonts w:ascii="Tahoma" w:hAnsi="Tahoma" w:cs="Tahoma"/>
                <w:sz w:val="14"/>
                <w:szCs w:val="14"/>
              </w:rPr>
            </w:pPr>
          </w:p>
        </w:tc>
        <w:tc>
          <w:tcPr>
            <w:tcW w:w="450" w:type="dxa"/>
            <w:tcBorders>
              <w:left w:val="single" w:sz="18" w:space="0" w:color="auto"/>
            </w:tcBorders>
            <w:shd w:val="clear" w:color="auto" w:fill="FABF8F"/>
          </w:tcPr>
          <w:p w:rsidR="00A92422" w:rsidRPr="00D87B79" w:rsidRDefault="00A92422" w:rsidP="00EA30FC">
            <w:pPr>
              <w:pStyle w:val="TableText"/>
              <w:widowControl w:val="0"/>
              <w:spacing w:before="120"/>
              <w:rPr>
                <w:rFonts w:ascii="Tahoma" w:hAnsi="Tahoma" w:cs="Tahoma"/>
                <w:sz w:val="14"/>
                <w:szCs w:val="14"/>
              </w:rPr>
            </w:pPr>
            <w:r w:rsidRPr="00D87B79">
              <w:rPr>
                <w:rFonts w:ascii="Tahoma" w:hAnsi="Tahoma" w:cs="Tahoma"/>
                <w:sz w:val="14"/>
                <w:szCs w:val="14"/>
              </w:rPr>
              <w:t>10</w:t>
            </w:r>
          </w:p>
        </w:tc>
        <w:tc>
          <w:tcPr>
            <w:tcW w:w="450" w:type="dxa"/>
            <w:tcBorders>
              <w:right w:val="single" w:sz="18" w:space="0" w:color="auto"/>
            </w:tcBorders>
            <w:shd w:val="clear" w:color="auto" w:fill="FABF8F"/>
          </w:tcPr>
          <w:p w:rsidR="00A92422" w:rsidRPr="00D87B79" w:rsidRDefault="00A92422" w:rsidP="00EA30FC">
            <w:pPr>
              <w:pStyle w:val="TableText"/>
              <w:widowControl w:val="0"/>
              <w:spacing w:before="120"/>
              <w:rPr>
                <w:rFonts w:ascii="Tahoma" w:hAnsi="Tahoma" w:cs="Tahoma"/>
                <w:sz w:val="14"/>
                <w:szCs w:val="14"/>
              </w:rPr>
            </w:pPr>
          </w:p>
        </w:tc>
        <w:tc>
          <w:tcPr>
            <w:tcW w:w="450" w:type="dxa"/>
            <w:tcBorders>
              <w:left w:val="single" w:sz="18" w:space="0" w:color="auto"/>
              <w:right w:val="single" w:sz="18" w:space="0" w:color="auto"/>
            </w:tcBorders>
            <w:shd w:val="clear" w:color="auto" w:fill="FABF8F"/>
          </w:tcPr>
          <w:p w:rsidR="00A92422" w:rsidRPr="00D87B79" w:rsidRDefault="00A92422" w:rsidP="00EA30FC">
            <w:pPr>
              <w:pStyle w:val="TableText"/>
              <w:widowControl w:val="0"/>
              <w:spacing w:before="120"/>
              <w:rPr>
                <w:rFonts w:ascii="Tahoma" w:hAnsi="Tahoma" w:cs="Tahoma"/>
                <w:sz w:val="14"/>
                <w:szCs w:val="14"/>
              </w:rPr>
            </w:pPr>
          </w:p>
        </w:tc>
        <w:tc>
          <w:tcPr>
            <w:tcW w:w="504" w:type="dxa"/>
            <w:shd w:val="clear" w:color="auto" w:fill="FABF8F"/>
          </w:tcPr>
          <w:p w:rsidR="00A92422" w:rsidRPr="00D87B79" w:rsidRDefault="00A92422" w:rsidP="00EA30FC">
            <w:pPr>
              <w:pStyle w:val="TableText"/>
              <w:widowControl w:val="0"/>
              <w:spacing w:before="120"/>
              <w:rPr>
                <w:rFonts w:ascii="Tahoma" w:hAnsi="Tahoma" w:cs="Tahoma"/>
                <w:sz w:val="14"/>
                <w:szCs w:val="14"/>
              </w:rPr>
            </w:pPr>
            <w:r w:rsidRPr="00D87B79">
              <w:rPr>
                <w:rFonts w:ascii="Tahoma" w:hAnsi="Tahoma" w:cs="Tahoma"/>
                <w:sz w:val="13"/>
                <w:lang w:val="it-IT"/>
              </w:rPr>
              <w:t>A</w:t>
            </w:r>
          </w:p>
        </w:tc>
        <w:tc>
          <w:tcPr>
            <w:tcW w:w="486" w:type="dxa"/>
            <w:shd w:val="clear" w:color="auto" w:fill="FABF8F"/>
          </w:tcPr>
          <w:p w:rsidR="00A92422" w:rsidRPr="00D87B79" w:rsidRDefault="00A92422" w:rsidP="00EA30FC">
            <w:pPr>
              <w:pStyle w:val="TableText"/>
              <w:widowControl w:val="0"/>
              <w:rPr>
                <w:rFonts w:ascii="Tahoma" w:hAnsi="Tahoma" w:cs="Tahoma"/>
                <w:sz w:val="14"/>
                <w:szCs w:val="14"/>
              </w:rPr>
            </w:pPr>
          </w:p>
        </w:tc>
      </w:tr>
      <w:tr w:rsidR="00A92422" w:rsidRPr="00D87B79" w:rsidTr="00EA30FC">
        <w:trPr>
          <w:trHeight w:val="145"/>
        </w:trPr>
        <w:tc>
          <w:tcPr>
            <w:tcW w:w="2714" w:type="dxa"/>
          </w:tcPr>
          <w:p w:rsidR="00A92422" w:rsidRPr="00D87B79" w:rsidRDefault="00A92422" w:rsidP="00EA30FC">
            <w:pPr>
              <w:pStyle w:val="ProductNames"/>
              <w:spacing w:beforeLines="20" w:before="48" w:afterLines="20" w:after="48"/>
              <w:rPr>
                <w:rFonts w:ascii="Tahoma" w:hAnsi="Tahoma" w:cs="Tahoma"/>
                <w:sz w:val="14"/>
              </w:rPr>
            </w:pPr>
            <w:bookmarkStart w:id="511" w:name="_Toc336338092"/>
            <w:bookmarkStart w:id="512" w:name="_Toc342900140"/>
            <w:bookmarkEnd w:id="511"/>
            <w:r w:rsidRPr="00D87B79">
              <w:rPr>
                <w:rFonts w:ascii="Tahoma" w:hAnsi="Tahoma" w:cs="Tahoma"/>
                <w:sz w:val="14"/>
                <w:lang w:val="it-IT"/>
              </w:rPr>
              <w:t>System Center Virtual Machine Manager</w:t>
            </w:r>
            <w:r>
              <w:rPr>
                <w:rFonts w:ascii="Tahoma" w:hAnsi="Tahoma" w:cs="Tahoma"/>
                <w:sz w:val="14"/>
                <w:lang w:val="it-IT"/>
              </w:rPr>
              <w:t> </w:t>
            </w:r>
            <w:r w:rsidRPr="00D87B79">
              <w:rPr>
                <w:rFonts w:ascii="Tahoma" w:hAnsi="Tahoma" w:cs="Tahoma"/>
                <w:sz w:val="14"/>
                <w:lang w:val="it-IT"/>
              </w:rPr>
              <w:t>2008 R2 Workgroup Edition</w:t>
            </w:r>
            <w:bookmarkEnd w:id="512"/>
          </w:p>
        </w:tc>
        <w:tc>
          <w:tcPr>
            <w:tcW w:w="450" w:type="dxa"/>
          </w:tcPr>
          <w:p w:rsidR="00A92422" w:rsidRPr="001E1017" w:rsidRDefault="00A92422" w:rsidP="00EA30FC">
            <w:pPr>
              <w:pStyle w:val="TableText"/>
              <w:widowControl w:val="0"/>
              <w:spacing w:before="120"/>
              <w:rPr>
                <w:rStyle w:val="EndnoteReference"/>
                <w:rFonts w:cs="Tahoma"/>
                <w:sz w:val="13"/>
                <w:szCs w:val="13"/>
                <w:u w:val="single"/>
              </w:rPr>
            </w:pPr>
          </w:p>
        </w:tc>
        <w:tc>
          <w:tcPr>
            <w:tcW w:w="450" w:type="dxa"/>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rPr>
              <w:t>10/08</w:t>
            </w:r>
          </w:p>
        </w:tc>
        <w:tc>
          <w:tcPr>
            <w:tcW w:w="360" w:type="dxa"/>
            <w:tcBorders>
              <w:right w:val="single" w:sz="18" w:space="0" w:color="auto"/>
            </w:tcBorders>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rPr>
              <w:t>5</w:t>
            </w:r>
          </w:p>
        </w:tc>
        <w:tc>
          <w:tcPr>
            <w:tcW w:w="450" w:type="dxa"/>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rPr>
              <w:t>13</w:t>
            </w:r>
          </w:p>
        </w:tc>
        <w:tc>
          <w:tcPr>
            <w:tcW w:w="450" w:type="dxa"/>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rPr>
              <w:t>10</w:t>
            </w:r>
          </w:p>
        </w:tc>
        <w:tc>
          <w:tcPr>
            <w:tcW w:w="450" w:type="dxa"/>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rPr>
              <w:t>8</w:t>
            </w:r>
          </w:p>
        </w:tc>
        <w:tc>
          <w:tcPr>
            <w:tcW w:w="450" w:type="dxa"/>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rPr>
              <w:t>8</w:t>
            </w:r>
          </w:p>
        </w:tc>
        <w:tc>
          <w:tcPr>
            <w:tcW w:w="450" w:type="dxa"/>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rPr>
              <w:t>5</w:t>
            </w:r>
          </w:p>
        </w:tc>
        <w:tc>
          <w:tcPr>
            <w:tcW w:w="360" w:type="dxa"/>
            <w:tcBorders>
              <w:right w:val="single" w:sz="18" w:space="0" w:color="auto"/>
            </w:tcBorders>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rPr>
              <w:t>3</w:t>
            </w:r>
          </w:p>
        </w:tc>
        <w:tc>
          <w:tcPr>
            <w:tcW w:w="450" w:type="dxa"/>
            <w:tcBorders>
              <w:left w:val="single" w:sz="18" w:space="0" w:color="auto"/>
            </w:tcBorders>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rPr>
              <w:t>5</w:t>
            </w:r>
          </w:p>
        </w:tc>
        <w:tc>
          <w:tcPr>
            <w:tcW w:w="450" w:type="dxa"/>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rPr>
              <w:t>10</w:t>
            </w:r>
          </w:p>
        </w:tc>
        <w:tc>
          <w:tcPr>
            <w:tcW w:w="450" w:type="dxa"/>
            <w:tcBorders>
              <w:right w:val="single" w:sz="18" w:space="0" w:color="auto"/>
            </w:tcBorders>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rPr>
              <w:t>5</w:t>
            </w:r>
          </w:p>
        </w:tc>
        <w:tc>
          <w:tcPr>
            <w:tcW w:w="450" w:type="dxa"/>
            <w:tcBorders>
              <w:left w:val="single" w:sz="18" w:space="0" w:color="auto"/>
            </w:tcBorders>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rPr>
              <w:t>5</w:t>
            </w:r>
          </w:p>
        </w:tc>
        <w:tc>
          <w:tcPr>
            <w:tcW w:w="450" w:type="dxa"/>
            <w:tcBorders>
              <w:right w:val="single" w:sz="18" w:space="0" w:color="auto"/>
            </w:tcBorders>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tcPr>
          <w:p w:rsidR="00A92422" w:rsidRPr="00D87B79" w:rsidRDefault="00A92422" w:rsidP="00EA30FC">
            <w:pPr>
              <w:pStyle w:val="TableText"/>
              <w:widowControl w:val="0"/>
              <w:spacing w:before="120"/>
              <w:rPr>
                <w:rFonts w:ascii="Tahoma" w:hAnsi="Tahoma" w:cs="Tahoma"/>
                <w:sz w:val="13"/>
              </w:rPr>
            </w:pPr>
          </w:p>
        </w:tc>
        <w:tc>
          <w:tcPr>
            <w:tcW w:w="504" w:type="dxa"/>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lang w:val="it-IT"/>
              </w:rPr>
              <w:t>A</w:t>
            </w:r>
          </w:p>
        </w:tc>
        <w:tc>
          <w:tcPr>
            <w:tcW w:w="486" w:type="dxa"/>
          </w:tcPr>
          <w:p w:rsidR="00A92422" w:rsidRPr="00D87B79" w:rsidRDefault="00A92422" w:rsidP="00EA30FC">
            <w:pPr>
              <w:pStyle w:val="TableText"/>
              <w:widowControl w:val="0"/>
              <w:rPr>
                <w:rFonts w:ascii="Tahoma" w:hAnsi="Tahoma" w:cs="Tahoma"/>
                <w:sz w:val="13"/>
              </w:rPr>
            </w:pPr>
          </w:p>
        </w:tc>
      </w:tr>
      <w:tr w:rsidR="00A92422" w:rsidRPr="00D87B79" w:rsidTr="00EA30FC">
        <w:trPr>
          <w:trHeight w:val="368"/>
        </w:trPr>
        <w:tc>
          <w:tcPr>
            <w:tcW w:w="2714" w:type="dxa"/>
            <w:shd w:val="clear" w:color="auto" w:fill="FABF8F"/>
            <w:vAlign w:val="center"/>
          </w:tcPr>
          <w:p w:rsidR="00A92422" w:rsidRPr="00D87B79" w:rsidRDefault="00A92422" w:rsidP="00EA30FC">
            <w:pPr>
              <w:pStyle w:val="ProductNames"/>
              <w:spacing w:beforeLines="20" w:before="48" w:afterLines="20" w:after="48"/>
              <w:rPr>
                <w:rFonts w:ascii="Tahoma" w:hAnsi="Tahoma" w:cs="Tahoma"/>
                <w:sz w:val="14"/>
              </w:rPr>
            </w:pPr>
            <w:bookmarkStart w:id="513" w:name="_Toc336338093"/>
            <w:bookmarkStart w:id="514" w:name="_Toc342900141"/>
            <w:bookmarkEnd w:id="513"/>
            <w:r w:rsidRPr="00D87B79">
              <w:rPr>
                <w:rFonts w:ascii="Tahoma" w:hAnsi="Tahoma" w:cs="Tahoma"/>
                <w:sz w:val="14"/>
                <w:lang w:val="it-IT"/>
              </w:rPr>
              <w:t>System Center 2012 Client Management Suite (Client ML) per OSE</w:t>
            </w:r>
            <w:bookmarkEnd w:id="514"/>
          </w:p>
        </w:tc>
        <w:tc>
          <w:tcPr>
            <w:tcW w:w="450" w:type="dxa"/>
            <w:shd w:val="clear" w:color="auto" w:fill="FABF8F"/>
            <w:vAlign w:val="center"/>
          </w:tcPr>
          <w:p w:rsidR="00A92422" w:rsidRPr="001E1017" w:rsidRDefault="00A92422" w:rsidP="00EA30FC">
            <w:pPr>
              <w:pStyle w:val="TableText"/>
              <w:widowControl w:val="0"/>
              <w:spacing w:before="240"/>
              <w:rPr>
                <w:rFonts w:cs="Tahoma"/>
                <w:b/>
                <w:color w:val="000000"/>
                <w:sz w:val="13"/>
                <w:szCs w:val="13"/>
                <w:u w:val="single"/>
              </w:rPr>
            </w:pPr>
            <w:hyperlink w:anchor="Srv_101SystemCenter2012" w:history="1">
              <w:r w:rsidRPr="001E1017">
                <w:rPr>
                  <w:rStyle w:val="Hyperlink"/>
                  <w:rFonts w:cs="Tahoma"/>
                  <w:b/>
                  <w:sz w:val="13"/>
                  <w:szCs w:val="13"/>
                </w:rPr>
                <w:t>90</w:t>
              </w:r>
            </w:hyperlink>
          </w:p>
        </w:tc>
        <w:tc>
          <w:tcPr>
            <w:tcW w:w="450" w:type="dxa"/>
            <w:shd w:val="clear" w:color="auto" w:fill="FABF8F"/>
          </w:tcPr>
          <w:p w:rsidR="00A92422" w:rsidRPr="00D87B79" w:rsidRDefault="00A92422" w:rsidP="00EA30FC">
            <w:pPr>
              <w:pStyle w:val="TableText"/>
              <w:widowControl w:val="0"/>
              <w:spacing w:before="240"/>
              <w:rPr>
                <w:rFonts w:ascii="Tahoma" w:hAnsi="Tahoma" w:cs="Tahoma"/>
                <w:sz w:val="13"/>
              </w:rPr>
            </w:pPr>
            <w:r w:rsidRPr="00D87B79">
              <w:rPr>
                <w:rFonts w:ascii="Tahoma" w:hAnsi="Tahoma" w:cs="Tahoma"/>
                <w:sz w:val="13"/>
              </w:rPr>
              <w:t>04/12</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color w:val="000000"/>
                <w:sz w:val="13"/>
                <w:lang w:val="it-IT"/>
              </w:rPr>
              <w:t>SRV</w:t>
            </w:r>
          </w:p>
        </w:tc>
        <w:tc>
          <w:tcPr>
            <w:tcW w:w="360" w:type="dxa"/>
            <w:tcBorders>
              <w:left w:val="single" w:sz="18" w:space="0" w:color="auto"/>
            </w:tcBorders>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p>
        </w:tc>
        <w:tc>
          <w:tcPr>
            <w:tcW w:w="450" w:type="dxa"/>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2</w:t>
            </w:r>
          </w:p>
        </w:tc>
        <w:tc>
          <w:tcPr>
            <w:tcW w:w="450" w:type="dxa"/>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2</w:t>
            </w:r>
          </w:p>
        </w:tc>
        <w:tc>
          <w:tcPr>
            <w:tcW w:w="450" w:type="dxa"/>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2</w:t>
            </w:r>
          </w:p>
        </w:tc>
        <w:tc>
          <w:tcPr>
            <w:tcW w:w="450" w:type="dxa"/>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1</w:t>
            </w:r>
          </w:p>
        </w:tc>
        <w:tc>
          <w:tcPr>
            <w:tcW w:w="450" w:type="dxa"/>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1</w:t>
            </w:r>
          </w:p>
        </w:tc>
        <w:tc>
          <w:tcPr>
            <w:tcW w:w="360" w:type="dxa"/>
            <w:tcBorders>
              <w:right w:val="single" w:sz="18" w:space="0" w:color="auto"/>
            </w:tcBorders>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szCs w:val="13"/>
              </w:rPr>
              <w:t> </w:t>
            </w:r>
          </w:p>
        </w:tc>
        <w:tc>
          <w:tcPr>
            <w:tcW w:w="450" w:type="dxa"/>
            <w:tcBorders>
              <w:left w:val="single" w:sz="18" w:space="0" w:color="auto"/>
            </w:tcBorders>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p>
        </w:tc>
        <w:tc>
          <w:tcPr>
            <w:tcW w:w="450" w:type="dxa"/>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1</w:t>
            </w:r>
          </w:p>
        </w:tc>
        <w:tc>
          <w:tcPr>
            <w:tcW w:w="450" w:type="dxa"/>
            <w:tcBorders>
              <w:right w:val="single" w:sz="18" w:space="0" w:color="auto"/>
            </w:tcBorders>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1</w:t>
            </w:r>
          </w:p>
        </w:tc>
        <w:tc>
          <w:tcPr>
            <w:tcW w:w="450" w:type="dxa"/>
            <w:tcBorders>
              <w:left w:val="single" w:sz="18" w:space="0" w:color="auto"/>
            </w:tcBorders>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1</w:t>
            </w:r>
          </w:p>
        </w:tc>
        <w:tc>
          <w:tcPr>
            <w:tcW w:w="450" w:type="dxa"/>
            <w:tcBorders>
              <w:right w:val="single" w:sz="18" w:space="0" w:color="auto"/>
            </w:tcBorders>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lang w:val="it-IT"/>
              </w:rPr>
              <w:t>A, E</w:t>
            </w:r>
          </w:p>
        </w:tc>
        <w:tc>
          <w:tcPr>
            <w:tcW w:w="450" w:type="dxa"/>
            <w:tcBorders>
              <w:left w:val="single" w:sz="18" w:space="0" w:color="auto"/>
              <w:right w:val="single" w:sz="18" w:space="0" w:color="auto"/>
            </w:tcBorders>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lang w:val="it-IT"/>
              </w:rPr>
              <w:t>P</w:t>
            </w:r>
          </w:p>
        </w:tc>
        <w:tc>
          <w:tcPr>
            <w:tcW w:w="504" w:type="dxa"/>
            <w:shd w:val="clear" w:color="auto" w:fill="FABF8F"/>
          </w:tcPr>
          <w:p w:rsidR="00A92422" w:rsidRPr="00D87B79" w:rsidRDefault="00A92422" w:rsidP="00EA30FC">
            <w:pPr>
              <w:spacing w:before="240"/>
              <w:jc w:val="center"/>
              <w:rPr>
                <w:rFonts w:cs="Tahoma"/>
              </w:rPr>
            </w:pPr>
            <w:r w:rsidRPr="00D87B79">
              <w:rPr>
                <w:rFonts w:cs="Tahoma"/>
                <w:sz w:val="13"/>
                <w:lang w:val="it-IT"/>
              </w:rPr>
              <w:t>AO, ST</w:t>
            </w:r>
          </w:p>
          <w:p w:rsidR="00A92422" w:rsidRPr="00D87B79" w:rsidRDefault="00A92422" w:rsidP="00EA30FC">
            <w:pPr>
              <w:pStyle w:val="TableText"/>
              <w:widowControl w:val="0"/>
              <w:rPr>
                <w:rFonts w:ascii="Tahoma" w:hAnsi="Tahoma" w:cs="Tahoma"/>
                <w:sz w:val="13"/>
                <w:szCs w:val="13"/>
              </w:rPr>
            </w:pP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34"/>
        </w:trPr>
        <w:tc>
          <w:tcPr>
            <w:tcW w:w="2714" w:type="dxa"/>
            <w:vAlign w:val="center"/>
          </w:tcPr>
          <w:p w:rsidR="00A92422" w:rsidRPr="00D87B79" w:rsidRDefault="00A92422" w:rsidP="00EA30FC">
            <w:pPr>
              <w:pStyle w:val="ProductNames"/>
              <w:spacing w:beforeLines="20" w:before="48" w:afterLines="20" w:after="48"/>
              <w:rPr>
                <w:rFonts w:ascii="Tahoma" w:hAnsi="Tahoma" w:cs="Tahoma"/>
                <w:sz w:val="14"/>
              </w:rPr>
            </w:pPr>
            <w:bookmarkStart w:id="515" w:name="_Toc336338094"/>
            <w:bookmarkStart w:id="516" w:name="_Toc342900142"/>
            <w:bookmarkEnd w:id="515"/>
            <w:r w:rsidRPr="00D87B79">
              <w:rPr>
                <w:rFonts w:ascii="Tahoma" w:hAnsi="Tahoma" w:cs="Tahoma"/>
                <w:sz w:val="14"/>
                <w:lang w:val="it-IT"/>
              </w:rPr>
              <w:t>System Center 2012 Client Management Suite (Client ML) per Utente</w:t>
            </w:r>
            <w:bookmarkEnd w:id="516"/>
          </w:p>
        </w:tc>
        <w:tc>
          <w:tcPr>
            <w:tcW w:w="450" w:type="dxa"/>
            <w:vAlign w:val="center"/>
          </w:tcPr>
          <w:p w:rsidR="00A92422" w:rsidRPr="001E1017" w:rsidRDefault="00A92422" w:rsidP="00EA30FC">
            <w:pPr>
              <w:pStyle w:val="TableText"/>
              <w:widowControl w:val="0"/>
              <w:spacing w:before="240"/>
              <w:rPr>
                <w:rFonts w:cs="Tahoma"/>
                <w:b/>
                <w:color w:val="000000"/>
                <w:sz w:val="13"/>
                <w:szCs w:val="13"/>
                <w:u w:val="single"/>
              </w:rPr>
            </w:pPr>
            <w:hyperlink w:anchor="Srv_101SystemCenter2012" w:history="1">
              <w:r w:rsidRPr="001E1017">
                <w:rPr>
                  <w:rStyle w:val="Hyperlink"/>
                  <w:rFonts w:cs="Tahoma"/>
                  <w:b/>
                  <w:sz w:val="13"/>
                  <w:szCs w:val="13"/>
                </w:rPr>
                <w:t>90</w:t>
              </w:r>
            </w:hyperlink>
          </w:p>
        </w:tc>
        <w:tc>
          <w:tcPr>
            <w:tcW w:w="450" w:type="dxa"/>
          </w:tcPr>
          <w:p w:rsidR="00A92422" w:rsidRPr="00D87B79" w:rsidRDefault="00A92422" w:rsidP="00EA30FC">
            <w:pPr>
              <w:pStyle w:val="TableText"/>
              <w:widowControl w:val="0"/>
              <w:spacing w:before="240"/>
              <w:rPr>
                <w:rFonts w:ascii="Tahoma" w:hAnsi="Tahoma" w:cs="Tahoma"/>
                <w:sz w:val="13"/>
              </w:rPr>
            </w:pPr>
            <w:r w:rsidRPr="00D87B79">
              <w:rPr>
                <w:rFonts w:ascii="Tahoma" w:hAnsi="Tahoma" w:cs="Tahoma"/>
                <w:sz w:val="13"/>
              </w:rPr>
              <w:t>04/12</w:t>
            </w:r>
          </w:p>
        </w:tc>
        <w:tc>
          <w:tcPr>
            <w:tcW w:w="360"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color w:val="000000"/>
                <w:sz w:val="13"/>
                <w:lang w:val="it-IT"/>
              </w:rPr>
              <w:t>SRV</w:t>
            </w:r>
          </w:p>
        </w:tc>
        <w:tc>
          <w:tcPr>
            <w:tcW w:w="360" w:type="dxa"/>
            <w:tcBorders>
              <w:left w:val="single" w:sz="18" w:space="0" w:color="auto"/>
            </w:tcBorders>
            <w:vAlign w:val="bottom"/>
          </w:tcPr>
          <w:p w:rsidR="00A92422" w:rsidRPr="00D87B79" w:rsidRDefault="00A92422" w:rsidP="00EA30FC">
            <w:pPr>
              <w:pStyle w:val="TableText"/>
              <w:widowControl w:val="0"/>
              <w:spacing w:after="120"/>
              <w:rPr>
                <w:rFonts w:ascii="Tahoma" w:hAnsi="Tahoma" w:cs="Tahoma"/>
                <w:sz w:val="13"/>
                <w:szCs w:val="13"/>
              </w:rPr>
            </w:pPr>
          </w:p>
        </w:tc>
        <w:tc>
          <w:tcPr>
            <w:tcW w:w="450" w:type="dxa"/>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2</w:t>
            </w:r>
          </w:p>
        </w:tc>
        <w:tc>
          <w:tcPr>
            <w:tcW w:w="450" w:type="dxa"/>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2</w:t>
            </w:r>
          </w:p>
        </w:tc>
        <w:tc>
          <w:tcPr>
            <w:tcW w:w="450" w:type="dxa"/>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2</w:t>
            </w:r>
          </w:p>
        </w:tc>
        <w:tc>
          <w:tcPr>
            <w:tcW w:w="450" w:type="dxa"/>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1</w:t>
            </w:r>
          </w:p>
        </w:tc>
        <w:tc>
          <w:tcPr>
            <w:tcW w:w="450" w:type="dxa"/>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1</w:t>
            </w:r>
          </w:p>
        </w:tc>
        <w:tc>
          <w:tcPr>
            <w:tcW w:w="360" w:type="dxa"/>
            <w:tcBorders>
              <w:right w:val="single" w:sz="18" w:space="0" w:color="auto"/>
            </w:tcBorders>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szCs w:val="13"/>
              </w:rPr>
              <w:t> </w:t>
            </w:r>
          </w:p>
        </w:tc>
        <w:tc>
          <w:tcPr>
            <w:tcW w:w="450" w:type="dxa"/>
            <w:tcBorders>
              <w:left w:val="single" w:sz="18" w:space="0" w:color="auto"/>
            </w:tcBorders>
            <w:vAlign w:val="bottom"/>
          </w:tcPr>
          <w:p w:rsidR="00A92422" w:rsidRPr="00D87B79" w:rsidRDefault="00A92422" w:rsidP="00EA30FC">
            <w:pPr>
              <w:pStyle w:val="TableText"/>
              <w:widowControl w:val="0"/>
              <w:spacing w:after="120"/>
              <w:rPr>
                <w:rFonts w:ascii="Tahoma" w:hAnsi="Tahoma" w:cs="Tahoma"/>
                <w:sz w:val="13"/>
                <w:szCs w:val="13"/>
              </w:rPr>
            </w:pPr>
          </w:p>
        </w:tc>
        <w:tc>
          <w:tcPr>
            <w:tcW w:w="450" w:type="dxa"/>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1</w:t>
            </w:r>
          </w:p>
        </w:tc>
        <w:tc>
          <w:tcPr>
            <w:tcW w:w="450" w:type="dxa"/>
            <w:tcBorders>
              <w:right w:val="single" w:sz="18" w:space="0" w:color="auto"/>
            </w:tcBorders>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1</w:t>
            </w:r>
          </w:p>
        </w:tc>
        <w:tc>
          <w:tcPr>
            <w:tcW w:w="450" w:type="dxa"/>
            <w:tcBorders>
              <w:left w:val="single" w:sz="18" w:space="0" w:color="auto"/>
            </w:tcBorders>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1</w:t>
            </w:r>
          </w:p>
        </w:tc>
        <w:tc>
          <w:tcPr>
            <w:tcW w:w="450"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504" w:type="dxa"/>
          </w:tcPr>
          <w:p w:rsidR="00A92422" w:rsidRPr="00D87B79" w:rsidRDefault="00A92422" w:rsidP="00EA30FC">
            <w:pPr>
              <w:pStyle w:val="TableText"/>
              <w:widowControl w:val="0"/>
              <w:rPr>
                <w:rFonts w:ascii="Tahoma" w:hAnsi="Tahoma" w:cs="Tahoma"/>
                <w:sz w:val="13"/>
              </w:rPr>
            </w:pPr>
          </w:p>
        </w:tc>
        <w:tc>
          <w:tcPr>
            <w:tcW w:w="486" w:type="dxa"/>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34"/>
        </w:trPr>
        <w:tc>
          <w:tcPr>
            <w:tcW w:w="2714" w:type="dxa"/>
            <w:shd w:val="clear" w:color="auto" w:fill="FABF8F"/>
            <w:vAlign w:val="center"/>
          </w:tcPr>
          <w:p w:rsidR="00A92422" w:rsidRPr="00D87B79" w:rsidRDefault="00A92422" w:rsidP="00EA30FC">
            <w:pPr>
              <w:pStyle w:val="ProductNames"/>
              <w:spacing w:beforeLines="20" w:before="48" w:afterLines="20" w:after="48"/>
              <w:rPr>
                <w:rFonts w:ascii="Tahoma" w:hAnsi="Tahoma" w:cs="Tahoma"/>
                <w:sz w:val="14"/>
              </w:rPr>
            </w:pPr>
            <w:bookmarkStart w:id="517" w:name="_Toc336338095"/>
            <w:bookmarkStart w:id="518" w:name="_Toc342900143"/>
            <w:bookmarkEnd w:id="517"/>
            <w:r w:rsidRPr="00D87B79">
              <w:rPr>
                <w:rFonts w:ascii="Tahoma" w:hAnsi="Tahoma" w:cs="Tahoma"/>
                <w:sz w:val="14"/>
                <w:lang w:val="it-IT"/>
              </w:rPr>
              <w:t>Licenza di Gestione Client (Client ML) per</w:t>
            </w:r>
            <w:r>
              <w:rPr>
                <w:rFonts w:ascii="Tahoma" w:hAnsi="Tahoma" w:cs="Tahoma"/>
                <w:sz w:val="14"/>
                <w:lang w:val="it-IT"/>
              </w:rPr>
              <w:t> </w:t>
            </w:r>
            <w:r w:rsidRPr="00D87B79">
              <w:rPr>
                <w:rFonts w:ascii="Tahoma" w:hAnsi="Tahoma" w:cs="Tahoma"/>
                <w:sz w:val="14"/>
                <w:lang w:val="it-IT"/>
              </w:rPr>
              <w:t>System Center 2012 Configuration Manager (Solo Studenti)</w:t>
            </w:r>
            <w:bookmarkEnd w:id="518"/>
          </w:p>
        </w:tc>
        <w:tc>
          <w:tcPr>
            <w:tcW w:w="450" w:type="dxa"/>
            <w:shd w:val="clear" w:color="auto" w:fill="FABF8F"/>
            <w:vAlign w:val="center"/>
          </w:tcPr>
          <w:p w:rsidR="00A92422" w:rsidRPr="001E1017" w:rsidRDefault="00A92422" w:rsidP="00EA30FC">
            <w:pPr>
              <w:pStyle w:val="TableText"/>
              <w:widowControl w:val="0"/>
              <w:spacing w:before="240"/>
              <w:rPr>
                <w:rFonts w:cs="Tahoma"/>
                <w:b/>
                <w:color w:val="000000"/>
                <w:sz w:val="13"/>
                <w:szCs w:val="13"/>
                <w:u w:val="single"/>
              </w:rPr>
            </w:pPr>
            <w:hyperlink w:anchor="Srv_101SystemCenter2012" w:history="1">
              <w:r w:rsidRPr="001E1017">
                <w:rPr>
                  <w:rStyle w:val="Hyperlink"/>
                  <w:rFonts w:cs="Tahoma"/>
                  <w:b/>
                  <w:sz w:val="13"/>
                  <w:szCs w:val="13"/>
                </w:rPr>
                <w:t>90</w:t>
              </w:r>
            </w:hyperlink>
          </w:p>
        </w:tc>
        <w:tc>
          <w:tcPr>
            <w:tcW w:w="450" w:type="dxa"/>
            <w:shd w:val="clear" w:color="auto" w:fill="FABF8F"/>
          </w:tcPr>
          <w:p w:rsidR="00A92422" w:rsidRPr="00D87B79" w:rsidRDefault="00A92422" w:rsidP="00EA30FC">
            <w:pPr>
              <w:pStyle w:val="TableText"/>
              <w:widowControl w:val="0"/>
              <w:spacing w:before="240"/>
              <w:rPr>
                <w:rFonts w:ascii="Tahoma" w:hAnsi="Tahoma" w:cs="Tahoma"/>
                <w:sz w:val="13"/>
              </w:rPr>
            </w:pPr>
            <w:r w:rsidRPr="00D87B79">
              <w:rPr>
                <w:rFonts w:ascii="Tahoma" w:hAnsi="Tahoma" w:cs="Tahoma"/>
                <w:sz w:val="13"/>
              </w:rPr>
              <w:t>04/12</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color w:val="000000"/>
                <w:sz w:val="13"/>
                <w:lang w:val="it-IT"/>
              </w:rPr>
              <w:t>SRV</w:t>
            </w:r>
          </w:p>
        </w:tc>
        <w:tc>
          <w:tcPr>
            <w:tcW w:w="360" w:type="dxa"/>
            <w:tcBorders>
              <w:left w:val="single" w:sz="18" w:space="0" w:color="auto"/>
            </w:tcBorders>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p>
        </w:tc>
        <w:tc>
          <w:tcPr>
            <w:tcW w:w="450" w:type="dxa"/>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2</w:t>
            </w:r>
          </w:p>
        </w:tc>
        <w:tc>
          <w:tcPr>
            <w:tcW w:w="450" w:type="dxa"/>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2</w:t>
            </w:r>
          </w:p>
        </w:tc>
        <w:tc>
          <w:tcPr>
            <w:tcW w:w="450" w:type="dxa"/>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2</w:t>
            </w:r>
          </w:p>
        </w:tc>
        <w:tc>
          <w:tcPr>
            <w:tcW w:w="450" w:type="dxa"/>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1</w:t>
            </w:r>
          </w:p>
        </w:tc>
        <w:tc>
          <w:tcPr>
            <w:tcW w:w="450" w:type="dxa"/>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1</w:t>
            </w:r>
          </w:p>
        </w:tc>
        <w:tc>
          <w:tcPr>
            <w:tcW w:w="360" w:type="dxa"/>
            <w:tcBorders>
              <w:right w:val="single" w:sz="18" w:space="0" w:color="auto"/>
            </w:tcBorders>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szCs w:val="13"/>
              </w:rPr>
              <w:t> </w:t>
            </w:r>
          </w:p>
        </w:tc>
        <w:tc>
          <w:tcPr>
            <w:tcW w:w="450" w:type="dxa"/>
            <w:tcBorders>
              <w:left w:val="single" w:sz="18" w:space="0" w:color="auto"/>
            </w:tcBorders>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p>
        </w:tc>
        <w:tc>
          <w:tcPr>
            <w:tcW w:w="450" w:type="dxa"/>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1</w:t>
            </w:r>
          </w:p>
        </w:tc>
        <w:tc>
          <w:tcPr>
            <w:tcW w:w="450" w:type="dxa"/>
            <w:tcBorders>
              <w:right w:val="single" w:sz="18" w:space="0" w:color="auto"/>
            </w:tcBorders>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3</w:t>
            </w:r>
          </w:p>
        </w:tc>
        <w:tc>
          <w:tcPr>
            <w:tcW w:w="450" w:type="dxa"/>
            <w:tcBorders>
              <w:left w:val="single" w:sz="18" w:space="0" w:color="auto"/>
            </w:tcBorders>
            <w:shd w:val="clear" w:color="auto" w:fill="FABF8F"/>
            <w:vAlign w:val="bottom"/>
          </w:tcPr>
          <w:p w:rsidR="00A92422" w:rsidRPr="00D87B79" w:rsidRDefault="00A92422" w:rsidP="00EA30FC">
            <w:pPr>
              <w:pStyle w:val="TableText"/>
              <w:widowControl w:val="0"/>
              <w:rPr>
                <w:rFonts w:ascii="Tahoma" w:hAnsi="Tahoma" w:cs="Tahoma"/>
                <w:sz w:val="13"/>
                <w:szCs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tcPr>
          <w:p w:rsidR="00A92422" w:rsidRPr="00D87B79" w:rsidRDefault="00A92422" w:rsidP="00EA30FC">
            <w:pPr>
              <w:pStyle w:val="TableText"/>
              <w:widowControl w:val="0"/>
              <w:rPr>
                <w:rFonts w:ascii="Tahoma" w:hAnsi="Tahoma" w:cs="Tahoma"/>
                <w:sz w:val="13"/>
              </w:rPr>
            </w:pP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34"/>
        </w:trPr>
        <w:tc>
          <w:tcPr>
            <w:tcW w:w="2714" w:type="dxa"/>
            <w:vAlign w:val="center"/>
          </w:tcPr>
          <w:p w:rsidR="00A92422" w:rsidRPr="00D87B79" w:rsidRDefault="00A92422" w:rsidP="00EA30FC">
            <w:pPr>
              <w:pStyle w:val="ProductNames"/>
              <w:spacing w:beforeLines="20" w:before="48" w:afterLines="20" w:after="48"/>
              <w:rPr>
                <w:rFonts w:ascii="Tahoma" w:hAnsi="Tahoma" w:cs="Tahoma"/>
                <w:sz w:val="14"/>
              </w:rPr>
            </w:pPr>
            <w:bookmarkStart w:id="519" w:name="_Toc336338096"/>
            <w:bookmarkStart w:id="520" w:name="_Toc342900144"/>
            <w:bookmarkEnd w:id="519"/>
            <w:r w:rsidRPr="00D87B79">
              <w:rPr>
                <w:rFonts w:ascii="Tahoma" w:hAnsi="Tahoma" w:cs="Tahoma"/>
                <w:sz w:val="14"/>
                <w:lang w:val="it-IT"/>
              </w:rPr>
              <w:t>Licenza di Gestione Client per OSE per</w:t>
            </w:r>
            <w:r>
              <w:rPr>
                <w:rFonts w:ascii="Tahoma" w:hAnsi="Tahoma" w:cs="Tahoma"/>
                <w:sz w:val="14"/>
                <w:lang w:val="it-IT"/>
              </w:rPr>
              <w:t> </w:t>
            </w:r>
            <w:r w:rsidRPr="00D87B79">
              <w:rPr>
                <w:rFonts w:ascii="Tahoma" w:hAnsi="Tahoma" w:cs="Tahoma"/>
                <w:sz w:val="14"/>
                <w:lang w:val="it-IT"/>
              </w:rPr>
              <w:t>System Center 2012 Configuration</w:t>
            </w:r>
            <w:r>
              <w:rPr>
                <w:rFonts w:ascii="Tahoma" w:hAnsi="Tahoma" w:cs="Tahoma"/>
                <w:sz w:val="14"/>
                <w:lang w:val="it-IT"/>
              </w:rPr>
              <w:t> </w:t>
            </w:r>
            <w:r w:rsidRPr="00D87B79">
              <w:rPr>
                <w:rFonts w:ascii="Tahoma" w:hAnsi="Tahoma" w:cs="Tahoma"/>
                <w:sz w:val="14"/>
                <w:lang w:val="it-IT"/>
              </w:rPr>
              <w:t>Manager</w:t>
            </w:r>
            <w:bookmarkEnd w:id="520"/>
          </w:p>
        </w:tc>
        <w:tc>
          <w:tcPr>
            <w:tcW w:w="450" w:type="dxa"/>
            <w:vAlign w:val="center"/>
          </w:tcPr>
          <w:p w:rsidR="00A92422" w:rsidRPr="001E1017" w:rsidRDefault="00A92422" w:rsidP="00EA30FC">
            <w:pPr>
              <w:pStyle w:val="TableText"/>
              <w:widowControl w:val="0"/>
              <w:spacing w:before="240"/>
              <w:rPr>
                <w:rFonts w:cs="Tahoma"/>
                <w:b/>
                <w:color w:val="000000"/>
                <w:sz w:val="13"/>
                <w:szCs w:val="13"/>
                <w:u w:val="single"/>
              </w:rPr>
            </w:pPr>
            <w:hyperlink w:anchor="Srv_101SystemCenter2012" w:history="1">
              <w:r w:rsidRPr="001E1017">
                <w:rPr>
                  <w:rStyle w:val="Hyperlink"/>
                  <w:rFonts w:cs="Tahoma"/>
                  <w:b/>
                  <w:sz w:val="13"/>
                  <w:szCs w:val="13"/>
                </w:rPr>
                <w:t>90</w:t>
              </w:r>
            </w:hyperlink>
          </w:p>
        </w:tc>
        <w:tc>
          <w:tcPr>
            <w:tcW w:w="450" w:type="dxa"/>
          </w:tcPr>
          <w:p w:rsidR="00A92422" w:rsidRPr="00D87B79" w:rsidRDefault="00A92422" w:rsidP="00EA30FC">
            <w:pPr>
              <w:pStyle w:val="TableText"/>
              <w:widowControl w:val="0"/>
              <w:spacing w:before="240"/>
              <w:rPr>
                <w:rFonts w:ascii="Tahoma" w:hAnsi="Tahoma" w:cs="Tahoma"/>
                <w:sz w:val="13"/>
              </w:rPr>
            </w:pPr>
            <w:r w:rsidRPr="00D87B79">
              <w:rPr>
                <w:rFonts w:ascii="Tahoma" w:hAnsi="Tahoma" w:cs="Tahoma"/>
                <w:sz w:val="13"/>
              </w:rPr>
              <w:t>04/12</w:t>
            </w:r>
          </w:p>
        </w:tc>
        <w:tc>
          <w:tcPr>
            <w:tcW w:w="360"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color w:val="000000"/>
                <w:sz w:val="13"/>
                <w:lang w:val="it-IT"/>
              </w:rPr>
              <w:t>SRV</w:t>
            </w:r>
          </w:p>
        </w:tc>
        <w:tc>
          <w:tcPr>
            <w:tcW w:w="360" w:type="dxa"/>
            <w:tcBorders>
              <w:left w:val="single" w:sz="18" w:space="0" w:color="auto"/>
            </w:tcBorders>
            <w:vAlign w:val="bottom"/>
          </w:tcPr>
          <w:p w:rsidR="00A92422" w:rsidRPr="00D87B79" w:rsidRDefault="00A92422" w:rsidP="00EA30FC">
            <w:pPr>
              <w:pStyle w:val="TableText"/>
              <w:widowControl w:val="0"/>
              <w:spacing w:after="120"/>
              <w:rPr>
                <w:rFonts w:ascii="Tahoma" w:hAnsi="Tahoma" w:cs="Tahoma"/>
                <w:sz w:val="13"/>
                <w:szCs w:val="13"/>
              </w:rPr>
            </w:pPr>
          </w:p>
        </w:tc>
        <w:tc>
          <w:tcPr>
            <w:tcW w:w="450" w:type="dxa"/>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3</w:t>
            </w:r>
          </w:p>
        </w:tc>
        <w:tc>
          <w:tcPr>
            <w:tcW w:w="450" w:type="dxa"/>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2</w:t>
            </w:r>
          </w:p>
        </w:tc>
        <w:tc>
          <w:tcPr>
            <w:tcW w:w="450" w:type="dxa"/>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2</w:t>
            </w:r>
          </w:p>
        </w:tc>
        <w:tc>
          <w:tcPr>
            <w:tcW w:w="450" w:type="dxa"/>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2</w:t>
            </w:r>
          </w:p>
        </w:tc>
        <w:tc>
          <w:tcPr>
            <w:tcW w:w="450" w:type="dxa"/>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1</w:t>
            </w:r>
          </w:p>
        </w:tc>
        <w:tc>
          <w:tcPr>
            <w:tcW w:w="360" w:type="dxa"/>
            <w:tcBorders>
              <w:right w:val="single" w:sz="18" w:space="0" w:color="auto"/>
            </w:tcBorders>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1</w:t>
            </w:r>
          </w:p>
        </w:tc>
        <w:tc>
          <w:tcPr>
            <w:tcW w:w="450" w:type="dxa"/>
            <w:tcBorders>
              <w:left w:val="single" w:sz="18" w:space="0" w:color="auto"/>
            </w:tcBorders>
            <w:vAlign w:val="bottom"/>
          </w:tcPr>
          <w:p w:rsidR="00A92422" w:rsidRPr="00D87B79" w:rsidRDefault="00A92422" w:rsidP="00EA30FC">
            <w:pPr>
              <w:pStyle w:val="TableText"/>
              <w:widowControl w:val="0"/>
              <w:spacing w:after="120"/>
              <w:rPr>
                <w:rFonts w:ascii="Tahoma" w:hAnsi="Tahoma" w:cs="Tahoma"/>
                <w:sz w:val="13"/>
                <w:szCs w:val="13"/>
              </w:rPr>
            </w:pPr>
          </w:p>
        </w:tc>
        <w:tc>
          <w:tcPr>
            <w:tcW w:w="450" w:type="dxa"/>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2</w:t>
            </w:r>
          </w:p>
        </w:tc>
        <w:tc>
          <w:tcPr>
            <w:tcW w:w="450" w:type="dxa"/>
            <w:tcBorders>
              <w:right w:val="single" w:sz="18" w:space="0" w:color="auto"/>
            </w:tcBorders>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1</w:t>
            </w:r>
          </w:p>
        </w:tc>
        <w:tc>
          <w:tcPr>
            <w:tcW w:w="450" w:type="dxa"/>
            <w:tcBorders>
              <w:left w:val="single" w:sz="18" w:space="0" w:color="auto"/>
            </w:tcBorders>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504" w:type="dxa"/>
          </w:tcPr>
          <w:p w:rsidR="00A92422" w:rsidRPr="00D87B79" w:rsidRDefault="00A92422" w:rsidP="00EA30FC">
            <w:pPr>
              <w:pStyle w:val="TableText"/>
              <w:widowControl w:val="0"/>
              <w:spacing w:before="240"/>
              <w:rPr>
                <w:rFonts w:ascii="Tahoma" w:hAnsi="Tahoma" w:cs="Tahoma"/>
                <w:sz w:val="13"/>
              </w:rPr>
            </w:pPr>
          </w:p>
        </w:tc>
        <w:tc>
          <w:tcPr>
            <w:tcW w:w="486" w:type="dxa"/>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34"/>
        </w:trPr>
        <w:tc>
          <w:tcPr>
            <w:tcW w:w="2714" w:type="dxa"/>
            <w:shd w:val="clear" w:color="auto" w:fill="FABF8F"/>
            <w:vAlign w:val="center"/>
          </w:tcPr>
          <w:p w:rsidR="00A92422" w:rsidRPr="00D87B79" w:rsidRDefault="00A92422" w:rsidP="00EA30FC">
            <w:pPr>
              <w:pStyle w:val="ProductNames"/>
              <w:spacing w:beforeLines="20" w:before="48" w:afterLines="20" w:after="48"/>
              <w:rPr>
                <w:rFonts w:ascii="Tahoma" w:hAnsi="Tahoma" w:cs="Tahoma"/>
                <w:sz w:val="14"/>
              </w:rPr>
            </w:pPr>
            <w:bookmarkStart w:id="521" w:name="_Toc336338097"/>
            <w:bookmarkStart w:id="522" w:name="_Toc342900145"/>
            <w:bookmarkEnd w:id="521"/>
            <w:r w:rsidRPr="00D87B79">
              <w:rPr>
                <w:rFonts w:ascii="Tahoma" w:hAnsi="Tahoma" w:cs="Tahoma"/>
                <w:sz w:val="14"/>
                <w:lang w:val="it-IT"/>
              </w:rPr>
              <w:t>Licenza di Gestione Client per Utente per</w:t>
            </w:r>
            <w:r>
              <w:rPr>
                <w:rFonts w:ascii="Tahoma" w:hAnsi="Tahoma" w:cs="Tahoma"/>
                <w:sz w:val="14"/>
                <w:lang w:val="it-IT"/>
              </w:rPr>
              <w:t> </w:t>
            </w:r>
            <w:r w:rsidRPr="00D87B79">
              <w:rPr>
                <w:rFonts w:ascii="Tahoma" w:hAnsi="Tahoma" w:cs="Tahoma"/>
                <w:sz w:val="14"/>
                <w:lang w:val="it-IT"/>
              </w:rPr>
              <w:t>System Center 2012 Configuration</w:t>
            </w:r>
            <w:r>
              <w:rPr>
                <w:rFonts w:ascii="Tahoma" w:hAnsi="Tahoma" w:cs="Tahoma"/>
                <w:sz w:val="14"/>
                <w:lang w:val="it-IT"/>
              </w:rPr>
              <w:t> </w:t>
            </w:r>
            <w:r w:rsidRPr="00D87B79">
              <w:rPr>
                <w:rFonts w:ascii="Tahoma" w:hAnsi="Tahoma" w:cs="Tahoma"/>
                <w:sz w:val="14"/>
                <w:lang w:val="it-IT"/>
              </w:rPr>
              <w:t>Manager</w:t>
            </w:r>
            <w:bookmarkEnd w:id="522"/>
          </w:p>
        </w:tc>
        <w:tc>
          <w:tcPr>
            <w:tcW w:w="450" w:type="dxa"/>
            <w:shd w:val="clear" w:color="auto" w:fill="FABF8F"/>
            <w:vAlign w:val="center"/>
          </w:tcPr>
          <w:p w:rsidR="00A92422" w:rsidRPr="001E1017" w:rsidRDefault="00A92422" w:rsidP="00EA30FC">
            <w:pPr>
              <w:pStyle w:val="TableText"/>
              <w:widowControl w:val="0"/>
              <w:spacing w:before="240"/>
              <w:rPr>
                <w:rFonts w:cs="Tahoma"/>
                <w:b/>
                <w:color w:val="000000"/>
                <w:sz w:val="13"/>
                <w:szCs w:val="13"/>
                <w:u w:val="single"/>
              </w:rPr>
            </w:pPr>
            <w:hyperlink w:anchor="Srv_101SystemCenter2012" w:history="1">
              <w:r w:rsidRPr="001E1017">
                <w:rPr>
                  <w:rStyle w:val="Hyperlink"/>
                  <w:rFonts w:cs="Tahoma"/>
                  <w:b/>
                  <w:sz w:val="13"/>
                  <w:szCs w:val="13"/>
                </w:rPr>
                <w:t>90</w:t>
              </w:r>
            </w:hyperlink>
          </w:p>
        </w:tc>
        <w:tc>
          <w:tcPr>
            <w:tcW w:w="450" w:type="dxa"/>
            <w:shd w:val="clear" w:color="auto" w:fill="FABF8F"/>
          </w:tcPr>
          <w:p w:rsidR="00A92422" w:rsidRPr="00D87B79" w:rsidRDefault="00A92422" w:rsidP="00EA30FC">
            <w:pPr>
              <w:pStyle w:val="TableText"/>
              <w:widowControl w:val="0"/>
              <w:spacing w:before="240"/>
              <w:rPr>
                <w:rFonts w:ascii="Tahoma" w:hAnsi="Tahoma" w:cs="Tahoma"/>
                <w:sz w:val="13"/>
              </w:rPr>
            </w:pPr>
            <w:r w:rsidRPr="00D87B79">
              <w:rPr>
                <w:rFonts w:ascii="Tahoma" w:hAnsi="Tahoma" w:cs="Tahoma"/>
                <w:sz w:val="13"/>
              </w:rPr>
              <w:t>04/12</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color w:val="000000"/>
                <w:sz w:val="13"/>
                <w:lang w:val="it-IT"/>
              </w:rPr>
              <w:t>SRV</w:t>
            </w:r>
          </w:p>
        </w:tc>
        <w:tc>
          <w:tcPr>
            <w:tcW w:w="360" w:type="dxa"/>
            <w:tcBorders>
              <w:left w:val="single" w:sz="18" w:space="0" w:color="auto"/>
            </w:tcBorders>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p>
        </w:tc>
        <w:tc>
          <w:tcPr>
            <w:tcW w:w="450" w:type="dxa"/>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3</w:t>
            </w:r>
          </w:p>
        </w:tc>
        <w:tc>
          <w:tcPr>
            <w:tcW w:w="450" w:type="dxa"/>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2</w:t>
            </w:r>
          </w:p>
        </w:tc>
        <w:tc>
          <w:tcPr>
            <w:tcW w:w="450" w:type="dxa"/>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2</w:t>
            </w:r>
          </w:p>
        </w:tc>
        <w:tc>
          <w:tcPr>
            <w:tcW w:w="450" w:type="dxa"/>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2</w:t>
            </w:r>
          </w:p>
        </w:tc>
        <w:tc>
          <w:tcPr>
            <w:tcW w:w="450" w:type="dxa"/>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1</w:t>
            </w:r>
          </w:p>
        </w:tc>
        <w:tc>
          <w:tcPr>
            <w:tcW w:w="360" w:type="dxa"/>
            <w:tcBorders>
              <w:right w:val="single" w:sz="18" w:space="0" w:color="auto"/>
            </w:tcBorders>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1</w:t>
            </w:r>
          </w:p>
        </w:tc>
        <w:tc>
          <w:tcPr>
            <w:tcW w:w="450" w:type="dxa"/>
            <w:tcBorders>
              <w:left w:val="single" w:sz="18" w:space="0" w:color="auto"/>
            </w:tcBorders>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p>
        </w:tc>
        <w:tc>
          <w:tcPr>
            <w:tcW w:w="450" w:type="dxa"/>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2</w:t>
            </w:r>
          </w:p>
        </w:tc>
        <w:tc>
          <w:tcPr>
            <w:tcW w:w="450" w:type="dxa"/>
            <w:tcBorders>
              <w:right w:val="single" w:sz="18" w:space="0" w:color="auto"/>
            </w:tcBorders>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1</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 E</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ABF8F"/>
          </w:tcPr>
          <w:p w:rsidR="00A92422" w:rsidRPr="00D87B79" w:rsidRDefault="00A92422" w:rsidP="00EA30FC">
            <w:pPr>
              <w:pStyle w:val="TableText"/>
              <w:widowControl w:val="0"/>
              <w:spacing w:before="240"/>
              <w:rPr>
                <w:rFonts w:ascii="Tahoma" w:hAnsi="Tahoma" w:cs="Tahoma"/>
                <w:sz w:val="13"/>
              </w:rPr>
            </w:pPr>
            <w:r w:rsidRPr="00D87B79">
              <w:rPr>
                <w:rFonts w:ascii="Tahoma" w:hAnsi="Tahoma" w:cs="Tahoma"/>
                <w:sz w:val="13"/>
                <w:lang w:val="it-IT"/>
              </w:rPr>
              <w:t>AO, ST</w:t>
            </w: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34"/>
        </w:trPr>
        <w:tc>
          <w:tcPr>
            <w:tcW w:w="2714" w:type="dxa"/>
            <w:shd w:val="clear" w:color="auto" w:fill="FABF8F"/>
          </w:tcPr>
          <w:p w:rsidR="00A92422" w:rsidRPr="00D87B79" w:rsidRDefault="00A92422" w:rsidP="00EA30FC">
            <w:pPr>
              <w:pStyle w:val="ProductNames"/>
              <w:spacing w:beforeLines="20" w:before="48" w:afterLines="20" w:after="48"/>
              <w:rPr>
                <w:rFonts w:ascii="Tahoma" w:hAnsi="Tahoma" w:cs="Tahoma"/>
                <w:sz w:val="14"/>
              </w:rPr>
            </w:pPr>
            <w:bookmarkStart w:id="523" w:name="_Toc336338098"/>
            <w:bookmarkStart w:id="524" w:name="_Toc342900146"/>
            <w:bookmarkEnd w:id="523"/>
            <w:r w:rsidRPr="00D87B79">
              <w:rPr>
                <w:rFonts w:ascii="Tahoma" w:hAnsi="Tahoma" w:cs="Tahoma"/>
                <w:sz w:val="14"/>
                <w:lang w:val="it-IT"/>
              </w:rPr>
              <w:lastRenderedPageBreak/>
              <w:t>Licenza di Gestione Server per System Center2012 Datacenter (2 processori)</w:t>
            </w:r>
            <w:bookmarkEnd w:id="524"/>
          </w:p>
        </w:tc>
        <w:tc>
          <w:tcPr>
            <w:tcW w:w="450" w:type="dxa"/>
            <w:shd w:val="clear" w:color="auto" w:fill="FABF8F"/>
            <w:vAlign w:val="center"/>
          </w:tcPr>
          <w:p w:rsidR="00A92422" w:rsidRPr="001E1017" w:rsidRDefault="00A92422" w:rsidP="00EA30FC">
            <w:pPr>
              <w:pStyle w:val="TableText"/>
              <w:widowControl w:val="0"/>
              <w:spacing w:before="240"/>
              <w:rPr>
                <w:rFonts w:cs="Tahoma"/>
                <w:b/>
                <w:color w:val="000000"/>
                <w:sz w:val="13"/>
                <w:szCs w:val="13"/>
                <w:u w:val="single"/>
              </w:rPr>
            </w:pPr>
            <w:hyperlink w:anchor="Srv_101SystemCenter2012" w:history="1">
              <w:r w:rsidRPr="001E1017">
                <w:rPr>
                  <w:rStyle w:val="Hyperlink"/>
                  <w:rFonts w:cs="Tahoma"/>
                  <w:b/>
                  <w:sz w:val="13"/>
                  <w:szCs w:val="13"/>
                </w:rPr>
                <w:t>90</w:t>
              </w:r>
            </w:hyperlink>
          </w:p>
        </w:tc>
        <w:tc>
          <w:tcPr>
            <w:tcW w:w="450" w:type="dxa"/>
            <w:shd w:val="clear" w:color="auto" w:fill="FABF8F"/>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rPr>
              <w:t>04/12</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color w:val="000000"/>
                <w:sz w:val="13"/>
                <w:lang w:val="it-IT"/>
              </w:rPr>
              <w:t>SRV</w:t>
            </w:r>
          </w:p>
        </w:tc>
        <w:tc>
          <w:tcPr>
            <w:tcW w:w="360" w:type="dxa"/>
            <w:tcBorders>
              <w:left w:val="single" w:sz="18" w:space="0" w:color="auto"/>
            </w:tcBorders>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p>
        </w:tc>
        <w:tc>
          <w:tcPr>
            <w:tcW w:w="450" w:type="dxa"/>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63</w:t>
            </w:r>
          </w:p>
        </w:tc>
        <w:tc>
          <w:tcPr>
            <w:tcW w:w="450" w:type="dxa"/>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50</w:t>
            </w:r>
          </w:p>
        </w:tc>
        <w:tc>
          <w:tcPr>
            <w:tcW w:w="450" w:type="dxa"/>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38</w:t>
            </w:r>
          </w:p>
        </w:tc>
        <w:tc>
          <w:tcPr>
            <w:tcW w:w="450" w:type="dxa"/>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38</w:t>
            </w:r>
          </w:p>
        </w:tc>
        <w:tc>
          <w:tcPr>
            <w:tcW w:w="450" w:type="dxa"/>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25</w:t>
            </w:r>
          </w:p>
        </w:tc>
        <w:tc>
          <w:tcPr>
            <w:tcW w:w="360" w:type="dxa"/>
            <w:tcBorders>
              <w:right w:val="single" w:sz="18" w:space="0" w:color="auto"/>
            </w:tcBorders>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13</w:t>
            </w:r>
          </w:p>
        </w:tc>
        <w:tc>
          <w:tcPr>
            <w:tcW w:w="450" w:type="dxa"/>
            <w:tcBorders>
              <w:left w:val="single" w:sz="18" w:space="0" w:color="auto"/>
            </w:tcBorders>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p>
        </w:tc>
        <w:tc>
          <w:tcPr>
            <w:tcW w:w="450" w:type="dxa"/>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50</w:t>
            </w:r>
          </w:p>
        </w:tc>
        <w:tc>
          <w:tcPr>
            <w:tcW w:w="450" w:type="dxa"/>
            <w:tcBorders>
              <w:right w:val="single" w:sz="18" w:space="0" w:color="auto"/>
            </w:tcBorders>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25</w:t>
            </w:r>
          </w:p>
        </w:tc>
        <w:tc>
          <w:tcPr>
            <w:tcW w:w="450" w:type="dxa"/>
            <w:tcBorders>
              <w:left w:val="single" w:sz="18" w:space="0" w:color="auto"/>
            </w:tcBorders>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25</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ABF8F"/>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lang w:val="it-IT"/>
              </w:rPr>
              <w:t>A</w:t>
            </w: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r>
              <w:rPr>
                <w:rFonts w:ascii="Tahoma" w:hAnsi="Tahoma" w:cs="Tahoma"/>
                <w:sz w:val="13"/>
                <w:lang w:val="it-IT"/>
              </w:rPr>
              <w:t>OL/</w:t>
            </w:r>
            <w:r w:rsidRPr="00D87B79">
              <w:rPr>
                <w:rFonts w:ascii="Tahoma" w:hAnsi="Tahoma" w:cs="Tahoma"/>
                <w:sz w:val="13"/>
                <w:lang w:val="it-IT"/>
              </w:rPr>
              <w:t>OV</w:t>
            </w:r>
          </w:p>
        </w:tc>
      </w:tr>
      <w:tr w:rsidR="00A92422" w:rsidRPr="00D87B79" w:rsidTr="00EA30FC">
        <w:trPr>
          <w:trHeight w:val="134"/>
        </w:trPr>
        <w:tc>
          <w:tcPr>
            <w:tcW w:w="2714" w:type="dxa"/>
            <w:shd w:val="clear" w:color="auto" w:fill="FFFFFF"/>
          </w:tcPr>
          <w:p w:rsidR="00A92422" w:rsidRPr="00D87B79" w:rsidRDefault="00A92422" w:rsidP="00EA30FC">
            <w:pPr>
              <w:pStyle w:val="ProductNames"/>
              <w:spacing w:beforeLines="20" w:before="48" w:afterLines="20" w:after="48"/>
              <w:rPr>
                <w:rFonts w:ascii="Tahoma" w:hAnsi="Tahoma" w:cs="Tahoma"/>
                <w:sz w:val="14"/>
              </w:rPr>
            </w:pPr>
            <w:bookmarkStart w:id="525" w:name="_Toc336338099"/>
            <w:bookmarkStart w:id="526" w:name="_Toc342900147"/>
            <w:bookmarkEnd w:id="525"/>
            <w:r w:rsidRPr="00D87B79">
              <w:rPr>
                <w:rFonts w:ascii="Tahoma" w:hAnsi="Tahoma" w:cs="Tahoma"/>
                <w:sz w:val="14"/>
                <w:lang w:val="it-IT"/>
              </w:rPr>
              <w:t>System Center 2012 Endpoint Protection</w:t>
            </w:r>
            <w:bookmarkEnd w:id="526"/>
          </w:p>
        </w:tc>
        <w:tc>
          <w:tcPr>
            <w:tcW w:w="450" w:type="dxa"/>
            <w:shd w:val="clear" w:color="auto" w:fill="FFFFFF"/>
            <w:vAlign w:val="center"/>
          </w:tcPr>
          <w:p w:rsidR="00A92422" w:rsidRPr="001E1017" w:rsidRDefault="00A92422" w:rsidP="00EA30FC">
            <w:pPr>
              <w:pStyle w:val="TableText"/>
              <w:widowControl w:val="0"/>
              <w:spacing w:before="240"/>
              <w:rPr>
                <w:rFonts w:cs="Tahoma"/>
                <w:b/>
                <w:color w:val="000000"/>
                <w:sz w:val="13"/>
                <w:szCs w:val="13"/>
                <w:u w:val="single"/>
              </w:rPr>
            </w:pPr>
            <w:hyperlink w:anchor="_103_System_Center" w:history="1">
              <w:r w:rsidRPr="001E1017">
                <w:rPr>
                  <w:rStyle w:val="Hyperlink"/>
                  <w:rFonts w:cs="Tahoma"/>
                  <w:b/>
                  <w:sz w:val="13"/>
                  <w:szCs w:val="13"/>
                </w:rPr>
                <w:t>91</w:t>
              </w:r>
            </w:hyperlink>
          </w:p>
        </w:tc>
        <w:tc>
          <w:tcPr>
            <w:tcW w:w="450" w:type="dxa"/>
            <w:shd w:val="clear" w:color="auto" w:fill="FFFFFF"/>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rPr>
              <w:t>04/12</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2970" w:type="dxa"/>
            <w:gridSpan w:val="7"/>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1 punto</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r w:rsidRPr="00D87B79">
              <w:rPr>
                <w:rFonts w:ascii="Tahoma" w:hAnsi="Tahoma" w:cs="Tahoma"/>
              </w:rPr>
              <w:t xml:space="preserve"> </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FFFFF"/>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lang w:val="it-IT"/>
              </w:rPr>
              <w:t>AO, ST</w:t>
            </w:r>
          </w:p>
        </w:tc>
        <w:tc>
          <w:tcPr>
            <w:tcW w:w="486" w:type="dxa"/>
            <w:shd w:val="clear" w:color="auto" w:fill="FFFFF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34"/>
        </w:trPr>
        <w:tc>
          <w:tcPr>
            <w:tcW w:w="2714" w:type="dxa"/>
            <w:shd w:val="clear" w:color="auto" w:fill="FABF8F"/>
          </w:tcPr>
          <w:p w:rsidR="00A92422" w:rsidRPr="00D87B79" w:rsidRDefault="00A92422" w:rsidP="00EA30FC">
            <w:pPr>
              <w:pStyle w:val="ProductNames"/>
              <w:spacing w:beforeLines="20" w:before="48" w:afterLines="20" w:after="48"/>
              <w:rPr>
                <w:rFonts w:ascii="Tahoma" w:hAnsi="Tahoma" w:cs="Tahoma"/>
                <w:sz w:val="14"/>
              </w:rPr>
            </w:pPr>
            <w:bookmarkStart w:id="527" w:name="_Toc336338100"/>
            <w:bookmarkStart w:id="528" w:name="_Toc342900148"/>
            <w:bookmarkEnd w:id="527"/>
            <w:r w:rsidRPr="00D87B79">
              <w:rPr>
                <w:rFonts w:ascii="Tahoma" w:hAnsi="Tahoma" w:cs="Tahoma"/>
                <w:sz w:val="14"/>
                <w:lang w:val="it-IT"/>
              </w:rPr>
              <w:t>Licenza di Gestione Server Standard per</w:t>
            </w:r>
            <w:r>
              <w:rPr>
                <w:rFonts w:ascii="Tahoma" w:hAnsi="Tahoma" w:cs="Tahoma"/>
                <w:sz w:val="14"/>
                <w:lang w:val="it-IT"/>
              </w:rPr>
              <w:t> </w:t>
            </w:r>
            <w:r w:rsidRPr="00D87B79">
              <w:rPr>
                <w:rFonts w:ascii="Tahoma" w:hAnsi="Tahoma" w:cs="Tahoma"/>
                <w:sz w:val="14"/>
                <w:lang w:val="it-IT"/>
              </w:rPr>
              <w:t>System Center 2012 (2 processori)</w:t>
            </w:r>
            <w:bookmarkEnd w:id="528"/>
          </w:p>
        </w:tc>
        <w:tc>
          <w:tcPr>
            <w:tcW w:w="450" w:type="dxa"/>
            <w:shd w:val="clear" w:color="auto" w:fill="FABF8F"/>
            <w:vAlign w:val="center"/>
          </w:tcPr>
          <w:p w:rsidR="00A92422" w:rsidRPr="001E1017" w:rsidRDefault="00A92422" w:rsidP="00EA30FC">
            <w:pPr>
              <w:pStyle w:val="TableText"/>
              <w:widowControl w:val="0"/>
              <w:spacing w:before="240"/>
              <w:rPr>
                <w:rFonts w:cs="Tahoma"/>
                <w:b/>
                <w:color w:val="000000"/>
                <w:sz w:val="13"/>
                <w:szCs w:val="13"/>
                <w:u w:val="single"/>
              </w:rPr>
            </w:pPr>
          </w:p>
        </w:tc>
        <w:tc>
          <w:tcPr>
            <w:tcW w:w="450" w:type="dxa"/>
            <w:shd w:val="clear" w:color="auto" w:fill="FABF8F"/>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rPr>
              <w:t>04/12</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color w:val="000000"/>
                <w:sz w:val="13"/>
                <w:lang w:val="it-IT"/>
              </w:rPr>
              <w:t>SRV</w:t>
            </w:r>
          </w:p>
        </w:tc>
        <w:tc>
          <w:tcPr>
            <w:tcW w:w="360" w:type="dxa"/>
            <w:tcBorders>
              <w:left w:val="single" w:sz="18" w:space="0" w:color="auto"/>
            </w:tcBorders>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p>
        </w:tc>
        <w:tc>
          <w:tcPr>
            <w:tcW w:w="450" w:type="dxa"/>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38</w:t>
            </w:r>
          </w:p>
        </w:tc>
        <w:tc>
          <w:tcPr>
            <w:tcW w:w="450" w:type="dxa"/>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30</w:t>
            </w:r>
          </w:p>
        </w:tc>
        <w:tc>
          <w:tcPr>
            <w:tcW w:w="450" w:type="dxa"/>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23</w:t>
            </w:r>
          </w:p>
        </w:tc>
        <w:tc>
          <w:tcPr>
            <w:tcW w:w="450" w:type="dxa"/>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23</w:t>
            </w:r>
          </w:p>
        </w:tc>
        <w:tc>
          <w:tcPr>
            <w:tcW w:w="450" w:type="dxa"/>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15</w:t>
            </w:r>
          </w:p>
        </w:tc>
        <w:tc>
          <w:tcPr>
            <w:tcW w:w="360" w:type="dxa"/>
            <w:tcBorders>
              <w:right w:val="single" w:sz="18" w:space="0" w:color="auto"/>
            </w:tcBorders>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8</w:t>
            </w:r>
          </w:p>
        </w:tc>
        <w:tc>
          <w:tcPr>
            <w:tcW w:w="450" w:type="dxa"/>
            <w:tcBorders>
              <w:left w:val="single" w:sz="18" w:space="0" w:color="auto"/>
            </w:tcBorders>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p>
        </w:tc>
        <w:tc>
          <w:tcPr>
            <w:tcW w:w="450" w:type="dxa"/>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30</w:t>
            </w:r>
          </w:p>
        </w:tc>
        <w:tc>
          <w:tcPr>
            <w:tcW w:w="450" w:type="dxa"/>
            <w:tcBorders>
              <w:right w:val="single" w:sz="18" w:space="0" w:color="auto"/>
            </w:tcBorders>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15</w:t>
            </w:r>
          </w:p>
        </w:tc>
        <w:tc>
          <w:tcPr>
            <w:tcW w:w="450" w:type="dxa"/>
            <w:tcBorders>
              <w:left w:val="single" w:sz="18" w:space="0" w:color="auto"/>
            </w:tcBorders>
            <w:shd w:val="clear" w:color="auto" w:fill="FABF8F"/>
            <w:vAlign w:val="bottom"/>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15</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ABF8F"/>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lang w:val="it-IT"/>
              </w:rPr>
              <w:t>A</w:t>
            </w: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r>
              <w:rPr>
                <w:rFonts w:ascii="Tahoma" w:hAnsi="Tahoma" w:cs="Tahoma"/>
                <w:sz w:val="13"/>
                <w:lang w:val="it-IT"/>
              </w:rPr>
              <w:t>OL/</w:t>
            </w:r>
            <w:r w:rsidRPr="00D87B79">
              <w:rPr>
                <w:rFonts w:ascii="Tahoma" w:hAnsi="Tahoma" w:cs="Tahoma"/>
                <w:sz w:val="13"/>
                <w:lang w:val="it-IT"/>
              </w:rPr>
              <w:t>OV</w:t>
            </w:r>
          </w:p>
        </w:tc>
      </w:tr>
      <w:tr w:rsidR="00A92422" w:rsidRPr="00D87B79" w:rsidTr="00EA30FC">
        <w:trPr>
          <w:trHeight w:val="134"/>
        </w:trPr>
        <w:tc>
          <w:tcPr>
            <w:tcW w:w="2714" w:type="dxa"/>
            <w:shd w:val="clear" w:color="auto" w:fill="FFFFFF"/>
          </w:tcPr>
          <w:p w:rsidR="00A92422" w:rsidRPr="00D87B79" w:rsidRDefault="00A92422" w:rsidP="00EA30FC">
            <w:pPr>
              <w:pStyle w:val="ProductNames"/>
              <w:spacing w:beforeLines="20" w:before="48" w:afterLines="20" w:after="48"/>
              <w:rPr>
                <w:rFonts w:ascii="Tahoma" w:hAnsi="Tahoma" w:cs="Tahoma"/>
                <w:sz w:val="14"/>
              </w:rPr>
            </w:pPr>
            <w:bookmarkStart w:id="529" w:name="_Toc336338101"/>
            <w:bookmarkStart w:id="530" w:name="_Toc342900149"/>
            <w:bookmarkEnd w:id="529"/>
            <w:r w:rsidRPr="00D87B79">
              <w:rPr>
                <w:rFonts w:ascii="Tahoma" w:hAnsi="Tahoma" w:cs="Tahoma"/>
                <w:sz w:val="14"/>
                <w:lang w:val="it-IT"/>
              </w:rPr>
              <w:t>TechNet Plus Single User</w:t>
            </w:r>
            <w:bookmarkEnd w:id="530"/>
          </w:p>
        </w:tc>
        <w:tc>
          <w:tcPr>
            <w:tcW w:w="450" w:type="dxa"/>
            <w:shd w:val="clear" w:color="auto" w:fill="FFFFFF"/>
            <w:vAlign w:val="center"/>
          </w:tcPr>
          <w:p w:rsidR="00A92422" w:rsidRPr="001E1017" w:rsidRDefault="00A92422" w:rsidP="00EA30FC">
            <w:pPr>
              <w:pStyle w:val="TableText"/>
              <w:widowControl w:val="0"/>
              <w:spacing w:before="240"/>
              <w:rPr>
                <w:rStyle w:val="EndnoteReference"/>
                <w:rFonts w:cs="Tahoma"/>
                <w:b w:val="0"/>
                <w:color w:val="000000"/>
                <w:sz w:val="13"/>
                <w:szCs w:val="13"/>
                <w:u w:val="single"/>
              </w:rPr>
            </w:pPr>
            <w:hyperlink w:anchor="_92_TechNet_Plus" w:history="1">
              <w:r w:rsidRPr="001E1017">
                <w:rPr>
                  <w:rStyle w:val="Hyperlink"/>
                  <w:rFonts w:cs="Tahoma"/>
                  <w:b/>
                  <w:sz w:val="13"/>
                  <w:szCs w:val="13"/>
                </w:rPr>
                <w:t>92</w:t>
              </w:r>
            </w:hyperlink>
          </w:p>
        </w:tc>
        <w:tc>
          <w:tcPr>
            <w:tcW w:w="450" w:type="dxa"/>
            <w:shd w:val="clear" w:color="auto" w:fill="FFFFFF"/>
          </w:tcPr>
          <w:p w:rsidR="00A92422" w:rsidRPr="00D87B79" w:rsidRDefault="00A92422" w:rsidP="00EA30FC">
            <w:pPr>
              <w:pStyle w:val="TableText"/>
              <w:widowControl w:val="0"/>
              <w:spacing w:before="80"/>
              <w:rPr>
                <w:rFonts w:ascii="Tahoma" w:hAnsi="Tahoma" w:cs="Tahoma"/>
                <w:sz w:val="13"/>
              </w:rPr>
            </w:pP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FFFFF"/>
          </w:tcPr>
          <w:p w:rsidR="00A92422" w:rsidRPr="00D87B79" w:rsidRDefault="00A92422" w:rsidP="00EA30FC">
            <w:pPr>
              <w:pStyle w:val="TableText"/>
              <w:widowControl w:val="0"/>
              <w:spacing w:before="120"/>
              <w:rPr>
                <w:rFonts w:ascii="Tahoma" w:hAnsi="Tahoma" w:cs="Tahoma"/>
                <w:sz w:val="13"/>
              </w:rPr>
            </w:pPr>
            <w:r w:rsidRPr="00D87B79">
              <w:rPr>
                <w:rFonts w:ascii="Tahoma" w:hAnsi="Tahoma" w:cs="Tahoma"/>
                <w:sz w:val="13"/>
                <w:lang w:val="it-IT"/>
              </w:rPr>
              <w:t>A</w:t>
            </w:r>
          </w:p>
        </w:tc>
        <w:tc>
          <w:tcPr>
            <w:tcW w:w="486"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OL</w:t>
            </w:r>
          </w:p>
        </w:tc>
      </w:tr>
      <w:tr w:rsidR="00A92422" w:rsidRPr="00D87B79" w:rsidTr="00EA30FC">
        <w:trPr>
          <w:trHeight w:val="145"/>
        </w:trPr>
        <w:tc>
          <w:tcPr>
            <w:tcW w:w="2714" w:type="dxa"/>
            <w:shd w:val="clear" w:color="auto" w:fill="FABF8F"/>
          </w:tcPr>
          <w:p w:rsidR="00A92422" w:rsidRPr="00D87B79" w:rsidRDefault="00A92422" w:rsidP="00EA30FC">
            <w:pPr>
              <w:pStyle w:val="Heading2"/>
              <w:spacing w:beforeLines="20" w:before="48" w:afterLines="20" w:after="48"/>
              <w:ind w:left="0"/>
              <w:rPr>
                <w:rFonts w:ascii="Tahoma" w:hAnsi="Tahoma" w:cs="Tahoma"/>
                <w:b w:val="0"/>
                <w:sz w:val="14"/>
                <w:szCs w:val="14"/>
              </w:rPr>
            </w:pPr>
            <w:bookmarkStart w:id="531" w:name="_Toc336338102"/>
            <w:bookmarkStart w:id="532" w:name="_Toc342900150"/>
            <w:bookmarkEnd w:id="531"/>
            <w:r w:rsidRPr="00D87B79">
              <w:rPr>
                <w:rFonts w:ascii="Tahoma" w:hAnsi="Tahoma" w:cs="Tahoma"/>
                <w:b w:val="0"/>
                <w:sz w:val="14"/>
                <w:szCs w:val="14"/>
                <w:lang w:val="it-IT"/>
              </w:rPr>
              <w:t>VDI Suite</w:t>
            </w:r>
            <w:bookmarkEnd w:id="532"/>
          </w:p>
        </w:tc>
        <w:tc>
          <w:tcPr>
            <w:tcW w:w="450" w:type="dxa"/>
            <w:shd w:val="clear" w:color="auto" w:fill="FABF8F"/>
            <w:vAlign w:val="center"/>
          </w:tcPr>
          <w:p w:rsidR="00A92422" w:rsidRPr="001E1017" w:rsidRDefault="00A92422" w:rsidP="00EA30FC">
            <w:pPr>
              <w:pStyle w:val="TableText"/>
              <w:widowControl w:val="0"/>
              <w:rPr>
                <w:rFonts w:cs="Tahoma"/>
                <w:b/>
                <w:sz w:val="13"/>
                <w:szCs w:val="13"/>
                <w:u w:val="single"/>
              </w:rPr>
            </w:pPr>
          </w:p>
        </w:tc>
        <w:tc>
          <w:tcPr>
            <w:tcW w:w="450" w:type="dxa"/>
            <w:shd w:val="clear" w:color="auto" w:fill="FABF8F"/>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04/12</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2970" w:type="dxa"/>
            <w:gridSpan w:val="7"/>
            <w:tcBorders>
              <w:left w:val="single" w:sz="18" w:space="0" w:color="auto"/>
              <w:right w:val="single" w:sz="18" w:space="0" w:color="auto"/>
            </w:tcBorders>
            <w:shd w:val="clear" w:color="auto" w:fill="FABF8F"/>
            <w:vAlign w:val="center"/>
          </w:tcPr>
          <w:p w:rsidR="00A92422" w:rsidRPr="00D87B79" w:rsidRDefault="00A92422" w:rsidP="00EA30FC">
            <w:pPr>
              <w:pStyle w:val="TableText"/>
              <w:rPr>
                <w:rFonts w:ascii="Tahoma" w:hAnsi="Tahoma" w:cs="Tahoma"/>
                <w:sz w:val="13"/>
                <w:szCs w:val="13"/>
              </w:rPr>
            </w:pPr>
            <w:r w:rsidRPr="00D87B79">
              <w:rPr>
                <w:rFonts w:ascii="Tahoma" w:hAnsi="Tahoma" w:cs="Tahoma"/>
                <w:sz w:val="13"/>
                <w:szCs w:val="13"/>
                <w:lang w:val="it-IT"/>
              </w:rPr>
              <w:t>1 punto</w:t>
            </w:r>
          </w:p>
        </w:tc>
        <w:tc>
          <w:tcPr>
            <w:tcW w:w="450" w:type="dxa"/>
            <w:tcBorders>
              <w:left w:val="single" w:sz="18" w:space="0" w:color="auto"/>
            </w:tcBorders>
            <w:shd w:val="clear" w:color="auto" w:fill="FABF8F"/>
            <w:vAlign w:val="center"/>
          </w:tcPr>
          <w:p w:rsidR="00A92422" w:rsidRPr="00D87B79" w:rsidRDefault="00A92422" w:rsidP="00EA30FC">
            <w:pPr>
              <w:pStyle w:val="TableText"/>
              <w:rPr>
                <w:rFonts w:ascii="Tahoma" w:hAnsi="Tahoma" w:cs="Tahoma"/>
                <w:sz w:val="13"/>
                <w:szCs w:val="13"/>
              </w:rPr>
            </w:pPr>
          </w:p>
        </w:tc>
        <w:tc>
          <w:tcPr>
            <w:tcW w:w="450" w:type="dxa"/>
            <w:shd w:val="clear" w:color="auto" w:fill="FABF8F"/>
            <w:vAlign w:val="center"/>
          </w:tcPr>
          <w:p w:rsidR="00A92422" w:rsidRPr="00D87B79" w:rsidRDefault="00A92422" w:rsidP="00EA30FC">
            <w:pPr>
              <w:pStyle w:val="TableText"/>
              <w:rPr>
                <w:rFonts w:ascii="Tahoma" w:hAnsi="Tahoma" w:cs="Tahoma"/>
                <w:sz w:val="13"/>
                <w:szCs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szCs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rPr>
                <w:rFonts w:ascii="Tahoma" w:hAnsi="Tahoma" w:cs="Tahoma"/>
                <w:sz w:val="13"/>
                <w:szCs w:val="13"/>
              </w:rPr>
            </w:pPr>
            <w:r w:rsidRPr="00D87B79">
              <w:rPr>
                <w:rFonts w:ascii="Tahoma" w:hAnsi="Tahoma" w:cs="Tahoma"/>
                <w:sz w:val="13"/>
                <w:szCs w:val="13"/>
              </w:rPr>
              <w:t>1</w:t>
            </w:r>
          </w:p>
        </w:tc>
        <w:tc>
          <w:tcPr>
            <w:tcW w:w="450" w:type="dxa"/>
            <w:tcBorders>
              <w:right w:val="single" w:sz="18" w:space="0" w:color="auto"/>
            </w:tcBorders>
            <w:shd w:val="clear" w:color="auto" w:fill="FABF8F"/>
            <w:vAlign w:val="center"/>
          </w:tcPr>
          <w:p w:rsidR="00A92422" w:rsidRPr="00D87B79" w:rsidRDefault="00A92422" w:rsidP="00EA30FC">
            <w:pPr>
              <w:pStyle w:val="TableText"/>
              <w:rPr>
                <w:rFonts w:ascii="Tahoma" w:hAnsi="Tahoma" w:cs="Tahoma"/>
                <w:sz w:val="13"/>
                <w:szCs w:val="13"/>
              </w:rPr>
            </w:pPr>
            <w:r w:rsidRPr="00D87B79">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rPr>
                <w:rFonts w:ascii="Tahoma" w:hAnsi="Tahoma" w:cs="Tahoma"/>
                <w:sz w:val="13"/>
                <w:szCs w:val="13"/>
              </w:rPr>
            </w:pPr>
            <w:r w:rsidRPr="00D87B79">
              <w:rPr>
                <w:rFonts w:ascii="Tahoma" w:hAnsi="Tahoma" w:cs="Tahoma"/>
                <w:sz w:val="13"/>
                <w:szCs w:val="13"/>
                <w:lang w:val="it-IT"/>
              </w:rPr>
              <w:t>P</w:t>
            </w:r>
          </w:p>
        </w:tc>
        <w:tc>
          <w:tcPr>
            <w:tcW w:w="504" w:type="dxa"/>
            <w:shd w:val="clear" w:color="auto" w:fill="FABF8F"/>
          </w:tcPr>
          <w:p w:rsidR="00A92422" w:rsidRPr="00D87B79" w:rsidRDefault="00A92422" w:rsidP="00EA30FC">
            <w:pPr>
              <w:pStyle w:val="TableText"/>
              <w:rPr>
                <w:rFonts w:ascii="Tahoma" w:hAnsi="Tahoma" w:cs="Tahoma"/>
                <w:sz w:val="13"/>
                <w:szCs w:val="13"/>
              </w:rPr>
            </w:pPr>
            <w:r w:rsidRPr="00D87B79">
              <w:rPr>
                <w:rFonts w:ascii="Tahoma" w:hAnsi="Tahoma" w:cs="Tahoma"/>
                <w:sz w:val="13"/>
                <w:szCs w:val="13"/>
                <w:lang w:val="it-IT"/>
              </w:rPr>
              <w:t>A, ST</w:t>
            </w: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215"/>
        </w:trPr>
        <w:tc>
          <w:tcPr>
            <w:tcW w:w="2714" w:type="dxa"/>
            <w:shd w:val="clear" w:color="auto" w:fill="FFFFFF"/>
          </w:tcPr>
          <w:p w:rsidR="00A92422" w:rsidRPr="00D87B79" w:rsidRDefault="00A92422" w:rsidP="00EA30FC">
            <w:pPr>
              <w:pStyle w:val="Heading2"/>
              <w:spacing w:beforeLines="20" w:before="48" w:afterLines="20" w:after="48"/>
              <w:ind w:left="0"/>
              <w:rPr>
                <w:rFonts w:ascii="Tahoma" w:hAnsi="Tahoma" w:cs="Tahoma"/>
                <w:b w:val="0"/>
                <w:sz w:val="14"/>
                <w:szCs w:val="14"/>
              </w:rPr>
            </w:pPr>
            <w:bookmarkStart w:id="533" w:name="_Toc336338103"/>
            <w:bookmarkStart w:id="534" w:name="_Toc342900151"/>
            <w:bookmarkEnd w:id="533"/>
            <w:r w:rsidRPr="00D87B79">
              <w:rPr>
                <w:rFonts w:ascii="Tahoma" w:hAnsi="Tahoma" w:cs="Tahoma"/>
                <w:b w:val="0"/>
                <w:sz w:val="14"/>
                <w:szCs w:val="14"/>
                <w:lang w:val="it-IT"/>
              </w:rPr>
              <w:t>VDI Suite con MDOP</w:t>
            </w:r>
            <w:bookmarkEnd w:id="534"/>
          </w:p>
        </w:tc>
        <w:tc>
          <w:tcPr>
            <w:tcW w:w="450" w:type="dxa"/>
            <w:shd w:val="clear" w:color="auto" w:fill="FFFFFF"/>
            <w:vAlign w:val="center"/>
          </w:tcPr>
          <w:p w:rsidR="00A92422" w:rsidRPr="001E1017" w:rsidRDefault="00A92422" w:rsidP="00EA30FC">
            <w:pPr>
              <w:pStyle w:val="TableText"/>
              <w:widowControl w:val="0"/>
              <w:rPr>
                <w:rFonts w:cs="Tahoma"/>
                <w:b/>
                <w:sz w:val="13"/>
                <w:szCs w:val="13"/>
                <w:u w:val="single"/>
              </w:rPr>
            </w:pPr>
          </w:p>
        </w:tc>
        <w:tc>
          <w:tcPr>
            <w:tcW w:w="450" w:type="dxa"/>
            <w:shd w:val="clear" w:color="auto" w:fill="FFFFFF"/>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04/12</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2970" w:type="dxa"/>
            <w:gridSpan w:val="7"/>
            <w:tcBorders>
              <w:left w:val="single" w:sz="18" w:space="0" w:color="auto"/>
              <w:right w:val="single" w:sz="18" w:space="0" w:color="auto"/>
            </w:tcBorders>
            <w:shd w:val="clear" w:color="auto" w:fill="FFFFFF"/>
            <w:vAlign w:val="center"/>
          </w:tcPr>
          <w:p w:rsidR="00A92422" w:rsidRPr="00D87B79" w:rsidRDefault="00A92422" w:rsidP="00EA30FC">
            <w:pPr>
              <w:pStyle w:val="TableText"/>
              <w:rPr>
                <w:rFonts w:ascii="Tahoma" w:hAnsi="Tahoma" w:cs="Tahoma"/>
                <w:sz w:val="13"/>
                <w:szCs w:val="13"/>
              </w:rPr>
            </w:pPr>
            <w:r w:rsidRPr="00D87B79">
              <w:rPr>
                <w:rFonts w:ascii="Tahoma" w:hAnsi="Tahoma" w:cs="Tahoma"/>
                <w:sz w:val="13"/>
                <w:szCs w:val="13"/>
                <w:lang w:val="it-IT"/>
              </w:rPr>
              <w:t>1 punto</w:t>
            </w:r>
          </w:p>
        </w:tc>
        <w:tc>
          <w:tcPr>
            <w:tcW w:w="450" w:type="dxa"/>
            <w:tcBorders>
              <w:left w:val="single" w:sz="18" w:space="0" w:color="auto"/>
            </w:tcBorders>
            <w:shd w:val="clear" w:color="auto" w:fill="FFFFFF"/>
            <w:vAlign w:val="center"/>
          </w:tcPr>
          <w:p w:rsidR="00A92422" w:rsidRPr="00D87B79" w:rsidRDefault="00A92422" w:rsidP="00EA30FC">
            <w:pPr>
              <w:pStyle w:val="TableText"/>
              <w:rPr>
                <w:rFonts w:ascii="Tahoma" w:hAnsi="Tahoma" w:cs="Tahoma"/>
                <w:sz w:val="13"/>
                <w:szCs w:val="13"/>
              </w:rPr>
            </w:pPr>
          </w:p>
        </w:tc>
        <w:tc>
          <w:tcPr>
            <w:tcW w:w="450" w:type="dxa"/>
            <w:shd w:val="clear" w:color="auto" w:fill="FFFFFF"/>
            <w:vAlign w:val="center"/>
          </w:tcPr>
          <w:p w:rsidR="00A92422" w:rsidRPr="00D87B79" w:rsidRDefault="00A92422" w:rsidP="00EA30FC">
            <w:pPr>
              <w:pStyle w:val="TableText"/>
              <w:rPr>
                <w:rFonts w:ascii="Tahoma" w:hAnsi="Tahoma" w:cs="Tahoma"/>
                <w:sz w:val="13"/>
                <w:szCs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rPr>
                <w:rFonts w:ascii="Tahoma" w:hAnsi="Tahoma" w:cs="Tahoma"/>
                <w:sz w:val="13"/>
                <w:szCs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rPr>
                <w:rFonts w:ascii="Tahoma" w:hAnsi="Tahoma" w:cs="Tahoma"/>
                <w:sz w:val="13"/>
                <w:szCs w:val="13"/>
              </w:rPr>
            </w:pPr>
            <w:r w:rsidRPr="00D87B79">
              <w:rPr>
                <w:rFonts w:ascii="Tahoma" w:hAnsi="Tahoma" w:cs="Tahoma"/>
                <w:sz w:val="13"/>
                <w:szCs w:val="13"/>
              </w:rPr>
              <w:t>1</w:t>
            </w:r>
          </w:p>
        </w:tc>
        <w:tc>
          <w:tcPr>
            <w:tcW w:w="450" w:type="dxa"/>
            <w:tcBorders>
              <w:right w:val="single" w:sz="18" w:space="0" w:color="auto"/>
            </w:tcBorders>
            <w:shd w:val="clear" w:color="auto" w:fill="FFFFFF"/>
            <w:vAlign w:val="center"/>
          </w:tcPr>
          <w:p w:rsidR="00A92422" w:rsidRPr="00D87B79" w:rsidRDefault="00A92422" w:rsidP="00EA30FC">
            <w:pPr>
              <w:pStyle w:val="TableText"/>
              <w:rPr>
                <w:rFonts w:ascii="Tahoma" w:hAnsi="Tahoma" w:cs="Tahoma"/>
                <w:sz w:val="13"/>
                <w:szCs w:val="13"/>
              </w:rPr>
            </w:pPr>
            <w:r w:rsidRPr="00D87B79">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rPr>
                <w:rFonts w:ascii="Tahoma" w:hAnsi="Tahoma" w:cs="Tahoma"/>
                <w:sz w:val="13"/>
                <w:szCs w:val="13"/>
              </w:rPr>
            </w:pPr>
            <w:r w:rsidRPr="00D87B79">
              <w:rPr>
                <w:rFonts w:ascii="Tahoma" w:hAnsi="Tahoma" w:cs="Tahoma"/>
                <w:sz w:val="13"/>
                <w:lang w:val="it-IT"/>
              </w:rPr>
              <w:t>E, P</w:t>
            </w:r>
          </w:p>
        </w:tc>
        <w:tc>
          <w:tcPr>
            <w:tcW w:w="504" w:type="dxa"/>
            <w:shd w:val="clear" w:color="auto" w:fill="FFFFFF"/>
          </w:tcPr>
          <w:p w:rsidR="00A92422" w:rsidRPr="00D87B79" w:rsidRDefault="00A92422" w:rsidP="00EA30FC">
            <w:pPr>
              <w:pStyle w:val="TableText"/>
              <w:rPr>
                <w:rFonts w:ascii="Tahoma" w:hAnsi="Tahoma" w:cs="Tahoma"/>
                <w:sz w:val="13"/>
                <w:szCs w:val="13"/>
              </w:rPr>
            </w:pPr>
            <w:r w:rsidRPr="00D87B79">
              <w:rPr>
                <w:rFonts w:ascii="Tahoma" w:hAnsi="Tahoma" w:cs="Tahoma"/>
                <w:sz w:val="13"/>
                <w:szCs w:val="13"/>
                <w:lang w:val="it-IT"/>
              </w:rPr>
              <w:t>A, ST</w:t>
            </w:r>
          </w:p>
        </w:tc>
        <w:tc>
          <w:tcPr>
            <w:tcW w:w="486" w:type="dxa"/>
            <w:shd w:val="clear" w:color="auto" w:fill="FFFFF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260"/>
        </w:trPr>
        <w:tc>
          <w:tcPr>
            <w:tcW w:w="2714" w:type="dxa"/>
            <w:shd w:val="clear" w:color="auto" w:fill="FABF8F"/>
          </w:tcPr>
          <w:p w:rsidR="00A92422" w:rsidRPr="00D87B79" w:rsidRDefault="00A92422" w:rsidP="00EA30FC">
            <w:pPr>
              <w:pStyle w:val="Heading2"/>
              <w:spacing w:beforeLines="20" w:before="48" w:afterLines="20" w:after="48"/>
              <w:ind w:left="0"/>
              <w:rPr>
                <w:rFonts w:ascii="Tahoma" w:hAnsi="Tahoma" w:cs="Tahoma"/>
                <w:b w:val="0"/>
                <w:sz w:val="14"/>
                <w:szCs w:val="14"/>
              </w:rPr>
            </w:pPr>
            <w:bookmarkStart w:id="535" w:name="_Toc336338104"/>
            <w:bookmarkStart w:id="536" w:name="_Toc342900152"/>
            <w:bookmarkEnd w:id="535"/>
            <w:r w:rsidRPr="00D87B79">
              <w:rPr>
                <w:rFonts w:ascii="Tahoma" w:hAnsi="Tahoma" w:cs="Tahoma"/>
                <w:b w:val="0"/>
                <w:sz w:val="14"/>
                <w:lang w:val="it-IT"/>
              </w:rPr>
              <w:t>VDI Standard Suite</w:t>
            </w:r>
            <w:bookmarkEnd w:id="536"/>
          </w:p>
        </w:tc>
        <w:bookmarkStart w:id="537" w:name="_Hlt336250272"/>
        <w:bookmarkEnd w:id="537"/>
        <w:tc>
          <w:tcPr>
            <w:tcW w:w="450" w:type="dxa"/>
            <w:shd w:val="clear" w:color="auto" w:fill="FABF8F"/>
            <w:vAlign w:val="center"/>
          </w:tcPr>
          <w:p w:rsidR="00A92422" w:rsidRPr="001E1017" w:rsidRDefault="00A92422" w:rsidP="00EA30FC">
            <w:pPr>
              <w:pStyle w:val="TableText"/>
              <w:widowControl w:val="0"/>
              <w:rPr>
                <w:rStyle w:val="EndnoteReference"/>
                <w:rFonts w:cs="Tahoma"/>
                <w:sz w:val="13"/>
                <w:szCs w:val="13"/>
                <w:u w:val="single"/>
              </w:rPr>
            </w:pPr>
            <w:r w:rsidRPr="001E1017">
              <w:rPr>
                <w:rFonts w:cs="Tahoma"/>
                <w:sz w:val="13"/>
                <w:szCs w:val="13"/>
              </w:rPr>
              <w:fldChar w:fldCharType="begin"/>
            </w:r>
            <w:r w:rsidRPr="001E1017">
              <w:rPr>
                <w:rFonts w:cs="Tahoma"/>
                <w:sz w:val="13"/>
                <w:szCs w:val="13"/>
              </w:rPr>
              <w:instrText>HYPERLINK  \l "_93_VDI_Standard"</w:instrText>
            </w:r>
            <w:r w:rsidRPr="001E1017">
              <w:rPr>
                <w:rFonts w:cs="Tahoma"/>
                <w:sz w:val="13"/>
                <w:szCs w:val="13"/>
              </w:rPr>
              <w:fldChar w:fldCharType="separate"/>
            </w:r>
            <w:r w:rsidRPr="001E1017">
              <w:rPr>
                <w:rStyle w:val="Hyperlink"/>
                <w:rFonts w:cs="Tahoma"/>
                <w:b/>
                <w:sz w:val="13"/>
                <w:szCs w:val="13"/>
              </w:rPr>
              <w:t>93</w:t>
            </w:r>
            <w:r w:rsidRPr="001E1017">
              <w:rPr>
                <w:rFonts w:cs="Tahoma"/>
                <w:sz w:val="13"/>
                <w:szCs w:val="13"/>
              </w:rPr>
              <w:fldChar w:fldCharType="end"/>
            </w:r>
          </w:p>
        </w:tc>
        <w:tc>
          <w:tcPr>
            <w:tcW w:w="450" w:type="dxa"/>
            <w:shd w:val="clear" w:color="auto" w:fill="FABF8F"/>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tcPr>
          <w:p w:rsidR="00A92422" w:rsidRPr="00D87B79" w:rsidRDefault="00A92422" w:rsidP="00EA30FC">
            <w:pPr>
              <w:pStyle w:val="TableText"/>
              <w:widowControl w:val="0"/>
              <w:rPr>
                <w:rFonts w:ascii="Tahoma" w:hAnsi="Tahoma" w:cs="Tahoma"/>
                <w:sz w:val="13"/>
              </w:rPr>
            </w:pP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260"/>
        </w:trPr>
        <w:tc>
          <w:tcPr>
            <w:tcW w:w="2714" w:type="dxa"/>
            <w:shd w:val="clear" w:color="auto" w:fill="FFFFFF"/>
          </w:tcPr>
          <w:p w:rsidR="00A92422" w:rsidRPr="00D87B79" w:rsidRDefault="00A92422" w:rsidP="00EA30FC">
            <w:pPr>
              <w:pStyle w:val="Heading2"/>
              <w:spacing w:beforeLines="20" w:before="48" w:afterLines="20" w:after="48"/>
              <w:ind w:left="0"/>
              <w:rPr>
                <w:rFonts w:ascii="Tahoma" w:hAnsi="Tahoma" w:cs="Tahoma"/>
                <w:b w:val="0"/>
                <w:sz w:val="14"/>
                <w:szCs w:val="14"/>
              </w:rPr>
            </w:pPr>
            <w:bookmarkStart w:id="538" w:name="_Toc336338105"/>
            <w:bookmarkStart w:id="539" w:name="_Toc342900153"/>
            <w:bookmarkEnd w:id="538"/>
            <w:r w:rsidRPr="00D87B79">
              <w:rPr>
                <w:rFonts w:ascii="Tahoma" w:hAnsi="Tahoma" w:cs="Tahoma"/>
                <w:b w:val="0"/>
                <w:sz w:val="14"/>
                <w:lang w:val="it-IT"/>
              </w:rPr>
              <w:t>VDI Standard Suite con MDOP</w:t>
            </w:r>
            <w:bookmarkEnd w:id="539"/>
          </w:p>
        </w:tc>
        <w:tc>
          <w:tcPr>
            <w:tcW w:w="450" w:type="dxa"/>
            <w:shd w:val="clear" w:color="auto" w:fill="FFFFFF"/>
            <w:vAlign w:val="center"/>
          </w:tcPr>
          <w:p w:rsidR="00A92422" w:rsidRPr="001E1017" w:rsidRDefault="00A92422" w:rsidP="00EA30FC">
            <w:pPr>
              <w:pStyle w:val="TableText"/>
              <w:widowControl w:val="0"/>
              <w:rPr>
                <w:rStyle w:val="EndnoteReference"/>
                <w:rFonts w:cs="Tahoma"/>
                <w:sz w:val="13"/>
                <w:szCs w:val="13"/>
                <w:u w:val="single"/>
              </w:rPr>
            </w:pPr>
            <w:hyperlink w:anchor="_92_Visual_Studio" w:history="1">
              <w:r w:rsidRPr="001E1017">
                <w:rPr>
                  <w:rStyle w:val="Hyperlink"/>
                  <w:rFonts w:cs="Tahoma"/>
                  <w:b/>
                  <w:sz w:val="13"/>
                  <w:szCs w:val="13"/>
                </w:rPr>
                <w:t>93</w:t>
              </w:r>
            </w:hyperlink>
          </w:p>
        </w:tc>
        <w:tc>
          <w:tcPr>
            <w:tcW w:w="450" w:type="dxa"/>
            <w:shd w:val="clear" w:color="auto" w:fill="FFFFFF"/>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FFFFF"/>
          </w:tcPr>
          <w:p w:rsidR="00A92422" w:rsidRPr="00D87B79" w:rsidRDefault="00A92422" w:rsidP="00EA30FC">
            <w:pPr>
              <w:pStyle w:val="TableText"/>
              <w:widowControl w:val="0"/>
              <w:rPr>
                <w:rFonts w:ascii="Tahoma" w:hAnsi="Tahoma" w:cs="Tahoma"/>
                <w:sz w:val="13"/>
              </w:rPr>
            </w:pPr>
          </w:p>
        </w:tc>
        <w:tc>
          <w:tcPr>
            <w:tcW w:w="486" w:type="dxa"/>
            <w:shd w:val="clear" w:color="auto" w:fill="FFFFF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260"/>
        </w:trPr>
        <w:tc>
          <w:tcPr>
            <w:tcW w:w="2714" w:type="dxa"/>
            <w:shd w:val="clear" w:color="auto" w:fill="FABF8F"/>
          </w:tcPr>
          <w:p w:rsidR="00A92422" w:rsidRPr="00D87B79" w:rsidRDefault="00A92422" w:rsidP="00EA30FC">
            <w:pPr>
              <w:pStyle w:val="Heading2"/>
              <w:spacing w:beforeLines="20" w:before="48" w:afterLines="20" w:after="48"/>
              <w:ind w:left="0"/>
              <w:rPr>
                <w:rFonts w:ascii="Tahoma" w:hAnsi="Tahoma" w:cs="Tahoma"/>
                <w:b w:val="0"/>
                <w:sz w:val="14"/>
                <w:szCs w:val="14"/>
              </w:rPr>
            </w:pPr>
            <w:bookmarkStart w:id="540" w:name="_Toc336338106"/>
            <w:bookmarkStart w:id="541" w:name="_Toc342900154"/>
            <w:bookmarkEnd w:id="540"/>
            <w:r w:rsidRPr="00D87B79">
              <w:rPr>
                <w:rFonts w:ascii="Tahoma" w:hAnsi="Tahoma" w:cs="Tahoma"/>
                <w:b w:val="0"/>
                <w:sz w:val="14"/>
                <w:szCs w:val="14"/>
                <w:lang w:val="it-IT"/>
              </w:rPr>
              <w:t>VDI Premium Suite</w:t>
            </w:r>
            <w:bookmarkEnd w:id="541"/>
          </w:p>
        </w:tc>
        <w:tc>
          <w:tcPr>
            <w:tcW w:w="450" w:type="dxa"/>
            <w:shd w:val="clear" w:color="auto" w:fill="FABF8F"/>
            <w:vAlign w:val="center"/>
          </w:tcPr>
          <w:p w:rsidR="00A92422" w:rsidRPr="001E1017" w:rsidRDefault="00A92422" w:rsidP="00EA30FC">
            <w:pPr>
              <w:pStyle w:val="TableText"/>
              <w:widowControl w:val="0"/>
              <w:rPr>
                <w:rStyle w:val="EndnoteReference"/>
                <w:rFonts w:cs="Tahoma"/>
                <w:sz w:val="13"/>
                <w:szCs w:val="13"/>
                <w:u w:val="single"/>
              </w:rPr>
            </w:pPr>
            <w:hyperlink w:anchor="_92_Visual_Studio" w:history="1">
              <w:r w:rsidRPr="001E1017">
                <w:rPr>
                  <w:rStyle w:val="Hyperlink"/>
                  <w:rFonts w:cs="Tahoma"/>
                  <w:b/>
                  <w:sz w:val="13"/>
                  <w:szCs w:val="13"/>
                </w:rPr>
                <w:t>93</w:t>
              </w:r>
            </w:hyperlink>
          </w:p>
        </w:tc>
        <w:tc>
          <w:tcPr>
            <w:tcW w:w="450" w:type="dxa"/>
            <w:shd w:val="clear" w:color="auto" w:fill="FABF8F"/>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tcPr>
          <w:p w:rsidR="00A92422" w:rsidRPr="00D87B79" w:rsidRDefault="00A92422" w:rsidP="00EA30FC">
            <w:pPr>
              <w:pStyle w:val="TableText"/>
              <w:widowControl w:val="0"/>
              <w:rPr>
                <w:rFonts w:ascii="Tahoma" w:hAnsi="Tahoma" w:cs="Tahoma"/>
                <w:sz w:val="13"/>
              </w:rPr>
            </w:pP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260"/>
        </w:trPr>
        <w:tc>
          <w:tcPr>
            <w:tcW w:w="2714" w:type="dxa"/>
            <w:shd w:val="clear" w:color="auto" w:fill="FFFFFF"/>
          </w:tcPr>
          <w:p w:rsidR="00A92422" w:rsidRPr="00D87B79" w:rsidRDefault="00A92422" w:rsidP="00EA30FC">
            <w:pPr>
              <w:pStyle w:val="Heading2"/>
              <w:spacing w:beforeLines="20" w:before="48" w:afterLines="20" w:after="48"/>
              <w:ind w:left="0"/>
              <w:rPr>
                <w:rFonts w:ascii="Tahoma" w:hAnsi="Tahoma" w:cs="Tahoma"/>
                <w:b w:val="0"/>
                <w:sz w:val="14"/>
                <w:szCs w:val="14"/>
              </w:rPr>
            </w:pPr>
            <w:bookmarkStart w:id="542" w:name="_Toc336338107"/>
            <w:bookmarkStart w:id="543" w:name="_Toc342900155"/>
            <w:bookmarkEnd w:id="542"/>
            <w:r w:rsidRPr="00D87B79">
              <w:rPr>
                <w:rFonts w:ascii="Tahoma" w:hAnsi="Tahoma" w:cs="Tahoma"/>
                <w:b w:val="0"/>
                <w:sz w:val="14"/>
                <w:szCs w:val="14"/>
                <w:lang w:val="it-IT"/>
              </w:rPr>
              <w:t>VDI Premium Suite con MDOP</w:t>
            </w:r>
            <w:bookmarkEnd w:id="543"/>
          </w:p>
        </w:tc>
        <w:bookmarkStart w:id="544" w:name="_Hlt336251370"/>
        <w:bookmarkEnd w:id="544"/>
        <w:tc>
          <w:tcPr>
            <w:tcW w:w="450" w:type="dxa"/>
            <w:shd w:val="clear" w:color="auto" w:fill="FFFFFF"/>
            <w:vAlign w:val="center"/>
          </w:tcPr>
          <w:p w:rsidR="00A92422" w:rsidRPr="001E1017" w:rsidRDefault="00A92422" w:rsidP="00EA30FC">
            <w:pPr>
              <w:pStyle w:val="TableText"/>
              <w:widowControl w:val="0"/>
              <w:rPr>
                <w:rStyle w:val="EndnoteReference"/>
                <w:rFonts w:cs="Tahoma"/>
                <w:sz w:val="13"/>
                <w:szCs w:val="13"/>
                <w:u w:val="single"/>
              </w:rPr>
            </w:pPr>
            <w:r w:rsidRPr="001E1017">
              <w:rPr>
                <w:rFonts w:cs="Tahoma"/>
                <w:sz w:val="13"/>
                <w:szCs w:val="13"/>
              </w:rPr>
              <w:fldChar w:fldCharType="begin"/>
            </w:r>
            <w:r w:rsidRPr="001E1017">
              <w:rPr>
                <w:rFonts w:cs="Tahoma"/>
                <w:sz w:val="13"/>
                <w:szCs w:val="13"/>
              </w:rPr>
              <w:instrText>HYPERLINK  \l "_92_Visual_Studio"</w:instrText>
            </w:r>
            <w:r w:rsidRPr="001E1017">
              <w:rPr>
                <w:rFonts w:cs="Tahoma"/>
                <w:sz w:val="13"/>
                <w:szCs w:val="13"/>
              </w:rPr>
              <w:fldChar w:fldCharType="separate"/>
            </w:r>
            <w:r w:rsidRPr="001E1017">
              <w:rPr>
                <w:rStyle w:val="Hyperlink"/>
                <w:rFonts w:cs="Tahoma"/>
                <w:b/>
                <w:sz w:val="13"/>
                <w:szCs w:val="13"/>
              </w:rPr>
              <w:t>93</w:t>
            </w:r>
            <w:r w:rsidRPr="001E1017">
              <w:rPr>
                <w:rFonts w:cs="Tahoma"/>
                <w:sz w:val="13"/>
                <w:szCs w:val="13"/>
              </w:rPr>
              <w:fldChar w:fldCharType="end"/>
            </w:r>
          </w:p>
        </w:tc>
        <w:tc>
          <w:tcPr>
            <w:tcW w:w="450" w:type="dxa"/>
            <w:shd w:val="clear" w:color="auto" w:fill="FFFFFF"/>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FFFFF"/>
          </w:tcPr>
          <w:p w:rsidR="00A92422" w:rsidRPr="00D87B79" w:rsidRDefault="00A92422" w:rsidP="00EA30FC">
            <w:pPr>
              <w:pStyle w:val="TableText"/>
              <w:widowControl w:val="0"/>
              <w:rPr>
                <w:rFonts w:ascii="Tahoma" w:hAnsi="Tahoma" w:cs="Tahoma"/>
                <w:sz w:val="13"/>
              </w:rPr>
            </w:pPr>
          </w:p>
        </w:tc>
        <w:tc>
          <w:tcPr>
            <w:tcW w:w="486" w:type="dxa"/>
            <w:shd w:val="clear" w:color="auto" w:fill="FFFFF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ABF8F"/>
          </w:tcPr>
          <w:p w:rsidR="00A92422" w:rsidRPr="00D87B79" w:rsidRDefault="00A92422" w:rsidP="00EA30FC">
            <w:pPr>
              <w:pStyle w:val="Heading2"/>
              <w:spacing w:beforeLines="20" w:before="48" w:afterLines="20" w:after="48"/>
              <w:ind w:left="0"/>
              <w:rPr>
                <w:rFonts w:ascii="Tahoma" w:hAnsi="Tahoma" w:cs="Tahoma"/>
                <w:b w:val="0"/>
                <w:sz w:val="14"/>
                <w:szCs w:val="14"/>
              </w:rPr>
            </w:pPr>
            <w:bookmarkStart w:id="545" w:name="_Toc336338108"/>
            <w:bookmarkStart w:id="546" w:name="_Toc342900156"/>
            <w:bookmarkEnd w:id="545"/>
            <w:r w:rsidRPr="00D87B79">
              <w:rPr>
                <w:rFonts w:ascii="Tahoma" w:hAnsi="Tahoma" w:cs="Tahoma"/>
                <w:b w:val="0"/>
                <w:sz w:val="14"/>
                <w:szCs w:val="14"/>
                <w:lang w:val="it-IT"/>
              </w:rPr>
              <w:t>Virtual Server 2005 R2 Enterprise Edition</w:t>
            </w:r>
            <w:bookmarkEnd w:id="546"/>
          </w:p>
        </w:tc>
        <w:tc>
          <w:tcPr>
            <w:tcW w:w="450" w:type="dxa"/>
            <w:shd w:val="clear" w:color="auto" w:fill="FABF8F"/>
            <w:vAlign w:val="center"/>
          </w:tcPr>
          <w:p w:rsidR="00A92422" w:rsidRPr="001E1017" w:rsidRDefault="00A92422" w:rsidP="00EA30FC">
            <w:pPr>
              <w:pStyle w:val="TableText"/>
              <w:widowControl w:val="0"/>
              <w:rPr>
                <w:rStyle w:val="EndnoteReference"/>
                <w:rFonts w:cs="Tahoma"/>
                <w:sz w:val="13"/>
                <w:szCs w:val="13"/>
                <w:u w:val="single"/>
              </w:rPr>
            </w:pPr>
          </w:p>
        </w:tc>
        <w:tc>
          <w:tcPr>
            <w:tcW w:w="450" w:type="dxa"/>
            <w:shd w:val="clear" w:color="auto" w:fill="FABF8F"/>
            <w:vAlign w:val="center"/>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12/05</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tcPr>
          <w:p w:rsidR="00A92422" w:rsidRPr="00D87B79" w:rsidRDefault="00A92422" w:rsidP="00EA30FC">
            <w:pPr>
              <w:pStyle w:val="TableText"/>
              <w:widowControl w:val="0"/>
              <w:rPr>
                <w:rFonts w:ascii="Tahoma" w:hAnsi="Tahoma" w:cs="Tahoma"/>
                <w:sz w:val="13"/>
              </w:rPr>
            </w:pP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FFFFF"/>
            <w:vAlign w:val="center"/>
          </w:tcPr>
          <w:p w:rsidR="00A92422" w:rsidRPr="00D87B79" w:rsidRDefault="00A92422" w:rsidP="00EA30FC">
            <w:pPr>
              <w:pStyle w:val="Heading2"/>
              <w:spacing w:beforeLines="20" w:before="48" w:afterLines="20" w:after="48"/>
              <w:ind w:left="0"/>
              <w:rPr>
                <w:rFonts w:ascii="Tahoma" w:hAnsi="Tahoma" w:cs="Tahoma"/>
                <w:b w:val="0"/>
                <w:sz w:val="14"/>
                <w:szCs w:val="14"/>
              </w:rPr>
            </w:pPr>
            <w:bookmarkStart w:id="547" w:name="_Toc336338109"/>
            <w:bookmarkStart w:id="548" w:name="_Toc342900157"/>
            <w:bookmarkEnd w:id="547"/>
            <w:r w:rsidRPr="00D87B79">
              <w:rPr>
                <w:rFonts w:ascii="Tahoma" w:hAnsi="Tahoma" w:cs="Tahoma"/>
                <w:b w:val="0"/>
                <w:sz w:val="14"/>
                <w:lang w:val="it-IT"/>
              </w:rPr>
              <w:t>Visual Studio</w:t>
            </w:r>
            <w:r w:rsidRPr="003A0F2F">
              <w:rPr>
                <w:rFonts w:ascii="Tahoma" w:hAnsi="Tahoma" w:cs="Tahoma"/>
                <w:b w:val="0"/>
                <w:color w:val="000000"/>
                <w:sz w:val="14"/>
                <w:vertAlign w:val="superscript"/>
                <w:lang w:val="it-IT"/>
              </w:rPr>
              <w:t>®</w:t>
            </w:r>
            <w:r w:rsidRPr="00D87B79">
              <w:rPr>
                <w:rFonts w:ascii="Tahoma" w:hAnsi="Tahoma" w:cs="Tahoma"/>
                <w:b w:val="0"/>
                <w:sz w:val="14"/>
                <w:lang w:val="it-IT"/>
              </w:rPr>
              <w:t xml:space="preserve"> Team Foundation Server 2012 con Tecnologia SQL Server 2012</w:t>
            </w:r>
            <w:bookmarkEnd w:id="548"/>
          </w:p>
        </w:tc>
        <w:tc>
          <w:tcPr>
            <w:tcW w:w="450" w:type="dxa"/>
            <w:shd w:val="clear" w:color="auto" w:fill="FFFFFF"/>
            <w:vAlign w:val="center"/>
          </w:tcPr>
          <w:p w:rsidR="00A92422" w:rsidRPr="001E1017" w:rsidRDefault="00A92422" w:rsidP="00EA30FC">
            <w:pPr>
              <w:pStyle w:val="TableText"/>
              <w:widowControl w:val="0"/>
              <w:rPr>
                <w:rStyle w:val="EndnoteReference"/>
                <w:rFonts w:cs="Tahoma"/>
                <w:sz w:val="13"/>
                <w:szCs w:val="13"/>
              </w:rPr>
            </w:pPr>
          </w:p>
        </w:tc>
        <w:tc>
          <w:tcPr>
            <w:tcW w:w="450" w:type="dxa"/>
            <w:shd w:val="clear" w:color="auto" w:fill="FFFFFF"/>
            <w:vAlign w:val="center"/>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09/12</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5</w:t>
            </w:r>
          </w:p>
        </w:tc>
        <w:tc>
          <w:tcPr>
            <w:tcW w:w="450" w:type="dxa"/>
            <w:shd w:val="clear" w:color="auto" w:fill="FFFFFF"/>
            <w:vAlign w:val="center"/>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13</w:t>
            </w:r>
          </w:p>
        </w:tc>
        <w:tc>
          <w:tcPr>
            <w:tcW w:w="450" w:type="dxa"/>
            <w:shd w:val="clear" w:color="auto" w:fill="FFFFFF"/>
            <w:vAlign w:val="center"/>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10</w:t>
            </w:r>
          </w:p>
        </w:tc>
        <w:tc>
          <w:tcPr>
            <w:tcW w:w="450" w:type="dxa"/>
            <w:shd w:val="clear" w:color="auto" w:fill="FFFFFF"/>
            <w:vAlign w:val="center"/>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8</w:t>
            </w:r>
          </w:p>
        </w:tc>
        <w:tc>
          <w:tcPr>
            <w:tcW w:w="450" w:type="dxa"/>
            <w:shd w:val="clear" w:color="auto" w:fill="FFFFFF"/>
            <w:vAlign w:val="center"/>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8</w:t>
            </w:r>
          </w:p>
        </w:tc>
        <w:tc>
          <w:tcPr>
            <w:tcW w:w="450" w:type="dxa"/>
            <w:shd w:val="clear" w:color="auto" w:fill="FFFFFF"/>
            <w:vAlign w:val="center"/>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rPr>
              <w:t>5</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szCs w:val="13"/>
              </w:rPr>
              <w:t>3</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szCs w:val="13"/>
              </w:rPr>
              <w:t>5</w:t>
            </w:r>
          </w:p>
        </w:tc>
        <w:tc>
          <w:tcPr>
            <w:tcW w:w="450" w:type="dxa"/>
            <w:shd w:val="clear" w:color="auto" w:fill="FFFFFF"/>
            <w:vAlign w:val="center"/>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szCs w:val="13"/>
              </w:rPr>
              <w:t>10</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szCs w:val="13"/>
              </w:rPr>
              <w:t>5</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A,S</w:t>
            </w: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FFFFF"/>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86" w:type="dxa"/>
            <w:shd w:val="clear" w:color="auto" w:fill="FFFFF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ABF8F"/>
            <w:vAlign w:val="center"/>
          </w:tcPr>
          <w:p w:rsidR="00A92422" w:rsidRPr="00D87B79" w:rsidRDefault="00A92422" w:rsidP="00EA30FC">
            <w:pPr>
              <w:pStyle w:val="Heading2"/>
              <w:spacing w:beforeLines="20" w:before="48" w:afterLines="20" w:after="48"/>
              <w:ind w:left="0"/>
              <w:rPr>
                <w:rFonts w:ascii="Tahoma" w:hAnsi="Tahoma" w:cs="Tahoma"/>
                <w:b w:val="0"/>
                <w:sz w:val="14"/>
                <w:szCs w:val="14"/>
              </w:rPr>
            </w:pPr>
            <w:bookmarkStart w:id="549" w:name="_Toc254805933"/>
            <w:bookmarkStart w:id="550" w:name="_Toc336338110"/>
            <w:bookmarkStart w:id="551" w:name="_Toc342900158"/>
            <w:bookmarkEnd w:id="549"/>
            <w:bookmarkEnd w:id="550"/>
            <w:r w:rsidRPr="00D87B79">
              <w:rPr>
                <w:rFonts w:ascii="Tahoma" w:hAnsi="Tahoma" w:cs="Tahoma"/>
                <w:b w:val="0"/>
                <w:sz w:val="14"/>
                <w:lang w:val="it-IT"/>
              </w:rPr>
              <w:t>CAL per Dispositivo per Visual Studio</w:t>
            </w:r>
            <w:r w:rsidRPr="003A0F2F">
              <w:rPr>
                <w:rFonts w:ascii="Tahoma" w:hAnsi="Tahoma" w:cs="Tahoma"/>
                <w:b w:val="0"/>
                <w:sz w:val="14"/>
                <w:vertAlign w:val="superscript"/>
                <w:lang w:val="it-IT"/>
              </w:rPr>
              <w:t>®</w:t>
            </w:r>
            <w:r w:rsidRPr="00D87B79">
              <w:rPr>
                <w:rFonts w:ascii="Tahoma" w:hAnsi="Tahoma" w:cs="Tahoma"/>
                <w:b w:val="0"/>
                <w:sz w:val="14"/>
                <w:lang w:val="it-IT"/>
              </w:rPr>
              <w:t xml:space="preserve"> Team Foundation Server 2012</w:t>
            </w:r>
            <w:bookmarkEnd w:id="551"/>
          </w:p>
        </w:tc>
        <w:tc>
          <w:tcPr>
            <w:tcW w:w="450" w:type="dxa"/>
            <w:shd w:val="clear" w:color="auto" w:fill="FABF8F"/>
            <w:vAlign w:val="center"/>
          </w:tcPr>
          <w:p w:rsidR="00A92422" w:rsidRPr="001E1017" w:rsidRDefault="00A92422" w:rsidP="00EA30FC">
            <w:pPr>
              <w:pStyle w:val="TableText"/>
              <w:widowControl w:val="0"/>
              <w:rPr>
                <w:rStyle w:val="EndnoteReference"/>
                <w:rFonts w:cs="Tahoma"/>
                <w:sz w:val="13"/>
                <w:szCs w:val="13"/>
              </w:rPr>
            </w:pPr>
          </w:p>
        </w:tc>
        <w:tc>
          <w:tcPr>
            <w:tcW w:w="450" w:type="dxa"/>
            <w:shd w:val="clear" w:color="auto" w:fill="FABF8F"/>
            <w:vAlign w:val="center"/>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09/12</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szCs w:val="13"/>
              </w:rPr>
              <w:t>5</w:t>
            </w:r>
          </w:p>
        </w:tc>
        <w:tc>
          <w:tcPr>
            <w:tcW w:w="450" w:type="dxa"/>
            <w:shd w:val="clear" w:color="auto" w:fill="FABF8F"/>
            <w:vAlign w:val="center"/>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szCs w:val="13"/>
              </w:rPr>
              <w:t>13</w:t>
            </w:r>
          </w:p>
        </w:tc>
        <w:tc>
          <w:tcPr>
            <w:tcW w:w="450" w:type="dxa"/>
            <w:shd w:val="clear" w:color="auto" w:fill="FABF8F"/>
            <w:vAlign w:val="center"/>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szCs w:val="13"/>
              </w:rPr>
              <w:t>10</w:t>
            </w:r>
          </w:p>
        </w:tc>
        <w:tc>
          <w:tcPr>
            <w:tcW w:w="450" w:type="dxa"/>
            <w:shd w:val="clear" w:color="auto" w:fill="FABF8F"/>
            <w:vAlign w:val="center"/>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szCs w:val="13"/>
              </w:rPr>
              <w:t>8</w:t>
            </w:r>
          </w:p>
        </w:tc>
        <w:tc>
          <w:tcPr>
            <w:tcW w:w="450" w:type="dxa"/>
            <w:shd w:val="clear" w:color="auto" w:fill="FABF8F"/>
            <w:vAlign w:val="center"/>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szCs w:val="13"/>
              </w:rPr>
              <w:t>8</w:t>
            </w:r>
          </w:p>
        </w:tc>
        <w:tc>
          <w:tcPr>
            <w:tcW w:w="450" w:type="dxa"/>
            <w:shd w:val="clear" w:color="auto" w:fill="FABF8F"/>
            <w:vAlign w:val="center"/>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szCs w:val="13"/>
              </w:rPr>
              <w:t>5</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szCs w:val="13"/>
              </w:rPr>
              <w:t>3</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szCs w:val="13"/>
              </w:rPr>
              <w:t>5</w:t>
            </w:r>
          </w:p>
        </w:tc>
        <w:tc>
          <w:tcPr>
            <w:tcW w:w="450" w:type="dxa"/>
            <w:shd w:val="clear" w:color="auto" w:fill="FABF8F"/>
            <w:vAlign w:val="center"/>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szCs w:val="13"/>
              </w:rPr>
              <w:t>10</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szCs w:val="13"/>
              </w:rPr>
              <w:t>5</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A,S</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ABF8F"/>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FFFFF"/>
            <w:vAlign w:val="center"/>
          </w:tcPr>
          <w:p w:rsidR="00A92422" w:rsidRPr="00D87B79" w:rsidRDefault="00A92422" w:rsidP="00EA30FC">
            <w:pPr>
              <w:pStyle w:val="Heading2"/>
              <w:spacing w:beforeLines="20" w:before="48" w:afterLines="20" w:after="48"/>
              <w:ind w:left="0"/>
              <w:rPr>
                <w:rFonts w:ascii="Tahoma" w:hAnsi="Tahoma" w:cs="Tahoma"/>
                <w:b w:val="0"/>
                <w:sz w:val="14"/>
                <w:szCs w:val="14"/>
              </w:rPr>
            </w:pPr>
            <w:bookmarkStart w:id="552" w:name="_Toc254805934"/>
            <w:bookmarkStart w:id="553" w:name="_Toc336338111"/>
            <w:bookmarkStart w:id="554" w:name="_Toc342900159"/>
            <w:bookmarkEnd w:id="552"/>
            <w:bookmarkEnd w:id="553"/>
            <w:r w:rsidRPr="00D87B79">
              <w:rPr>
                <w:rFonts w:ascii="Tahoma" w:hAnsi="Tahoma" w:cs="Tahoma"/>
                <w:b w:val="0"/>
                <w:sz w:val="14"/>
                <w:lang w:val="it-IT"/>
              </w:rPr>
              <w:t>User CAL per Visual Studio</w:t>
            </w:r>
            <w:r w:rsidRPr="003A0F2F">
              <w:rPr>
                <w:rFonts w:ascii="Tahoma" w:hAnsi="Tahoma" w:cs="Tahoma"/>
                <w:b w:val="0"/>
                <w:sz w:val="14"/>
                <w:vertAlign w:val="superscript"/>
                <w:lang w:val="it-IT"/>
              </w:rPr>
              <w:t>®</w:t>
            </w:r>
            <w:r w:rsidRPr="00D87B79">
              <w:rPr>
                <w:rFonts w:ascii="Tahoma" w:hAnsi="Tahoma" w:cs="Tahoma"/>
                <w:b w:val="0"/>
                <w:sz w:val="14"/>
                <w:lang w:val="it-IT"/>
              </w:rPr>
              <w:t xml:space="preserve"> Team Foundation Server 2012</w:t>
            </w:r>
            <w:bookmarkEnd w:id="554"/>
          </w:p>
        </w:tc>
        <w:tc>
          <w:tcPr>
            <w:tcW w:w="450" w:type="dxa"/>
            <w:shd w:val="clear" w:color="auto" w:fill="FFFFFF"/>
            <w:vAlign w:val="center"/>
          </w:tcPr>
          <w:p w:rsidR="00A92422" w:rsidRPr="001E1017" w:rsidRDefault="00A92422" w:rsidP="00EA30FC">
            <w:pPr>
              <w:pStyle w:val="TableText"/>
              <w:widowControl w:val="0"/>
              <w:rPr>
                <w:rStyle w:val="EndnoteReference"/>
                <w:rFonts w:cs="Tahoma"/>
                <w:sz w:val="13"/>
                <w:szCs w:val="13"/>
              </w:rPr>
            </w:pPr>
          </w:p>
        </w:tc>
        <w:tc>
          <w:tcPr>
            <w:tcW w:w="450" w:type="dxa"/>
            <w:shd w:val="clear" w:color="auto" w:fill="FFFFFF"/>
            <w:vAlign w:val="center"/>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09/12</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szCs w:val="13"/>
              </w:rPr>
              <w:t>5</w:t>
            </w:r>
          </w:p>
        </w:tc>
        <w:tc>
          <w:tcPr>
            <w:tcW w:w="450" w:type="dxa"/>
            <w:shd w:val="clear" w:color="auto" w:fill="FFFFFF"/>
            <w:vAlign w:val="center"/>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szCs w:val="13"/>
              </w:rPr>
              <w:t>13</w:t>
            </w:r>
          </w:p>
        </w:tc>
        <w:tc>
          <w:tcPr>
            <w:tcW w:w="450" w:type="dxa"/>
            <w:shd w:val="clear" w:color="auto" w:fill="FFFFFF"/>
            <w:vAlign w:val="center"/>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szCs w:val="13"/>
              </w:rPr>
              <w:t>10</w:t>
            </w:r>
          </w:p>
        </w:tc>
        <w:tc>
          <w:tcPr>
            <w:tcW w:w="450" w:type="dxa"/>
            <w:shd w:val="clear" w:color="auto" w:fill="FFFFFF"/>
            <w:vAlign w:val="center"/>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szCs w:val="13"/>
              </w:rPr>
              <w:t>8</w:t>
            </w:r>
          </w:p>
        </w:tc>
        <w:tc>
          <w:tcPr>
            <w:tcW w:w="450" w:type="dxa"/>
            <w:shd w:val="clear" w:color="auto" w:fill="FFFFFF"/>
            <w:vAlign w:val="center"/>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szCs w:val="13"/>
              </w:rPr>
              <w:t>8</w:t>
            </w:r>
          </w:p>
        </w:tc>
        <w:tc>
          <w:tcPr>
            <w:tcW w:w="450" w:type="dxa"/>
            <w:shd w:val="clear" w:color="auto" w:fill="FFFFFF"/>
            <w:vAlign w:val="center"/>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szCs w:val="13"/>
              </w:rPr>
              <w:t>5</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szCs w:val="13"/>
              </w:rPr>
              <w:t>3</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szCs w:val="13"/>
              </w:rPr>
              <w:t>5</w:t>
            </w:r>
          </w:p>
        </w:tc>
        <w:tc>
          <w:tcPr>
            <w:tcW w:w="450" w:type="dxa"/>
            <w:shd w:val="clear" w:color="auto" w:fill="FFFFFF"/>
            <w:vAlign w:val="center"/>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szCs w:val="13"/>
              </w:rPr>
              <w:t>10</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spacing w:after="120"/>
              <w:rPr>
                <w:rFonts w:ascii="Tahoma" w:hAnsi="Tahoma" w:cs="Tahoma"/>
                <w:sz w:val="13"/>
                <w:szCs w:val="13"/>
              </w:rPr>
            </w:pPr>
            <w:r w:rsidRPr="00D87B79">
              <w:rPr>
                <w:rFonts w:ascii="Tahoma" w:hAnsi="Tahoma" w:cs="Tahoma"/>
                <w:sz w:val="13"/>
                <w:szCs w:val="13"/>
              </w:rPr>
              <w:t>5</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A,S</w:t>
            </w: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FFFFF"/>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86" w:type="dxa"/>
            <w:shd w:val="clear" w:color="auto" w:fill="FFFFF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45"/>
        </w:trPr>
        <w:tc>
          <w:tcPr>
            <w:tcW w:w="2714" w:type="dxa"/>
            <w:shd w:val="clear" w:color="auto" w:fill="FABF8F"/>
            <w:vAlign w:val="center"/>
          </w:tcPr>
          <w:p w:rsidR="00A92422" w:rsidRPr="00D87B79" w:rsidRDefault="00A92422" w:rsidP="00EA30FC">
            <w:pPr>
              <w:pStyle w:val="Heading2"/>
              <w:spacing w:beforeLines="20" w:before="48" w:afterLines="20" w:after="48"/>
              <w:ind w:left="0"/>
              <w:rPr>
                <w:rFonts w:ascii="Tahoma" w:hAnsi="Tahoma" w:cs="Tahoma"/>
                <w:b w:val="0"/>
                <w:sz w:val="14"/>
                <w:szCs w:val="14"/>
              </w:rPr>
            </w:pPr>
            <w:bookmarkStart w:id="555" w:name="_Toc254805935"/>
            <w:bookmarkStart w:id="556" w:name="_Toc336338112"/>
            <w:bookmarkStart w:id="557" w:name="_Toc342900160"/>
            <w:bookmarkEnd w:id="555"/>
            <w:bookmarkEnd w:id="556"/>
            <w:r w:rsidRPr="00D87B79">
              <w:rPr>
                <w:rFonts w:ascii="Tahoma" w:hAnsi="Tahoma" w:cs="Tahoma"/>
                <w:b w:val="0"/>
                <w:sz w:val="14"/>
                <w:lang w:val="it-IT"/>
              </w:rPr>
              <w:t>External Connector per Visual Studio</w:t>
            </w:r>
            <w:r w:rsidRPr="003A0F2F">
              <w:rPr>
                <w:rFonts w:ascii="Tahoma" w:hAnsi="Tahoma" w:cs="Tahoma"/>
                <w:b w:val="0"/>
                <w:sz w:val="14"/>
                <w:vertAlign w:val="superscript"/>
                <w:lang w:val="it-IT"/>
              </w:rPr>
              <w:t>®</w:t>
            </w:r>
            <w:r w:rsidRPr="00D87B79">
              <w:rPr>
                <w:rFonts w:ascii="Tahoma" w:hAnsi="Tahoma" w:cs="Tahoma"/>
                <w:b w:val="0"/>
                <w:sz w:val="14"/>
                <w:lang w:val="it-IT"/>
              </w:rPr>
              <w:t xml:space="preserve"> Team Foundation Server 2012</w:t>
            </w:r>
            <w:bookmarkEnd w:id="557"/>
          </w:p>
        </w:tc>
        <w:tc>
          <w:tcPr>
            <w:tcW w:w="450" w:type="dxa"/>
            <w:shd w:val="clear" w:color="auto" w:fill="FABF8F"/>
            <w:vAlign w:val="center"/>
          </w:tcPr>
          <w:p w:rsidR="00A92422" w:rsidRPr="001E1017" w:rsidRDefault="00A92422" w:rsidP="00EA30FC">
            <w:pPr>
              <w:pStyle w:val="TableText"/>
              <w:widowControl w:val="0"/>
              <w:rPr>
                <w:rStyle w:val="EndnoteReference"/>
                <w:rFonts w:cs="Tahoma"/>
                <w:sz w:val="13"/>
                <w:szCs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09/12</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szCs w:val="13"/>
              </w:rPr>
            </w:pPr>
            <w:r w:rsidRPr="00D87B79">
              <w:rPr>
                <w:rFonts w:ascii="Tahoma" w:hAnsi="Tahoma" w:cs="Tahoma"/>
                <w:sz w:val="13"/>
                <w:szCs w:val="13"/>
              </w:rPr>
              <w:t>75</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szCs w:val="13"/>
              </w:rPr>
            </w:pPr>
            <w:r w:rsidRPr="00D87B79">
              <w:rPr>
                <w:rFonts w:ascii="Tahoma" w:hAnsi="Tahoma" w:cs="Tahoma"/>
                <w:sz w:val="13"/>
                <w:szCs w:val="13"/>
              </w:rPr>
              <w:t>188</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szCs w:val="13"/>
              </w:rPr>
            </w:pPr>
            <w:r w:rsidRPr="00D87B79">
              <w:rPr>
                <w:rFonts w:ascii="Tahoma" w:hAnsi="Tahoma" w:cs="Tahoma"/>
                <w:sz w:val="13"/>
                <w:szCs w:val="13"/>
              </w:rPr>
              <w:t>150</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szCs w:val="13"/>
              </w:rPr>
            </w:pPr>
            <w:r w:rsidRPr="00D87B79">
              <w:rPr>
                <w:rFonts w:ascii="Tahoma" w:hAnsi="Tahoma" w:cs="Tahoma"/>
                <w:sz w:val="13"/>
                <w:szCs w:val="13"/>
              </w:rPr>
              <w:t>113</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szCs w:val="13"/>
              </w:rPr>
            </w:pPr>
            <w:r w:rsidRPr="00D87B79">
              <w:rPr>
                <w:rFonts w:ascii="Tahoma" w:hAnsi="Tahoma" w:cs="Tahoma"/>
                <w:sz w:val="13"/>
                <w:szCs w:val="13"/>
              </w:rPr>
              <w:t>113</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szCs w:val="13"/>
              </w:rPr>
            </w:pPr>
            <w:r w:rsidRPr="00D87B79">
              <w:rPr>
                <w:rFonts w:ascii="Tahoma" w:hAnsi="Tahoma" w:cs="Tahoma"/>
                <w:sz w:val="13"/>
                <w:szCs w:val="13"/>
              </w:rPr>
              <w:t>75</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szCs w:val="13"/>
              </w:rPr>
            </w:pPr>
            <w:r w:rsidRPr="00D87B79">
              <w:rPr>
                <w:rFonts w:ascii="Tahoma" w:hAnsi="Tahoma" w:cs="Tahoma"/>
                <w:sz w:val="13"/>
                <w:szCs w:val="13"/>
              </w:rPr>
              <w:t>38</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szCs w:val="13"/>
              </w:rPr>
            </w:pPr>
            <w:r w:rsidRPr="00D87B79">
              <w:rPr>
                <w:rFonts w:ascii="Tahoma" w:hAnsi="Tahoma" w:cs="Tahoma"/>
                <w:sz w:val="13"/>
                <w:szCs w:val="13"/>
              </w:rPr>
              <w:t>75</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szCs w:val="13"/>
              </w:rPr>
            </w:pPr>
            <w:r w:rsidRPr="00D87B79">
              <w:rPr>
                <w:rFonts w:ascii="Tahoma" w:hAnsi="Tahoma" w:cs="Tahoma"/>
                <w:sz w:val="13"/>
                <w:szCs w:val="13"/>
              </w:rPr>
              <w:t>150</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szCs w:val="13"/>
              </w:rPr>
            </w:pPr>
            <w:r w:rsidRPr="00D87B79">
              <w:rPr>
                <w:rFonts w:ascii="Tahoma" w:hAnsi="Tahoma" w:cs="Tahoma"/>
                <w:sz w:val="13"/>
                <w:szCs w:val="13"/>
              </w:rPr>
              <w:t>75</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75</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A,S</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ABF8F"/>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OL/OV</w:t>
            </w:r>
          </w:p>
        </w:tc>
      </w:tr>
      <w:tr w:rsidR="00A92422" w:rsidRPr="00D87B79" w:rsidTr="00EA30FC">
        <w:trPr>
          <w:trHeight w:val="494"/>
        </w:trPr>
        <w:tc>
          <w:tcPr>
            <w:tcW w:w="2714" w:type="dxa"/>
            <w:shd w:val="clear" w:color="auto" w:fill="FFFFFF"/>
          </w:tcPr>
          <w:p w:rsidR="00A92422" w:rsidRPr="00D87B79" w:rsidRDefault="00A92422" w:rsidP="00EA30FC">
            <w:pPr>
              <w:pStyle w:val="Heading2"/>
              <w:spacing w:beforeLines="20" w:before="48" w:afterLines="20" w:after="48"/>
              <w:ind w:left="0"/>
              <w:rPr>
                <w:rFonts w:ascii="Tahoma" w:hAnsi="Tahoma" w:cs="Tahoma"/>
                <w:b w:val="0"/>
                <w:sz w:val="14"/>
                <w:szCs w:val="14"/>
              </w:rPr>
            </w:pPr>
            <w:bookmarkStart w:id="558" w:name="_Toc336338113"/>
            <w:bookmarkStart w:id="559" w:name="_Toc342900161"/>
            <w:bookmarkEnd w:id="558"/>
            <w:r w:rsidRPr="00D87B79">
              <w:rPr>
                <w:rFonts w:ascii="Tahoma" w:hAnsi="Tahoma" w:cs="Tahoma"/>
                <w:b w:val="0"/>
                <w:sz w:val="14"/>
                <w:szCs w:val="14"/>
                <w:lang w:val="it-IT"/>
              </w:rPr>
              <w:t>Web Antimalware Subscription per Forefront Threat Management Gateway Medium Business Edition (Dispositivo e</w:t>
            </w:r>
            <w:r>
              <w:rPr>
                <w:rFonts w:ascii="Tahoma" w:hAnsi="Tahoma" w:cs="Tahoma"/>
                <w:b w:val="0"/>
                <w:sz w:val="14"/>
                <w:szCs w:val="14"/>
                <w:lang w:val="it-IT"/>
              </w:rPr>
              <w:t> </w:t>
            </w:r>
            <w:r w:rsidRPr="00D87B79">
              <w:rPr>
                <w:rFonts w:ascii="Tahoma" w:hAnsi="Tahoma" w:cs="Tahoma"/>
                <w:b w:val="0"/>
                <w:sz w:val="14"/>
                <w:szCs w:val="14"/>
                <w:lang w:val="it-IT"/>
              </w:rPr>
              <w:t>Utente)</w:t>
            </w:r>
            <w:bookmarkEnd w:id="559"/>
          </w:p>
        </w:tc>
        <w:tc>
          <w:tcPr>
            <w:tcW w:w="450" w:type="dxa"/>
            <w:shd w:val="clear" w:color="auto" w:fill="FFFFFF"/>
            <w:vAlign w:val="center"/>
          </w:tcPr>
          <w:p w:rsidR="00A92422" w:rsidRPr="001E1017" w:rsidRDefault="00A92422" w:rsidP="00EA30FC">
            <w:pPr>
              <w:pStyle w:val="TableText"/>
              <w:widowControl w:val="0"/>
              <w:rPr>
                <w:rStyle w:val="EndnoteReference"/>
                <w:rFonts w:cs="Tahoma"/>
                <w:sz w:val="13"/>
                <w:szCs w:val="13"/>
              </w:rPr>
            </w:pPr>
          </w:p>
        </w:tc>
        <w:tc>
          <w:tcPr>
            <w:tcW w:w="450" w:type="dxa"/>
            <w:shd w:val="clear" w:color="auto" w:fill="FFFFFF"/>
            <w:vAlign w:val="center"/>
          </w:tcPr>
          <w:p w:rsidR="00A92422" w:rsidRPr="00D87B79" w:rsidRDefault="00A92422" w:rsidP="00EA30FC">
            <w:pPr>
              <w:pStyle w:val="TableText"/>
              <w:widowControl w:val="0"/>
              <w:spacing w:before="160"/>
              <w:rPr>
                <w:rFonts w:ascii="Tahoma" w:hAnsi="Tahoma" w:cs="Tahoma"/>
                <w:sz w:val="13"/>
              </w:rPr>
            </w:pPr>
            <w:r w:rsidRPr="00D87B79">
              <w:rPr>
                <w:rFonts w:ascii="Tahoma" w:hAnsi="Tahoma" w:cs="Tahoma"/>
                <w:sz w:val="13"/>
              </w:rPr>
              <w:t>11/08</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25</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25</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FFFFF"/>
          </w:tcPr>
          <w:p w:rsidR="00A92422" w:rsidRPr="00D87B79" w:rsidRDefault="00A92422" w:rsidP="00EA30FC">
            <w:pPr>
              <w:pStyle w:val="TableText"/>
              <w:widowControl w:val="0"/>
              <w:rPr>
                <w:rFonts w:ascii="Tahoma" w:hAnsi="Tahoma" w:cs="Tahoma"/>
                <w:sz w:val="13"/>
              </w:rPr>
            </w:pPr>
          </w:p>
        </w:tc>
        <w:tc>
          <w:tcPr>
            <w:tcW w:w="486" w:type="dxa"/>
            <w:shd w:val="clear" w:color="auto" w:fill="FFFFF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287"/>
        </w:trPr>
        <w:tc>
          <w:tcPr>
            <w:tcW w:w="2714" w:type="dxa"/>
            <w:shd w:val="clear" w:color="auto" w:fill="FABF8F"/>
            <w:vAlign w:val="center"/>
          </w:tcPr>
          <w:p w:rsidR="00A92422" w:rsidRPr="00D87B79" w:rsidRDefault="00A92422" w:rsidP="00EA30FC">
            <w:pPr>
              <w:pStyle w:val="Heading2"/>
              <w:spacing w:beforeLines="20" w:before="48" w:afterLines="20" w:after="48"/>
              <w:ind w:left="0"/>
              <w:rPr>
                <w:rFonts w:ascii="Tahoma" w:hAnsi="Tahoma" w:cs="Tahoma"/>
                <w:b w:val="0"/>
                <w:sz w:val="14"/>
              </w:rPr>
            </w:pPr>
            <w:bookmarkStart w:id="560" w:name="_Toc336338114"/>
            <w:bookmarkStart w:id="561" w:name="_Toc342900162"/>
            <w:bookmarkEnd w:id="560"/>
            <w:r w:rsidRPr="00D87B79">
              <w:rPr>
                <w:rFonts w:ascii="Tahoma" w:hAnsi="Tahoma" w:cs="Tahoma"/>
                <w:b w:val="0"/>
                <w:sz w:val="14"/>
                <w:lang w:val="it-IT"/>
              </w:rPr>
              <w:t>Servizi di Windows Azure</w:t>
            </w:r>
            <w:bookmarkEnd w:id="561"/>
          </w:p>
        </w:tc>
        <w:bookmarkStart w:id="562" w:name="_Hlt335906200"/>
        <w:bookmarkStart w:id="563" w:name="_Hlt335906300"/>
        <w:bookmarkStart w:id="564" w:name="_Hlt336249818"/>
        <w:bookmarkStart w:id="565" w:name="_Hlt336250114"/>
        <w:bookmarkStart w:id="566" w:name="_Hlt336250148"/>
        <w:bookmarkStart w:id="567" w:name="_Hlt336251394"/>
        <w:bookmarkEnd w:id="562"/>
        <w:bookmarkEnd w:id="563"/>
        <w:bookmarkEnd w:id="564"/>
        <w:bookmarkEnd w:id="565"/>
        <w:bookmarkEnd w:id="566"/>
        <w:bookmarkEnd w:id="567"/>
        <w:tc>
          <w:tcPr>
            <w:tcW w:w="450" w:type="dxa"/>
            <w:shd w:val="clear" w:color="auto" w:fill="FABF8F"/>
            <w:vAlign w:val="center"/>
          </w:tcPr>
          <w:p w:rsidR="00A92422" w:rsidRPr="001E1017" w:rsidRDefault="00A92422" w:rsidP="00EA30FC">
            <w:pPr>
              <w:pStyle w:val="TableText"/>
              <w:widowControl w:val="0"/>
              <w:spacing w:before="100" w:beforeAutospacing="1"/>
              <w:rPr>
                <w:rFonts w:cs="Tahoma"/>
                <w:b/>
                <w:color w:val="0000FF"/>
                <w:sz w:val="13"/>
                <w:szCs w:val="13"/>
                <w:u w:val="single"/>
              </w:rPr>
            </w:pPr>
            <w:r w:rsidRPr="001E1017">
              <w:rPr>
                <w:rFonts w:cs="Tahoma"/>
                <w:sz w:val="13"/>
                <w:szCs w:val="13"/>
              </w:rPr>
              <w:fldChar w:fldCharType="begin"/>
            </w:r>
            <w:r w:rsidRPr="001E1017">
              <w:rPr>
                <w:rFonts w:cs="Tahoma"/>
                <w:sz w:val="13"/>
                <w:szCs w:val="13"/>
              </w:rPr>
              <w:instrText>HYPERLINK  \l "_94_Servizi_Windows"</w:instrText>
            </w:r>
            <w:r w:rsidRPr="001E1017">
              <w:rPr>
                <w:rFonts w:cs="Tahoma"/>
                <w:sz w:val="13"/>
                <w:szCs w:val="13"/>
              </w:rPr>
              <w:fldChar w:fldCharType="separate"/>
            </w:r>
            <w:r w:rsidRPr="001E1017">
              <w:rPr>
                <w:rStyle w:val="Hyperlink"/>
                <w:rFonts w:cs="Tahoma"/>
                <w:b/>
                <w:sz w:val="13"/>
                <w:szCs w:val="13"/>
              </w:rPr>
              <w:t>94</w:t>
            </w:r>
            <w:r w:rsidRPr="001E1017">
              <w:rPr>
                <w:rFonts w:cs="Tahoma"/>
                <w:sz w:val="13"/>
                <w:szCs w:val="13"/>
              </w:rPr>
              <w:fldChar w:fldCharType="end"/>
            </w:r>
          </w:p>
        </w:tc>
        <w:tc>
          <w:tcPr>
            <w:tcW w:w="450" w:type="dxa"/>
            <w:shd w:val="clear" w:color="auto" w:fill="FABF8F"/>
            <w:vAlign w:val="center"/>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11/11</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152"/>
        </w:trPr>
        <w:tc>
          <w:tcPr>
            <w:tcW w:w="2714" w:type="dxa"/>
            <w:shd w:val="clear" w:color="auto" w:fill="FFFFFF"/>
            <w:vAlign w:val="center"/>
          </w:tcPr>
          <w:p w:rsidR="00A92422" w:rsidRPr="00D87B79" w:rsidRDefault="00A92422" w:rsidP="00EA30FC">
            <w:pPr>
              <w:pStyle w:val="Heading2"/>
              <w:spacing w:before="20" w:after="20"/>
              <w:ind w:left="0"/>
              <w:rPr>
                <w:rFonts w:ascii="Tahoma" w:hAnsi="Tahoma" w:cs="Tahoma"/>
                <w:b w:val="0"/>
                <w:sz w:val="14"/>
                <w:szCs w:val="14"/>
              </w:rPr>
            </w:pPr>
            <w:bookmarkStart w:id="568" w:name="_Toc336338115"/>
            <w:bookmarkStart w:id="569" w:name="_Toc342900163"/>
            <w:bookmarkEnd w:id="568"/>
            <w:r w:rsidRPr="00D87B79">
              <w:rPr>
                <w:rFonts w:ascii="Tahoma" w:hAnsi="Tahoma" w:cs="Tahoma"/>
                <w:b w:val="0"/>
                <w:sz w:val="14"/>
                <w:lang w:val="it-IT"/>
              </w:rPr>
              <w:t>Windows</w:t>
            </w:r>
            <w:r w:rsidRPr="003A0F2F">
              <w:rPr>
                <w:rFonts w:ascii="Tahoma" w:hAnsi="Tahoma" w:cs="Tahoma"/>
                <w:b w:val="0"/>
                <w:sz w:val="14"/>
                <w:vertAlign w:val="superscript"/>
                <w:lang w:val="it-IT"/>
              </w:rPr>
              <w:t>®</w:t>
            </w:r>
            <w:r w:rsidRPr="00D87B79">
              <w:rPr>
                <w:rFonts w:ascii="Tahoma" w:hAnsi="Tahoma" w:cs="Tahoma"/>
                <w:b w:val="0"/>
                <w:sz w:val="14"/>
                <w:lang w:val="it-IT"/>
              </w:rPr>
              <w:t xml:space="preserve"> Embedded Device Manager</w:t>
            </w:r>
            <w:r>
              <w:rPr>
                <w:rFonts w:ascii="Tahoma" w:hAnsi="Tahoma" w:cs="Tahoma"/>
                <w:b w:val="0"/>
                <w:sz w:val="14"/>
                <w:lang w:val="it-IT"/>
              </w:rPr>
              <w:t> </w:t>
            </w:r>
            <w:r w:rsidRPr="00D87B79">
              <w:rPr>
                <w:rFonts w:ascii="Tahoma" w:hAnsi="Tahoma" w:cs="Tahoma"/>
                <w:b w:val="0"/>
                <w:sz w:val="14"/>
                <w:lang w:val="it-IT"/>
              </w:rPr>
              <w:t>2011</w:t>
            </w:r>
            <w:bookmarkEnd w:id="569"/>
          </w:p>
        </w:tc>
        <w:bookmarkStart w:id="570" w:name="_Hlt336251405"/>
        <w:bookmarkStart w:id="571" w:name="_Hlt336251494"/>
        <w:bookmarkEnd w:id="570"/>
        <w:bookmarkEnd w:id="571"/>
        <w:tc>
          <w:tcPr>
            <w:tcW w:w="450" w:type="dxa"/>
            <w:shd w:val="clear" w:color="auto" w:fill="FFFFFF"/>
            <w:vAlign w:val="center"/>
          </w:tcPr>
          <w:p w:rsidR="00A92422" w:rsidRPr="001E1017" w:rsidRDefault="00A92422" w:rsidP="00EA30FC">
            <w:pPr>
              <w:pStyle w:val="TableText"/>
              <w:widowControl w:val="0"/>
              <w:spacing w:before="100" w:beforeAutospacing="1"/>
              <w:rPr>
                <w:rFonts w:cs="Tahoma"/>
                <w:b/>
                <w:color w:val="0000FF"/>
                <w:sz w:val="13"/>
                <w:szCs w:val="13"/>
                <w:u w:val="single"/>
              </w:rPr>
            </w:pPr>
            <w:r w:rsidRPr="001E1017">
              <w:rPr>
                <w:rFonts w:cs="Tahoma"/>
                <w:sz w:val="13"/>
                <w:szCs w:val="13"/>
              </w:rPr>
              <w:fldChar w:fldCharType="begin"/>
            </w:r>
            <w:r w:rsidRPr="001E1017">
              <w:rPr>
                <w:rFonts w:cs="Tahoma"/>
                <w:sz w:val="13"/>
                <w:szCs w:val="13"/>
              </w:rPr>
              <w:instrText>HYPERLINK  \l "_95_Licenza_di"</w:instrText>
            </w:r>
            <w:r w:rsidRPr="001E1017">
              <w:rPr>
                <w:rFonts w:cs="Tahoma"/>
                <w:sz w:val="13"/>
                <w:szCs w:val="13"/>
              </w:rPr>
              <w:fldChar w:fldCharType="separate"/>
            </w:r>
            <w:r w:rsidRPr="001E1017">
              <w:rPr>
                <w:rStyle w:val="Hyperlink"/>
                <w:rFonts w:cs="Tahoma"/>
                <w:b/>
                <w:sz w:val="13"/>
                <w:szCs w:val="13"/>
              </w:rPr>
              <w:t>95</w:t>
            </w:r>
            <w:r w:rsidRPr="001E1017">
              <w:rPr>
                <w:rFonts w:cs="Tahoma"/>
                <w:sz w:val="13"/>
                <w:szCs w:val="13"/>
              </w:rPr>
              <w:fldChar w:fldCharType="end"/>
            </w:r>
          </w:p>
        </w:tc>
        <w:tc>
          <w:tcPr>
            <w:tcW w:w="450" w:type="dxa"/>
            <w:shd w:val="clear" w:color="auto" w:fill="FFFFFF"/>
            <w:vAlign w:val="center"/>
          </w:tcPr>
          <w:p w:rsidR="00A92422" w:rsidRPr="00D87B79" w:rsidRDefault="00A92422" w:rsidP="00EA30FC">
            <w:pPr>
              <w:pStyle w:val="TableText"/>
              <w:widowControl w:val="0"/>
              <w:spacing w:before="80"/>
              <w:rPr>
                <w:rFonts w:ascii="Tahoma" w:hAnsi="Tahoma" w:cs="Tahoma"/>
                <w:sz w:val="13"/>
              </w:rPr>
            </w:pP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FFFFF"/>
          </w:tcPr>
          <w:p w:rsidR="00A92422" w:rsidRPr="00D87B79" w:rsidRDefault="00A92422" w:rsidP="00EA30FC">
            <w:pPr>
              <w:pStyle w:val="TableText"/>
              <w:widowControl w:val="0"/>
              <w:rPr>
                <w:rFonts w:ascii="Tahoma" w:hAnsi="Tahoma" w:cs="Tahoma"/>
                <w:sz w:val="13"/>
              </w:rPr>
            </w:pPr>
          </w:p>
        </w:tc>
        <w:tc>
          <w:tcPr>
            <w:tcW w:w="486" w:type="dxa"/>
            <w:shd w:val="clear" w:color="auto" w:fill="FFFFF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287"/>
        </w:trPr>
        <w:tc>
          <w:tcPr>
            <w:tcW w:w="2714" w:type="dxa"/>
            <w:shd w:val="clear" w:color="auto" w:fill="FABF8F"/>
            <w:vAlign w:val="center"/>
          </w:tcPr>
          <w:p w:rsidR="00A92422" w:rsidRPr="00D87B79" w:rsidRDefault="00A92422" w:rsidP="00EA30FC">
            <w:pPr>
              <w:pStyle w:val="Heading2"/>
              <w:spacing w:before="20" w:after="20"/>
              <w:ind w:left="0"/>
              <w:rPr>
                <w:rFonts w:ascii="Tahoma" w:hAnsi="Tahoma" w:cs="Tahoma"/>
                <w:b w:val="0"/>
                <w:sz w:val="14"/>
                <w:szCs w:val="14"/>
              </w:rPr>
            </w:pPr>
            <w:bookmarkStart w:id="572" w:name="_Toc336338116"/>
            <w:bookmarkStart w:id="573" w:name="_Toc342900164"/>
            <w:bookmarkEnd w:id="572"/>
            <w:r w:rsidRPr="00D87B79">
              <w:rPr>
                <w:rFonts w:ascii="Tahoma" w:hAnsi="Tahoma" w:cs="Tahoma"/>
                <w:b w:val="0"/>
                <w:sz w:val="14"/>
                <w:lang w:val="it-IT"/>
              </w:rPr>
              <w:t>Licenza di Gestione Client per OSE per</w:t>
            </w:r>
            <w:r>
              <w:rPr>
                <w:rFonts w:ascii="Tahoma" w:hAnsi="Tahoma" w:cs="Tahoma"/>
                <w:b w:val="0"/>
                <w:sz w:val="14"/>
                <w:lang w:val="it-IT"/>
              </w:rPr>
              <w:t> </w:t>
            </w:r>
            <w:r w:rsidRPr="00D87B79">
              <w:rPr>
                <w:rFonts w:ascii="Tahoma" w:hAnsi="Tahoma" w:cs="Tahoma"/>
                <w:b w:val="0"/>
                <w:sz w:val="14"/>
                <w:lang w:val="it-IT"/>
              </w:rPr>
              <w:t>Windows</w:t>
            </w:r>
            <w:r w:rsidRPr="003A0F2F">
              <w:rPr>
                <w:rFonts w:ascii="Tahoma" w:hAnsi="Tahoma" w:cs="Tahoma"/>
                <w:b w:val="0"/>
                <w:sz w:val="14"/>
                <w:vertAlign w:val="superscript"/>
                <w:lang w:val="it-IT"/>
              </w:rPr>
              <w:t>®</w:t>
            </w:r>
            <w:r w:rsidRPr="00D87B79">
              <w:rPr>
                <w:rFonts w:ascii="Tahoma" w:hAnsi="Tahoma" w:cs="Tahoma"/>
                <w:b w:val="0"/>
                <w:sz w:val="14"/>
                <w:lang w:val="it-IT"/>
              </w:rPr>
              <w:t xml:space="preserve"> Embedded Device Manager</w:t>
            </w:r>
            <w:r>
              <w:rPr>
                <w:rFonts w:ascii="Tahoma" w:hAnsi="Tahoma" w:cs="Tahoma"/>
                <w:b w:val="0"/>
                <w:sz w:val="14"/>
                <w:lang w:val="it-IT"/>
              </w:rPr>
              <w:t> </w:t>
            </w:r>
            <w:r w:rsidRPr="00D87B79">
              <w:rPr>
                <w:rFonts w:ascii="Tahoma" w:hAnsi="Tahoma" w:cs="Tahoma"/>
                <w:b w:val="0"/>
                <w:sz w:val="14"/>
                <w:lang w:val="it-IT"/>
              </w:rPr>
              <w:t>2011</w:t>
            </w:r>
            <w:bookmarkEnd w:id="573"/>
          </w:p>
        </w:tc>
        <w:tc>
          <w:tcPr>
            <w:tcW w:w="450" w:type="dxa"/>
            <w:shd w:val="clear" w:color="auto" w:fill="FABF8F"/>
            <w:vAlign w:val="center"/>
          </w:tcPr>
          <w:p w:rsidR="00A92422" w:rsidRPr="001E1017" w:rsidRDefault="00A92422" w:rsidP="00EA30FC">
            <w:pPr>
              <w:pStyle w:val="TableText"/>
              <w:widowControl w:val="0"/>
              <w:spacing w:before="100" w:beforeAutospacing="1"/>
              <w:rPr>
                <w:rFonts w:cs="Tahoma"/>
                <w:color w:val="0000FF"/>
                <w:sz w:val="13"/>
                <w:szCs w:val="13"/>
              </w:rPr>
            </w:pPr>
          </w:p>
        </w:tc>
        <w:tc>
          <w:tcPr>
            <w:tcW w:w="450" w:type="dxa"/>
            <w:shd w:val="clear" w:color="auto" w:fill="FABF8F"/>
            <w:vAlign w:val="center"/>
          </w:tcPr>
          <w:p w:rsidR="00A92422" w:rsidRPr="00D87B79" w:rsidRDefault="00A92422" w:rsidP="00EA30FC">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tcPr>
          <w:p w:rsidR="00A92422" w:rsidRPr="00D87B79" w:rsidRDefault="00A92422" w:rsidP="00EA30FC">
            <w:pPr>
              <w:pStyle w:val="TableText"/>
              <w:widowControl w:val="0"/>
              <w:rPr>
                <w:rFonts w:ascii="Tahoma" w:hAnsi="Tahoma" w:cs="Tahoma"/>
                <w:sz w:val="13"/>
              </w:rPr>
            </w:pP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287"/>
        </w:trPr>
        <w:tc>
          <w:tcPr>
            <w:tcW w:w="2714" w:type="dxa"/>
            <w:shd w:val="clear" w:color="auto" w:fill="FFFFFF"/>
            <w:vAlign w:val="center"/>
          </w:tcPr>
          <w:p w:rsidR="00A92422" w:rsidRPr="00D87B79" w:rsidRDefault="00A92422" w:rsidP="00EA30FC">
            <w:pPr>
              <w:pStyle w:val="Heading2"/>
              <w:spacing w:before="20" w:after="20"/>
              <w:ind w:left="0"/>
              <w:rPr>
                <w:rFonts w:ascii="Tahoma" w:hAnsi="Tahoma" w:cs="Tahoma"/>
                <w:b w:val="0"/>
                <w:sz w:val="14"/>
                <w:szCs w:val="14"/>
              </w:rPr>
            </w:pPr>
            <w:bookmarkStart w:id="574" w:name="_Toc336338117"/>
            <w:bookmarkStart w:id="575" w:name="_Toc342900165"/>
            <w:bookmarkEnd w:id="574"/>
            <w:r w:rsidRPr="00D87B79">
              <w:rPr>
                <w:rFonts w:ascii="Tahoma" w:hAnsi="Tahoma" w:cs="Tahoma"/>
                <w:b w:val="0"/>
                <w:sz w:val="14"/>
                <w:lang w:val="it-IT"/>
              </w:rPr>
              <w:t>Licenza di Gestione Client per Utente per</w:t>
            </w:r>
            <w:r>
              <w:rPr>
                <w:rFonts w:ascii="Tahoma" w:hAnsi="Tahoma" w:cs="Tahoma"/>
                <w:b w:val="0"/>
                <w:sz w:val="14"/>
                <w:lang w:val="it-IT"/>
              </w:rPr>
              <w:t> </w:t>
            </w:r>
            <w:r w:rsidRPr="00D87B79">
              <w:rPr>
                <w:rFonts w:ascii="Tahoma" w:hAnsi="Tahoma" w:cs="Tahoma"/>
                <w:b w:val="0"/>
                <w:sz w:val="14"/>
                <w:lang w:val="it-IT"/>
              </w:rPr>
              <w:t>Windows</w:t>
            </w:r>
            <w:r w:rsidRPr="003A0F2F">
              <w:rPr>
                <w:rFonts w:ascii="Tahoma" w:hAnsi="Tahoma" w:cs="Tahoma"/>
                <w:b w:val="0"/>
                <w:sz w:val="14"/>
                <w:vertAlign w:val="superscript"/>
                <w:lang w:val="it-IT"/>
              </w:rPr>
              <w:t>®</w:t>
            </w:r>
            <w:r w:rsidRPr="00D87B79">
              <w:rPr>
                <w:rFonts w:ascii="Tahoma" w:hAnsi="Tahoma" w:cs="Tahoma"/>
                <w:b w:val="0"/>
                <w:sz w:val="14"/>
                <w:lang w:val="it-IT"/>
              </w:rPr>
              <w:t xml:space="preserve"> Embedded Device Manager</w:t>
            </w:r>
            <w:r>
              <w:rPr>
                <w:rFonts w:ascii="Tahoma" w:hAnsi="Tahoma" w:cs="Tahoma"/>
                <w:b w:val="0"/>
                <w:sz w:val="14"/>
                <w:lang w:val="it-IT"/>
              </w:rPr>
              <w:t> </w:t>
            </w:r>
            <w:r w:rsidRPr="00D87B79">
              <w:rPr>
                <w:rFonts w:ascii="Tahoma" w:hAnsi="Tahoma" w:cs="Tahoma"/>
                <w:b w:val="0"/>
                <w:sz w:val="14"/>
                <w:lang w:val="it-IT"/>
              </w:rPr>
              <w:t>2011</w:t>
            </w:r>
            <w:bookmarkEnd w:id="575"/>
          </w:p>
        </w:tc>
        <w:tc>
          <w:tcPr>
            <w:tcW w:w="450" w:type="dxa"/>
            <w:shd w:val="clear" w:color="auto" w:fill="FFFFFF"/>
            <w:vAlign w:val="center"/>
          </w:tcPr>
          <w:p w:rsidR="00A92422" w:rsidRPr="001E1017" w:rsidRDefault="00A92422" w:rsidP="00EA30FC">
            <w:pPr>
              <w:pStyle w:val="TableText"/>
              <w:widowControl w:val="0"/>
              <w:spacing w:before="100" w:beforeAutospacing="1"/>
              <w:rPr>
                <w:rFonts w:cs="Tahoma"/>
                <w:b/>
                <w:color w:val="0000FF"/>
                <w:sz w:val="13"/>
                <w:szCs w:val="13"/>
              </w:rPr>
            </w:pPr>
            <w:hyperlink w:anchor="_96_Licenza_di" w:history="1">
              <w:r w:rsidRPr="001E1017">
                <w:rPr>
                  <w:rStyle w:val="Hyperlink"/>
                  <w:rFonts w:cs="Tahoma"/>
                  <w:b/>
                  <w:sz w:val="13"/>
                  <w:szCs w:val="13"/>
                </w:rPr>
                <w:t>96</w:t>
              </w:r>
            </w:hyperlink>
          </w:p>
        </w:tc>
        <w:tc>
          <w:tcPr>
            <w:tcW w:w="450" w:type="dxa"/>
            <w:shd w:val="clear" w:color="auto" w:fill="FFFFFF"/>
            <w:vAlign w:val="center"/>
          </w:tcPr>
          <w:p w:rsidR="00A92422" w:rsidRPr="00D87B79" w:rsidRDefault="00A92422" w:rsidP="00EA30FC">
            <w:pPr>
              <w:pStyle w:val="TableText"/>
              <w:widowControl w:val="0"/>
              <w:spacing w:before="80"/>
              <w:rPr>
                <w:rFonts w:ascii="Tahoma" w:hAnsi="Tahoma" w:cs="Tahoma"/>
                <w:sz w:val="13"/>
              </w:rPr>
            </w:pP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FFFFF"/>
          </w:tcPr>
          <w:p w:rsidR="00A92422" w:rsidRPr="00D87B79" w:rsidRDefault="00A92422" w:rsidP="00EA30FC">
            <w:pPr>
              <w:pStyle w:val="TableText"/>
              <w:widowControl w:val="0"/>
              <w:rPr>
                <w:rFonts w:ascii="Tahoma" w:hAnsi="Tahoma" w:cs="Tahoma"/>
                <w:sz w:val="13"/>
              </w:rPr>
            </w:pPr>
          </w:p>
        </w:tc>
        <w:tc>
          <w:tcPr>
            <w:tcW w:w="486" w:type="dxa"/>
            <w:shd w:val="clear" w:color="auto" w:fill="FFFFF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287"/>
        </w:trPr>
        <w:tc>
          <w:tcPr>
            <w:tcW w:w="2714" w:type="dxa"/>
            <w:shd w:val="clear" w:color="auto" w:fill="FABF8F"/>
            <w:vAlign w:val="center"/>
          </w:tcPr>
          <w:p w:rsidR="00A92422" w:rsidRPr="00D87B79" w:rsidRDefault="00A92422" w:rsidP="00EA30FC">
            <w:pPr>
              <w:pStyle w:val="Heading2"/>
              <w:spacing w:before="20" w:after="20"/>
              <w:ind w:left="0"/>
              <w:rPr>
                <w:rFonts w:ascii="Tahoma" w:hAnsi="Tahoma" w:cs="Tahoma"/>
                <w:b w:val="0"/>
                <w:sz w:val="14"/>
                <w:szCs w:val="14"/>
              </w:rPr>
            </w:pPr>
            <w:bookmarkStart w:id="576" w:name="_Toc336338118"/>
            <w:bookmarkStart w:id="577" w:name="_Toc342900166"/>
            <w:bookmarkEnd w:id="576"/>
            <w:r w:rsidRPr="00D87B79">
              <w:rPr>
                <w:rFonts w:ascii="Tahoma" w:hAnsi="Tahoma" w:cs="Tahoma"/>
                <w:b w:val="0"/>
                <w:sz w:val="14"/>
                <w:lang w:val="it-IT"/>
              </w:rPr>
              <w:t>Windows</w:t>
            </w:r>
            <w:r w:rsidRPr="003A0F2F">
              <w:rPr>
                <w:rFonts w:ascii="Tahoma" w:hAnsi="Tahoma" w:cs="Tahoma"/>
                <w:b w:val="0"/>
                <w:sz w:val="14"/>
                <w:vertAlign w:val="superscript"/>
                <w:lang w:val="it-IT"/>
              </w:rPr>
              <w:t>®</w:t>
            </w:r>
            <w:r w:rsidRPr="00D87B79">
              <w:rPr>
                <w:rFonts w:ascii="Tahoma" w:hAnsi="Tahoma" w:cs="Tahoma"/>
                <w:b w:val="0"/>
                <w:sz w:val="14"/>
                <w:lang w:val="it-IT"/>
              </w:rPr>
              <w:t xml:space="preserve"> Embedded Device Manager 2011 con Tecnologia SQL Server</w:t>
            </w:r>
            <w:r w:rsidRPr="003A0F2F">
              <w:rPr>
                <w:rFonts w:ascii="Tahoma" w:hAnsi="Tahoma" w:cs="Tahoma"/>
                <w:b w:val="0"/>
                <w:sz w:val="14"/>
                <w:vertAlign w:val="superscript"/>
                <w:lang w:val="it-IT"/>
              </w:rPr>
              <w:t>®</w:t>
            </w:r>
            <w:r w:rsidRPr="00D87B79">
              <w:rPr>
                <w:rFonts w:ascii="Tahoma" w:hAnsi="Tahoma" w:cs="Tahoma"/>
                <w:b w:val="0"/>
                <w:sz w:val="14"/>
                <w:lang w:val="it-IT"/>
              </w:rPr>
              <w:t xml:space="preserve"> 2008</w:t>
            </w:r>
            <w:bookmarkEnd w:id="577"/>
          </w:p>
        </w:tc>
        <w:tc>
          <w:tcPr>
            <w:tcW w:w="450" w:type="dxa"/>
            <w:shd w:val="clear" w:color="auto" w:fill="FABF8F"/>
            <w:vAlign w:val="center"/>
          </w:tcPr>
          <w:p w:rsidR="00A92422" w:rsidRPr="001E1017" w:rsidRDefault="00A92422" w:rsidP="00EA30FC">
            <w:pPr>
              <w:pStyle w:val="TableText"/>
              <w:widowControl w:val="0"/>
              <w:spacing w:before="100" w:beforeAutospacing="1"/>
              <w:rPr>
                <w:rFonts w:cs="Tahoma"/>
                <w:b/>
                <w:color w:val="0000FF"/>
                <w:sz w:val="13"/>
                <w:szCs w:val="13"/>
                <w:u w:val="single"/>
              </w:rPr>
            </w:pPr>
            <w:hyperlink w:anchor="_96_Windows_Embedded" w:history="1">
              <w:r w:rsidRPr="001E1017">
                <w:rPr>
                  <w:rStyle w:val="Hyperlink"/>
                  <w:rFonts w:cs="Tahoma"/>
                  <w:b/>
                  <w:sz w:val="13"/>
                  <w:szCs w:val="13"/>
                </w:rPr>
                <w:t>96</w:t>
              </w:r>
            </w:hyperlink>
          </w:p>
        </w:tc>
        <w:tc>
          <w:tcPr>
            <w:tcW w:w="450" w:type="dxa"/>
            <w:shd w:val="clear" w:color="auto" w:fill="FABF8F"/>
            <w:vAlign w:val="center"/>
          </w:tcPr>
          <w:p w:rsidR="00A92422" w:rsidRPr="00D87B79" w:rsidRDefault="00A92422" w:rsidP="00EA30FC">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tcPr>
          <w:p w:rsidR="00A92422" w:rsidRPr="00D87B79" w:rsidRDefault="00A92422" w:rsidP="00EA30FC">
            <w:pPr>
              <w:pStyle w:val="TableText"/>
              <w:widowControl w:val="0"/>
              <w:rPr>
                <w:rFonts w:ascii="Tahoma" w:hAnsi="Tahoma" w:cs="Tahoma"/>
                <w:sz w:val="13"/>
              </w:rPr>
            </w:pP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287"/>
        </w:trPr>
        <w:tc>
          <w:tcPr>
            <w:tcW w:w="2714" w:type="dxa"/>
            <w:shd w:val="clear" w:color="auto" w:fill="FFFFFF"/>
            <w:vAlign w:val="center"/>
          </w:tcPr>
          <w:p w:rsidR="00A92422" w:rsidRPr="00D87B79" w:rsidRDefault="00A92422" w:rsidP="00EA30FC">
            <w:pPr>
              <w:pStyle w:val="Heading2"/>
              <w:spacing w:before="20" w:after="20"/>
              <w:ind w:left="0"/>
              <w:rPr>
                <w:rFonts w:ascii="Tahoma" w:hAnsi="Tahoma" w:cs="Tahoma"/>
                <w:b w:val="0"/>
                <w:sz w:val="14"/>
                <w:szCs w:val="14"/>
              </w:rPr>
            </w:pPr>
            <w:bookmarkStart w:id="578" w:name="_Toc336338119"/>
            <w:bookmarkStart w:id="579" w:name="_Toc342900167"/>
            <w:bookmarkEnd w:id="578"/>
            <w:r w:rsidRPr="00D87B79">
              <w:rPr>
                <w:rFonts w:ascii="Tahoma" w:hAnsi="Tahoma" w:cs="Tahoma"/>
                <w:b w:val="0"/>
                <w:sz w:val="14"/>
                <w:szCs w:val="14"/>
                <w:lang w:val="it-IT"/>
              </w:rPr>
              <w:t>Windows Essential Business Server 2008</w:t>
            </w:r>
            <w:r>
              <w:rPr>
                <w:rFonts w:ascii="Tahoma" w:hAnsi="Tahoma" w:cs="Tahoma"/>
                <w:b w:val="0"/>
                <w:sz w:val="14"/>
                <w:szCs w:val="14"/>
                <w:lang w:val="it-IT"/>
              </w:rPr>
              <w:t> </w:t>
            </w:r>
            <w:r w:rsidRPr="00D87B79">
              <w:rPr>
                <w:rFonts w:ascii="Tahoma" w:hAnsi="Tahoma" w:cs="Tahoma"/>
                <w:b w:val="0"/>
                <w:sz w:val="14"/>
                <w:szCs w:val="14"/>
                <w:lang w:val="it-IT"/>
              </w:rPr>
              <w:t>Standard</w:t>
            </w:r>
            <w:bookmarkEnd w:id="579"/>
          </w:p>
        </w:tc>
        <w:tc>
          <w:tcPr>
            <w:tcW w:w="450" w:type="dxa"/>
            <w:shd w:val="clear" w:color="auto" w:fill="FFFFFF"/>
            <w:vAlign w:val="center"/>
          </w:tcPr>
          <w:p w:rsidR="00A92422" w:rsidRPr="001E1017" w:rsidRDefault="00A92422" w:rsidP="00EA30FC">
            <w:pPr>
              <w:pStyle w:val="TableText"/>
              <w:widowControl w:val="0"/>
              <w:spacing w:before="100" w:beforeAutospacing="1"/>
              <w:rPr>
                <w:rStyle w:val="EndnoteReference"/>
                <w:rFonts w:cs="Tahoma"/>
                <w:b w:val="0"/>
                <w:color w:val="0000FF"/>
                <w:sz w:val="13"/>
                <w:szCs w:val="13"/>
                <w:u w:val="single"/>
              </w:rPr>
            </w:pPr>
            <w:hyperlink w:anchor="_97_EBS_2008" w:history="1">
              <w:r w:rsidRPr="001E1017">
                <w:rPr>
                  <w:rStyle w:val="Hyperlink"/>
                  <w:rFonts w:cs="Tahoma"/>
                  <w:b/>
                  <w:sz w:val="13"/>
                  <w:szCs w:val="13"/>
                </w:rPr>
                <w:t>97</w:t>
              </w:r>
            </w:hyperlink>
          </w:p>
        </w:tc>
        <w:tc>
          <w:tcPr>
            <w:tcW w:w="450" w:type="dxa"/>
            <w:shd w:val="clear" w:color="auto" w:fill="FFFFFF"/>
            <w:vAlign w:val="center"/>
          </w:tcPr>
          <w:p w:rsidR="00A92422" w:rsidRPr="00D87B79" w:rsidRDefault="00A92422" w:rsidP="00EA30FC">
            <w:pPr>
              <w:pStyle w:val="TableText"/>
              <w:widowControl w:val="0"/>
              <w:spacing w:before="80"/>
              <w:rPr>
                <w:rFonts w:ascii="Tahoma" w:hAnsi="Tahoma" w:cs="Tahoma"/>
                <w:sz w:val="13"/>
              </w:rPr>
            </w:pP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FFFFF"/>
          </w:tcPr>
          <w:p w:rsidR="00A92422" w:rsidRPr="00D87B79" w:rsidRDefault="00A92422" w:rsidP="00EA30FC">
            <w:pPr>
              <w:pStyle w:val="TableText"/>
              <w:widowControl w:val="0"/>
              <w:rPr>
                <w:rFonts w:ascii="Tahoma" w:hAnsi="Tahoma" w:cs="Tahoma"/>
                <w:sz w:val="13"/>
              </w:rPr>
            </w:pPr>
          </w:p>
        </w:tc>
        <w:tc>
          <w:tcPr>
            <w:tcW w:w="486" w:type="dxa"/>
            <w:shd w:val="clear" w:color="auto" w:fill="FFFFF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287"/>
        </w:trPr>
        <w:tc>
          <w:tcPr>
            <w:tcW w:w="2714" w:type="dxa"/>
            <w:shd w:val="clear" w:color="auto" w:fill="FABF8F"/>
            <w:vAlign w:val="center"/>
          </w:tcPr>
          <w:p w:rsidR="00A92422" w:rsidRPr="00D87B79" w:rsidRDefault="00A92422" w:rsidP="00EA30FC">
            <w:pPr>
              <w:pStyle w:val="Heading2"/>
              <w:spacing w:before="20" w:after="20"/>
              <w:ind w:left="0"/>
              <w:rPr>
                <w:rFonts w:ascii="Tahoma" w:hAnsi="Tahoma" w:cs="Tahoma"/>
                <w:b w:val="0"/>
                <w:sz w:val="14"/>
                <w:szCs w:val="14"/>
              </w:rPr>
            </w:pPr>
            <w:bookmarkStart w:id="580" w:name="_Toc336338120"/>
            <w:bookmarkStart w:id="581" w:name="_Toc342900168"/>
            <w:bookmarkEnd w:id="580"/>
            <w:r w:rsidRPr="00D87B79">
              <w:rPr>
                <w:rFonts w:ascii="Tahoma" w:hAnsi="Tahoma" w:cs="Tahoma"/>
                <w:b w:val="0"/>
                <w:sz w:val="14"/>
                <w:szCs w:val="14"/>
                <w:lang w:val="it-IT"/>
              </w:rPr>
              <w:t>CAL Suite per Windows Essential Business</w:t>
            </w:r>
            <w:r>
              <w:rPr>
                <w:rFonts w:ascii="Tahoma" w:hAnsi="Tahoma" w:cs="Tahoma"/>
                <w:b w:val="0"/>
                <w:sz w:val="14"/>
                <w:szCs w:val="14"/>
                <w:lang w:val="it-IT"/>
              </w:rPr>
              <w:t> </w:t>
            </w:r>
            <w:r w:rsidRPr="00D87B79">
              <w:rPr>
                <w:rFonts w:ascii="Tahoma" w:hAnsi="Tahoma" w:cs="Tahoma"/>
                <w:b w:val="0"/>
                <w:sz w:val="14"/>
                <w:szCs w:val="14"/>
                <w:lang w:val="it-IT"/>
              </w:rPr>
              <w:t>Server 2008</w:t>
            </w:r>
            <w:bookmarkEnd w:id="581"/>
          </w:p>
        </w:tc>
        <w:tc>
          <w:tcPr>
            <w:tcW w:w="450" w:type="dxa"/>
            <w:shd w:val="clear" w:color="auto" w:fill="FABF8F"/>
            <w:vAlign w:val="center"/>
          </w:tcPr>
          <w:p w:rsidR="00A92422" w:rsidRPr="001E1017" w:rsidRDefault="00A92422" w:rsidP="00EA30FC">
            <w:pPr>
              <w:pStyle w:val="TableText"/>
              <w:widowControl w:val="0"/>
              <w:spacing w:before="100" w:beforeAutospacing="1"/>
              <w:rPr>
                <w:rStyle w:val="EndnoteReference"/>
                <w:rFonts w:cs="Tahoma"/>
                <w:color w:val="0000FF"/>
                <w:sz w:val="13"/>
                <w:szCs w:val="13"/>
              </w:rPr>
            </w:pPr>
          </w:p>
        </w:tc>
        <w:tc>
          <w:tcPr>
            <w:tcW w:w="450" w:type="dxa"/>
            <w:shd w:val="clear" w:color="auto" w:fill="FABF8F"/>
            <w:vAlign w:val="center"/>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11/08</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tcPr>
          <w:p w:rsidR="00A92422" w:rsidRPr="00D87B79" w:rsidRDefault="00A92422" w:rsidP="00EA30FC">
            <w:pPr>
              <w:pStyle w:val="TableText"/>
              <w:widowControl w:val="0"/>
              <w:rPr>
                <w:rFonts w:ascii="Tahoma" w:hAnsi="Tahoma" w:cs="Tahoma"/>
                <w:sz w:val="13"/>
              </w:rPr>
            </w:pP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287"/>
        </w:trPr>
        <w:tc>
          <w:tcPr>
            <w:tcW w:w="2714" w:type="dxa"/>
            <w:shd w:val="clear" w:color="auto" w:fill="FFFFFF"/>
            <w:vAlign w:val="center"/>
          </w:tcPr>
          <w:p w:rsidR="00A92422" w:rsidRPr="00D87B79" w:rsidRDefault="00A92422" w:rsidP="00EA30FC">
            <w:pPr>
              <w:pStyle w:val="Heading2"/>
              <w:spacing w:before="20" w:after="20"/>
              <w:ind w:left="0"/>
              <w:rPr>
                <w:rFonts w:ascii="Tahoma" w:hAnsi="Tahoma" w:cs="Tahoma"/>
                <w:b w:val="0"/>
                <w:sz w:val="14"/>
                <w:szCs w:val="14"/>
              </w:rPr>
            </w:pPr>
            <w:bookmarkStart w:id="582" w:name="_Toc336338121"/>
            <w:bookmarkStart w:id="583" w:name="_Toc342900169"/>
            <w:bookmarkEnd w:id="582"/>
            <w:r w:rsidRPr="00D87B79">
              <w:rPr>
                <w:rFonts w:ascii="Tahoma" w:hAnsi="Tahoma" w:cs="Tahoma"/>
                <w:b w:val="0"/>
                <w:sz w:val="14"/>
                <w:szCs w:val="14"/>
                <w:lang w:val="it-IT"/>
              </w:rPr>
              <w:t>CAL Suite per Windows Essential Business Server 2008 (5 client)</w:t>
            </w:r>
            <w:bookmarkEnd w:id="583"/>
          </w:p>
        </w:tc>
        <w:tc>
          <w:tcPr>
            <w:tcW w:w="450" w:type="dxa"/>
            <w:shd w:val="clear" w:color="auto" w:fill="FFFFFF"/>
            <w:vAlign w:val="center"/>
          </w:tcPr>
          <w:p w:rsidR="00A92422" w:rsidRPr="001E1017" w:rsidRDefault="00A92422" w:rsidP="00EA30FC">
            <w:pPr>
              <w:pStyle w:val="TableText"/>
              <w:widowControl w:val="0"/>
              <w:spacing w:before="100" w:beforeAutospacing="1"/>
              <w:rPr>
                <w:rStyle w:val="EndnoteReference"/>
                <w:rFonts w:cs="Tahoma"/>
                <w:color w:val="0000FF"/>
                <w:sz w:val="13"/>
                <w:szCs w:val="13"/>
              </w:rPr>
            </w:pPr>
          </w:p>
        </w:tc>
        <w:tc>
          <w:tcPr>
            <w:tcW w:w="450" w:type="dxa"/>
            <w:shd w:val="clear" w:color="auto" w:fill="FFFFFF"/>
            <w:vAlign w:val="center"/>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11/08</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FFFFF"/>
          </w:tcPr>
          <w:p w:rsidR="00A92422" w:rsidRPr="00D87B79" w:rsidRDefault="00A92422" w:rsidP="00EA30FC">
            <w:pPr>
              <w:pStyle w:val="TableText"/>
              <w:widowControl w:val="0"/>
              <w:rPr>
                <w:rFonts w:ascii="Tahoma" w:hAnsi="Tahoma" w:cs="Tahoma"/>
                <w:sz w:val="13"/>
              </w:rPr>
            </w:pPr>
          </w:p>
        </w:tc>
        <w:tc>
          <w:tcPr>
            <w:tcW w:w="486"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OL</w:t>
            </w:r>
          </w:p>
        </w:tc>
      </w:tr>
      <w:tr w:rsidR="00A92422" w:rsidRPr="00D87B79" w:rsidTr="00EA30FC">
        <w:trPr>
          <w:trHeight w:val="287"/>
        </w:trPr>
        <w:tc>
          <w:tcPr>
            <w:tcW w:w="2714" w:type="dxa"/>
            <w:shd w:val="clear" w:color="auto" w:fill="FABF8F"/>
            <w:vAlign w:val="center"/>
          </w:tcPr>
          <w:p w:rsidR="00A92422" w:rsidRPr="00D87B79" w:rsidRDefault="00A92422" w:rsidP="00EA30FC">
            <w:pPr>
              <w:pStyle w:val="Heading2"/>
              <w:spacing w:before="20" w:after="20"/>
              <w:ind w:left="0"/>
              <w:rPr>
                <w:rFonts w:ascii="Tahoma" w:hAnsi="Tahoma" w:cs="Tahoma"/>
                <w:b w:val="0"/>
                <w:sz w:val="14"/>
                <w:szCs w:val="14"/>
              </w:rPr>
            </w:pPr>
            <w:bookmarkStart w:id="584" w:name="_Toc336338122"/>
            <w:bookmarkStart w:id="585" w:name="_Toc342900170"/>
            <w:bookmarkEnd w:id="584"/>
            <w:r w:rsidRPr="00D87B79">
              <w:rPr>
                <w:rFonts w:ascii="Tahoma" w:hAnsi="Tahoma" w:cs="Tahoma"/>
                <w:b w:val="0"/>
                <w:color w:val="000000"/>
                <w:sz w:val="14"/>
                <w:lang w:val="it-IT"/>
              </w:rPr>
              <w:t>CAL Suite per Windows Essential Business Server 2008 (20 client)</w:t>
            </w:r>
            <w:bookmarkEnd w:id="585"/>
          </w:p>
        </w:tc>
        <w:tc>
          <w:tcPr>
            <w:tcW w:w="450" w:type="dxa"/>
            <w:shd w:val="clear" w:color="auto" w:fill="FABF8F"/>
            <w:vAlign w:val="center"/>
          </w:tcPr>
          <w:p w:rsidR="00A92422" w:rsidRPr="001E1017" w:rsidRDefault="00A92422" w:rsidP="00EA30FC">
            <w:pPr>
              <w:pStyle w:val="TableText"/>
              <w:widowControl w:val="0"/>
              <w:spacing w:before="100" w:beforeAutospacing="1"/>
              <w:rPr>
                <w:rStyle w:val="EndnoteReference"/>
                <w:rFonts w:cs="Tahoma"/>
                <w:color w:val="0000FF"/>
                <w:sz w:val="13"/>
                <w:szCs w:val="13"/>
              </w:rPr>
            </w:pPr>
          </w:p>
        </w:tc>
        <w:tc>
          <w:tcPr>
            <w:tcW w:w="450" w:type="dxa"/>
            <w:shd w:val="clear" w:color="auto" w:fill="FABF8F"/>
            <w:vAlign w:val="center"/>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11/08</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25</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ABF8F"/>
          </w:tcPr>
          <w:p w:rsidR="00A92422" w:rsidRPr="00D87B79" w:rsidRDefault="00A92422" w:rsidP="00EA30FC">
            <w:pPr>
              <w:pStyle w:val="TableText"/>
              <w:widowControl w:val="0"/>
              <w:rPr>
                <w:rFonts w:ascii="Tahoma" w:hAnsi="Tahoma" w:cs="Tahoma"/>
                <w:sz w:val="13"/>
              </w:rPr>
            </w:pP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OL</w:t>
            </w:r>
          </w:p>
        </w:tc>
      </w:tr>
      <w:tr w:rsidR="00A92422" w:rsidRPr="00D87B79" w:rsidTr="00EA30FC">
        <w:trPr>
          <w:trHeight w:val="287"/>
        </w:trPr>
        <w:tc>
          <w:tcPr>
            <w:tcW w:w="2714" w:type="dxa"/>
            <w:shd w:val="clear" w:color="auto" w:fill="FFFFFF"/>
            <w:vAlign w:val="center"/>
          </w:tcPr>
          <w:p w:rsidR="00A92422" w:rsidRPr="00D87B79" w:rsidRDefault="00A92422" w:rsidP="00EA30FC">
            <w:pPr>
              <w:pStyle w:val="Heading2"/>
              <w:spacing w:before="20" w:after="20"/>
              <w:ind w:left="0"/>
              <w:rPr>
                <w:rFonts w:ascii="Tahoma" w:hAnsi="Tahoma" w:cs="Tahoma"/>
                <w:b w:val="0"/>
                <w:sz w:val="14"/>
                <w:szCs w:val="14"/>
              </w:rPr>
            </w:pPr>
            <w:bookmarkStart w:id="586" w:name="_Toc336338123"/>
            <w:bookmarkStart w:id="587" w:name="_Toc342900171"/>
            <w:bookmarkEnd w:id="586"/>
            <w:r w:rsidRPr="00D87B79">
              <w:rPr>
                <w:rFonts w:ascii="Tahoma" w:hAnsi="Tahoma" w:cs="Tahoma"/>
                <w:b w:val="0"/>
                <w:sz w:val="14"/>
                <w:szCs w:val="14"/>
                <w:lang w:val="it-IT"/>
              </w:rPr>
              <w:t>CAL Suite per Windows Essential Business Server 2008 (50 client)</w:t>
            </w:r>
            <w:bookmarkEnd w:id="587"/>
          </w:p>
        </w:tc>
        <w:tc>
          <w:tcPr>
            <w:tcW w:w="450" w:type="dxa"/>
            <w:shd w:val="clear" w:color="auto" w:fill="FFFFFF"/>
            <w:vAlign w:val="center"/>
          </w:tcPr>
          <w:p w:rsidR="00A92422" w:rsidRPr="001E1017" w:rsidRDefault="00A92422" w:rsidP="00EA30FC">
            <w:pPr>
              <w:pStyle w:val="TableText"/>
              <w:widowControl w:val="0"/>
              <w:spacing w:before="100" w:beforeAutospacing="1"/>
              <w:rPr>
                <w:rStyle w:val="EndnoteReference"/>
                <w:rFonts w:cs="Tahoma"/>
                <w:color w:val="0000FF"/>
                <w:sz w:val="13"/>
                <w:szCs w:val="13"/>
              </w:rPr>
            </w:pPr>
          </w:p>
        </w:tc>
        <w:tc>
          <w:tcPr>
            <w:tcW w:w="450" w:type="dxa"/>
            <w:shd w:val="clear" w:color="auto" w:fill="FFFFFF"/>
            <w:vAlign w:val="center"/>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11/08</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FFFFF"/>
          </w:tcPr>
          <w:p w:rsidR="00A92422" w:rsidRPr="00D87B79" w:rsidRDefault="00A92422" w:rsidP="00EA30FC">
            <w:pPr>
              <w:pStyle w:val="TableText"/>
              <w:widowControl w:val="0"/>
              <w:rPr>
                <w:rFonts w:ascii="Tahoma" w:hAnsi="Tahoma" w:cs="Tahoma"/>
                <w:sz w:val="13"/>
              </w:rPr>
            </w:pPr>
          </w:p>
        </w:tc>
        <w:tc>
          <w:tcPr>
            <w:tcW w:w="486"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OL</w:t>
            </w:r>
          </w:p>
        </w:tc>
      </w:tr>
      <w:tr w:rsidR="00A92422" w:rsidRPr="00D87B79" w:rsidTr="00EA30FC">
        <w:trPr>
          <w:trHeight w:val="287"/>
        </w:trPr>
        <w:tc>
          <w:tcPr>
            <w:tcW w:w="2714" w:type="dxa"/>
            <w:shd w:val="clear" w:color="auto" w:fill="FABF8F"/>
            <w:vAlign w:val="center"/>
          </w:tcPr>
          <w:p w:rsidR="00A92422" w:rsidRPr="00D87B79" w:rsidRDefault="00A92422" w:rsidP="00EA30FC">
            <w:pPr>
              <w:pStyle w:val="Heading2"/>
              <w:spacing w:before="20" w:after="20"/>
              <w:ind w:left="0"/>
              <w:rPr>
                <w:rFonts w:ascii="Tahoma" w:hAnsi="Tahoma" w:cs="Tahoma"/>
                <w:b w:val="0"/>
                <w:sz w:val="14"/>
                <w:szCs w:val="14"/>
              </w:rPr>
            </w:pPr>
            <w:bookmarkStart w:id="588" w:name="_Toc336338124"/>
            <w:bookmarkStart w:id="589" w:name="_Toc342900172"/>
            <w:bookmarkEnd w:id="588"/>
            <w:r w:rsidRPr="00D87B79">
              <w:rPr>
                <w:rFonts w:ascii="Tahoma" w:hAnsi="Tahoma" w:cs="Tahoma"/>
                <w:b w:val="0"/>
                <w:sz w:val="14"/>
                <w:szCs w:val="14"/>
                <w:lang w:val="it-IT"/>
              </w:rPr>
              <w:t>Windows Essential Business Server 2008 Premium</w:t>
            </w:r>
            <w:bookmarkEnd w:id="589"/>
            <w:r w:rsidRPr="00D87B79">
              <w:rPr>
                <w:rFonts w:ascii="Tahoma" w:hAnsi="Tahoma" w:cs="Tahoma"/>
                <w:b w:val="0"/>
                <w:sz w:val="14"/>
                <w:szCs w:val="14"/>
              </w:rPr>
              <w:t xml:space="preserve"> </w:t>
            </w:r>
          </w:p>
        </w:tc>
        <w:tc>
          <w:tcPr>
            <w:tcW w:w="450" w:type="dxa"/>
            <w:shd w:val="clear" w:color="auto" w:fill="FABF8F"/>
            <w:vAlign w:val="center"/>
          </w:tcPr>
          <w:p w:rsidR="00A92422" w:rsidRPr="001E1017" w:rsidRDefault="00A92422" w:rsidP="00EA30FC">
            <w:pPr>
              <w:pStyle w:val="TableText"/>
              <w:widowControl w:val="0"/>
              <w:spacing w:before="100" w:beforeAutospacing="1"/>
              <w:rPr>
                <w:rStyle w:val="EndnoteReference"/>
                <w:rFonts w:cs="Tahoma"/>
                <w:b w:val="0"/>
                <w:color w:val="0000FF"/>
                <w:sz w:val="13"/>
                <w:szCs w:val="13"/>
                <w:u w:val="single"/>
              </w:rPr>
            </w:pPr>
            <w:hyperlink w:anchor="_107_EBS_2008" w:history="1">
              <w:r w:rsidRPr="001E1017">
                <w:rPr>
                  <w:rStyle w:val="Hyperlink"/>
                  <w:rFonts w:cs="Tahoma"/>
                  <w:b/>
                  <w:sz w:val="13"/>
                  <w:szCs w:val="13"/>
                </w:rPr>
                <w:t>97</w:t>
              </w:r>
            </w:hyperlink>
          </w:p>
        </w:tc>
        <w:tc>
          <w:tcPr>
            <w:tcW w:w="450" w:type="dxa"/>
            <w:shd w:val="clear" w:color="auto" w:fill="FABF8F"/>
            <w:vAlign w:val="center"/>
          </w:tcPr>
          <w:p w:rsidR="00A92422" w:rsidRPr="00D87B79" w:rsidRDefault="00A92422" w:rsidP="00EA30FC">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tcPr>
          <w:p w:rsidR="00A92422" w:rsidRPr="00D87B79" w:rsidRDefault="00A92422" w:rsidP="00EA30FC">
            <w:pPr>
              <w:pStyle w:val="TableText"/>
              <w:widowControl w:val="0"/>
              <w:rPr>
                <w:rFonts w:ascii="Tahoma" w:hAnsi="Tahoma" w:cs="Tahoma"/>
                <w:sz w:val="13"/>
              </w:rPr>
            </w:pP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287"/>
        </w:trPr>
        <w:tc>
          <w:tcPr>
            <w:tcW w:w="2714" w:type="dxa"/>
            <w:shd w:val="clear" w:color="auto" w:fill="FFFFFF"/>
            <w:vAlign w:val="center"/>
          </w:tcPr>
          <w:p w:rsidR="00A92422" w:rsidRPr="00D87B79" w:rsidRDefault="00A92422" w:rsidP="00EA30FC">
            <w:pPr>
              <w:pStyle w:val="Heading2"/>
              <w:spacing w:before="20" w:after="20"/>
              <w:ind w:left="0"/>
              <w:rPr>
                <w:rFonts w:ascii="Tahoma" w:hAnsi="Tahoma" w:cs="Tahoma"/>
                <w:b w:val="0"/>
                <w:sz w:val="14"/>
                <w:szCs w:val="14"/>
              </w:rPr>
            </w:pPr>
            <w:bookmarkStart w:id="590" w:name="_Toc336338125"/>
            <w:bookmarkStart w:id="591" w:name="_Toc342900173"/>
            <w:bookmarkEnd w:id="590"/>
            <w:r w:rsidRPr="00D87B79">
              <w:rPr>
                <w:rFonts w:ascii="Tahoma" w:hAnsi="Tahoma" w:cs="Tahoma"/>
                <w:b w:val="0"/>
                <w:sz w:val="14"/>
                <w:szCs w:val="14"/>
                <w:lang w:val="it-IT"/>
              </w:rPr>
              <w:t>CAL Suite per Windows Essential Business Server 2008 per Utenti o Dispositivi Premium</w:t>
            </w:r>
            <w:bookmarkEnd w:id="591"/>
            <w:r w:rsidRPr="00D87B79">
              <w:rPr>
                <w:rFonts w:ascii="Tahoma" w:hAnsi="Tahoma" w:cs="Tahoma"/>
                <w:b w:val="0"/>
                <w:sz w:val="14"/>
                <w:szCs w:val="14"/>
              </w:rPr>
              <w:t xml:space="preserve"> </w:t>
            </w:r>
          </w:p>
        </w:tc>
        <w:tc>
          <w:tcPr>
            <w:tcW w:w="450" w:type="dxa"/>
            <w:shd w:val="clear" w:color="auto" w:fill="FFFFFF"/>
            <w:vAlign w:val="center"/>
          </w:tcPr>
          <w:p w:rsidR="00A92422" w:rsidRPr="001E1017" w:rsidRDefault="00A92422" w:rsidP="00EA30FC">
            <w:pPr>
              <w:pStyle w:val="TableText"/>
              <w:widowControl w:val="0"/>
              <w:spacing w:before="100" w:beforeAutospacing="1"/>
              <w:rPr>
                <w:rStyle w:val="EndnoteReference"/>
                <w:rFonts w:cs="Tahoma"/>
                <w:sz w:val="13"/>
                <w:szCs w:val="13"/>
              </w:rPr>
            </w:pPr>
          </w:p>
        </w:tc>
        <w:tc>
          <w:tcPr>
            <w:tcW w:w="450" w:type="dxa"/>
            <w:shd w:val="clear" w:color="auto" w:fill="FFFFFF"/>
            <w:vAlign w:val="center"/>
          </w:tcPr>
          <w:p w:rsidR="00A92422" w:rsidRPr="00D87B79" w:rsidRDefault="00A92422" w:rsidP="00EA30FC">
            <w:pPr>
              <w:pStyle w:val="TableText"/>
              <w:widowControl w:val="0"/>
              <w:spacing w:before="80"/>
              <w:rPr>
                <w:rFonts w:ascii="Tahoma" w:hAnsi="Tahoma" w:cs="Tahoma"/>
                <w:sz w:val="13"/>
              </w:rPr>
            </w:pPr>
            <w:r w:rsidRPr="00D87B79">
              <w:rPr>
                <w:rFonts w:ascii="Tahoma" w:hAnsi="Tahoma" w:cs="Tahoma"/>
                <w:sz w:val="13"/>
              </w:rPr>
              <w:t>11/08</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FFFFF"/>
          </w:tcPr>
          <w:p w:rsidR="00A92422" w:rsidRPr="00D87B79" w:rsidRDefault="00A92422" w:rsidP="00EA30FC">
            <w:pPr>
              <w:pStyle w:val="TableText"/>
              <w:widowControl w:val="0"/>
              <w:rPr>
                <w:rFonts w:ascii="Tahoma" w:hAnsi="Tahoma" w:cs="Tahoma"/>
                <w:sz w:val="13"/>
              </w:rPr>
            </w:pPr>
          </w:p>
        </w:tc>
        <w:tc>
          <w:tcPr>
            <w:tcW w:w="486" w:type="dxa"/>
            <w:shd w:val="clear" w:color="auto" w:fill="FFFFFF"/>
            <w:vAlign w:val="center"/>
          </w:tcPr>
          <w:p w:rsidR="00A92422" w:rsidRPr="00D87B79" w:rsidRDefault="00A92422" w:rsidP="00EA30FC">
            <w:pPr>
              <w:pStyle w:val="TableText"/>
              <w:widowControl w:val="0"/>
              <w:rPr>
                <w:rFonts w:ascii="Tahoma" w:hAnsi="Tahoma" w:cs="Tahoma"/>
                <w:sz w:val="13"/>
              </w:rPr>
            </w:pPr>
          </w:p>
        </w:tc>
      </w:tr>
      <w:tr w:rsidR="00A92422" w:rsidRPr="00D87B79" w:rsidTr="00EA30FC">
        <w:trPr>
          <w:trHeight w:val="287"/>
        </w:trPr>
        <w:tc>
          <w:tcPr>
            <w:tcW w:w="2714" w:type="dxa"/>
            <w:shd w:val="clear" w:color="auto" w:fill="FABF8F"/>
            <w:vAlign w:val="center"/>
          </w:tcPr>
          <w:p w:rsidR="00A92422" w:rsidRPr="00D87B79" w:rsidRDefault="00A92422" w:rsidP="00EA30FC">
            <w:pPr>
              <w:pStyle w:val="Heading2"/>
              <w:spacing w:before="20" w:after="20"/>
              <w:ind w:left="0"/>
              <w:rPr>
                <w:rFonts w:ascii="Tahoma" w:hAnsi="Tahoma" w:cs="Tahoma"/>
                <w:b w:val="0"/>
                <w:sz w:val="14"/>
                <w:szCs w:val="14"/>
              </w:rPr>
            </w:pPr>
            <w:bookmarkStart w:id="592" w:name="_Toc336338126"/>
            <w:bookmarkStart w:id="593" w:name="_Toc342900174"/>
            <w:bookmarkEnd w:id="592"/>
            <w:r w:rsidRPr="00D87B79">
              <w:rPr>
                <w:rFonts w:ascii="Tahoma" w:hAnsi="Tahoma" w:cs="Tahoma"/>
                <w:b w:val="0"/>
                <w:sz w:val="14"/>
                <w:szCs w:val="14"/>
                <w:lang w:val="it-IT"/>
              </w:rPr>
              <w:t>CAL Suite per Windows Essential Business Server 2008 per Utenti o Dispositivi Premium (5 client)</w:t>
            </w:r>
            <w:bookmarkEnd w:id="593"/>
          </w:p>
        </w:tc>
        <w:tc>
          <w:tcPr>
            <w:tcW w:w="450" w:type="dxa"/>
            <w:shd w:val="clear" w:color="auto" w:fill="FABF8F"/>
            <w:vAlign w:val="center"/>
          </w:tcPr>
          <w:p w:rsidR="00A92422" w:rsidRPr="001E1017" w:rsidRDefault="00A92422" w:rsidP="00EA30FC">
            <w:pPr>
              <w:pStyle w:val="TableText"/>
              <w:widowControl w:val="0"/>
              <w:spacing w:before="100" w:beforeAutospacing="1"/>
              <w:rPr>
                <w:rStyle w:val="EndnoteReference"/>
                <w:rFonts w:cs="Tahoma"/>
                <w:sz w:val="13"/>
                <w:szCs w:val="13"/>
              </w:rPr>
            </w:pPr>
          </w:p>
        </w:tc>
        <w:tc>
          <w:tcPr>
            <w:tcW w:w="450" w:type="dxa"/>
            <w:shd w:val="clear" w:color="auto" w:fill="FABF8F"/>
            <w:vAlign w:val="center"/>
          </w:tcPr>
          <w:p w:rsidR="00A92422" w:rsidRPr="00D87B79" w:rsidRDefault="00A92422" w:rsidP="00EA30FC">
            <w:pPr>
              <w:pStyle w:val="TableText"/>
              <w:widowControl w:val="0"/>
              <w:spacing w:before="200"/>
              <w:rPr>
                <w:rFonts w:ascii="Tahoma" w:hAnsi="Tahoma" w:cs="Tahoma"/>
                <w:sz w:val="13"/>
              </w:rPr>
            </w:pPr>
            <w:r w:rsidRPr="00D87B79">
              <w:rPr>
                <w:rFonts w:ascii="Tahoma" w:hAnsi="Tahoma" w:cs="Tahoma"/>
                <w:sz w:val="13"/>
              </w:rPr>
              <w:t>11/08</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15</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ABF8F"/>
          </w:tcPr>
          <w:p w:rsidR="00A92422" w:rsidRPr="00D87B79" w:rsidRDefault="00A92422" w:rsidP="00EA30FC">
            <w:pPr>
              <w:pStyle w:val="TableText"/>
              <w:widowControl w:val="0"/>
              <w:rPr>
                <w:rFonts w:ascii="Tahoma" w:hAnsi="Tahoma" w:cs="Tahoma"/>
                <w:sz w:val="13"/>
              </w:rPr>
            </w:pP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OL</w:t>
            </w:r>
          </w:p>
        </w:tc>
      </w:tr>
      <w:tr w:rsidR="00A92422" w:rsidRPr="00D87B79" w:rsidTr="00EA30FC">
        <w:trPr>
          <w:trHeight w:val="287"/>
        </w:trPr>
        <w:tc>
          <w:tcPr>
            <w:tcW w:w="2714" w:type="dxa"/>
            <w:shd w:val="clear" w:color="auto" w:fill="FFFFFF"/>
            <w:vAlign w:val="center"/>
          </w:tcPr>
          <w:p w:rsidR="00A92422" w:rsidRPr="00D87B79" w:rsidRDefault="00A92422" w:rsidP="00EA30FC">
            <w:pPr>
              <w:pStyle w:val="Heading2"/>
              <w:spacing w:before="20" w:after="20"/>
              <w:ind w:left="0"/>
              <w:rPr>
                <w:rFonts w:ascii="Tahoma" w:hAnsi="Tahoma" w:cs="Tahoma"/>
                <w:b w:val="0"/>
                <w:sz w:val="14"/>
                <w:szCs w:val="14"/>
              </w:rPr>
            </w:pPr>
            <w:bookmarkStart w:id="594" w:name="_Toc336338127"/>
            <w:bookmarkStart w:id="595" w:name="_Toc342900175"/>
            <w:bookmarkEnd w:id="594"/>
            <w:r w:rsidRPr="00D87B79">
              <w:rPr>
                <w:rFonts w:ascii="Tahoma" w:hAnsi="Tahoma" w:cs="Tahoma"/>
                <w:b w:val="0"/>
                <w:sz w:val="14"/>
                <w:szCs w:val="14"/>
                <w:lang w:val="it-IT"/>
              </w:rPr>
              <w:t>CAL Suite per Windows Essential Business Server 2008 per Utenti o Dispositivi Premium (20 client)</w:t>
            </w:r>
            <w:bookmarkEnd w:id="595"/>
          </w:p>
        </w:tc>
        <w:tc>
          <w:tcPr>
            <w:tcW w:w="450" w:type="dxa"/>
            <w:shd w:val="clear" w:color="auto" w:fill="FFFFFF"/>
            <w:vAlign w:val="center"/>
          </w:tcPr>
          <w:p w:rsidR="00A92422" w:rsidRPr="001E1017" w:rsidRDefault="00A92422" w:rsidP="00EA30FC">
            <w:pPr>
              <w:pStyle w:val="TableText"/>
              <w:widowControl w:val="0"/>
              <w:spacing w:before="100" w:beforeAutospacing="1"/>
              <w:rPr>
                <w:rStyle w:val="EndnoteReference"/>
                <w:rFonts w:cs="Tahoma"/>
                <w:sz w:val="13"/>
                <w:szCs w:val="13"/>
              </w:rPr>
            </w:pPr>
          </w:p>
        </w:tc>
        <w:tc>
          <w:tcPr>
            <w:tcW w:w="450" w:type="dxa"/>
            <w:shd w:val="clear" w:color="auto" w:fill="FFFFFF"/>
            <w:vAlign w:val="center"/>
          </w:tcPr>
          <w:p w:rsidR="00A92422" w:rsidRPr="00D87B79" w:rsidRDefault="00A92422" w:rsidP="00EA30FC">
            <w:pPr>
              <w:pStyle w:val="TableText"/>
              <w:widowControl w:val="0"/>
              <w:spacing w:before="160"/>
              <w:rPr>
                <w:rFonts w:ascii="Tahoma" w:hAnsi="Tahoma" w:cs="Tahoma"/>
                <w:sz w:val="13"/>
              </w:rPr>
            </w:pPr>
            <w:r w:rsidRPr="00D87B79">
              <w:rPr>
                <w:rFonts w:ascii="Tahoma" w:hAnsi="Tahoma" w:cs="Tahoma"/>
                <w:sz w:val="13"/>
              </w:rPr>
              <w:t>11/08</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FFFFF"/>
          </w:tcPr>
          <w:p w:rsidR="00A92422" w:rsidRPr="00D87B79" w:rsidRDefault="00A92422" w:rsidP="00EA30FC">
            <w:pPr>
              <w:pStyle w:val="TableText"/>
              <w:widowControl w:val="0"/>
              <w:rPr>
                <w:rFonts w:ascii="Tahoma" w:hAnsi="Tahoma" w:cs="Tahoma"/>
                <w:sz w:val="13"/>
              </w:rPr>
            </w:pPr>
          </w:p>
        </w:tc>
        <w:tc>
          <w:tcPr>
            <w:tcW w:w="486"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OL</w:t>
            </w:r>
          </w:p>
        </w:tc>
      </w:tr>
      <w:tr w:rsidR="00A92422" w:rsidRPr="00D87B79" w:rsidTr="00EA30FC">
        <w:trPr>
          <w:trHeight w:val="287"/>
        </w:trPr>
        <w:tc>
          <w:tcPr>
            <w:tcW w:w="2714" w:type="dxa"/>
            <w:shd w:val="clear" w:color="auto" w:fill="FABF8F"/>
            <w:vAlign w:val="center"/>
          </w:tcPr>
          <w:p w:rsidR="00A92422" w:rsidRPr="00D87B79" w:rsidRDefault="00A92422" w:rsidP="00EA30FC">
            <w:pPr>
              <w:pStyle w:val="Heading2"/>
              <w:spacing w:before="20" w:after="20"/>
              <w:ind w:left="0"/>
              <w:rPr>
                <w:rFonts w:ascii="Tahoma" w:hAnsi="Tahoma" w:cs="Tahoma"/>
                <w:b w:val="0"/>
                <w:sz w:val="14"/>
                <w:szCs w:val="14"/>
              </w:rPr>
            </w:pPr>
            <w:bookmarkStart w:id="596" w:name="_Toc336338128"/>
            <w:bookmarkStart w:id="597" w:name="_Toc342900176"/>
            <w:bookmarkEnd w:id="596"/>
            <w:r w:rsidRPr="00D87B79">
              <w:rPr>
                <w:rFonts w:ascii="Tahoma" w:hAnsi="Tahoma" w:cs="Tahoma"/>
                <w:b w:val="0"/>
                <w:sz w:val="14"/>
                <w:szCs w:val="14"/>
                <w:lang w:val="it-IT"/>
              </w:rPr>
              <w:t>CAL Suite per Windows Essential Business Server 2008 per Utenti o Dispositivi Premium (50 client)</w:t>
            </w:r>
            <w:bookmarkEnd w:id="597"/>
          </w:p>
        </w:tc>
        <w:tc>
          <w:tcPr>
            <w:tcW w:w="450" w:type="dxa"/>
            <w:shd w:val="clear" w:color="auto" w:fill="FABF8F"/>
            <w:vAlign w:val="center"/>
          </w:tcPr>
          <w:p w:rsidR="00A92422" w:rsidRPr="001E1017" w:rsidRDefault="00A92422" w:rsidP="00EA30FC">
            <w:pPr>
              <w:pStyle w:val="TableText"/>
              <w:widowControl w:val="0"/>
              <w:spacing w:before="100" w:beforeAutospacing="1"/>
              <w:rPr>
                <w:rStyle w:val="EndnoteReference"/>
                <w:rFonts w:cs="Tahoma"/>
                <w:color w:val="0000FF"/>
                <w:sz w:val="13"/>
                <w:szCs w:val="13"/>
              </w:rPr>
            </w:pPr>
          </w:p>
        </w:tc>
        <w:tc>
          <w:tcPr>
            <w:tcW w:w="450" w:type="dxa"/>
            <w:shd w:val="clear" w:color="auto" w:fill="FABF8F"/>
            <w:vAlign w:val="center"/>
          </w:tcPr>
          <w:p w:rsidR="00A92422" w:rsidRPr="00D87B79" w:rsidRDefault="00A92422" w:rsidP="00EA30FC">
            <w:pPr>
              <w:pStyle w:val="TableText"/>
              <w:widowControl w:val="0"/>
              <w:spacing w:before="180"/>
              <w:rPr>
                <w:rFonts w:ascii="Tahoma" w:hAnsi="Tahoma" w:cs="Tahoma"/>
                <w:sz w:val="13"/>
              </w:rPr>
            </w:pPr>
            <w:r w:rsidRPr="00D87B79">
              <w:rPr>
                <w:rFonts w:ascii="Tahoma" w:hAnsi="Tahoma" w:cs="Tahoma"/>
                <w:sz w:val="13"/>
              </w:rPr>
              <w:t>11/08</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75</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ABF8F"/>
          </w:tcPr>
          <w:p w:rsidR="00A92422" w:rsidRPr="00D87B79" w:rsidRDefault="00A92422" w:rsidP="00EA30FC">
            <w:pPr>
              <w:pStyle w:val="TableText"/>
              <w:widowControl w:val="0"/>
              <w:rPr>
                <w:rFonts w:ascii="Tahoma" w:hAnsi="Tahoma" w:cs="Tahoma"/>
                <w:sz w:val="13"/>
              </w:rPr>
            </w:pPr>
          </w:p>
        </w:tc>
        <w:tc>
          <w:tcPr>
            <w:tcW w:w="486"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OL</w:t>
            </w:r>
          </w:p>
        </w:tc>
      </w:tr>
      <w:tr w:rsidR="00A92422" w:rsidRPr="00D87B79" w:rsidTr="00EA30FC">
        <w:trPr>
          <w:trHeight w:val="145"/>
        </w:trPr>
        <w:tc>
          <w:tcPr>
            <w:tcW w:w="2714" w:type="dxa"/>
            <w:shd w:val="clear" w:color="auto" w:fill="FABF8F"/>
            <w:vAlign w:val="center"/>
          </w:tcPr>
          <w:p w:rsidR="00A92422" w:rsidRPr="00D87B79" w:rsidRDefault="00A92422" w:rsidP="00EA30FC">
            <w:pPr>
              <w:pStyle w:val="Heading2"/>
              <w:spacing w:before="20" w:after="20"/>
              <w:ind w:left="0"/>
              <w:rPr>
                <w:rFonts w:ascii="Tahoma" w:hAnsi="Tahoma" w:cs="Tahoma"/>
                <w:b w:val="0"/>
                <w:sz w:val="14"/>
                <w:szCs w:val="14"/>
              </w:rPr>
            </w:pPr>
            <w:bookmarkStart w:id="598" w:name="_Toc336338129"/>
            <w:bookmarkStart w:id="599" w:name="_Toc342900177"/>
            <w:bookmarkEnd w:id="598"/>
            <w:r w:rsidRPr="00D87B79">
              <w:rPr>
                <w:rFonts w:ascii="Tahoma" w:hAnsi="Tahoma" w:cs="Tahoma"/>
                <w:b w:val="0"/>
                <w:sz w:val="14"/>
                <w:lang w:val="it-IT"/>
              </w:rPr>
              <w:lastRenderedPageBreak/>
              <w:t>Windows HPC Server 2008 R2 Suite</w:t>
            </w:r>
            <w:bookmarkEnd w:id="599"/>
            <w:r w:rsidRPr="00D87B79">
              <w:rPr>
                <w:rFonts w:ascii="Tahoma" w:hAnsi="Tahoma" w:cs="Tahoma"/>
              </w:rPr>
              <w:t xml:space="preserve"> </w:t>
            </w:r>
          </w:p>
        </w:tc>
        <w:tc>
          <w:tcPr>
            <w:tcW w:w="450" w:type="dxa"/>
            <w:shd w:val="clear" w:color="auto" w:fill="FABF8F"/>
            <w:vAlign w:val="center"/>
          </w:tcPr>
          <w:p w:rsidR="00A92422" w:rsidRPr="001E1017" w:rsidRDefault="00A92422" w:rsidP="00EA30FC">
            <w:pPr>
              <w:pStyle w:val="TableText"/>
              <w:widowControl w:val="0"/>
              <w:rPr>
                <w:rFonts w:cs="Tahoma"/>
                <w:b/>
                <w:sz w:val="13"/>
                <w:szCs w:val="13"/>
                <w:u w:val="single"/>
              </w:rPr>
            </w:pPr>
            <w:hyperlink w:anchor="_Toc336338365" w:history="1">
              <w:r w:rsidRPr="001E1017">
                <w:rPr>
                  <w:rStyle w:val="Hyperlink"/>
                  <w:rFonts w:cs="Tahoma"/>
                  <w:b/>
                  <w:sz w:val="13"/>
                  <w:szCs w:val="13"/>
                </w:rPr>
                <w:t>98</w:t>
              </w:r>
            </w:hyperlink>
          </w:p>
        </w:tc>
        <w:tc>
          <w:tcPr>
            <w:tcW w:w="450" w:type="dxa"/>
            <w:shd w:val="clear" w:color="auto" w:fill="FABF8F"/>
            <w:vAlign w:val="center"/>
          </w:tcPr>
          <w:p w:rsidR="00A92422" w:rsidRPr="00D87B79" w:rsidRDefault="00A92422" w:rsidP="00EA30FC">
            <w:pPr>
              <w:pStyle w:val="TableText"/>
              <w:widowControl w:val="0"/>
              <w:spacing w:before="80"/>
              <w:rPr>
                <w:rFonts w:ascii="Tahoma" w:hAnsi="Tahoma" w:cs="Tahoma"/>
                <w:color w:val="000000"/>
                <w:sz w:val="13"/>
              </w:rPr>
            </w:pPr>
            <w:r w:rsidRPr="00D87B79">
              <w:rPr>
                <w:rFonts w:ascii="Tahoma" w:hAnsi="Tahoma" w:cs="Tahoma"/>
                <w:color w:val="000000"/>
                <w:sz w:val="13"/>
              </w:rPr>
              <w:t>09/10</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tcPr>
          <w:p w:rsidR="00A92422" w:rsidRPr="00D87B79" w:rsidRDefault="00A92422" w:rsidP="00EA30FC">
            <w:pPr>
              <w:pStyle w:val="TableText"/>
              <w:widowControl w:val="0"/>
              <w:rPr>
                <w:rFonts w:ascii="Tahoma" w:hAnsi="Tahoma" w:cs="Tahoma"/>
                <w:color w:val="000000"/>
                <w:sz w:val="13"/>
              </w:rPr>
            </w:pPr>
          </w:p>
        </w:tc>
        <w:tc>
          <w:tcPr>
            <w:tcW w:w="486"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r>
      <w:tr w:rsidR="00A92422" w:rsidRPr="00D87B79" w:rsidTr="00EA30FC">
        <w:trPr>
          <w:trHeight w:val="145"/>
        </w:trPr>
        <w:tc>
          <w:tcPr>
            <w:tcW w:w="2714" w:type="dxa"/>
            <w:shd w:val="clear" w:color="auto" w:fill="auto"/>
            <w:vAlign w:val="center"/>
          </w:tcPr>
          <w:p w:rsidR="00A92422" w:rsidRPr="00D87B79" w:rsidRDefault="00A92422" w:rsidP="00EA30FC">
            <w:pPr>
              <w:pStyle w:val="Heading2"/>
              <w:spacing w:before="20" w:after="20"/>
              <w:ind w:left="0"/>
              <w:rPr>
                <w:rFonts w:ascii="Tahoma" w:hAnsi="Tahoma" w:cs="Tahoma"/>
                <w:b w:val="0"/>
                <w:sz w:val="14"/>
                <w:szCs w:val="14"/>
              </w:rPr>
            </w:pPr>
            <w:bookmarkStart w:id="600" w:name="_Toc342900178"/>
            <w:r w:rsidRPr="00D87B79">
              <w:rPr>
                <w:rFonts w:ascii="Tahoma" w:hAnsi="Tahoma" w:cs="Tahoma"/>
                <w:b w:val="0"/>
                <w:sz w:val="14"/>
                <w:szCs w:val="14"/>
                <w:lang w:val="it-IT"/>
              </w:rPr>
              <w:t>Componente Aggiuntivo per Windows Intune (Per Dispositivo)</w:t>
            </w:r>
            <w:bookmarkEnd w:id="600"/>
          </w:p>
        </w:tc>
        <w:tc>
          <w:tcPr>
            <w:tcW w:w="450" w:type="dxa"/>
            <w:shd w:val="clear" w:color="auto" w:fill="auto"/>
            <w:vAlign w:val="center"/>
          </w:tcPr>
          <w:p w:rsidR="00A92422" w:rsidRPr="001E1017" w:rsidRDefault="00A92422" w:rsidP="00EA30FC">
            <w:pPr>
              <w:pStyle w:val="TableText"/>
              <w:widowControl w:val="0"/>
              <w:rPr>
                <w:rFonts w:cs="Tahoma"/>
                <w:b/>
                <w:sz w:val="13"/>
                <w:szCs w:val="13"/>
                <w:u w:val="single"/>
              </w:rPr>
            </w:pPr>
            <w:hyperlink w:anchor="_99_Componente_Aggiuntivo" w:history="1">
              <w:r w:rsidRPr="001E1017">
                <w:rPr>
                  <w:rStyle w:val="Hyperlink"/>
                  <w:rFonts w:cs="Tahoma"/>
                  <w:b/>
                  <w:sz w:val="13"/>
                  <w:szCs w:val="13"/>
                </w:rPr>
                <w:t>99</w:t>
              </w:r>
            </w:hyperlink>
          </w:p>
        </w:tc>
        <w:tc>
          <w:tcPr>
            <w:tcW w:w="450" w:type="dxa"/>
            <w:shd w:val="clear" w:color="auto" w:fill="auto"/>
            <w:vAlign w:val="center"/>
          </w:tcPr>
          <w:p w:rsidR="00A92422" w:rsidRPr="00D87B79" w:rsidRDefault="00A92422" w:rsidP="00EA30FC">
            <w:pPr>
              <w:pStyle w:val="TableText"/>
              <w:widowControl w:val="0"/>
              <w:spacing w:before="80"/>
              <w:rPr>
                <w:rFonts w:ascii="Tahoma" w:hAnsi="Tahoma" w:cs="Tahoma"/>
                <w:color w:val="000000"/>
                <w:sz w:val="13"/>
              </w:rPr>
            </w:pPr>
            <w:r w:rsidRPr="00D87B79">
              <w:rPr>
                <w:rFonts w:ascii="Tahoma" w:hAnsi="Tahoma" w:cs="Tahoma"/>
                <w:color w:val="000000"/>
                <w:sz w:val="13"/>
              </w:rPr>
              <w:t>04/11</w:t>
            </w:r>
          </w:p>
        </w:tc>
        <w:tc>
          <w:tcPr>
            <w:tcW w:w="36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color w:val="000000"/>
                <w:sz w:val="13"/>
              </w:rPr>
            </w:pPr>
          </w:p>
        </w:tc>
        <w:tc>
          <w:tcPr>
            <w:tcW w:w="36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auto"/>
          </w:tcPr>
          <w:p w:rsidR="00A92422" w:rsidRPr="00D87B79" w:rsidRDefault="00A92422" w:rsidP="00EA30FC">
            <w:pPr>
              <w:pStyle w:val="TableText"/>
              <w:widowControl w:val="0"/>
              <w:rPr>
                <w:rFonts w:ascii="Tahoma" w:hAnsi="Tahoma" w:cs="Tahoma"/>
                <w:sz w:val="13"/>
              </w:rPr>
            </w:pPr>
          </w:p>
        </w:tc>
        <w:tc>
          <w:tcPr>
            <w:tcW w:w="486" w:type="dxa"/>
            <w:shd w:val="clear" w:color="auto" w:fill="auto"/>
            <w:vAlign w:val="center"/>
          </w:tcPr>
          <w:p w:rsidR="00A92422" w:rsidRPr="00D87B79" w:rsidRDefault="00A92422" w:rsidP="00EA30FC">
            <w:pPr>
              <w:pStyle w:val="TableText"/>
              <w:widowControl w:val="0"/>
              <w:rPr>
                <w:rFonts w:ascii="Tahoma" w:hAnsi="Tahoma" w:cs="Tahoma"/>
                <w:color w:val="000000"/>
                <w:sz w:val="13"/>
              </w:rPr>
            </w:pPr>
          </w:p>
        </w:tc>
      </w:tr>
      <w:tr w:rsidR="00A92422" w:rsidRPr="00D87B79" w:rsidTr="00EA30FC">
        <w:trPr>
          <w:trHeight w:val="145"/>
        </w:trPr>
        <w:tc>
          <w:tcPr>
            <w:tcW w:w="2714" w:type="dxa"/>
            <w:shd w:val="clear" w:color="auto" w:fill="FABF8F"/>
            <w:vAlign w:val="center"/>
          </w:tcPr>
          <w:p w:rsidR="00A92422" w:rsidRPr="00D87B79" w:rsidRDefault="00A92422" w:rsidP="00EA30FC">
            <w:pPr>
              <w:pStyle w:val="Heading2"/>
              <w:spacing w:before="20" w:after="20"/>
              <w:ind w:left="0"/>
              <w:rPr>
                <w:rFonts w:ascii="Tahoma" w:hAnsi="Tahoma" w:cs="Tahoma"/>
                <w:b w:val="0"/>
                <w:sz w:val="14"/>
              </w:rPr>
            </w:pPr>
            <w:bookmarkStart w:id="601" w:name="_Toc342900179"/>
            <w:r w:rsidRPr="00D87B79">
              <w:rPr>
                <w:rFonts w:ascii="Tahoma" w:hAnsi="Tahoma" w:cs="Tahoma"/>
                <w:b w:val="0"/>
                <w:sz w:val="14"/>
                <w:lang w:val="it-IT"/>
              </w:rPr>
              <w:t>Windows Intune (Per Dispositivo)</w:t>
            </w:r>
            <w:bookmarkEnd w:id="601"/>
          </w:p>
        </w:tc>
        <w:tc>
          <w:tcPr>
            <w:tcW w:w="450" w:type="dxa"/>
            <w:shd w:val="clear" w:color="auto" w:fill="FABF8F"/>
            <w:vAlign w:val="center"/>
          </w:tcPr>
          <w:p w:rsidR="00A92422" w:rsidRPr="001E1017" w:rsidRDefault="00A92422" w:rsidP="00EA30FC">
            <w:pPr>
              <w:pStyle w:val="TableText"/>
              <w:widowControl w:val="0"/>
              <w:rPr>
                <w:rFonts w:cs="Tahoma"/>
                <w:b/>
                <w:sz w:val="13"/>
                <w:szCs w:val="13"/>
                <w:u w:val="single"/>
              </w:rPr>
            </w:pPr>
          </w:p>
        </w:tc>
        <w:tc>
          <w:tcPr>
            <w:tcW w:w="450" w:type="dxa"/>
            <w:shd w:val="clear" w:color="auto" w:fill="FABF8F"/>
            <w:vAlign w:val="center"/>
          </w:tcPr>
          <w:p w:rsidR="00A92422" w:rsidRPr="00D87B79" w:rsidRDefault="00A92422" w:rsidP="00EA30FC">
            <w:pPr>
              <w:pStyle w:val="TableText"/>
              <w:widowControl w:val="0"/>
              <w:spacing w:before="80"/>
              <w:rPr>
                <w:rFonts w:ascii="Tahoma" w:hAnsi="Tahoma" w:cs="Tahoma"/>
                <w:color w:val="000000"/>
                <w:sz w:val="13"/>
              </w:rPr>
            </w:pPr>
            <w:r w:rsidRPr="00D87B79">
              <w:rPr>
                <w:rFonts w:ascii="Tahoma" w:hAnsi="Tahoma" w:cs="Tahoma"/>
                <w:color w:val="000000"/>
                <w:sz w:val="13"/>
              </w:rPr>
              <w:t>04/11</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tcPr>
          <w:p w:rsidR="00A92422" w:rsidRPr="00D87B79" w:rsidRDefault="00A92422" w:rsidP="00EA30FC">
            <w:pPr>
              <w:pStyle w:val="TableText"/>
              <w:widowControl w:val="0"/>
              <w:rPr>
                <w:rFonts w:ascii="Tahoma" w:hAnsi="Tahoma" w:cs="Tahoma"/>
                <w:sz w:val="13"/>
              </w:rPr>
            </w:pPr>
          </w:p>
        </w:tc>
        <w:tc>
          <w:tcPr>
            <w:tcW w:w="486"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r>
      <w:tr w:rsidR="00A92422" w:rsidRPr="00D87B79" w:rsidTr="00EA30FC">
        <w:trPr>
          <w:trHeight w:val="145"/>
        </w:trPr>
        <w:tc>
          <w:tcPr>
            <w:tcW w:w="2714" w:type="dxa"/>
            <w:shd w:val="clear" w:color="auto" w:fill="auto"/>
            <w:vAlign w:val="center"/>
          </w:tcPr>
          <w:p w:rsidR="00A92422" w:rsidRPr="00D87B79" w:rsidRDefault="00A92422" w:rsidP="00EA30FC">
            <w:pPr>
              <w:pStyle w:val="Heading2"/>
              <w:spacing w:before="20" w:after="20"/>
              <w:ind w:left="0"/>
              <w:rPr>
                <w:rFonts w:ascii="Tahoma" w:hAnsi="Tahoma" w:cs="Tahoma"/>
                <w:b w:val="0"/>
                <w:sz w:val="14"/>
                <w:szCs w:val="14"/>
              </w:rPr>
            </w:pPr>
            <w:bookmarkStart w:id="602" w:name="_Toc342900180"/>
            <w:r w:rsidRPr="00D87B79">
              <w:rPr>
                <w:rFonts w:ascii="Tahoma" w:hAnsi="Tahoma" w:cs="Tahoma"/>
                <w:b w:val="0"/>
                <w:sz w:val="14"/>
                <w:lang w:val="it-IT"/>
              </w:rPr>
              <w:t>Componente Aggiuntivo per Windows Intune per System Center Configuration Manager e System Center EndPoint Protection (Per Utente)</w:t>
            </w:r>
            <w:bookmarkEnd w:id="602"/>
          </w:p>
        </w:tc>
        <w:tc>
          <w:tcPr>
            <w:tcW w:w="450" w:type="dxa"/>
            <w:shd w:val="clear" w:color="auto" w:fill="auto"/>
            <w:vAlign w:val="center"/>
          </w:tcPr>
          <w:p w:rsidR="00A92422" w:rsidRPr="001E1017" w:rsidRDefault="00A92422" w:rsidP="00EA30FC">
            <w:pPr>
              <w:pStyle w:val="TableText"/>
              <w:widowControl w:val="0"/>
              <w:rPr>
                <w:rFonts w:cs="Tahoma"/>
                <w:b/>
                <w:sz w:val="13"/>
                <w:szCs w:val="13"/>
                <w:u w:val="single"/>
              </w:rPr>
            </w:pPr>
          </w:p>
        </w:tc>
        <w:tc>
          <w:tcPr>
            <w:tcW w:w="450" w:type="dxa"/>
            <w:shd w:val="clear" w:color="auto" w:fill="auto"/>
            <w:vAlign w:val="center"/>
          </w:tcPr>
          <w:p w:rsidR="00A92422" w:rsidRPr="00D87B79" w:rsidRDefault="00A92422" w:rsidP="00EA30FC">
            <w:pPr>
              <w:pStyle w:val="TableText"/>
              <w:widowControl w:val="0"/>
              <w:spacing w:before="80"/>
              <w:rPr>
                <w:rFonts w:ascii="Tahoma" w:hAnsi="Tahoma" w:cs="Tahoma"/>
                <w:color w:val="000000"/>
                <w:sz w:val="13"/>
              </w:rPr>
            </w:pPr>
            <w:r w:rsidRPr="00D87B79">
              <w:rPr>
                <w:rFonts w:ascii="Tahoma" w:hAnsi="Tahoma" w:cs="Tahoma"/>
                <w:color w:val="000000"/>
                <w:sz w:val="13"/>
              </w:rPr>
              <w:t>12/12</w:t>
            </w:r>
          </w:p>
        </w:tc>
        <w:tc>
          <w:tcPr>
            <w:tcW w:w="36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color w:val="000000"/>
                <w:sz w:val="13"/>
              </w:rPr>
            </w:pPr>
          </w:p>
        </w:tc>
        <w:tc>
          <w:tcPr>
            <w:tcW w:w="36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auto"/>
          </w:tcPr>
          <w:p w:rsidR="00A92422" w:rsidRPr="00D87B79" w:rsidRDefault="00A92422" w:rsidP="00EA30FC">
            <w:pPr>
              <w:pStyle w:val="TableText"/>
              <w:widowControl w:val="0"/>
              <w:rPr>
                <w:rFonts w:ascii="Tahoma" w:hAnsi="Tahoma" w:cs="Tahoma"/>
                <w:sz w:val="13"/>
              </w:rPr>
            </w:pPr>
          </w:p>
        </w:tc>
        <w:tc>
          <w:tcPr>
            <w:tcW w:w="486" w:type="dxa"/>
            <w:shd w:val="clear" w:color="auto" w:fill="auto"/>
            <w:vAlign w:val="center"/>
          </w:tcPr>
          <w:p w:rsidR="00A92422" w:rsidRPr="00D87B79" w:rsidRDefault="00A92422" w:rsidP="00EA30FC">
            <w:pPr>
              <w:pStyle w:val="TableText"/>
              <w:widowControl w:val="0"/>
              <w:rPr>
                <w:rFonts w:ascii="Tahoma" w:hAnsi="Tahoma" w:cs="Tahoma"/>
                <w:color w:val="000000"/>
                <w:sz w:val="13"/>
              </w:rPr>
            </w:pPr>
          </w:p>
        </w:tc>
      </w:tr>
      <w:tr w:rsidR="00A92422" w:rsidRPr="00D87B79" w:rsidTr="00EA30FC">
        <w:trPr>
          <w:trHeight w:val="145"/>
        </w:trPr>
        <w:tc>
          <w:tcPr>
            <w:tcW w:w="2714" w:type="dxa"/>
            <w:shd w:val="clear" w:color="auto" w:fill="FABF8F"/>
            <w:vAlign w:val="center"/>
          </w:tcPr>
          <w:p w:rsidR="00A92422" w:rsidRPr="00D87B79" w:rsidRDefault="00A92422" w:rsidP="00EA30FC">
            <w:pPr>
              <w:pStyle w:val="Heading2"/>
              <w:spacing w:before="20" w:after="20"/>
              <w:ind w:left="0"/>
              <w:rPr>
                <w:rFonts w:ascii="Tahoma" w:hAnsi="Tahoma" w:cs="Tahoma"/>
                <w:b w:val="0"/>
                <w:sz w:val="14"/>
                <w:szCs w:val="14"/>
              </w:rPr>
            </w:pPr>
            <w:bookmarkStart w:id="603" w:name="_Toc342900181"/>
            <w:r w:rsidRPr="00D87B79">
              <w:rPr>
                <w:rFonts w:ascii="Tahoma" w:hAnsi="Tahoma" w:cs="Tahoma"/>
                <w:b w:val="0"/>
                <w:sz w:val="14"/>
                <w:lang w:val="it-IT"/>
              </w:rPr>
              <w:t>Windows Intune (Per Utente)</w:t>
            </w:r>
            <w:bookmarkEnd w:id="603"/>
          </w:p>
        </w:tc>
        <w:tc>
          <w:tcPr>
            <w:tcW w:w="450" w:type="dxa"/>
            <w:shd w:val="clear" w:color="auto" w:fill="FABF8F"/>
            <w:vAlign w:val="center"/>
          </w:tcPr>
          <w:p w:rsidR="00A92422" w:rsidRPr="001E1017" w:rsidRDefault="00A92422" w:rsidP="00EA30FC">
            <w:pPr>
              <w:pStyle w:val="TableText"/>
              <w:widowControl w:val="0"/>
              <w:rPr>
                <w:rFonts w:cs="Tahoma"/>
                <w:b/>
                <w:sz w:val="13"/>
                <w:szCs w:val="13"/>
                <w:u w:val="single"/>
              </w:rPr>
            </w:pPr>
          </w:p>
        </w:tc>
        <w:tc>
          <w:tcPr>
            <w:tcW w:w="450" w:type="dxa"/>
            <w:shd w:val="clear" w:color="auto" w:fill="FABF8F"/>
            <w:vAlign w:val="center"/>
          </w:tcPr>
          <w:p w:rsidR="00A92422" w:rsidRPr="00D87B79" w:rsidRDefault="00A92422" w:rsidP="00EA30FC">
            <w:pPr>
              <w:pStyle w:val="TableText"/>
              <w:widowControl w:val="0"/>
              <w:spacing w:before="80"/>
              <w:rPr>
                <w:rFonts w:ascii="Tahoma" w:hAnsi="Tahoma" w:cs="Tahoma"/>
                <w:color w:val="000000"/>
                <w:sz w:val="13"/>
              </w:rPr>
            </w:pPr>
            <w:r w:rsidRPr="00D87B79">
              <w:rPr>
                <w:rFonts w:ascii="Tahoma" w:hAnsi="Tahoma" w:cs="Tahoma"/>
                <w:color w:val="000000"/>
                <w:sz w:val="13"/>
              </w:rPr>
              <w:t>12/12</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tcPr>
          <w:p w:rsidR="00A92422" w:rsidRPr="00D87B79" w:rsidRDefault="00A92422" w:rsidP="00EA30FC">
            <w:pPr>
              <w:pStyle w:val="TableText"/>
              <w:widowControl w:val="0"/>
              <w:rPr>
                <w:rFonts w:ascii="Tahoma" w:hAnsi="Tahoma" w:cs="Tahoma"/>
                <w:sz w:val="13"/>
              </w:rPr>
            </w:pPr>
          </w:p>
        </w:tc>
        <w:tc>
          <w:tcPr>
            <w:tcW w:w="486"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r>
      <w:tr w:rsidR="00A92422" w:rsidRPr="00D87B79" w:rsidTr="00EA30FC">
        <w:trPr>
          <w:trHeight w:val="70"/>
        </w:trPr>
        <w:tc>
          <w:tcPr>
            <w:tcW w:w="2714" w:type="dxa"/>
            <w:shd w:val="clear" w:color="auto" w:fill="auto"/>
            <w:vAlign w:val="center"/>
          </w:tcPr>
          <w:p w:rsidR="00A92422" w:rsidRPr="00D87B79" w:rsidRDefault="00A92422" w:rsidP="00EA30FC">
            <w:pPr>
              <w:pStyle w:val="Heading2"/>
              <w:spacing w:before="20" w:after="20"/>
              <w:ind w:left="0"/>
              <w:rPr>
                <w:rFonts w:ascii="Tahoma" w:hAnsi="Tahoma" w:cs="Tahoma"/>
                <w:b w:val="0"/>
                <w:sz w:val="14"/>
                <w:szCs w:val="14"/>
              </w:rPr>
            </w:pPr>
            <w:bookmarkStart w:id="604" w:name="_Toc336338130"/>
            <w:bookmarkStart w:id="605" w:name="_Toc342900182"/>
            <w:bookmarkEnd w:id="604"/>
            <w:r w:rsidRPr="00D87B79">
              <w:rPr>
                <w:rFonts w:ascii="Tahoma" w:hAnsi="Tahoma" w:cs="Tahoma"/>
                <w:b w:val="0"/>
                <w:sz w:val="14"/>
                <w:lang w:val="it-IT"/>
              </w:rPr>
              <w:t>Windows Intune Extra Storage 1 GB</w:t>
            </w:r>
            <w:bookmarkEnd w:id="605"/>
          </w:p>
        </w:tc>
        <w:tc>
          <w:tcPr>
            <w:tcW w:w="450" w:type="dxa"/>
            <w:shd w:val="clear" w:color="auto" w:fill="auto"/>
            <w:vAlign w:val="center"/>
          </w:tcPr>
          <w:p w:rsidR="00A92422" w:rsidRPr="001E1017" w:rsidRDefault="00A92422" w:rsidP="00EA30FC">
            <w:pPr>
              <w:pStyle w:val="TableText"/>
              <w:widowControl w:val="0"/>
              <w:rPr>
                <w:rFonts w:cs="Tahoma"/>
                <w:b/>
                <w:sz w:val="13"/>
                <w:szCs w:val="13"/>
                <w:u w:val="single"/>
              </w:rPr>
            </w:pPr>
          </w:p>
        </w:tc>
        <w:tc>
          <w:tcPr>
            <w:tcW w:w="450" w:type="dxa"/>
            <w:shd w:val="clear" w:color="auto" w:fill="auto"/>
            <w:vAlign w:val="center"/>
          </w:tcPr>
          <w:p w:rsidR="00A92422" w:rsidRPr="00D87B79" w:rsidRDefault="00A92422" w:rsidP="00EA30FC">
            <w:pPr>
              <w:pStyle w:val="TableText"/>
              <w:widowControl w:val="0"/>
              <w:spacing w:before="80"/>
              <w:rPr>
                <w:rFonts w:ascii="Tahoma" w:hAnsi="Tahoma" w:cs="Tahoma"/>
                <w:color w:val="000000"/>
                <w:sz w:val="13"/>
              </w:rPr>
            </w:pPr>
            <w:r w:rsidRPr="00D87B79">
              <w:rPr>
                <w:rFonts w:ascii="Tahoma" w:hAnsi="Tahoma" w:cs="Tahoma"/>
                <w:color w:val="000000"/>
                <w:sz w:val="13"/>
              </w:rPr>
              <w:t>10/11</w:t>
            </w:r>
          </w:p>
        </w:tc>
        <w:tc>
          <w:tcPr>
            <w:tcW w:w="36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color w:val="000000"/>
                <w:sz w:val="13"/>
              </w:rPr>
            </w:pPr>
          </w:p>
        </w:tc>
        <w:tc>
          <w:tcPr>
            <w:tcW w:w="36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w:t>
            </w:r>
          </w:p>
        </w:tc>
        <w:tc>
          <w:tcPr>
            <w:tcW w:w="450" w:type="dxa"/>
            <w:tcBorders>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auto"/>
          </w:tcPr>
          <w:p w:rsidR="00A92422" w:rsidRPr="00D87B79" w:rsidRDefault="00A92422" w:rsidP="00EA30FC">
            <w:pPr>
              <w:pStyle w:val="TableText"/>
              <w:widowControl w:val="0"/>
              <w:rPr>
                <w:rFonts w:ascii="Tahoma" w:hAnsi="Tahoma" w:cs="Tahoma"/>
                <w:sz w:val="13"/>
              </w:rPr>
            </w:pPr>
          </w:p>
        </w:tc>
        <w:tc>
          <w:tcPr>
            <w:tcW w:w="486" w:type="dxa"/>
            <w:shd w:val="clear" w:color="auto" w:fill="auto"/>
            <w:vAlign w:val="center"/>
          </w:tcPr>
          <w:p w:rsidR="00A92422" w:rsidRPr="00D87B79" w:rsidRDefault="00A92422" w:rsidP="00EA30FC">
            <w:pPr>
              <w:pStyle w:val="TableText"/>
              <w:widowControl w:val="0"/>
              <w:rPr>
                <w:rFonts w:ascii="Tahoma" w:hAnsi="Tahoma" w:cs="Tahoma"/>
                <w:color w:val="000000"/>
                <w:sz w:val="13"/>
              </w:rPr>
            </w:pPr>
          </w:p>
        </w:tc>
      </w:tr>
      <w:tr w:rsidR="00A92422" w:rsidRPr="00D87B79" w:rsidTr="00EA30FC">
        <w:trPr>
          <w:trHeight w:val="145"/>
        </w:trPr>
        <w:tc>
          <w:tcPr>
            <w:tcW w:w="2714" w:type="dxa"/>
            <w:shd w:val="clear" w:color="auto" w:fill="FABF8F"/>
            <w:vAlign w:val="center"/>
          </w:tcPr>
          <w:p w:rsidR="00A92422" w:rsidRPr="00D87B79" w:rsidRDefault="00A92422" w:rsidP="00EA30FC">
            <w:pPr>
              <w:pStyle w:val="Heading2"/>
              <w:spacing w:before="20" w:after="20"/>
              <w:ind w:left="0"/>
              <w:rPr>
                <w:rFonts w:ascii="Tahoma" w:hAnsi="Tahoma" w:cs="Tahoma"/>
                <w:b w:val="0"/>
                <w:sz w:val="14"/>
                <w:szCs w:val="14"/>
              </w:rPr>
            </w:pPr>
            <w:bookmarkStart w:id="606" w:name="_Toc342900183"/>
            <w:r w:rsidRPr="00D87B79">
              <w:rPr>
                <w:rFonts w:ascii="Tahoma" w:hAnsi="Tahoma" w:cs="Tahoma"/>
                <w:b w:val="0"/>
                <w:sz w:val="14"/>
                <w:szCs w:val="14"/>
                <w:lang w:val="it-IT"/>
              </w:rPr>
              <w:t>USL per Windows Intune</w:t>
            </w:r>
            <w:bookmarkEnd w:id="606"/>
          </w:p>
        </w:tc>
        <w:tc>
          <w:tcPr>
            <w:tcW w:w="450" w:type="dxa"/>
            <w:shd w:val="clear" w:color="auto" w:fill="FABF8F"/>
            <w:vAlign w:val="center"/>
          </w:tcPr>
          <w:p w:rsidR="00A92422" w:rsidRPr="001E1017" w:rsidRDefault="00A92422" w:rsidP="00EA30FC">
            <w:pPr>
              <w:pStyle w:val="TableText"/>
              <w:widowControl w:val="0"/>
              <w:rPr>
                <w:rFonts w:cs="Tahoma"/>
                <w:b/>
                <w:sz w:val="13"/>
                <w:szCs w:val="13"/>
                <w:u w:val="single"/>
              </w:rPr>
            </w:pPr>
          </w:p>
        </w:tc>
        <w:tc>
          <w:tcPr>
            <w:tcW w:w="450" w:type="dxa"/>
            <w:shd w:val="clear" w:color="auto" w:fill="FABF8F"/>
            <w:vAlign w:val="center"/>
          </w:tcPr>
          <w:p w:rsidR="00A92422" w:rsidRPr="00D87B79" w:rsidRDefault="00A92422" w:rsidP="00EA30FC">
            <w:pPr>
              <w:pStyle w:val="TableText"/>
              <w:widowControl w:val="0"/>
              <w:spacing w:before="80"/>
              <w:rPr>
                <w:rFonts w:ascii="Tahoma" w:hAnsi="Tahoma" w:cs="Tahoma"/>
                <w:color w:val="000000"/>
                <w:sz w:val="13"/>
              </w:rPr>
            </w:pPr>
            <w:r w:rsidRPr="00D87B79">
              <w:rPr>
                <w:rFonts w:ascii="Tahoma" w:hAnsi="Tahoma" w:cs="Tahoma"/>
                <w:color w:val="000000"/>
                <w:sz w:val="13"/>
              </w:rPr>
              <w:t>12/12</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E</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tcPr>
          <w:p w:rsidR="00A92422" w:rsidRPr="00D87B79" w:rsidRDefault="00A92422" w:rsidP="00EA30FC">
            <w:pPr>
              <w:pStyle w:val="TableText"/>
              <w:widowControl w:val="0"/>
              <w:rPr>
                <w:rFonts w:ascii="Tahoma" w:hAnsi="Tahoma" w:cs="Tahoma"/>
                <w:sz w:val="13"/>
              </w:rPr>
            </w:pPr>
          </w:p>
        </w:tc>
        <w:tc>
          <w:tcPr>
            <w:tcW w:w="486"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r>
      <w:tr w:rsidR="00A92422" w:rsidRPr="00D87B79" w:rsidTr="00EA30FC">
        <w:trPr>
          <w:trHeight w:val="145"/>
        </w:trPr>
        <w:tc>
          <w:tcPr>
            <w:tcW w:w="2714" w:type="dxa"/>
            <w:vAlign w:val="center"/>
          </w:tcPr>
          <w:p w:rsidR="00A92422" w:rsidRPr="00D87B79" w:rsidRDefault="00A92422" w:rsidP="00EA30FC">
            <w:pPr>
              <w:pStyle w:val="Heading2"/>
              <w:spacing w:before="20" w:after="20"/>
              <w:ind w:left="0"/>
              <w:rPr>
                <w:rFonts w:ascii="Tahoma" w:hAnsi="Tahoma" w:cs="Tahoma"/>
                <w:b w:val="0"/>
                <w:sz w:val="14"/>
                <w:szCs w:val="14"/>
              </w:rPr>
            </w:pPr>
            <w:bookmarkStart w:id="607" w:name="_Toc336338131"/>
            <w:bookmarkStart w:id="608" w:name="_Toc342900184"/>
            <w:bookmarkEnd w:id="607"/>
            <w:r w:rsidRPr="00D87B79">
              <w:rPr>
                <w:rFonts w:ascii="Tahoma" w:hAnsi="Tahoma" w:cs="Tahoma"/>
                <w:b w:val="0"/>
                <w:sz w:val="14"/>
                <w:lang w:val="it-IT"/>
              </w:rPr>
              <w:t>USL Add-On per Windows Intune</w:t>
            </w:r>
            <w:bookmarkEnd w:id="608"/>
          </w:p>
        </w:tc>
        <w:tc>
          <w:tcPr>
            <w:tcW w:w="450" w:type="dxa"/>
            <w:vAlign w:val="center"/>
          </w:tcPr>
          <w:p w:rsidR="00A92422" w:rsidRPr="001E1017" w:rsidRDefault="00A92422" w:rsidP="00EA30FC">
            <w:pPr>
              <w:pStyle w:val="TableText"/>
              <w:widowControl w:val="0"/>
              <w:rPr>
                <w:rFonts w:cs="Tahoma"/>
                <w:b/>
                <w:sz w:val="13"/>
                <w:szCs w:val="13"/>
                <w:u w:val="single"/>
              </w:rPr>
            </w:pPr>
            <w:hyperlink w:anchor="_99_Componente_Aggiuntivo" w:history="1">
              <w:r w:rsidRPr="001E1017">
                <w:rPr>
                  <w:rStyle w:val="Hyperlink"/>
                  <w:rFonts w:cs="Tahoma"/>
                  <w:b/>
                  <w:sz w:val="13"/>
                  <w:szCs w:val="13"/>
                </w:rPr>
                <w:t>99</w:t>
              </w:r>
            </w:hyperlink>
          </w:p>
        </w:tc>
        <w:tc>
          <w:tcPr>
            <w:tcW w:w="450" w:type="dxa"/>
            <w:vAlign w:val="center"/>
          </w:tcPr>
          <w:p w:rsidR="00A92422" w:rsidRPr="00D87B79" w:rsidDel="00FA1B15" w:rsidRDefault="00A92422" w:rsidP="00EA30FC">
            <w:pPr>
              <w:pStyle w:val="TableText"/>
              <w:widowControl w:val="0"/>
              <w:spacing w:before="80"/>
              <w:rPr>
                <w:rFonts w:ascii="Tahoma" w:hAnsi="Tahoma" w:cs="Tahoma"/>
                <w:color w:val="000000"/>
                <w:sz w:val="13"/>
              </w:rPr>
            </w:pPr>
            <w:r w:rsidRPr="00D87B79">
              <w:rPr>
                <w:rFonts w:ascii="Tahoma" w:hAnsi="Tahoma" w:cs="Tahoma"/>
                <w:color w:val="000000"/>
                <w:sz w:val="13"/>
              </w:rPr>
              <w:t>12/12</w:t>
            </w:r>
          </w:p>
        </w:tc>
        <w:tc>
          <w:tcPr>
            <w:tcW w:w="360" w:type="dxa"/>
            <w:tcBorders>
              <w:right w:val="single" w:sz="18" w:space="0" w:color="auto"/>
            </w:tcBorders>
            <w:vAlign w:val="center"/>
          </w:tcPr>
          <w:p w:rsidR="00A92422" w:rsidRPr="00D87B79" w:rsidRDefault="00A92422" w:rsidP="00EA30FC">
            <w:pPr>
              <w:pStyle w:val="TableText"/>
              <w:widowControl w:val="0"/>
              <w:rPr>
                <w:rFonts w:ascii="Tahoma" w:hAnsi="Tahoma" w:cs="Tahoma"/>
                <w:color w:val="000000"/>
                <w:sz w:val="13"/>
              </w:rPr>
            </w:pPr>
          </w:p>
        </w:tc>
        <w:tc>
          <w:tcPr>
            <w:tcW w:w="360" w:type="dxa"/>
            <w:tcBorders>
              <w:lef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450" w:type="dxa"/>
            <w:vAlign w:val="center"/>
          </w:tcPr>
          <w:p w:rsidR="00A92422" w:rsidRPr="00D87B79" w:rsidRDefault="00A92422" w:rsidP="00EA30FC">
            <w:pPr>
              <w:pStyle w:val="TableText"/>
              <w:widowControl w:val="0"/>
              <w:rPr>
                <w:rFonts w:ascii="Tahoma" w:hAnsi="Tahoma" w:cs="Tahoma"/>
                <w:sz w:val="13"/>
              </w:rPr>
            </w:pPr>
          </w:p>
        </w:tc>
        <w:tc>
          <w:tcPr>
            <w:tcW w:w="450" w:type="dxa"/>
            <w:vAlign w:val="center"/>
          </w:tcPr>
          <w:p w:rsidR="00A92422" w:rsidRPr="00D87B79" w:rsidRDefault="00A92422" w:rsidP="00EA30FC">
            <w:pPr>
              <w:pStyle w:val="TableText"/>
              <w:widowControl w:val="0"/>
              <w:rPr>
                <w:rFonts w:ascii="Tahoma" w:hAnsi="Tahoma" w:cs="Tahoma"/>
                <w:sz w:val="13"/>
              </w:rPr>
            </w:pPr>
          </w:p>
        </w:tc>
        <w:tc>
          <w:tcPr>
            <w:tcW w:w="450" w:type="dxa"/>
            <w:vAlign w:val="center"/>
          </w:tcPr>
          <w:p w:rsidR="00A92422" w:rsidRPr="00D87B79" w:rsidRDefault="00A92422" w:rsidP="00EA30FC">
            <w:pPr>
              <w:pStyle w:val="TableText"/>
              <w:widowControl w:val="0"/>
              <w:rPr>
                <w:rFonts w:ascii="Tahoma" w:hAnsi="Tahoma" w:cs="Tahoma"/>
                <w:sz w:val="13"/>
              </w:rPr>
            </w:pPr>
          </w:p>
        </w:tc>
        <w:tc>
          <w:tcPr>
            <w:tcW w:w="450" w:type="dxa"/>
            <w:vAlign w:val="center"/>
          </w:tcPr>
          <w:p w:rsidR="00A92422" w:rsidRPr="00D87B79" w:rsidRDefault="00A92422" w:rsidP="00EA30FC">
            <w:pPr>
              <w:pStyle w:val="TableText"/>
              <w:widowControl w:val="0"/>
              <w:rPr>
                <w:rFonts w:ascii="Tahoma" w:hAnsi="Tahoma" w:cs="Tahoma"/>
                <w:sz w:val="13"/>
              </w:rPr>
            </w:pPr>
          </w:p>
        </w:tc>
        <w:tc>
          <w:tcPr>
            <w:tcW w:w="450" w:type="dxa"/>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450" w:type="dxa"/>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right w:val="single" w:sz="18" w:space="0" w:color="auto"/>
            </w:tcBorders>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vAlign w:val="center"/>
          </w:tcPr>
          <w:p w:rsidR="00A92422" w:rsidRPr="00D87B79" w:rsidRDefault="00A92422" w:rsidP="00EA30FC">
            <w:pPr>
              <w:pStyle w:val="TableText"/>
              <w:widowControl w:val="0"/>
              <w:rPr>
                <w:rFonts w:ascii="Tahoma" w:hAnsi="Tahoma" w:cs="Tahoma"/>
                <w:sz w:val="13"/>
              </w:rPr>
            </w:pPr>
          </w:p>
        </w:tc>
        <w:tc>
          <w:tcPr>
            <w:tcW w:w="504" w:type="dxa"/>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 ST</w:t>
            </w:r>
          </w:p>
        </w:tc>
        <w:tc>
          <w:tcPr>
            <w:tcW w:w="486" w:type="dxa"/>
            <w:vAlign w:val="center"/>
          </w:tcPr>
          <w:p w:rsidR="00A92422" w:rsidRPr="00D87B79" w:rsidRDefault="00A92422" w:rsidP="00EA30FC">
            <w:pPr>
              <w:pStyle w:val="TableText"/>
              <w:widowControl w:val="0"/>
              <w:rPr>
                <w:rFonts w:ascii="Tahoma" w:hAnsi="Tahoma" w:cs="Tahoma"/>
                <w:color w:val="000000"/>
                <w:sz w:val="13"/>
              </w:rPr>
            </w:pPr>
          </w:p>
        </w:tc>
      </w:tr>
      <w:tr w:rsidR="00A92422" w:rsidRPr="00D87B79" w:rsidTr="00EA30FC">
        <w:trPr>
          <w:trHeight w:val="145"/>
        </w:trPr>
        <w:tc>
          <w:tcPr>
            <w:tcW w:w="2714" w:type="dxa"/>
            <w:shd w:val="clear" w:color="auto" w:fill="FABF8F"/>
            <w:vAlign w:val="center"/>
          </w:tcPr>
          <w:p w:rsidR="00A92422" w:rsidRPr="00D87B79" w:rsidRDefault="00A92422" w:rsidP="00EA30FC">
            <w:pPr>
              <w:pStyle w:val="Heading2"/>
              <w:spacing w:before="20" w:after="20"/>
              <w:ind w:left="0"/>
              <w:rPr>
                <w:rFonts w:ascii="Tahoma" w:hAnsi="Tahoma" w:cs="Tahoma"/>
                <w:b w:val="0"/>
                <w:sz w:val="14"/>
                <w:szCs w:val="14"/>
              </w:rPr>
            </w:pPr>
            <w:bookmarkStart w:id="609" w:name="_Toc336338132"/>
            <w:bookmarkStart w:id="610" w:name="_Toc342900185"/>
            <w:bookmarkEnd w:id="609"/>
            <w:r w:rsidRPr="00D87B79">
              <w:rPr>
                <w:rFonts w:ascii="Tahoma" w:hAnsi="Tahoma" w:cs="Tahoma"/>
                <w:b w:val="0"/>
                <w:sz w:val="14"/>
                <w:lang w:val="it-IT"/>
              </w:rPr>
              <w:t>USL Add-On per Windows Intune Extra Storage 1 GB</w:t>
            </w:r>
            <w:bookmarkEnd w:id="610"/>
          </w:p>
        </w:tc>
        <w:tc>
          <w:tcPr>
            <w:tcW w:w="450" w:type="dxa"/>
            <w:shd w:val="clear" w:color="auto" w:fill="FABF8F"/>
            <w:vAlign w:val="center"/>
          </w:tcPr>
          <w:p w:rsidR="00A92422" w:rsidRPr="001E1017" w:rsidRDefault="00A92422" w:rsidP="00EA30FC">
            <w:pPr>
              <w:pStyle w:val="TableText"/>
              <w:widowControl w:val="0"/>
              <w:rPr>
                <w:rFonts w:cs="Tahoma"/>
                <w:b/>
                <w:sz w:val="13"/>
                <w:szCs w:val="13"/>
                <w:u w:val="single"/>
              </w:rPr>
            </w:pPr>
          </w:p>
        </w:tc>
        <w:tc>
          <w:tcPr>
            <w:tcW w:w="450" w:type="dxa"/>
            <w:shd w:val="clear" w:color="auto" w:fill="FABF8F"/>
            <w:vAlign w:val="center"/>
          </w:tcPr>
          <w:p w:rsidR="00A92422" w:rsidRPr="00D87B79" w:rsidDel="00FA1B15" w:rsidRDefault="00A92422" w:rsidP="00EA30FC">
            <w:pPr>
              <w:pStyle w:val="TableText"/>
              <w:widowControl w:val="0"/>
              <w:spacing w:before="80"/>
              <w:rPr>
                <w:rFonts w:ascii="Tahoma" w:hAnsi="Tahoma" w:cs="Tahoma"/>
                <w:color w:val="000000"/>
                <w:sz w:val="13"/>
              </w:rPr>
            </w:pPr>
            <w:r w:rsidRPr="00D87B79">
              <w:rPr>
                <w:rFonts w:ascii="Tahoma" w:hAnsi="Tahoma" w:cs="Tahoma"/>
                <w:color w:val="000000"/>
                <w:sz w:val="13"/>
              </w:rPr>
              <w:t>12/12</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 ST</w:t>
            </w:r>
          </w:p>
        </w:tc>
        <w:tc>
          <w:tcPr>
            <w:tcW w:w="486"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r>
      <w:tr w:rsidR="00A92422" w:rsidRPr="00D87B79" w:rsidTr="00EA30FC">
        <w:trPr>
          <w:trHeight w:val="145"/>
        </w:trPr>
        <w:tc>
          <w:tcPr>
            <w:tcW w:w="2714" w:type="dxa"/>
            <w:shd w:val="clear" w:color="auto" w:fill="FFFFFF"/>
            <w:vAlign w:val="center"/>
          </w:tcPr>
          <w:p w:rsidR="00A92422" w:rsidRPr="00D87B79" w:rsidRDefault="00A92422" w:rsidP="00EA30FC">
            <w:pPr>
              <w:pStyle w:val="Heading2"/>
              <w:spacing w:before="20" w:after="20"/>
              <w:ind w:left="0"/>
              <w:rPr>
                <w:rFonts w:ascii="Tahoma" w:hAnsi="Tahoma" w:cs="Tahoma"/>
                <w:b w:val="0"/>
                <w:sz w:val="14"/>
                <w:szCs w:val="14"/>
              </w:rPr>
            </w:pPr>
            <w:bookmarkStart w:id="611" w:name="_Toc336338133"/>
            <w:bookmarkStart w:id="612" w:name="_Toc342900186"/>
            <w:bookmarkEnd w:id="611"/>
            <w:r w:rsidRPr="00D87B79">
              <w:rPr>
                <w:rFonts w:ascii="Tahoma" w:hAnsi="Tahoma" w:cs="Tahoma"/>
                <w:b w:val="0"/>
                <w:sz w:val="14"/>
                <w:lang w:val="it-IT"/>
              </w:rPr>
              <w:t>Windows MultiPoint Server 2012 Standard</w:t>
            </w:r>
            <w:bookmarkEnd w:id="612"/>
          </w:p>
        </w:tc>
        <w:tc>
          <w:tcPr>
            <w:tcW w:w="450" w:type="dxa"/>
            <w:shd w:val="clear" w:color="auto" w:fill="FFFFFF"/>
            <w:vAlign w:val="center"/>
          </w:tcPr>
          <w:p w:rsidR="00A92422" w:rsidRPr="001E1017" w:rsidRDefault="00A92422" w:rsidP="00EA30FC">
            <w:pPr>
              <w:pStyle w:val="TableText"/>
              <w:widowControl w:val="0"/>
              <w:rPr>
                <w:rFonts w:cs="Tahoma"/>
                <w:b/>
                <w:sz w:val="13"/>
                <w:szCs w:val="13"/>
                <w:u w:val="single"/>
              </w:rPr>
            </w:pPr>
            <w:hyperlink w:anchor="_100_Windows_Multipoint" w:history="1">
              <w:r w:rsidRPr="001E1017">
                <w:rPr>
                  <w:rStyle w:val="Hyperlink"/>
                  <w:rFonts w:cs="Tahoma"/>
                  <w:b/>
                  <w:sz w:val="13"/>
                  <w:szCs w:val="13"/>
                </w:rPr>
                <w:t>100</w:t>
              </w:r>
            </w:hyperlink>
          </w:p>
        </w:tc>
        <w:tc>
          <w:tcPr>
            <w:tcW w:w="450" w:type="dxa"/>
            <w:shd w:val="clear" w:color="auto" w:fill="FFFFFF"/>
            <w:vAlign w:val="center"/>
          </w:tcPr>
          <w:p w:rsidR="00A92422" w:rsidRPr="00D87B79" w:rsidRDefault="00A92422" w:rsidP="00EA30FC">
            <w:pPr>
              <w:pStyle w:val="TableText"/>
              <w:widowControl w:val="0"/>
              <w:spacing w:before="80"/>
              <w:rPr>
                <w:rFonts w:ascii="Tahoma" w:hAnsi="Tahoma" w:cs="Tahoma"/>
                <w:color w:val="000000"/>
                <w:sz w:val="13"/>
              </w:rPr>
            </w:pPr>
            <w:r w:rsidRPr="00D87B79">
              <w:rPr>
                <w:rFonts w:ascii="Tahoma" w:hAnsi="Tahoma" w:cs="Tahoma"/>
                <w:color w:val="000000"/>
                <w:sz w:val="13"/>
              </w:rPr>
              <w:t>12/12</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SRV</w:t>
            </w: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13</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10</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8</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8</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10</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FFFFF"/>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lang w:val="it-IT"/>
              </w:rPr>
              <w:t>A</w:t>
            </w:r>
          </w:p>
        </w:tc>
        <w:tc>
          <w:tcPr>
            <w:tcW w:w="486"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r>
      <w:tr w:rsidR="00A92422" w:rsidRPr="00D87B79" w:rsidTr="00EA30FC">
        <w:trPr>
          <w:trHeight w:val="145"/>
        </w:trPr>
        <w:tc>
          <w:tcPr>
            <w:tcW w:w="2714" w:type="dxa"/>
            <w:shd w:val="clear" w:color="auto" w:fill="FABF8F"/>
            <w:vAlign w:val="center"/>
          </w:tcPr>
          <w:p w:rsidR="00A92422" w:rsidRPr="00D87B79" w:rsidRDefault="00A92422" w:rsidP="00EA30FC">
            <w:pPr>
              <w:pStyle w:val="Heading2"/>
              <w:spacing w:before="20" w:after="20"/>
              <w:ind w:left="0"/>
              <w:rPr>
                <w:rFonts w:ascii="Tahoma" w:hAnsi="Tahoma" w:cs="Tahoma"/>
                <w:b w:val="0"/>
                <w:sz w:val="14"/>
                <w:szCs w:val="14"/>
              </w:rPr>
            </w:pPr>
            <w:bookmarkStart w:id="613" w:name="_Toc336338134"/>
            <w:bookmarkStart w:id="614" w:name="_Toc342900187"/>
            <w:bookmarkEnd w:id="613"/>
            <w:r w:rsidRPr="00D87B79">
              <w:rPr>
                <w:rFonts w:ascii="Tahoma" w:hAnsi="Tahoma" w:cs="Tahoma"/>
                <w:b w:val="0"/>
                <w:sz w:val="14"/>
                <w:lang w:val="it-IT"/>
              </w:rPr>
              <w:t>Windows MultiPoint Server 2012 Premium</w:t>
            </w:r>
            <w:bookmarkEnd w:id="614"/>
          </w:p>
        </w:tc>
        <w:tc>
          <w:tcPr>
            <w:tcW w:w="450" w:type="dxa"/>
            <w:shd w:val="clear" w:color="auto" w:fill="FABF8F"/>
            <w:vAlign w:val="center"/>
          </w:tcPr>
          <w:p w:rsidR="00A92422" w:rsidRPr="001E1017" w:rsidRDefault="00A92422" w:rsidP="00EA30FC">
            <w:pPr>
              <w:pStyle w:val="TableText"/>
              <w:widowControl w:val="0"/>
              <w:rPr>
                <w:rFonts w:cs="Tahoma"/>
                <w:b/>
                <w:sz w:val="13"/>
                <w:szCs w:val="13"/>
                <w:u w:val="single"/>
              </w:rPr>
            </w:pPr>
            <w:hyperlink w:anchor="_101_Windows_Multipoint" w:history="1">
              <w:r w:rsidRPr="001E1017">
                <w:rPr>
                  <w:rStyle w:val="Hyperlink"/>
                  <w:rFonts w:cs="Tahoma"/>
                  <w:b/>
                  <w:sz w:val="13"/>
                  <w:szCs w:val="13"/>
                </w:rPr>
                <w:t>101</w:t>
              </w:r>
            </w:hyperlink>
          </w:p>
        </w:tc>
        <w:tc>
          <w:tcPr>
            <w:tcW w:w="450" w:type="dxa"/>
            <w:shd w:val="clear" w:color="auto" w:fill="FABF8F"/>
            <w:vAlign w:val="center"/>
          </w:tcPr>
          <w:p w:rsidR="00A92422" w:rsidRPr="00D87B79" w:rsidRDefault="00A92422" w:rsidP="00EA30FC">
            <w:pPr>
              <w:pStyle w:val="TableText"/>
              <w:widowControl w:val="0"/>
              <w:spacing w:before="80"/>
              <w:rPr>
                <w:rFonts w:ascii="Tahoma" w:hAnsi="Tahoma" w:cs="Tahoma"/>
                <w:color w:val="000000"/>
                <w:sz w:val="13"/>
              </w:rPr>
            </w:pPr>
            <w:r w:rsidRPr="00D87B79">
              <w:rPr>
                <w:rFonts w:ascii="Tahoma" w:hAnsi="Tahoma" w:cs="Tahoma"/>
                <w:color w:val="000000"/>
                <w:sz w:val="13"/>
              </w:rPr>
              <w:t>12/12</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10</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25</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20</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15</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15</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10</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10</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20</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10</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10</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lang w:val="it-IT"/>
              </w:rPr>
              <w:t>A</w:t>
            </w:r>
          </w:p>
        </w:tc>
        <w:tc>
          <w:tcPr>
            <w:tcW w:w="486"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r>
      <w:tr w:rsidR="00A92422" w:rsidRPr="00D87B79" w:rsidTr="00EA30FC">
        <w:trPr>
          <w:trHeight w:val="145"/>
        </w:trPr>
        <w:tc>
          <w:tcPr>
            <w:tcW w:w="2714" w:type="dxa"/>
            <w:shd w:val="clear" w:color="auto" w:fill="FFFFFF"/>
            <w:vAlign w:val="center"/>
          </w:tcPr>
          <w:p w:rsidR="00A92422" w:rsidRPr="00D87B79" w:rsidRDefault="00A92422" w:rsidP="00EA30FC">
            <w:pPr>
              <w:pStyle w:val="Heading2"/>
              <w:spacing w:before="20" w:after="20"/>
              <w:ind w:left="0"/>
              <w:rPr>
                <w:rFonts w:ascii="Tahoma" w:hAnsi="Tahoma" w:cs="Tahoma"/>
                <w:b w:val="0"/>
                <w:sz w:val="14"/>
                <w:szCs w:val="14"/>
              </w:rPr>
            </w:pPr>
            <w:bookmarkStart w:id="615" w:name="_Toc336338135"/>
            <w:bookmarkStart w:id="616" w:name="_Toc342900188"/>
            <w:bookmarkEnd w:id="615"/>
            <w:r w:rsidRPr="00D87B79">
              <w:rPr>
                <w:rFonts w:ascii="Tahoma" w:hAnsi="Tahoma" w:cs="Tahoma"/>
                <w:b w:val="0"/>
                <w:sz w:val="14"/>
                <w:lang w:val="it-IT"/>
              </w:rPr>
              <w:t>CAL per Windows MultiPoint Server 2012</w:t>
            </w:r>
            <w:bookmarkEnd w:id="616"/>
          </w:p>
        </w:tc>
        <w:tc>
          <w:tcPr>
            <w:tcW w:w="450" w:type="dxa"/>
            <w:shd w:val="clear" w:color="auto" w:fill="FFFFFF"/>
            <w:vAlign w:val="center"/>
          </w:tcPr>
          <w:p w:rsidR="00A92422" w:rsidRPr="001E1017" w:rsidRDefault="00A92422" w:rsidP="00EA30FC">
            <w:pPr>
              <w:pStyle w:val="TableText"/>
              <w:widowControl w:val="0"/>
              <w:rPr>
                <w:rFonts w:cs="Tahoma"/>
                <w:b/>
                <w:sz w:val="13"/>
                <w:szCs w:val="13"/>
                <w:u w:val="single"/>
              </w:rPr>
            </w:pPr>
            <w:hyperlink w:anchor="_102_CAL_per" w:history="1">
              <w:r w:rsidRPr="001E1017">
                <w:rPr>
                  <w:rStyle w:val="Hyperlink"/>
                  <w:rFonts w:cs="Tahoma"/>
                  <w:b/>
                  <w:sz w:val="13"/>
                  <w:szCs w:val="13"/>
                </w:rPr>
                <w:t>102</w:t>
              </w:r>
            </w:hyperlink>
          </w:p>
        </w:tc>
        <w:tc>
          <w:tcPr>
            <w:tcW w:w="450" w:type="dxa"/>
            <w:shd w:val="clear" w:color="auto" w:fill="FFFFFF"/>
            <w:vAlign w:val="center"/>
          </w:tcPr>
          <w:p w:rsidR="00A92422" w:rsidRPr="00D87B79" w:rsidRDefault="00A92422" w:rsidP="00EA30FC">
            <w:pPr>
              <w:pStyle w:val="TableText"/>
              <w:widowControl w:val="0"/>
              <w:spacing w:before="80"/>
              <w:rPr>
                <w:rFonts w:ascii="Tahoma" w:hAnsi="Tahoma" w:cs="Tahoma"/>
                <w:color w:val="000000"/>
                <w:sz w:val="13"/>
              </w:rPr>
            </w:pPr>
            <w:r w:rsidRPr="00D87B79">
              <w:rPr>
                <w:rFonts w:ascii="Tahoma" w:hAnsi="Tahoma" w:cs="Tahoma"/>
                <w:color w:val="000000"/>
                <w:sz w:val="13"/>
              </w:rPr>
              <w:t>12/12</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SRV</w:t>
            </w: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FFFFF"/>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lang w:val="it-IT"/>
              </w:rPr>
              <w:t>A</w:t>
            </w:r>
          </w:p>
        </w:tc>
        <w:tc>
          <w:tcPr>
            <w:tcW w:w="486"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r>
      <w:tr w:rsidR="00A92422" w:rsidRPr="00D87B79" w:rsidTr="00EA30FC">
        <w:trPr>
          <w:trHeight w:val="145"/>
        </w:trPr>
        <w:tc>
          <w:tcPr>
            <w:tcW w:w="2714" w:type="dxa"/>
            <w:shd w:val="clear" w:color="auto" w:fill="FABF8F"/>
            <w:vAlign w:val="center"/>
          </w:tcPr>
          <w:p w:rsidR="00A92422" w:rsidRPr="00D87B79" w:rsidRDefault="00A92422" w:rsidP="00EA30FC">
            <w:pPr>
              <w:pStyle w:val="Heading2"/>
              <w:spacing w:before="20" w:after="20"/>
              <w:ind w:left="0"/>
              <w:rPr>
                <w:rFonts w:ascii="Tahoma" w:hAnsi="Tahoma" w:cs="Tahoma"/>
                <w:b w:val="0"/>
                <w:sz w:val="14"/>
                <w:szCs w:val="14"/>
              </w:rPr>
            </w:pPr>
            <w:bookmarkStart w:id="617" w:name="_Toc336338136"/>
            <w:bookmarkStart w:id="618" w:name="_Toc342900189"/>
            <w:bookmarkEnd w:id="617"/>
            <w:r w:rsidRPr="00D87B79">
              <w:rPr>
                <w:rFonts w:ascii="Tahoma" w:hAnsi="Tahoma" w:cs="Tahoma"/>
                <w:b w:val="0"/>
                <w:sz w:val="14"/>
                <w:lang w:val="it-IT"/>
              </w:rPr>
              <w:t>CAL per Windows MultiPoint Server 2012 con CAL per Windows Server 2012</w:t>
            </w:r>
            <w:bookmarkEnd w:id="618"/>
          </w:p>
        </w:tc>
        <w:tc>
          <w:tcPr>
            <w:tcW w:w="450" w:type="dxa"/>
            <w:shd w:val="clear" w:color="auto" w:fill="FABF8F"/>
            <w:vAlign w:val="center"/>
          </w:tcPr>
          <w:p w:rsidR="00A92422" w:rsidRPr="001E1017" w:rsidRDefault="00A92422" w:rsidP="00EA30FC">
            <w:pPr>
              <w:pStyle w:val="TableText"/>
              <w:widowControl w:val="0"/>
              <w:rPr>
                <w:rFonts w:cs="Tahoma"/>
                <w:b/>
                <w:sz w:val="13"/>
                <w:szCs w:val="13"/>
                <w:u w:val="single"/>
              </w:rPr>
            </w:pPr>
          </w:p>
        </w:tc>
        <w:tc>
          <w:tcPr>
            <w:tcW w:w="450" w:type="dxa"/>
            <w:shd w:val="clear" w:color="auto" w:fill="FABF8F"/>
            <w:vAlign w:val="center"/>
          </w:tcPr>
          <w:p w:rsidR="00A92422" w:rsidRPr="00D87B79" w:rsidRDefault="00A92422" w:rsidP="00EA30FC">
            <w:pPr>
              <w:pStyle w:val="TableText"/>
              <w:widowControl w:val="0"/>
              <w:spacing w:before="80"/>
              <w:rPr>
                <w:rFonts w:ascii="Tahoma" w:hAnsi="Tahoma" w:cs="Tahoma"/>
                <w:color w:val="000000"/>
                <w:sz w:val="13"/>
              </w:rPr>
            </w:pPr>
            <w:r w:rsidRPr="00D87B79">
              <w:rPr>
                <w:rFonts w:ascii="Tahoma" w:hAnsi="Tahoma" w:cs="Tahoma"/>
                <w:color w:val="000000"/>
                <w:sz w:val="13"/>
              </w:rPr>
              <w:t>12/12</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lang w:val="it-IT"/>
              </w:rPr>
              <w:t>A</w:t>
            </w:r>
          </w:p>
        </w:tc>
        <w:tc>
          <w:tcPr>
            <w:tcW w:w="486"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r>
      <w:tr w:rsidR="00A92422" w:rsidRPr="00D87B79" w:rsidTr="00EA30FC">
        <w:trPr>
          <w:trHeight w:val="145"/>
        </w:trPr>
        <w:tc>
          <w:tcPr>
            <w:tcW w:w="2714" w:type="dxa"/>
            <w:shd w:val="clear" w:color="auto" w:fill="FFFFFF"/>
            <w:vAlign w:val="center"/>
          </w:tcPr>
          <w:p w:rsidR="00A92422" w:rsidRPr="00D87B79" w:rsidRDefault="00A92422" w:rsidP="00EA30FC">
            <w:pPr>
              <w:pStyle w:val="Heading2"/>
              <w:spacing w:before="20" w:after="20"/>
              <w:ind w:left="0"/>
              <w:rPr>
                <w:rFonts w:ascii="Tahoma" w:hAnsi="Tahoma" w:cs="Tahoma"/>
                <w:b w:val="0"/>
                <w:sz w:val="14"/>
                <w:szCs w:val="14"/>
              </w:rPr>
            </w:pPr>
            <w:bookmarkStart w:id="619" w:name="_Toc336338137"/>
            <w:bookmarkStart w:id="620" w:name="_Toc342900190"/>
            <w:bookmarkEnd w:id="619"/>
            <w:r w:rsidRPr="00D87B79">
              <w:rPr>
                <w:rFonts w:ascii="Tahoma" w:hAnsi="Tahoma" w:cs="Tahoma"/>
                <w:b w:val="0"/>
                <w:sz w:val="14"/>
                <w:lang w:val="it-IT"/>
              </w:rPr>
              <w:t>Windows MultiPoint Server 2012 Premium con Windows MultiPoint Server 2012 (CAL) (5 Client)</w:t>
            </w:r>
            <w:bookmarkEnd w:id="620"/>
          </w:p>
        </w:tc>
        <w:tc>
          <w:tcPr>
            <w:tcW w:w="450" w:type="dxa"/>
            <w:shd w:val="clear" w:color="auto" w:fill="FFFFFF"/>
            <w:vAlign w:val="center"/>
          </w:tcPr>
          <w:p w:rsidR="00A92422" w:rsidRPr="001E1017" w:rsidRDefault="00A92422" w:rsidP="00EA30FC">
            <w:pPr>
              <w:pStyle w:val="TableText"/>
              <w:widowControl w:val="0"/>
              <w:rPr>
                <w:rFonts w:cs="Tahoma"/>
                <w:b/>
                <w:sz w:val="13"/>
                <w:szCs w:val="13"/>
                <w:u w:val="single"/>
              </w:rPr>
            </w:pPr>
          </w:p>
        </w:tc>
        <w:tc>
          <w:tcPr>
            <w:tcW w:w="450" w:type="dxa"/>
            <w:shd w:val="clear" w:color="auto" w:fill="FFFFFF"/>
            <w:vAlign w:val="center"/>
          </w:tcPr>
          <w:p w:rsidR="00A92422" w:rsidRPr="00D87B79" w:rsidRDefault="00A92422" w:rsidP="00EA30FC">
            <w:pPr>
              <w:pStyle w:val="TableText"/>
              <w:widowControl w:val="0"/>
              <w:spacing w:before="80"/>
              <w:rPr>
                <w:rFonts w:ascii="Tahoma" w:hAnsi="Tahoma" w:cs="Tahoma"/>
                <w:color w:val="000000"/>
                <w:sz w:val="13"/>
              </w:rPr>
            </w:pPr>
            <w:r w:rsidRPr="00D87B79">
              <w:rPr>
                <w:rFonts w:ascii="Tahoma" w:hAnsi="Tahoma" w:cs="Tahoma"/>
                <w:color w:val="000000"/>
                <w:sz w:val="13"/>
              </w:rPr>
              <w:t>01/13</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SRV</w:t>
            </w: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25</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63</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38</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38</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25</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13</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25</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25</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25</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FFFFF"/>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lang w:val="it-IT"/>
              </w:rPr>
              <w:t>A</w:t>
            </w:r>
          </w:p>
        </w:tc>
        <w:tc>
          <w:tcPr>
            <w:tcW w:w="486"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OL/OV</w:t>
            </w:r>
          </w:p>
        </w:tc>
      </w:tr>
      <w:tr w:rsidR="00A92422" w:rsidRPr="00D87B79" w:rsidTr="00EA30FC">
        <w:trPr>
          <w:trHeight w:val="145"/>
        </w:trPr>
        <w:tc>
          <w:tcPr>
            <w:tcW w:w="2714" w:type="dxa"/>
            <w:shd w:val="clear" w:color="auto" w:fill="FABF8F"/>
            <w:vAlign w:val="center"/>
          </w:tcPr>
          <w:p w:rsidR="00A92422" w:rsidRPr="00D87B79" w:rsidRDefault="00A92422" w:rsidP="00EA30FC">
            <w:pPr>
              <w:pStyle w:val="Heading2"/>
              <w:spacing w:before="20" w:after="20"/>
              <w:ind w:left="0"/>
              <w:rPr>
                <w:rFonts w:ascii="Tahoma" w:hAnsi="Tahoma" w:cs="Tahoma"/>
                <w:b w:val="0"/>
                <w:sz w:val="14"/>
                <w:szCs w:val="14"/>
              </w:rPr>
            </w:pPr>
            <w:bookmarkStart w:id="621" w:name="_Toc336338138"/>
            <w:bookmarkStart w:id="622" w:name="_Toc342900191"/>
            <w:bookmarkEnd w:id="621"/>
            <w:r w:rsidRPr="00D87B79">
              <w:rPr>
                <w:rFonts w:ascii="Tahoma" w:hAnsi="Tahoma" w:cs="Tahoma"/>
                <w:b w:val="0"/>
                <w:sz w:val="14"/>
                <w:lang w:val="it-IT"/>
              </w:rPr>
              <w:t>Windows MultiPoint Server 2012 Premium con Windows MultiPoint Server 2012 (CAL) (5 Client) con Windows Server 2012 (CAL) (5 Client)</w:t>
            </w:r>
            <w:bookmarkEnd w:id="622"/>
          </w:p>
        </w:tc>
        <w:tc>
          <w:tcPr>
            <w:tcW w:w="450" w:type="dxa"/>
            <w:shd w:val="clear" w:color="auto" w:fill="FABF8F"/>
            <w:vAlign w:val="center"/>
          </w:tcPr>
          <w:p w:rsidR="00A92422" w:rsidRPr="001E1017" w:rsidRDefault="00A92422" w:rsidP="00EA30FC">
            <w:pPr>
              <w:pStyle w:val="TableText"/>
              <w:widowControl w:val="0"/>
              <w:rPr>
                <w:rFonts w:cs="Tahoma"/>
                <w:b/>
                <w:sz w:val="13"/>
                <w:szCs w:val="13"/>
                <w:u w:val="single"/>
              </w:rPr>
            </w:pPr>
          </w:p>
        </w:tc>
        <w:tc>
          <w:tcPr>
            <w:tcW w:w="450" w:type="dxa"/>
            <w:shd w:val="clear" w:color="auto" w:fill="FABF8F"/>
            <w:vAlign w:val="center"/>
          </w:tcPr>
          <w:p w:rsidR="00A92422" w:rsidRPr="00D87B79" w:rsidRDefault="00A92422" w:rsidP="00EA30FC">
            <w:pPr>
              <w:pStyle w:val="TableText"/>
              <w:widowControl w:val="0"/>
              <w:spacing w:before="80"/>
              <w:rPr>
                <w:rFonts w:ascii="Tahoma" w:hAnsi="Tahoma" w:cs="Tahoma"/>
                <w:color w:val="000000"/>
                <w:sz w:val="13"/>
              </w:rPr>
            </w:pPr>
            <w:r w:rsidRPr="00D87B79">
              <w:rPr>
                <w:rFonts w:ascii="Tahoma" w:hAnsi="Tahoma" w:cs="Tahoma"/>
                <w:color w:val="000000"/>
                <w:sz w:val="13"/>
              </w:rPr>
              <w:t>01/13</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25</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63</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38</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38</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25</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13</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25</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25</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25</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sz w:val="13"/>
                <w:lang w:val="it-IT"/>
              </w:rPr>
              <w:t>A</w:t>
            </w:r>
          </w:p>
        </w:tc>
        <w:tc>
          <w:tcPr>
            <w:tcW w:w="486"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OL/OV</w:t>
            </w:r>
          </w:p>
        </w:tc>
      </w:tr>
      <w:tr w:rsidR="00A92422" w:rsidRPr="00D87B79" w:rsidTr="00EA30FC">
        <w:trPr>
          <w:trHeight w:val="145"/>
        </w:trPr>
        <w:tc>
          <w:tcPr>
            <w:tcW w:w="2714" w:type="dxa"/>
            <w:shd w:val="clear" w:color="auto" w:fill="FFFFFF"/>
            <w:vAlign w:val="center"/>
          </w:tcPr>
          <w:p w:rsidR="00A92422" w:rsidRPr="00D87B79" w:rsidRDefault="00A92422" w:rsidP="00EA30FC">
            <w:pPr>
              <w:pStyle w:val="Heading2"/>
              <w:spacing w:before="20" w:after="20"/>
              <w:ind w:left="0"/>
              <w:rPr>
                <w:rFonts w:ascii="Tahoma" w:hAnsi="Tahoma" w:cs="Tahoma"/>
                <w:b w:val="0"/>
                <w:sz w:val="14"/>
                <w:szCs w:val="14"/>
              </w:rPr>
            </w:pPr>
            <w:bookmarkStart w:id="623" w:name="_Toc336338139"/>
            <w:bookmarkStart w:id="624" w:name="_Toc342900192"/>
            <w:bookmarkEnd w:id="623"/>
            <w:r w:rsidRPr="00D87B79">
              <w:rPr>
                <w:rFonts w:ascii="Tahoma" w:hAnsi="Tahoma" w:cs="Tahoma"/>
                <w:b w:val="0"/>
                <w:sz w:val="14"/>
                <w:lang w:val="it-IT"/>
              </w:rPr>
              <w:t>Windows Server™ 2008 R2 HPC Edition</w:t>
            </w:r>
            <w:bookmarkEnd w:id="624"/>
          </w:p>
        </w:tc>
        <w:tc>
          <w:tcPr>
            <w:tcW w:w="450" w:type="dxa"/>
            <w:shd w:val="clear" w:color="auto" w:fill="FFFFFF"/>
            <w:vAlign w:val="center"/>
          </w:tcPr>
          <w:p w:rsidR="00A92422" w:rsidRPr="001E1017" w:rsidRDefault="00A92422" w:rsidP="00EA30FC">
            <w:pPr>
              <w:pStyle w:val="TableText"/>
              <w:widowControl w:val="0"/>
              <w:spacing w:before="240"/>
              <w:rPr>
                <w:rStyle w:val="EndnoteReference"/>
                <w:rFonts w:cs="Tahoma"/>
                <w:b w:val="0"/>
                <w:color w:val="0000FF"/>
                <w:sz w:val="13"/>
                <w:szCs w:val="13"/>
                <w:u w:val="single"/>
              </w:rPr>
            </w:pPr>
            <w:hyperlink w:anchor="_103_Windows_Server" w:history="1">
              <w:r w:rsidRPr="001E1017">
                <w:rPr>
                  <w:rStyle w:val="Hyperlink"/>
                  <w:rFonts w:cs="Tahoma"/>
                  <w:b/>
                  <w:sz w:val="13"/>
                  <w:szCs w:val="13"/>
                </w:rPr>
                <w:t>103</w:t>
              </w:r>
            </w:hyperlink>
          </w:p>
        </w:tc>
        <w:tc>
          <w:tcPr>
            <w:tcW w:w="450" w:type="dxa"/>
            <w:shd w:val="clear" w:color="auto" w:fill="FFFFFF"/>
          </w:tcPr>
          <w:p w:rsidR="00A92422" w:rsidRPr="00D87B79" w:rsidRDefault="00A92422" w:rsidP="00EA30FC">
            <w:pPr>
              <w:pStyle w:val="TableText"/>
              <w:widowControl w:val="0"/>
              <w:spacing w:before="120"/>
              <w:rPr>
                <w:rFonts w:ascii="Tahoma" w:hAnsi="Tahoma" w:cs="Tahoma"/>
                <w:color w:val="000000"/>
                <w:sz w:val="13"/>
              </w:rPr>
            </w:pPr>
            <w:r w:rsidRPr="00D87B79">
              <w:rPr>
                <w:rFonts w:ascii="Tahoma" w:hAnsi="Tahoma" w:cs="Tahoma"/>
                <w:sz w:val="13"/>
              </w:rPr>
              <w:t>09/10</w:t>
            </w:r>
          </w:p>
        </w:tc>
        <w:tc>
          <w:tcPr>
            <w:tcW w:w="360" w:type="dxa"/>
            <w:tcBorders>
              <w:right w:val="single" w:sz="18" w:space="0" w:color="auto"/>
            </w:tcBorders>
            <w:shd w:val="clear" w:color="auto" w:fill="FFFFFF"/>
          </w:tcPr>
          <w:p w:rsidR="00A92422" w:rsidRPr="00D87B79" w:rsidRDefault="00A92422" w:rsidP="00EA30FC">
            <w:pPr>
              <w:pStyle w:val="TableText"/>
              <w:widowControl w:val="0"/>
              <w:spacing w:before="120"/>
              <w:rPr>
                <w:rFonts w:ascii="Tahoma" w:hAnsi="Tahoma" w:cs="Tahoma"/>
                <w:color w:val="000000"/>
                <w:sz w:val="13"/>
              </w:rPr>
            </w:pPr>
            <w:r w:rsidRPr="00D87B79">
              <w:rPr>
                <w:rFonts w:ascii="Tahoma" w:hAnsi="Tahoma" w:cs="Tahoma"/>
                <w:lang w:val="it-IT"/>
              </w:rPr>
              <w:t>SRV</w:t>
            </w:r>
          </w:p>
        </w:tc>
        <w:tc>
          <w:tcPr>
            <w:tcW w:w="360" w:type="dxa"/>
            <w:tcBorders>
              <w:left w:val="single" w:sz="18" w:space="0" w:color="auto"/>
            </w:tcBorders>
            <w:shd w:val="clear" w:color="auto" w:fill="FFFFFF"/>
          </w:tcPr>
          <w:p w:rsidR="00A92422" w:rsidRPr="00D87B79" w:rsidRDefault="00A92422" w:rsidP="00EA30FC">
            <w:pPr>
              <w:pStyle w:val="TableText"/>
              <w:widowControl w:val="0"/>
              <w:spacing w:before="120"/>
              <w:rPr>
                <w:rFonts w:ascii="Tahoma" w:hAnsi="Tahoma" w:cs="Tahoma"/>
                <w:sz w:val="13"/>
              </w:rPr>
            </w:pPr>
          </w:p>
        </w:tc>
        <w:tc>
          <w:tcPr>
            <w:tcW w:w="450" w:type="dxa"/>
            <w:shd w:val="clear" w:color="auto" w:fill="FFFFFF"/>
          </w:tcPr>
          <w:p w:rsidR="00A92422" w:rsidRPr="00D87B79" w:rsidRDefault="00A92422" w:rsidP="00EA30FC">
            <w:pPr>
              <w:pStyle w:val="TableText"/>
              <w:widowControl w:val="0"/>
              <w:spacing w:before="120"/>
              <w:rPr>
                <w:rFonts w:ascii="Tahoma" w:hAnsi="Tahoma" w:cs="Tahoma"/>
                <w:sz w:val="13"/>
              </w:rPr>
            </w:pPr>
          </w:p>
        </w:tc>
        <w:tc>
          <w:tcPr>
            <w:tcW w:w="450" w:type="dxa"/>
            <w:shd w:val="clear" w:color="auto" w:fill="FFFFFF"/>
          </w:tcPr>
          <w:p w:rsidR="00A92422" w:rsidRPr="00D87B79" w:rsidRDefault="00A92422" w:rsidP="00EA30FC">
            <w:pPr>
              <w:pStyle w:val="TableText"/>
              <w:widowControl w:val="0"/>
              <w:spacing w:before="120"/>
              <w:rPr>
                <w:rFonts w:ascii="Tahoma" w:hAnsi="Tahoma" w:cs="Tahoma"/>
                <w:sz w:val="13"/>
              </w:rPr>
            </w:pPr>
          </w:p>
        </w:tc>
        <w:tc>
          <w:tcPr>
            <w:tcW w:w="450" w:type="dxa"/>
            <w:shd w:val="clear" w:color="auto" w:fill="FFFFFF"/>
          </w:tcPr>
          <w:p w:rsidR="00A92422" w:rsidRPr="00D87B79" w:rsidRDefault="00A92422" w:rsidP="00EA30FC">
            <w:pPr>
              <w:pStyle w:val="TableText"/>
              <w:widowControl w:val="0"/>
              <w:spacing w:before="120"/>
              <w:rPr>
                <w:rFonts w:ascii="Tahoma" w:hAnsi="Tahoma" w:cs="Tahoma"/>
                <w:sz w:val="13"/>
              </w:rPr>
            </w:pPr>
          </w:p>
        </w:tc>
        <w:tc>
          <w:tcPr>
            <w:tcW w:w="450" w:type="dxa"/>
            <w:shd w:val="clear" w:color="auto" w:fill="FFFFFF"/>
          </w:tcPr>
          <w:p w:rsidR="00A92422" w:rsidRPr="00D87B79" w:rsidRDefault="00A92422" w:rsidP="00EA30FC">
            <w:pPr>
              <w:pStyle w:val="TableText"/>
              <w:widowControl w:val="0"/>
              <w:spacing w:before="120"/>
              <w:rPr>
                <w:rFonts w:ascii="Tahoma" w:hAnsi="Tahoma" w:cs="Tahoma"/>
                <w:sz w:val="13"/>
              </w:rPr>
            </w:pPr>
          </w:p>
        </w:tc>
        <w:tc>
          <w:tcPr>
            <w:tcW w:w="450" w:type="dxa"/>
            <w:shd w:val="clear" w:color="auto" w:fill="FFFFFF"/>
          </w:tcPr>
          <w:p w:rsidR="00A92422" w:rsidRPr="00D87B79" w:rsidRDefault="00A92422" w:rsidP="00EA30FC">
            <w:pPr>
              <w:pStyle w:val="TableText"/>
              <w:widowControl w:val="0"/>
              <w:spacing w:before="120"/>
              <w:rPr>
                <w:rFonts w:ascii="Tahoma" w:hAnsi="Tahoma" w:cs="Tahoma"/>
                <w:sz w:val="13"/>
              </w:rPr>
            </w:pPr>
          </w:p>
        </w:tc>
        <w:tc>
          <w:tcPr>
            <w:tcW w:w="360" w:type="dxa"/>
            <w:tcBorders>
              <w:right w:val="single" w:sz="18" w:space="0" w:color="auto"/>
            </w:tcBorders>
            <w:shd w:val="clear" w:color="auto" w:fill="FFFFFF"/>
          </w:tcPr>
          <w:p w:rsidR="00A92422" w:rsidRPr="00D87B79" w:rsidRDefault="00A92422" w:rsidP="00EA30FC">
            <w:pPr>
              <w:pStyle w:val="TableText"/>
              <w:widowControl w:val="0"/>
              <w:spacing w:before="120"/>
              <w:rPr>
                <w:rFonts w:ascii="Tahoma" w:hAnsi="Tahoma" w:cs="Tahoma"/>
                <w:sz w:val="13"/>
              </w:rPr>
            </w:pPr>
          </w:p>
        </w:tc>
        <w:tc>
          <w:tcPr>
            <w:tcW w:w="450" w:type="dxa"/>
            <w:tcBorders>
              <w:left w:val="single" w:sz="18" w:space="0" w:color="auto"/>
            </w:tcBorders>
            <w:shd w:val="clear" w:color="auto" w:fill="FFFFFF"/>
          </w:tcPr>
          <w:p w:rsidR="00A92422" w:rsidRPr="00D87B79" w:rsidRDefault="00A92422" w:rsidP="00EA30FC">
            <w:pPr>
              <w:pStyle w:val="TableText"/>
              <w:widowControl w:val="0"/>
              <w:spacing w:before="120"/>
              <w:rPr>
                <w:rFonts w:ascii="Tahoma" w:hAnsi="Tahoma" w:cs="Tahoma"/>
                <w:sz w:val="13"/>
              </w:rPr>
            </w:pPr>
          </w:p>
        </w:tc>
        <w:tc>
          <w:tcPr>
            <w:tcW w:w="450" w:type="dxa"/>
            <w:shd w:val="clear" w:color="auto" w:fill="FFFFFF"/>
          </w:tcPr>
          <w:p w:rsidR="00A92422" w:rsidRPr="00D87B79" w:rsidRDefault="00A92422" w:rsidP="00EA30FC">
            <w:pPr>
              <w:pStyle w:val="TableText"/>
              <w:widowControl w:val="0"/>
              <w:spacing w:before="120"/>
              <w:rPr>
                <w:rFonts w:ascii="Tahoma" w:hAnsi="Tahoma" w:cs="Tahoma"/>
                <w:sz w:val="13"/>
              </w:rPr>
            </w:pPr>
          </w:p>
        </w:tc>
        <w:tc>
          <w:tcPr>
            <w:tcW w:w="450" w:type="dxa"/>
            <w:tcBorders>
              <w:right w:val="single" w:sz="18" w:space="0" w:color="auto"/>
            </w:tcBorders>
            <w:shd w:val="clear" w:color="auto" w:fill="FFFFFF"/>
          </w:tcPr>
          <w:p w:rsidR="00A92422" w:rsidRPr="00D87B79" w:rsidRDefault="00A92422" w:rsidP="00EA30FC">
            <w:pPr>
              <w:pStyle w:val="TableText"/>
              <w:widowControl w:val="0"/>
              <w:spacing w:before="120"/>
              <w:rPr>
                <w:rFonts w:ascii="Tahoma" w:hAnsi="Tahoma" w:cs="Tahoma"/>
                <w:sz w:val="13"/>
              </w:rPr>
            </w:pPr>
          </w:p>
        </w:tc>
        <w:tc>
          <w:tcPr>
            <w:tcW w:w="450" w:type="dxa"/>
            <w:tcBorders>
              <w:left w:val="single" w:sz="18" w:space="0" w:color="auto"/>
            </w:tcBorders>
            <w:shd w:val="clear" w:color="auto" w:fill="FFFFFF"/>
          </w:tcPr>
          <w:p w:rsidR="00A92422" w:rsidRPr="00D87B79" w:rsidRDefault="00A92422" w:rsidP="00EA30FC">
            <w:pPr>
              <w:pStyle w:val="TableText"/>
              <w:widowControl w:val="0"/>
              <w:spacing w:before="120"/>
              <w:rPr>
                <w:rFonts w:ascii="Tahoma" w:hAnsi="Tahoma" w:cs="Tahoma"/>
                <w:sz w:val="13"/>
              </w:rPr>
            </w:pPr>
          </w:p>
        </w:tc>
        <w:tc>
          <w:tcPr>
            <w:tcW w:w="450" w:type="dxa"/>
            <w:tcBorders>
              <w:right w:val="single" w:sz="18" w:space="0" w:color="auto"/>
            </w:tcBorders>
            <w:shd w:val="clear" w:color="auto" w:fill="FFFFFF"/>
          </w:tcPr>
          <w:p w:rsidR="00A92422" w:rsidRPr="00D87B79" w:rsidRDefault="00A92422" w:rsidP="00EA30FC">
            <w:pPr>
              <w:pStyle w:val="TableText"/>
              <w:widowControl w:val="0"/>
              <w:spacing w:before="120"/>
              <w:rPr>
                <w:rFonts w:ascii="Tahoma" w:hAnsi="Tahoma" w:cs="Tahoma"/>
                <w:sz w:val="13"/>
              </w:rPr>
            </w:pPr>
          </w:p>
        </w:tc>
        <w:tc>
          <w:tcPr>
            <w:tcW w:w="450" w:type="dxa"/>
            <w:tcBorders>
              <w:left w:val="single" w:sz="18" w:space="0" w:color="auto"/>
              <w:right w:val="single" w:sz="18" w:space="0" w:color="auto"/>
            </w:tcBorders>
            <w:shd w:val="clear" w:color="auto" w:fill="FFFFFF"/>
          </w:tcPr>
          <w:p w:rsidR="00A92422" w:rsidRPr="00D87B79" w:rsidRDefault="00A92422" w:rsidP="00EA30FC">
            <w:pPr>
              <w:pStyle w:val="TableText"/>
              <w:widowControl w:val="0"/>
              <w:spacing w:before="120"/>
              <w:rPr>
                <w:rFonts w:ascii="Tahoma" w:hAnsi="Tahoma" w:cs="Tahoma"/>
                <w:sz w:val="13"/>
              </w:rPr>
            </w:pPr>
          </w:p>
        </w:tc>
        <w:tc>
          <w:tcPr>
            <w:tcW w:w="504" w:type="dxa"/>
            <w:shd w:val="clear" w:color="auto" w:fill="FFFFFF"/>
          </w:tcPr>
          <w:p w:rsidR="00A92422" w:rsidRPr="00D87B79" w:rsidRDefault="00A92422" w:rsidP="00EA30FC">
            <w:pPr>
              <w:pStyle w:val="TableText"/>
              <w:widowControl w:val="0"/>
              <w:rPr>
                <w:rFonts w:ascii="Tahoma" w:hAnsi="Tahoma" w:cs="Tahoma"/>
                <w:color w:val="000000"/>
                <w:sz w:val="13"/>
              </w:rPr>
            </w:pPr>
          </w:p>
        </w:tc>
        <w:tc>
          <w:tcPr>
            <w:tcW w:w="486"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r>
      <w:tr w:rsidR="00A92422" w:rsidRPr="00D87B79" w:rsidTr="00EA30FC">
        <w:trPr>
          <w:trHeight w:val="145"/>
        </w:trPr>
        <w:tc>
          <w:tcPr>
            <w:tcW w:w="2714" w:type="dxa"/>
            <w:shd w:val="clear" w:color="auto" w:fill="FABF8F"/>
            <w:vAlign w:val="center"/>
          </w:tcPr>
          <w:p w:rsidR="00A92422" w:rsidRPr="00D87B79" w:rsidRDefault="00A92422" w:rsidP="00EA30FC">
            <w:pPr>
              <w:pStyle w:val="Heading2"/>
              <w:spacing w:before="20" w:after="20"/>
              <w:ind w:left="0"/>
              <w:rPr>
                <w:rFonts w:ascii="Tahoma" w:hAnsi="Tahoma" w:cs="Tahoma"/>
                <w:b w:val="0"/>
                <w:sz w:val="14"/>
                <w:szCs w:val="14"/>
              </w:rPr>
            </w:pPr>
            <w:bookmarkStart w:id="625" w:name="_Toc336338140"/>
            <w:bookmarkStart w:id="626" w:name="_Toc342900193"/>
            <w:bookmarkEnd w:id="625"/>
            <w:r w:rsidRPr="00D87B79">
              <w:rPr>
                <w:rFonts w:ascii="Tahoma" w:hAnsi="Tahoma" w:cs="Tahoma"/>
                <w:b w:val="0"/>
                <w:sz w:val="14"/>
                <w:szCs w:val="14"/>
                <w:lang w:val="it-IT"/>
              </w:rPr>
              <w:t>Windows Server™ 2008 R2 Enterprise</w:t>
            </w:r>
            <w:bookmarkEnd w:id="626"/>
          </w:p>
        </w:tc>
        <w:tc>
          <w:tcPr>
            <w:tcW w:w="450" w:type="dxa"/>
            <w:shd w:val="clear" w:color="auto" w:fill="FABF8F"/>
            <w:vAlign w:val="center"/>
          </w:tcPr>
          <w:p w:rsidR="00A92422" w:rsidRPr="001E1017" w:rsidRDefault="00A92422" w:rsidP="00EA30FC">
            <w:pPr>
              <w:pStyle w:val="TableText"/>
              <w:widowControl w:val="0"/>
              <w:rPr>
                <w:rStyle w:val="EndnoteReference"/>
                <w:rFonts w:cs="Tahoma"/>
                <w:b w:val="0"/>
                <w:color w:val="0000FF"/>
                <w:sz w:val="13"/>
                <w:szCs w:val="13"/>
                <w:u w:val="single"/>
              </w:rPr>
            </w:pPr>
            <w:hyperlink w:anchor="_104_Windows_Server" w:history="1">
              <w:r w:rsidRPr="001E1017">
                <w:rPr>
                  <w:rStyle w:val="Hyperlink"/>
                  <w:rFonts w:cs="Tahoma"/>
                  <w:b/>
                  <w:sz w:val="13"/>
                  <w:szCs w:val="13"/>
                </w:rPr>
                <w:t>104</w:t>
              </w:r>
            </w:hyperlink>
          </w:p>
        </w:tc>
        <w:tc>
          <w:tcPr>
            <w:tcW w:w="450" w:type="dxa"/>
            <w:shd w:val="clear" w:color="auto" w:fill="FABF8F"/>
            <w:vAlign w:val="center"/>
          </w:tcPr>
          <w:p w:rsidR="00A92422" w:rsidRPr="00D87B79" w:rsidRDefault="00A92422" w:rsidP="00EA30FC">
            <w:pPr>
              <w:pStyle w:val="TableText"/>
              <w:widowControl w:val="0"/>
              <w:spacing w:before="80"/>
              <w:rPr>
                <w:rFonts w:ascii="Tahoma" w:hAnsi="Tahoma" w:cs="Tahoma"/>
                <w:color w:val="000000"/>
                <w:sz w:val="13"/>
              </w:rPr>
            </w:pPr>
            <w:r w:rsidRPr="00D87B79">
              <w:rPr>
                <w:rFonts w:ascii="Tahoma" w:hAnsi="Tahoma" w:cs="Tahoma"/>
                <w:color w:val="000000"/>
                <w:sz w:val="13"/>
              </w:rPr>
              <w:t>08/09</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ABF8F"/>
          </w:tcPr>
          <w:p w:rsidR="00A92422" w:rsidRPr="00D87B79" w:rsidRDefault="00A92422" w:rsidP="00EA30FC">
            <w:pPr>
              <w:pStyle w:val="TableText"/>
              <w:widowControl w:val="0"/>
              <w:rPr>
                <w:rFonts w:ascii="Tahoma" w:hAnsi="Tahoma" w:cs="Tahoma"/>
                <w:color w:val="000000"/>
                <w:sz w:val="13"/>
              </w:rPr>
            </w:pPr>
          </w:p>
        </w:tc>
        <w:tc>
          <w:tcPr>
            <w:tcW w:w="486"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r>
      <w:tr w:rsidR="00A92422" w:rsidRPr="00D87B79" w:rsidTr="00EA30FC">
        <w:trPr>
          <w:trHeight w:val="145"/>
        </w:trPr>
        <w:tc>
          <w:tcPr>
            <w:tcW w:w="2714" w:type="dxa"/>
            <w:shd w:val="clear" w:color="auto" w:fill="FFFFFF"/>
            <w:vAlign w:val="center"/>
          </w:tcPr>
          <w:p w:rsidR="00A92422" w:rsidRPr="00D87B79" w:rsidRDefault="00A92422" w:rsidP="00EA30FC">
            <w:pPr>
              <w:pStyle w:val="Heading2"/>
              <w:spacing w:before="20" w:after="20"/>
              <w:ind w:left="0"/>
              <w:rPr>
                <w:rFonts w:ascii="Tahoma" w:hAnsi="Tahoma" w:cs="Tahoma"/>
                <w:b w:val="0"/>
                <w:sz w:val="14"/>
                <w:szCs w:val="14"/>
              </w:rPr>
            </w:pPr>
            <w:bookmarkStart w:id="627" w:name="_Toc336338141"/>
            <w:bookmarkStart w:id="628" w:name="_Toc342900194"/>
            <w:bookmarkEnd w:id="627"/>
            <w:r w:rsidRPr="00D87B79">
              <w:rPr>
                <w:rFonts w:ascii="Tahoma" w:hAnsi="Tahoma" w:cs="Tahoma"/>
                <w:b w:val="0"/>
                <w:sz w:val="14"/>
                <w:lang w:val="it-IT"/>
              </w:rPr>
              <w:t>Windows Server™ 2008 R2 per Sistemi Basati su Itanium</w:t>
            </w:r>
            <w:bookmarkEnd w:id="628"/>
          </w:p>
        </w:tc>
        <w:tc>
          <w:tcPr>
            <w:tcW w:w="450" w:type="dxa"/>
            <w:shd w:val="clear" w:color="auto" w:fill="FFFFFF"/>
            <w:vAlign w:val="center"/>
          </w:tcPr>
          <w:p w:rsidR="00A92422" w:rsidRPr="001E1017" w:rsidRDefault="00A92422" w:rsidP="00EA30FC">
            <w:pPr>
              <w:pStyle w:val="TableText"/>
              <w:widowControl w:val="0"/>
              <w:rPr>
                <w:rStyle w:val="EndnoteReference"/>
                <w:rFonts w:cs="Tahoma"/>
                <w:b w:val="0"/>
                <w:sz w:val="13"/>
                <w:szCs w:val="13"/>
                <w:u w:val="single"/>
              </w:rPr>
            </w:pPr>
            <w:hyperlink w:anchor="_105_Windows_Server" w:history="1">
              <w:r w:rsidRPr="001E1017">
                <w:rPr>
                  <w:rStyle w:val="Hyperlink"/>
                  <w:rFonts w:cs="Tahoma"/>
                  <w:b/>
                  <w:sz w:val="13"/>
                  <w:szCs w:val="13"/>
                </w:rPr>
                <w:t>105</w:t>
              </w:r>
            </w:hyperlink>
          </w:p>
        </w:tc>
        <w:tc>
          <w:tcPr>
            <w:tcW w:w="450" w:type="dxa"/>
            <w:shd w:val="clear" w:color="auto" w:fill="FFFFFF"/>
            <w:vAlign w:val="center"/>
          </w:tcPr>
          <w:p w:rsidR="00A92422" w:rsidRPr="00D87B79" w:rsidRDefault="00A92422" w:rsidP="00EA30FC">
            <w:pPr>
              <w:pStyle w:val="TableText"/>
              <w:widowControl w:val="0"/>
              <w:spacing w:before="120"/>
              <w:rPr>
                <w:rFonts w:ascii="Tahoma" w:hAnsi="Tahoma" w:cs="Tahoma"/>
                <w:color w:val="000000"/>
                <w:sz w:val="13"/>
              </w:rPr>
            </w:pPr>
            <w:r w:rsidRPr="00D87B79">
              <w:rPr>
                <w:rFonts w:ascii="Tahoma" w:hAnsi="Tahoma" w:cs="Tahoma"/>
                <w:color w:val="000000"/>
                <w:sz w:val="13"/>
              </w:rPr>
              <w:t>08/09</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SRV</w:t>
            </w: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p>
        </w:tc>
        <w:tc>
          <w:tcPr>
            <w:tcW w:w="504" w:type="dxa"/>
            <w:shd w:val="clear" w:color="auto" w:fill="FFFFFF"/>
          </w:tcPr>
          <w:p w:rsidR="00A92422" w:rsidRPr="00D87B79" w:rsidRDefault="00A92422" w:rsidP="00EA30FC">
            <w:pPr>
              <w:pStyle w:val="TableText"/>
              <w:widowControl w:val="0"/>
              <w:rPr>
                <w:rFonts w:ascii="Tahoma" w:hAnsi="Tahoma" w:cs="Tahoma"/>
                <w:color w:val="000000"/>
                <w:sz w:val="13"/>
              </w:rPr>
            </w:pPr>
          </w:p>
        </w:tc>
        <w:tc>
          <w:tcPr>
            <w:tcW w:w="486"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p>
        </w:tc>
      </w:tr>
      <w:tr w:rsidR="00A92422" w:rsidRPr="00D87B79" w:rsidTr="00EA30FC">
        <w:trPr>
          <w:trHeight w:val="145"/>
        </w:trPr>
        <w:tc>
          <w:tcPr>
            <w:tcW w:w="2714" w:type="dxa"/>
            <w:shd w:val="clear" w:color="auto" w:fill="FABF8F"/>
            <w:vAlign w:val="center"/>
          </w:tcPr>
          <w:p w:rsidR="00A92422" w:rsidRPr="00D87B79" w:rsidRDefault="00A92422" w:rsidP="00EA30FC">
            <w:pPr>
              <w:pStyle w:val="Heading2"/>
              <w:spacing w:before="20" w:after="20"/>
              <w:ind w:left="0"/>
              <w:rPr>
                <w:rFonts w:ascii="Tahoma" w:hAnsi="Tahoma" w:cs="Tahoma"/>
                <w:b w:val="0"/>
                <w:sz w:val="14"/>
                <w:szCs w:val="14"/>
              </w:rPr>
            </w:pPr>
            <w:bookmarkStart w:id="629" w:name="_Toc336338142"/>
            <w:bookmarkStart w:id="630" w:name="_Toc342900195"/>
            <w:bookmarkEnd w:id="629"/>
            <w:r w:rsidRPr="00D87B79">
              <w:rPr>
                <w:rFonts w:ascii="Tahoma" w:hAnsi="Tahoma" w:cs="Tahoma"/>
                <w:b w:val="0"/>
                <w:sz w:val="14"/>
                <w:lang w:val="it-IT"/>
              </w:rPr>
              <w:t>CAL per Windows Server™ 2012 (Dispositivo e Utente)</w:t>
            </w:r>
            <w:bookmarkEnd w:id="630"/>
          </w:p>
        </w:tc>
        <w:tc>
          <w:tcPr>
            <w:tcW w:w="450" w:type="dxa"/>
            <w:shd w:val="clear" w:color="auto" w:fill="FABF8F"/>
            <w:vAlign w:val="center"/>
          </w:tcPr>
          <w:p w:rsidR="00A92422" w:rsidRPr="001E1017" w:rsidRDefault="00A92422" w:rsidP="00EA30FC">
            <w:pPr>
              <w:pStyle w:val="TableText"/>
              <w:widowControl w:val="0"/>
              <w:rPr>
                <w:rFonts w:cs="Tahoma"/>
                <w:b/>
                <w:sz w:val="13"/>
                <w:szCs w:val="13"/>
                <w:u w:val="single"/>
              </w:rPr>
            </w:pPr>
            <w:hyperlink w:anchor="_106_CAL_per" w:history="1">
              <w:r w:rsidRPr="001E1017">
                <w:rPr>
                  <w:rStyle w:val="Hyperlink"/>
                  <w:rFonts w:cs="Tahoma"/>
                  <w:b/>
                  <w:sz w:val="13"/>
                  <w:szCs w:val="13"/>
                </w:rPr>
                <w:t>106</w:t>
              </w:r>
            </w:hyperlink>
          </w:p>
        </w:tc>
        <w:tc>
          <w:tcPr>
            <w:tcW w:w="450" w:type="dxa"/>
            <w:shd w:val="clear" w:color="auto" w:fill="FABF8F"/>
            <w:vAlign w:val="center"/>
          </w:tcPr>
          <w:p w:rsidR="00A92422" w:rsidRPr="00D87B79" w:rsidRDefault="00A92422" w:rsidP="00EA30FC">
            <w:pPr>
              <w:pStyle w:val="TableText"/>
              <w:widowControl w:val="0"/>
              <w:spacing w:before="120"/>
              <w:rPr>
                <w:rFonts w:ascii="Tahoma" w:hAnsi="Tahoma" w:cs="Tahoma"/>
                <w:color w:val="000000"/>
                <w:sz w:val="13"/>
              </w:rPr>
            </w:pPr>
            <w:r w:rsidRPr="00D87B79">
              <w:rPr>
                <w:rFonts w:ascii="Tahoma" w:hAnsi="Tahoma" w:cs="Tahoma"/>
                <w:color w:val="000000"/>
                <w:sz w:val="13"/>
              </w:rPr>
              <w:t>09/12</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D</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ABF8F"/>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 ST</w:t>
            </w:r>
          </w:p>
        </w:tc>
        <w:tc>
          <w:tcPr>
            <w:tcW w:w="486"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r>
      <w:tr w:rsidR="00A92422" w:rsidRPr="00D87B79" w:rsidTr="00EA30FC">
        <w:trPr>
          <w:trHeight w:val="145"/>
        </w:trPr>
        <w:tc>
          <w:tcPr>
            <w:tcW w:w="2714" w:type="dxa"/>
            <w:shd w:val="clear" w:color="auto" w:fill="FFFFFF"/>
            <w:vAlign w:val="center"/>
          </w:tcPr>
          <w:p w:rsidR="00A92422" w:rsidRPr="00D87B79" w:rsidRDefault="00A92422" w:rsidP="00EA30FC">
            <w:pPr>
              <w:pStyle w:val="Heading2"/>
              <w:spacing w:before="20" w:after="20"/>
              <w:ind w:left="0"/>
              <w:rPr>
                <w:rFonts w:ascii="Tahoma" w:hAnsi="Tahoma" w:cs="Tahoma"/>
                <w:b w:val="0"/>
                <w:sz w:val="14"/>
                <w:szCs w:val="14"/>
              </w:rPr>
            </w:pPr>
            <w:bookmarkStart w:id="631" w:name="_Toc336338143"/>
            <w:bookmarkStart w:id="632" w:name="_Toc342900196"/>
            <w:bookmarkEnd w:id="631"/>
            <w:r w:rsidRPr="00D87B79">
              <w:rPr>
                <w:rFonts w:ascii="Tahoma" w:hAnsi="Tahoma" w:cs="Tahoma"/>
                <w:b w:val="0"/>
                <w:sz w:val="14"/>
                <w:lang w:val="it-IT"/>
              </w:rPr>
              <w:t>Windows Server™ 2012 Datacenter</w:t>
            </w:r>
            <w:bookmarkEnd w:id="632"/>
          </w:p>
        </w:tc>
        <w:tc>
          <w:tcPr>
            <w:tcW w:w="450" w:type="dxa"/>
            <w:shd w:val="clear" w:color="auto" w:fill="FFFFFF"/>
            <w:vAlign w:val="center"/>
          </w:tcPr>
          <w:p w:rsidR="00A92422" w:rsidRPr="001E1017" w:rsidRDefault="00A92422" w:rsidP="00EA30FC">
            <w:pPr>
              <w:pStyle w:val="TableText"/>
              <w:widowControl w:val="0"/>
              <w:rPr>
                <w:rStyle w:val="EndnoteReference"/>
                <w:rFonts w:cs="Tahoma"/>
                <w:b w:val="0"/>
                <w:color w:val="0070C0"/>
                <w:sz w:val="13"/>
                <w:szCs w:val="13"/>
                <w:u w:val="single"/>
              </w:rPr>
            </w:pPr>
            <w:hyperlink w:anchor="_107_Windows_Server" w:history="1">
              <w:r w:rsidRPr="001E1017">
                <w:rPr>
                  <w:rStyle w:val="Hyperlink"/>
                  <w:rFonts w:cs="Tahoma"/>
                  <w:b/>
                  <w:sz w:val="13"/>
                  <w:szCs w:val="13"/>
                </w:rPr>
                <w:t>107</w:t>
              </w:r>
            </w:hyperlink>
          </w:p>
        </w:tc>
        <w:tc>
          <w:tcPr>
            <w:tcW w:w="450" w:type="dxa"/>
            <w:shd w:val="clear" w:color="auto" w:fill="FFFFFF"/>
            <w:vAlign w:val="center"/>
          </w:tcPr>
          <w:p w:rsidR="00A92422" w:rsidRPr="00D87B79" w:rsidRDefault="00A92422" w:rsidP="00EA30FC">
            <w:pPr>
              <w:pStyle w:val="TableText"/>
              <w:widowControl w:val="0"/>
              <w:spacing w:before="120"/>
              <w:rPr>
                <w:rFonts w:ascii="Tahoma" w:hAnsi="Tahoma" w:cs="Tahoma"/>
                <w:color w:val="000000"/>
                <w:sz w:val="13"/>
              </w:rPr>
            </w:pPr>
            <w:r w:rsidRPr="00D87B79">
              <w:rPr>
                <w:rFonts w:ascii="Tahoma" w:hAnsi="Tahoma" w:cs="Tahoma"/>
                <w:color w:val="000000"/>
                <w:sz w:val="13"/>
              </w:rPr>
              <w:t>08/12</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SRV</w:t>
            </w: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125</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100</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75</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75</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25</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450" w:type="dxa"/>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100</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50</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FFFFF"/>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86" w:type="dxa"/>
            <w:shd w:val="clear" w:color="auto" w:fill="FFFFF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OL/OV</w:t>
            </w:r>
          </w:p>
        </w:tc>
      </w:tr>
      <w:tr w:rsidR="00A92422" w:rsidRPr="00D87B79" w:rsidTr="00EA30FC">
        <w:trPr>
          <w:trHeight w:val="145"/>
        </w:trPr>
        <w:tc>
          <w:tcPr>
            <w:tcW w:w="2714" w:type="dxa"/>
            <w:shd w:val="clear" w:color="auto" w:fill="FABF8F"/>
            <w:vAlign w:val="center"/>
          </w:tcPr>
          <w:p w:rsidR="00A92422" w:rsidRPr="00D87B79" w:rsidRDefault="00A92422" w:rsidP="00EA30FC">
            <w:pPr>
              <w:pStyle w:val="Heading2"/>
              <w:spacing w:before="20" w:after="20"/>
              <w:ind w:left="0"/>
              <w:rPr>
                <w:rFonts w:ascii="Tahoma" w:hAnsi="Tahoma" w:cs="Tahoma"/>
                <w:b w:val="0"/>
                <w:sz w:val="14"/>
                <w:szCs w:val="14"/>
              </w:rPr>
            </w:pPr>
            <w:bookmarkStart w:id="633" w:name="_Toc336338144"/>
            <w:bookmarkStart w:id="634" w:name="_Toc342900197"/>
            <w:bookmarkEnd w:id="633"/>
            <w:r w:rsidRPr="00D87B79">
              <w:rPr>
                <w:rFonts w:ascii="Tahoma" w:hAnsi="Tahoma" w:cs="Tahoma"/>
                <w:b w:val="0"/>
                <w:sz w:val="14"/>
                <w:lang w:val="it-IT"/>
              </w:rPr>
              <w:t>Windows Server™ 2012 Standard</w:t>
            </w:r>
            <w:bookmarkEnd w:id="634"/>
          </w:p>
        </w:tc>
        <w:tc>
          <w:tcPr>
            <w:tcW w:w="450" w:type="dxa"/>
            <w:shd w:val="clear" w:color="auto" w:fill="FABF8F"/>
            <w:vAlign w:val="center"/>
          </w:tcPr>
          <w:p w:rsidR="00A92422" w:rsidRPr="001E1017" w:rsidRDefault="00A92422" w:rsidP="00EA30FC">
            <w:pPr>
              <w:pStyle w:val="TableText"/>
              <w:widowControl w:val="0"/>
              <w:rPr>
                <w:rStyle w:val="EndnoteReference"/>
                <w:rFonts w:cs="Tahoma"/>
                <w:b w:val="0"/>
                <w:color w:val="0070C0"/>
                <w:sz w:val="13"/>
                <w:szCs w:val="13"/>
                <w:u w:val="single"/>
              </w:rPr>
            </w:pPr>
            <w:hyperlink w:anchor="_108_Windows_Server" w:history="1">
              <w:r w:rsidRPr="001E1017">
                <w:rPr>
                  <w:rStyle w:val="Hyperlink"/>
                  <w:rFonts w:cs="Tahoma"/>
                  <w:b/>
                  <w:sz w:val="13"/>
                  <w:szCs w:val="13"/>
                </w:rPr>
                <w:t>108</w:t>
              </w:r>
            </w:hyperlink>
          </w:p>
        </w:tc>
        <w:tc>
          <w:tcPr>
            <w:tcW w:w="450" w:type="dxa"/>
            <w:shd w:val="clear" w:color="auto" w:fill="FABF8F"/>
            <w:vAlign w:val="center"/>
          </w:tcPr>
          <w:p w:rsidR="00A92422" w:rsidRPr="00D87B79" w:rsidRDefault="00A92422" w:rsidP="00EA30FC">
            <w:pPr>
              <w:pStyle w:val="TableText"/>
              <w:widowControl w:val="0"/>
              <w:spacing w:before="120"/>
              <w:rPr>
                <w:rFonts w:ascii="Tahoma" w:hAnsi="Tahoma" w:cs="Tahoma"/>
                <w:color w:val="000000"/>
                <w:sz w:val="13"/>
              </w:rPr>
            </w:pPr>
            <w:r w:rsidRPr="00D87B79">
              <w:rPr>
                <w:rFonts w:ascii="Tahoma" w:hAnsi="Tahoma" w:cs="Tahoma"/>
                <w:color w:val="000000"/>
                <w:sz w:val="13"/>
              </w:rPr>
              <w:t>08/12</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color w:val="000000"/>
                <w:sz w:val="13"/>
              </w:rPr>
            </w:pPr>
            <w:r w:rsidRPr="00D87B79">
              <w:rPr>
                <w:rFonts w:ascii="Tahoma" w:hAnsi="Tahoma" w:cs="Tahoma"/>
                <w:color w:val="000000"/>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15</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38</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30</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23</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23</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15</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8</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15</w:t>
            </w:r>
          </w:p>
        </w:tc>
        <w:tc>
          <w:tcPr>
            <w:tcW w:w="450" w:type="dxa"/>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30</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15</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rPr>
              <w:t>15</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P</w:t>
            </w:r>
          </w:p>
        </w:tc>
        <w:tc>
          <w:tcPr>
            <w:tcW w:w="504" w:type="dxa"/>
            <w:shd w:val="clear" w:color="auto" w:fill="FABF8F"/>
          </w:tcPr>
          <w:p w:rsidR="00A92422" w:rsidRPr="00D87B79" w:rsidRDefault="00A92422" w:rsidP="00EA30FC">
            <w:pPr>
              <w:pStyle w:val="TableText"/>
              <w:widowControl w:val="0"/>
              <w:rPr>
                <w:rFonts w:ascii="Tahoma" w:hAnsi="Tahoma" w:cs="Tahoma"/>
                <w:sz w:val="13"/>
              </w:rPr>
            </w:pPr>
            <w:r w:rsidRPr="00D87B79">
              <w:rPr>
                <w:rFonts w:ascii="Tahoma" w:hAnsi="Tahoma" w:cs="Tahoma"/>
                <w:sz w:val="13"/>
                <w:lang w:val="it-IT"/>
              </w:rPr>
              <w:t>A</w:t>
            </w:r>
          </w:p>
        </w:tc>
        <w:tc>
          <w:tcPr>
            <w:tcW w:w="486" w:type="dxa"/>
            <w:shd w:val="clear" w:color="auto" w:fill="FABF8F"/>
            <w:vAlign w:val="center"/>
          </w:tcPr>
          <w:p w:rsidR="00A92422" w:rsidRPr="00D87B79" w:rsidRDefault="00A92422" w:rsidP="00EA30FC">
            <w:pPr>
              <w:pStyle w:val="TableText"/>
              <w:widowControl w:val="0"/>
              <w:rPr>
                <w:rFonts w:ascii="Tahoma" w:hAnsi="Tahoma" w:cs="Tahoma"/>
                <w:color w:val="000000"/>
                <w:sz w:val="13"/>
              </w:rPr>
            </w:pPr>
          </w:p>
        </w:tc>
      </w:tr>
      <w:tr w:rsidR="00A92422" w:rsidRPr="00D87B79" w:rsidTr="00EA30FC">
        <w:trPr>
          <w:trHeight w:val="145"/>
        </w:trPr>
        <w:tc>
          <w:tcPr>
            <w:tcW w:w="2714" w:type="dxa"/>
            <w:vAlign w:val="center"/>
          </w:tcPr>
          <w:p w:rsidR="00A92422" w:rsidRPr="00D87B79" w:rsidRDefault="00A92422" w:rsidP="00EA30FC">
            <w:pPr>
              <w:pStyle w:val="Heading2"/>
              <w:spacing w:before="40" w:after="20"/>
              <w:ind w:left="0"/>
              <w:rPr>
                <w:rFonts w:ascii="Tahoma" w:hAnsi="Tahoma" w:cs="Tahoma"/>
                <w:b w:val="0"/>
                <w:sz w:val="14"/>
                <w:szCs w:val="14"/>
              </w:rPr>
            </w:pPr>
            <w:bookmarkStart w:id="635" w:name="_Toc336338145"/>
            <w:bookmarkStart w:id="636" w:name="_Toc342900198"/>
            <w:bookmarkEnd w:id="635"/>
            <w:r w:rsidRPr="00D87B79">
              <w:rPr>
                <w:rFonts w:ascii="Tahoma" w:hAnsi="Tahoma" w:cs="Tahoma"/>
                <w:b w:val="0"/>
                <w:sz w:val="14"/>
                <w:lang w:val="it-IT"/>
              </w:rPr>
              <w:t>External Connector per Windows Server™</w:t>
            </w:r>
            <w:bookmarkEnd w:id="636"/>
          </w:p>
        </w:tc>
        <w:tc>
          <w:tcPr>
            <w:tcW w:w="450" w:type="dxa"/>
            <w:vAlign w:val="center"/>
          </w:tcPr>
          <w:p w:rsidR="00A92422" w:rsidRPr="001E1017" w:rsidRDefault="00A92422" w:rsidP="00EA30FC">
            <w:pPr>
              <w:pStyle w:val="TableText"/>
              <w:widowControl w:val="0"/>
              <w:spacing w:before="40" w:after="20"/>
              <w:rPr>
                <w:rStyle w:val="EndnoteReference"/>
                <w:rFonts w:cs="Tahoma"/>
                <w:sz w:val="13"/>
                <w:szCs w:val="13"/>
                <w:u w:val="single"/>
              </w:rPr>
            </w:pPr>
          </w:p>
        </w:tc>
        <w:tc>
          <w:tcPr>
            <w:tcW w:w="450" w:type="dxa"/>
            <w:vAlign w:val="center"/>
          </w:tcPr>
          <w:p w:rsidR="00A92422" w:rsidRPr="00D87B79" w:rsidRDefault="00A92422" w:rsidP="00EA30FC">
            <w:pPr>
              <w:pStyle w:val="TableText"/>
              <w:widowControl w:val="0"/>
              <w:spacing w:before="40" w:after="20"/>
              <w:rPr>
                <w:rFonts w:ascii="Tahoma" w:hAnsi="Tahoma" w:cs="Tahoma"/>
                <w:color w:val="000000"/>
                <w:sz w:val="13"/>
              </w:rPr>
            </w:pPr>
            <w:r w:rsidRPr="00D87B79">
              <w:rPr>
                <w:rFonts w:ascii="Tahoma" w:hAnsi="Tahoma" w:cs="Tahoma"/>
                <w:color w:val="000000"/>
                <w:sz w:val="13"/>
              </w:rPr>
              <w:t>09/12</w:t>
            </w:r>
          </w:p>
        </w:tc>
        <w:tc>
          <w:tcPr>
            <w:tcW w:w="360" w:type="dxa"/>
            <w:tcBorders>
              <w:right w:val="single" w:sz="18" w:space="0" w:color="auto"/>
            </w:tcBorders>
            <w:vAlign w:val="center"/>
          </w:tcPr>
          <w:p w:rsidR="00A92422" w:rsidRPr="00D87B79" w:rsidRDefault="00A92422" w:rsidP="00EA30FC">
            <w:pPr>
              <w:pStyle w:val="TableText"/>
              <w:widowControl w:val="0"/>
              <w:spacing w:before="40" w:after="20"/>
              <w:rPr>
                <w:rFonts w:ascii="Tahoma" w:hAnsi="Tahoma" w:cs="Tahoma"/>
                <w:color w:val="000000"/>
                <w:sz w:val="13"/>
              </w:rPr>
            </w:pPr>
            <w:r w:rsidRPr="00D87B79">
              <w:rPr>
                <w:rFonts w:ascii="Tahoma" w:hAnsi="Tahoma" w:cs="Tahoma"/>
                <w:color w:val="000000"/>
                <w:sz w:val="13"/>
                <w:lang w:val="it-IT"/>
              </w:rPr>
              <w:t>SRV</w:t>
            </w:r>
          </w:p>
        </w:tc>
        <w:tc>
          <w:tcPr>
            <w:tcW w:w="360" w:type="dxa"/>
            <w:tcBorders>
              <w:left w:val="single" w:sz="18" w:space="0" w:color="auto"/>
            </w:tcBorders>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25</w:t>
            </w:r>
          </w:p>
        </w:tc>
        <w:tc>
          <w:tcPr>
            <w:tcW w:w="450" w:type="dxa"/>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63</w:t>
            </w:r>
          </w:p>
        </w:tc>
        <w:tc>
          <w:tcPr>
            <w:tcW w:w="450" w:type="dxa"/>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50</w:t>
            </w:r>
          </w:p>
        </w:tc>
        <w:tc>
          <w:tcPr>
            <w:tcW w:w="450" w:type="dxa"/>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38</w:t>
            </w:r>
          </w:p>
        </w:tc>
        <w:tc>
          <w:tcPr>
            <w:tcW w:w="450" w:type="dxa"/>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38</w:t>
            </w:r>
          </w:p>
        </w:tc>
        <w:tc>
          <w:tcPr>
            <w:tcW w:w="450" w:type="dxa"/>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25</w:t>
            </w:r>
          </w:p>
        </w:tc>
        <w:tc>
          <w:tcPr>
            <w:tcW w:w="360" w:type="dxa"/>
            <w:tcBorders>
              <w:right w:val="single" w:sz="18" w:space="0" w:color="auto"/>
            </w:tcBorders>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13</w:t>
            </w:r>
          </w:p>
        </w:tc>
        <w:tc>
          <w:tcPr>
            <w:tcW w:w="450" w:type="dxa"/>
            <w:tcBorders>
              <w:left w:val="single" w:sz="18" w:space="0" w:color="auto"/>
            </w:tcBorders>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25</w:t>
            </w:r>
          </w:p>
        </w:tc>
        <w:tc>
          <w:tcPr>
            <w:tcW w:w="450" w:type="dxa"/>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50</w:t>
            </w:r>
          </w:p>
        </w:tc>
        <w:tc>
          <w:tcPr>
            <w:tcW w:w="450" w:type="dxa"/>
            <w:tcBorders>
              <w:right w:val="single" w:sz="18" w:space="0" w:color="auto"/>
            </w:tcBorders>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25</w:t>
            </w:r>
          </w:p>
        </w:tc>
        <w:tc>
          <w:tcPr>
            <w:tcW w:w="450" w:type="dxa"/>
            <w:tcBorders>
              <w:left w:val="single" w:sz="18" w:space="0" w:color="auto"/>
            </w:tcBorders>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25</w:t>
            </w:r>
          </w:p>
        </w:tc>
        <w:tc>
          <w:tcPr>
            <w:tcW w:w="450" w:type="dxa"/>
            <w:tcBorders>
              <w:right w:val="single" w:sz="18" w:space="0" w:color="auto"/>
            </w:tcBorders>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P</w:t>
            </w:r>
          </w:p>
        </w:tc>
        <w:tc>
          <w:tcPr>
            <w:tcW w:w="504" w:type="dxa"/>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A</w:t>
            </w:r>
          </w:p>
        </w:tc>
        <w:tc>
          <w:tcPr>
            <w:tcW w:w="486" w:type="dxa"/>
            <w:vAlign w:val="center"/>
          </w:tcPr>
          <w:p w:rsidR="00A92422" w:rsidRPr="00D87B79" w:rsidRDefault="00A92422" w:rsidP="00EA30FC">
            <w:pPr>
              <w:pStyle w:val="TableText"/>
              <w:widowControl w:val="0"/>
              <w:spacing w:before="40" w:after="20"/>
              <w:rPr>
                <w:rFonts w:ascii="Tahoma" w:hAnsi="Tahoma" w:cs="Tahoma"/>
                <w:color w:val="000000"/>
                <w:sz w:val="13"/>
              </w:rPr>
            </w:pPr>
            <w:r w:rsidRPr="00D87B79">
              <w:rPr>
                <w:rFonts w:ascii="Tahoma" w:hAnsi="Tahoma" w:cs="Tahoma"/>
                <w:color w:val="000000"/>
                <w:sz w:val="13"/>
                <w:lang w:val="it-IT"/>
              </w:rPr>
              <w:t>OL/OV</w:t>
            </w:r>
          </w:p>
        </w:tc>
      </w:tr>
      <w:tr w:rsidR="00A92422" w:rsidRPr="00D87B79" w:rsidTr="00EA30FC">
        <w:trPr>
          <w:trHeight w:val="145"/>
        </w:trPr>
        <w:tc>
          <w:tcPr>
            <w:tcW w:w="2714" w:type="dxa"/>
            <w:shd w:val="clear" w:color="auto" w:fill="FABF8F"/>
            <w:vAlign w:val="center"/>
          </w:tcPr>
          <w:p w:rsidR="00A92422" w:rsidRPr="00D87B79" w:rsidRDefault="00A92422" w:rsidP="00EA30FC">
            <w:pPr>
              <w:pStyle w:val="Heading2"/>
              <w:spacing w:before="40" w:after="20"/>
              <w:ind w:left="0"/>
              <w:rPr>
                <w:rFonts w:ascii="Tahoma" w:hAnsi="Tahoma" w:cs="Tahoma"/>
                <w:b w:val="0"/>
                <w:sz w:val="14"/>
                <w:szCs w:val="14"/>
              </w:rPr>
            </w:pPr>
            <w:bookmarkStart w:id="637" w:name="_Toc336338146"/>
            <w:bookmarkStart w:id="638" w:name="_Toc342900199"/>
            <w:bookmarkEnd w:id="637"/>
            <w:r w:rsidRPr="00D87B79">
              <w:rPr>
                <w:rFonts w:ascii="Tahoma" w:hAnsi="Tahoma" w:cs="Tahoma"/>
                <w:b w:val="0"/>
                <w:sz w:val="14"/>
                <w:lang w:val="it-IT"/>
              </w:rPr>
              <w:t>CAL per Servizi Desktop Remoto Windows Server™ 2012</w:t>
            </w:r>
            <w:bookmarkEnd w:id="638"/>
          </w:p>
        </w:tc>
        <w:tc>
          <w:tcPr>
            <w:tcW w:w="450" w:type="dxa"/>
            <w:shd w:val="clear" w:color="auto" w:fill="FABF8F"/>
            <w:vAlign w:val="center"/>
          </w:tcPr>
          <w:p w:rsidR="00A92422" w:rsidRPr="001E1017" w:rsidRDefault="00A92422" w:rsidP="00EA30FC">
            <w:pPr>
              <w:pStyle w:val="TableText"/>
              <w:widowControl w:val="0"/>
              <w:spacing w:before="40" w:after="20"/>
              <w:rPr>
                <w:rStyle w:val="EndnoteReference"/>
                <w:rFonts w:cs="Tahoma"/>
                <w:sz w:val="13"/>
                <w:szCs w:val="13"/>
                <w:u w:val="single"/>
              </w:rPr>
            </w:pP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color w:val="000000"/>
                <w:sz w:val="13"/>
              </w:rPr>
            </w:pPr>
            <w:r w:rsidRPr="00D87B79">
              <w:rPr>
                <w:rFonts w:ascii="Tahoma" w:hAnsi="Tahoma" w:cs="Tahoma"/>
                <w:color w:val="000000"/>
                <w:sz w:val="13"/>
              </w:rPr>
              <w:t>09/12</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color w:val="000000"/>
                <w:sz w:val="13"/>
              </w:rPr>
            </w:pPr>
            <w:r w:rsidRPr="00D87B79">
              <w:rPr>
                <w:rFonts w:ascii="Tahoma" w:hAnsi="Tahoma" w:cs="Tahoma"/>
                <w:color w:val="000000"/>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1</w:t>
            </w: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3</w:t>
            </w: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2</w:t>
            </w: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2</w:t>
            </w: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2</w:t>
            </w: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1</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1</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1</w:t>
            </w: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2</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1</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1</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A,D</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P</w:t>
            </w:r>
          </w:p>
        </w:tc>
        <w:tc>
          <w:tcPr>
            <w:tcW w:w="504"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A, ST</w:t>
            </w:r>
          </w:p>
        </w:tc>
        <w:tc>
          <w:tcPr>
            <w:tcW w:w="486" w:type="dxa"/>
            <w:shd w:val="clear" w:color="auto" w:fill="FABF8F"/>
            <w:vAlign w:val="center"/>
          </w:tcPr>
          <w:p w:rsidR="00A92422" w:rsidRPr="00D87B79" w:rsidRDefault="00A92422" w:rsidP="00EA30FC">
            <w:pPr>
              <w:pStyle w:val="TableText"/>
              <w:widowControl w:val="0"/>
              <w:spacing w:before="40" w:after="20"/>
              <w:rPr>
                <w:rFonts w:ascii="Tahoma" w:hAnsi="Tahoma" w:cs="Tahoma"/>
                <w:color w:val="000000"/>
                <w:sz w:val="13"/>
              </w:rPr>
            </w:pPr>
          </w:p>
        </w:tc>
      </w:tr>
      <w:tr w:rsidR="00A92422" w:rsidRPr="00D87B79" w:rsidTr="00EA30FC">
        <w:trPr>
          <w:trHeight w:val="145"/>
        </w:trPr>
        <w:tc>
          <w:tcPr>
            <w:tcW w:w="2714" w:type="dxa"/>
            <w:vAlign w:val="center"/>
          </w:tcPr>
          <w:p w:rsidR="00A92422" w:rsidRPr="00D87B79" w:rsidRDefault="00A92422" w:rsidP="00EA30FC">
            <w:pPr>
              <w:pStyle w:val="Heading2"/>
              <w:spacing w:before="40" w:after="20"/>
              <w:ind w:left="0"/>
              <w:rPr>
                <w:rFonts w:ascii="Tahoma" w:hAnsi="Tahoma" w:cs="Tahoma"/>
                <w:b w:val="0"/>
                <w:sz w:val="14"/>
                <w:szCs w:val="14"/>
              </w:rPr>
            </w:pPr>
            <w:bookmarkStart w:id="639" w:name="_Toc336338147"/>
            <w:bookmarkStart w:id="640" w:name="_Toc342900200"/>
            <w:bookmarkEnd w:id="639"/>
            <w:r w:rsidRPr="00D87B79">
              <w:rPr>
                <w:rFonts w:ascii="Tahoma" w:hAnsi="Tahoma" w:cs="Tahoma"/>
                <w:b w:val="0"/>
                <w:sz w:val="14"/>
                <w:lang w:val="it-IT"/>
              </w:rPr>
              <w:t>External Connector per Servizi Desktop Remoto Windows Server™ 2012</w:t>
            </w:r>
            <w:bookmarkEnd w:id="640"/>
          </w:p>
        </w:tc>
        <w:tc>
          <w:tcPr>
            <w:tcW w:w="450" w:type="dxa"/>
            <w:vAlign w:val="center"/>
          </w:tcPr>
          <w:p w:rsidR="00A92422" w:rsidRPr="001E1017" w:rsidRDefault="00A92422" w:rsidP="00EA30FC">
            <w:pPr>
              <w:pStyle w:val="TableText"/>
              <w:widowControl w:val="0"/>
              <w:spacing w:before="40" w:after="20"/>
              <w:rPr>
                <w:rStyle w:val="EndnoteReference"/>
                <w:rFonts w:cs="Tahoma"/>
                <w:sz w:val="13"/>
                <w:szCs w:val="13"/>
                <w:u w:val="single"/>
              </w:rPr>
            </w:pPr>
          </w:p>
        </w:tc>
        <w:tc>
          <w:tcPr>
            <w:tcW w:w="450" w:type="dxa"/>
            <w:vAlign w:val="center"/>
          </w:tcPr>
          <w:p w:rsidR="00A92422" w:rsidRPr="00D87B79" w:rsidRDefault="00A92422" w:rsidP="00EA30FC">
            <w:pPr>
              <w:pStyle w:val="TableText"/>
              <w:widowControl w:val="0"/>
              <w:spacing w:before="40" w:after="20"/>
              <w:rPr>
                <w:rFonts w:ascii="Tahoma" w:hAnsi="Tahoma" w:cs="Tahoma"/>
                <w:color w:val="000000"/>
                <w:sz w:val="13"/>
              </w:rPr>
            </w:pPr>
            <w:r w:rsidRPr="00D87B79">
              <w:rPr>
                <w:rFonts w:ascii="Tahoma" w:hAnsi="Tahoma" w:cs="Tahoma"/>
                <w:color w:val="000000"/>
                <w:sz w:val="13"/>
              </w:rPr>
              <w:t>09/12</w:t>
            </w:r>
          </w:p>
        </w:tc>
        <w:tc>
          <w:tcPr>
            <w:tcW w:w="360" w:type="dxa"/>
            <w:tcBorders>
              <w:right w:val="single" w:sz="18" w:space="0" w:color="auto"/>
            </w:tcBorders>
            <w:vAlign w:val="center"/>
          </w:tcPr>
          <w:p w:rsidR="00A92422" w:rsidRPr="00D87B79" w:rsidRDefault="00A92422" w:rsidP="00EA30FC">
            <w:pPr>
              <w:pStyle w:val="TableText"/>
              <w:widowControl w:val="0"/>
              <w:spacing w:before="40" w:after="20"/>
              <w:rPr>
                <w:rFonts w:ascii="Tahoma" w:hAnsi="Tahoma" w:cs="Tahoma"/>
                <w:color w:val="000000"/>
                <w:sz w:val="13"/>
              </w:rPr>
            </w:pPr>
            <w:r w:rsidRPr="00D87B79">
              <w:rPr>
                <w:rFonts w:ascii="Tahoma" w:hAnsi="Tahoma" w:cs="Tahoma"/>
                <w:color w:val="000000"/>
                <w:sz w:val="13"/>
                <w:lang w:val="it-IT"/>
              </w:rPr>
              <w:t>SRV</w:t>
            </w:r>
          </w:p>
        </w:tc>
        <w:tc>
          <w:tcPr>
            <w:tcW w:w="360" w:type="dxa"/>
            <w:tcBorders>
              <w:left w:val="single" w:sz="18" w:space="0" w:color="auto"/>
            </w:tcBorders>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75</w:t>
            </w:r>
          </w:p>
        </w:tc>
        <w:tc>
          <w:tcPr>
            <w:tcW w:w="450" w:type="dxa"/>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188</w:t>
            </w:r>
          </w:p>
        </w:tc>
        <w:tc>
          <w:tcPr>
            <w:tcW w:w="450" w:type="dxa"/>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150</w:t>
            </w:r>
          </w:p>
        </w:tc>
        <w:tc>
          <w:tcPr>
            <w:tcW w:w="450" w:type="dxa"/>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113</w:t>
            </w:r>
          </w:p>
        </w:tc>
        <w:tc>
          <w:tcPr>
            <w:tcW w:w="450" w:type="dxa"/>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113</w:t>
            </w:r>
          </w:p>
        </w:tc>
        <w:tc>
          <w:tcPr>
            <w:tcW w:w="450" w:type="dxa"/>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75</w:t>
            </w:r>
          </w:p>
        </w:tc>
        <w:tc>
          <w:tcPr>
            <w:tcW w:w="360" w:type="dxa"/>
            <w:tcBorders>
              <w:right w:val="single" w:sz="18" w:space="0" w:color="auto"/>
            </w:tcBorders>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38</w:t>
            </w:r>
          </w:p>
        </w:tc>
        <w:tc>
          <w:tcPr>
            <w:tcW w:w="450" w:type="dxa"/>
            <w:tcBorders>
              <w:left w:val="single" w:sz="18" w:space="0" w:color="auto"/>
            </w:tcBorders>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75</w:t>
            </w:r>
          </w:p>
        </w:tc>
        <w:tc>
          <w:tcPr>
            <w:tcW w:w="450" w:type="dxa"/>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150</w:t>
            </w:r>
          </w:p>
        </w:tc>
        <w:tc>
          <w:tcPr>
            <w:tcW w:w="450" w:type="dxa"/>
            <w:tcBorders>
              <w:right w:val="single" w:sz="18" w:space="0" w:color="auto"/>
            </w:tcBorders>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75</w:t>
            </w:r>
          </w:p>
        </w:tc>
        <w:tc>
          <w:tcPr>
            <w:tcW w:w="450" w:type="dxa"/>
            <w:tcBorders>
              <w:left w:val="single" w:sz="18" w:space="0" w:color="auto"/>
            </w:tcBorders>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75</w:t>
            </w:r>
          </w:p>
        </w:tc>
        <w:tc>
          <w:tcPr>
            <w:tcW w:w="450" w:type="dxa"/>
            <w:tcBorders>
              <w:right w:val="single" w:sz="18" w:space="0" w:color="auto"/>
            </w:tcBorders>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P</w:t>
            </w:r>
          </w:p>
        </w:tc>
        <w:tc>
          <w:tcPr>
            <w:tcW w:w="504" w:type="dxa"/>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A</w:t>
            </w:r>
          </w:p>
        </w:tc>
        <w:tc>
          <w:tcPr>
            <w:tcW w:w="486" w:type="dxa"/>
            <w:vAlign w:val="center"/>
          </w:tcPr>
          <w:p w:rsidR="00A92422" w:rsidRPr="00D87B79" w:rsidRDefault="00A92422" w:rsidP="00EA30FC">
            <w:pPr>
              <w:pStyle w:val="TableText"/>
              <w:widowControl w:val="0"/>
              <w:spacing w:before="40" w:after="20"/>
              <w:rPr>
                <w:rFonts w:ascii="Tahoma" w:hAnsi="Tahoma" w:cs="Tahoma"/>
                <w:color w:val="000000"/>
                <w:sz w:val="13"/>
              </w:rPr>
            </w:pPr>
            <w:r w:rsidRPr="00D87B79">
              <w:rPr>
                <w:rFonts w:ascii="Tahoma" w:hAnsi="Tahoma" w:cs="Tahoma"/>
                <w:color w:val="000000"/>
                <w:sz w:val="13"/>
                <w:lang w:val="it-IT"/>
              </w:rPr>
              <w:t>OL/OV</w:t>
            </w:r>
          </w:p>
        </w:tc>
      </w:tr>
      <w:tr w:rsidR="00A92422" w:rsidRPr="00D87B79" w:rsidTr="00EA30FC">
        <w:trPr>
          <w:trHeight w:val="145"/>
        </w:trPr>
        <w:tc>
          <w:tcPr>
            <w:tcW w:w="2714" w:type="dxa"/>
            <w:shd w:val="clear" w:color="auto" w:fill="FABF8F"/>
            <w:vAlign w:val="center"/>
          </w:tcPr>
          <w:p w:rsidR="00A92422" w:rsidRPr="00D87B79" w:rsidRDefault="00A92422" w:rsidP="00EA30FC">
            <w:pPr>
              <w:pStyle w:val="Heading2"/>
              <w:spacing w:before="40" w:after="20"/>
              <w:ind w:left="0"/>
              <w:rPr>
                <w:rFonts w:ascii="Tahoma" w:hAnsi="Tahoma" w:cs="Tahoma"/>
                <w:b w:val="0"/>
                <w:sz w:val="14"/>
                <w:szCs w:val="14"/>
              </w:rPr>
            </w:pPr>
            <w:bookmarkStart w:id="641" w:name="_Toc336338148"/>
            <w:bookmarkStart w:id="642" w:name="_Toc342900201"/>
            <w:bookmarkEnd w:id="641"/>
            <w:r w:rsidRPr="00D87B79">
              <w:rPr>
                <w:rFonts w:ascii="Tahoma" w:hAnsi="Tahoma" w:cs="Tahoma"/>
                <w:b w:val="0"/>
                <w:sz w:val="14"/>
                <w:lang w:val="it-IT"/>
              </w:rPr>
              <w:t>CAL per Windows Server™ 2012 Active Directory Rights Management Services</w:t>
            </w:r>
            <w:bookmarkEnd w:id="642"/>
          </w:p>
        </w:tc>
        <w:tc>
          <w:tcPr>
            <w:tcW w:w="450" w:type="dxa"/>
            <w:shd w:val="clear" w:color="auto" w:fill="FABF8F"/>
            <w:vAlign w:val="center"/>
          </w:tcPr>
          <w:p w:rsidR="00A92422" w:rsidRPr="001E1017" w:rsidRDefault="00A92422" w:rsidP="00EA30FC">
            <w:pPr>
              <w:pStyle w:val="TableText"/>
              <w:widowControl w:val="0"/>
              <w:spacing w:before="40" w:after="20"/>
              <w:rPr>
                <w:rStyle w:val="EndnoteReference"/>
                <w:rFonts w:cs="Tahoma"/>
                <w:sz w:val="13"/>
                <w:szCs w:val="13"/>
                <w:u w:val="single"/>
              </w:rPr>
            </w:pP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color w:val="000000"/>
                <w:sz w:val="13"/>
              </w:rPr>
            </w:pPr>
            <w:r w:rsidRPr="00D87B79">
              <w:rPr>
                <w:rFonts w:ascii="Tahoma" w:hAnsi="Tahoma" w:cs="Tahoma"/>
                <w:color w:val="000000"/>
                <w:sz w:val="13"/>
              </w:rPr>
              <w:t>09/12</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color w:val="000000"/>
                <w:sz w:val="13"/>
              </w:rPr>
            </w:pPr>
            <w:r w:rsidRPr="00D87B79">
              <w:rPr>
                <w:rFonts w:ascii="Tahoma" w:hAnsi="Tahoma" w:cs="Tahoma"/>
                <w:color w:val="000000"/>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1</w:t>
            </w: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3</w:t>
            </w: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2</w:t>
            </w: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2</w:t>
            </w: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2</w:t>
            </w: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1</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1</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1</w:t>
            </w: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2</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1</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1</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P</w:t>
            </w:r>
          </w:p>
        </w:tc>
        <w:tc>
          <w:tcPr>
            <w:tcW w:w="504"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A, ST</w:t>
            </w:r>
          </w:p>
        </w:tc>
        <w:tc>
          <w:tcPr>
            <w:tcW w:w="486" w:type="dxa"/>
            <w:shd w:val="clear" w:color="auto" w:fill="FABF8F"/>
            <w:vAlign w:val="center"/>
          </w:tcPr>
          <w:p w:rsidR="00A92422" w:rsidRPr="00D87B79" w:rsidRDefault="00A92422" w:rsidP="00EA30FC">
            <w:pPr>
              <w:pStyle w:val="TableText"/>
              <w:widowControl w:val="0"/>
              <w:spacing w:before="40" w:after="20"/>
              <w:rPr>
                <w:rFonts w:ascii="Tahoma" w:hAnsi="Tahoma" w:cs="Tahoma"/>
                <w:color w:val="000000"/>
                <w:sz w:val="13"/>
              </w:rPr>
            </w:pPr>
          </w:p>
        </w:tc>
      </w:tr>
      <w:tr w:rsidR="00A92422" w:rsidRPr="00D87B79" w:rsidTr="00EA30FC">
        <w:trPr>
          <w:trHeight w:val="145"/>
        </w:trPr>
        <w:tc>
          <w:tcPr>
            <w:tcW w:w="2714" w:type="dxa"/>
            <w:shd w:val="clear" w:color="auto" w:fill="FFFFFF"/>
            <w:vAlign w:val="center"/>
          </w:tcPr>
          <w:p w:rsidR="00A92422" w:rsidRPr="002C53D6" w:rsidRDefault="00A92422" w:rsidP="00EA30FC">
            <w:pPr>
              <w:pStyle w:val="Heading2"/>
              <w:spacing w:before="40" w:after="20"/>
              <w:ind w:left="0"/>
              <w:rPr>
                <w:rFonts w:ascii="Tahoma" w:hAnsi="Tahoma" w:cs="Tahoma"/>
                <w:b w:val="0"/>
                <w:spacing w:val="-4"/>
                <w:sz w:val="14"/>
                <w:szCs w:val="14"/>
              </w:rPr>
            </w:pPr>
            <w:bookmarkStart w:id="643" w:name="_Toc336338149"/>
            <w:bookmarkStart w:id="644" w:name="_Toc342900202"/>
            <w:bookmarkEnd w:id="643"/>
            <w:r w:rsidRPr="002C53D6">
              <w:rPr>
                <w:rFonts w:ascii="Tahoma" w:hAnsi="Tahoma" w:cs="Tahoma"/>
                <w:b w:val="0"/>
                <w:spacing w:val="-4"/>
                <w:sz w:val="14"/>
                <w:lang w:val="it-IT"/>
              </w:rPr>
              <w:t>External Connector per Windows Server™ Active Directory Rights Management Services</w:t>
            </w:r>
            <w:bookmarkEnd w:id="644"/>
          </w:p>
        </w:tc>
        <w:tc>
          <w:tcPr>
            <w:tcW w:w="450" w:type="dxa"/>
            <w:shd w:val="clear" w:color="auto" w:fill="FFFFFF"/>
            <w:vAlign w:val="center"/>
          </w:tcPr>
          <w:p w:rsidR="00A92422" w:rsidRPr="001E1017" w:rsidRDefault="00A92422" w:rsidP="00EA30FC">
            <w:pPr>
              <w:pStyle w:val="TableText"/>
              <w:widowControl w:val="0"/>
              <w:spacing w:before="40" w:after="20"/>
              <w:rPr>
                <w:rStyle w:val="EndnoteReference"/>
                <w:rFonts w:cs="Tahoma"/>
                <w:sz w:val="13"/>
                <w:szCs w:val="13"/>
                <w:u w:val="single"/>
              </w:rPr>
            </w:pPr>
          </w:p>
        </w:tc>
        <w:tc>
          <w:tcPr>
            <w:tcW w:w="450" w:type="dxa"/>
            <w:shd w:val="clear" w:color="auto" w:fill="FFFFFF"/>
            <w:vAlign w:val="center"/>
          </w:tcPr>
          <w:p w:rsidR="00A92422" w:rsidRPr="00D87B79" w:rsidRDefault="00A92422" w:rsidP="00EA30FC">
            <w:pPr>
              <w:pStyle w:val="TableText"/>
              <w:widowControl w:val="0"/>
              <w:spacing w:before="40" w:after="20"/>
              <w:rPr>
                <w:rFonts w:ascii="Tahoma" w:hAnsi="Tahoma" w:cs="Tahoma"/>
                <w:color w:val="000000"/>
                <w:sz w:val="13"/>
              </w:rPr>
            </w:pPr>
            <w:r w:rsidRPr="00D87B79">
              <w:rPr>
                <w:rFonts w:ascii="Tahoma" w:hAnsi="Tahoma" w:cs="Tahoma"/>
                <w:color w:val="000000"/>
                <w:sz w:val="13"/>
              </w:rPr>
              <w:t>09/12</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color w:val="000000"/>
                <w:sz w:val="13"/>
              </w:rPr>
            </w:pPr>
            <w:r w:rsidRPr="00D87B79">
              <w:rPr>
                <w:rFonts w:ascii="Tahoma" w:hAnsi="Tahoma" w:cs="Tahoma"/>
                <w:color w:val="000000"/>
                <w:sz w:val="13"/>
                <w:lang w:val="it-IT"/>
              </w:rPr>
              <w:t>SRV</w:t>
            </w: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125</w:t>
            </w:r>
          </w:p>
        </w:tc>
        <w:tc>
          <w:tcPr>
            <w:tcW w:w="450" w:type="dxa"/>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313</w:t>
            </w:r>
          </w:p>
        </w:tc>
        <w:tc>
          <w:tcPr>
            <w:tcW w:w="450" w:type="dxa"/>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250</w:t>
            </w:r>
          </w:p>
        </w:tc>
        <w:tc>
          <w:tcPr>
            <w:tcW w:w="450" w:type="dxa"/>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188</w:t>
            </w:r>
          </w:p>
        </w:tc>
        <w:tc>
          <w:tcPr>
            <w:tcW w:w="450" w:type="dxa"/>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188</w:t>
            </w:r>
          </w:p>
        </w:tc>
        <w:tc>
          <w:tcPr>
            <w:tcW w:w="450" w:type="dxa"/>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125</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63</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125</w:t>
            </w:r>
          </w:p>
        </w:tc>
        <w:tc>
          <w:tcPr>
            <w:tcW w:w="450" w:type="dxa"/>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250</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125</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125</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P</w:t>
            </w:r>
          </w:p>
        </w:tc>
        <w:tc>
          <w:tcPr>
            <w:tcW w:w="504" w:type="dxa"/>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A, ST</w:t>
            </w:r>
          </w:p>
        </w:tc>
        <w:tc>
          <w:tcPr>
            <w:tcW w:w="486" w:type="dxa"/>
            <w:shd w:val="clear" w:color="auto" w:fill="FFFFFF"/>
            <w:vAlign w:val="center"/>
          </w:tcPr>
          <w:p w:rsidR="00A92422" w:rsidRPr="00D87B79" w:rsidRDefault="00A92422" w:rsidP="00EA30FC">
            <w:pPr>
              <w:pStyle w:val="TableText"/>
              <w:widowControl w:val="0"/>
              <w:spacing w:before="40" w:after="20"/>
              <w:rPr>
                <w:rFonts w:ascii="Tahoma" w:hAnsi="Tahoma" w:cs="Tahoma"/>
                <w:color w:val="000000"/>
                <w:sz w:val="13"/>
              </w:rPr>
            </w:pPr>
            <w:r w:rsidRPr="00D87B79">
              <w:rPr>
                <w:rFonts w:ascii="Tahoma" w:hAnsi="Tahoma" w:cs="Tahoma"/>
                <w:color w:val="000000"/>
                <w:sz w:val="13"/>
                <w:lang w:val="it-IT"/>
              </w:rPr>
              <w:t>OL/OV</w:t>
            </w:r>
          </w:p>
        </w:tc>
      </w:tr>
      <w:tr w:rsidR="00A92422" w:rsidRPr="00D87B79" w:rsidTr="00EA30FC">
        <w:trPr>
          <w:trHeight w:val="359"/>
        </w:trPr>
        <w:tc>
          <w:tcPr>
            <w:tcW w:w="2714" w:type="dxa"/>
            <w:shd w:val="clear" w:color="auto" w:fill="FABF8F"/>
            <w:vAlign w:val="center"/>
          </w:tcPr>
          <w:p w:rsidR="00A92422" w:rsidRPr="00D87B79" w:rsidRDefault="00A92422" w:rsidP="00EA30FC">
            <w:pPr>
              <w:pStyle w:val="Heading2"/>
              <w:spacing w:before="40" w:after="20"/>
              <w:ind w:left="0"/>
              <w:rPr>
                <w:rFonts w:ascii="Tahoma" w:hAnsi="Tahoma" w:cs="Tahoma"/>
                <w:b w:val="0"/>
                <w:sz w:val="14"/>
                <w:szCs w:val="14"/>
              </w:rPr>
            </w:pPr>
            <w:bookmarkStart w:id="645" w:name="_Toc336338152"/>
            <w:bookmarkStart w:id="646" w:name="_Toc342900203"/>
            <w:bookmarkEnd w:id="645"/>
            <w:r w:rsidRPr="00D87B79">
              <w:rPr>
                <w:rFonts w:ascii="Tahoma" w:hAnsi="Tahoma" w:cs="Tahoma"/>
                <w:b w:val="0"/>
                <w:sz w:val="14"/>
                <w:szCs w:val="14"/>
                <w:lang w:val="it-IT"/>
              </w:rPr>
              <w:t>Windows Web Server 2008 R2</w:t>
            </w:r>
            <w:bookmarkEnd w:id="646"/>
          </w:p>
        </w:tc>
        <w:tc>
          <w:tcPr>
            <w:tcW w:w="450" w:type="dxa"/>
            <w:shd w:val="clear" w:color="auto" w:fill="FABF8F"/>
            <w:vAlign w:val="center"/>
          </w:tcPr>
          <w:p w:rsidR="00A92422" w:rsidRPr="001E1017" w:rsidRDefault="00A92422" w:rsidP="00EA30FC">
            <w:pPr>
              <w:pStyle w:val="TableText"/>
              <w:widowControl w:val="0"/>
              <w:spacing w:before="40" w:after="20"/>
              <w:rPr>
                <w:rStyle w:val="EndnoteReference"/>
                <w:rFonts w:cs="Tahoma"/>
                <w:b w:val="0"/>
                <w:sz w:val="13"/>
                <w:szCs w:val="13"/>
                <w:u w:val="single"/>
              </w:rPr>
            </w:pPr>
            <w:hyperlink w:anchor="_109_Windows_Web" w:history="1">
              <w:r w:rsidRPr="001E1017">
                <w:rPr>
                  <w:rStyle w:val="Hyperlink"/>
                  <w:rFonts w:cs="Tahoma"/>
                  <w:b/>
                  <w:sz w:val="13"/>
                  <w:szCs w:val="13"/>
                </w:rPr>
                <w:t>109</w:t>
              </w:r>
            </w:hyperlink>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color w:val="000000"/>
                <w:sz w:val="13"/>
              </w:rPr>
            </w:pPr>
            <w:r w:rsidRPr="00D87B79">
              <w:rPr>
                <w:rFonts w:ascii="Tahoma" w:hAnsi="Tahoma" w:cs="Tahoma"/>
                <w:color w:val="000000"/>
                <w:sz w:val="13"/>
              </w:rPr>
              <w:t>08/09</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color w:val="000000"/>
                <w:sz w:val="13"/>
              </w:rPr>
            </w:pPr>
            <w:r w:rsidRPr="00D87B79">
              <w:rPr>
                <w:rFonts w:ascii="Tahoma" w:hAnsi="Tahoma" w:cs="Tahoma"/>
                <w:color w:val="000000"/>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504" w:type="dxa"/>
            <w:shd w:val="clear" w:color="auto" w:fill="FABF8F"/>
            <w:vAlign w:val="center"/>
          </w:tcPr>
          <w:p w:rsidR="00A92422" w:rsidRPr="00D87B79" w:rsidRDefault="00A92422" w:rsidP="00EA30FC">
            <w:pPr>
              <w:pStyle w:val="TableText"/>
              <w:widowControl w:val="0"/>
              <w:spacing w:before="40" w:after="20"/>
              <w:rPr>
                <w:rFonts w:ascii="Tahoma" w:hAnsi="Tahoma" w:cs="Tahoma"/>
                <w:color w:val="000000"/>
                <w:sz w:val="13"/>
              </w:rPr>
            </w:pPr>
          </w:p>
        </w:tc>
        <w:tc>
          <w:tcPr>
            <w:tcW w:w="486" w:type="dxa"/>
            <w:shd w:val="clear" w:color="auto" w:fill="FABF8F"/>
            <w:vAlign w:val="center"/>
          </w:tcPr>
          <w:p w:rsidR="00A92422" w:rsidRPr="00D87B79" w:rsidRDefault="00A92422" w:rsidP="00EA30FC">
            <w:pPr>
              <w:pStyle w:val="TableText"/>
              <w:widowControl w:val="0"/>
              <w:spacing w:before="40" w:after="20"/>
              <w:rPr>
                <w:rFonts w:ascii="Tahoma" w:hAnsi="Tahoma" w:cs="Tahoma"/>
                <w:color w:val="000000"/>
                <w:sz w:val="13"/>
              </w:rPr>
            </w:pPr>
          </w:p>
        </w:tc>
      </w:tr>
      <w:tr w:rsidR="00A92422" w:rsidRPr="00D87B79" w:rsidTr="00EA30FC">
        <w:trPr>
          <w:trHeight w:val="145"/>
        </w:trPr>
        <w:tc>
          <w:tcPr>
            <w:tcW w:w="2714" w:type="dxa"/>
            <w:shd w:val="clear" w:color="auto" w:fill="FFFFFF"/>
            <w:vAlign w:val="center"/>
          </w:tcPr>
          <w:p w:rsidR="00A92422" w:rsidRPr="00D87B79" w:rsidRDefault="00A92422" w:rsidP="00EA30FC">
            <w:pPr>
              <w:pStyle w:val="Heading2"/>
              <w:spacing w:before="40" w:after="20"/>
              <w:ind w:left="0"/>
              <w:rPr>
                <w:rFonts w:ascii="Tahoma" w:hAnsi="Tahoma" w:cs="Tahoma"/>
                <w:b w:val="0"/>
                <w:sz w:val="14"/>
                <w:szCs w:val="14"/>
              </w:rPr>
            </w:pPr>
            <w:bookmarkStart w:id="647" w:name="_Toc336338153"/>
            <w:bookmarkStart w:id="648" w:name="_Toc342900204"/>
            <w:bookmarkEnd w:id="647"/>
            <w:r w:rsidRPr="00D87B79">
              <w:rPr>
                <w:rFonts w:ascii="Tahoma" w:hAnsi="Tahoma" w:cs="Tahoma"/>
                <w:b w:val="0"/>
                <w:sz w:val="14"/>
                <w:lang w:val="it-IT"/>
              </w:rPr>
              <w:t>Windows Small Business Server 2008 Premium</w:t>
            </w:r>
            <w:bookmarkEnd w:id="648"/>
          </w:p>
        </w:tc>
        <w:tc>
          <w:tcPr>
            <w:tcW w:w="450" w:type="dxa"/>
            <w:shd w:val="clear" w:color="auto" w:fill="FFFFFF"/>
            <w:vAlign w:val="center"/>
          </w:tcPr>
          <w:p w:rsidR="00A92422" w:rsidRPr="001E1017" w:rsidRDefault="00A92422" w:rsidP="00EA30FC">
            <w:pPr>
              <w:pStyle w:val="TableText"/>
              <w:widowControl w:val="0"/>
              <w:spacing w:before="40" w:after="20"/>
              <w:rPr>
                <w:rFonts w:cs="Tahoma"/>
                <w:b/>
                <w:sz w:val="13"/>
                <w:szCs w:val="13"/>
                <w:u w:val="single"/>
              </w:rPr>
            </w:pPr>
            <w:hyperlink w:anchor="_Toc336338376" w:history="1">
              <w:r w:rsidRPr="001E1017">
                <w:rPr>
                  <w:rStyle w:val="Hyperlink"/>
                  <w:rFonts w:cs="Tahoma"/>
                  <w:b/>
                  <w:sz w:val="13"/>
                  <w:szCs w:val="13"/>
                </w:rPr>
                <w:t>110</w:t>
              </w:r>
            </w:hyperlink>
          </w:p>
        </w:tc>
        <w:tc>
          <w:tcPr>
            <w:tcW w:w="450" w:type="dxa"/>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10/08</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shd w:val="clear" w:color="auto" w:fill="FFFFFF"/>
            <w:vAlign w:val="center"/>
          </w:tcPr>
          <w:p w:rsidR="00A92422" w:rsidRPr="00D87B79" w:rsidDel="001265B4" w:rsidRDefault="00A92422" w:rsidP="00EA30FC">
            <w:pPr>
              <w:pStyle w:val="TableText"/>
              <w:widowControl w:val="0"/>
              <w:spacing w:before="40" w:after="2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p>
        </w:tc>
        <w:tc>
          <w:tcPr>
            <w:tcW w:w="504" w:type="dxa"/>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p>
        </w:tc>
        <w:tc>
          <w:tcPr>
            <w:tcW w:w="486" w:type="dxa"/>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p>
        </w:tc>
      </w:tr>
      <w:tr w:rsidR="00A92422" w:rsidRPr="00D87B79" w:rsidTr="00EA30FC">
        <w:trPr>
          <w:trHeight w:val="145"/>
        </w:trPr>
        <w:tc>
          <w:tcPr>
            <w:tcW w:w="2714" w:type="dxa"/>
            <w:shd w:val="clear" w:color="auto" w:fill="FABF8F"/>
            <w:vAlign w:val="center"/>
          </w:tcPr>
          <w:p w:rsidR="00A92422" w:rsidRPr="00D87B79" w:rsidRDefault="00A92422" w:rsidP="00EA30FC">
            <w:pPr>
              <w:pStyle w:val="Heading2"/>
              <w:spacing w:before="40" w:after="20"/>
              <w:ind w:left="0"/>
              <w:rPr>
                <w:rFonts w:ascii="Tahoma" w:hAnsi="Tahoma" w:cs="Tahoma"/>
                <w:b w:val="0"/>
              </w:rPr>
            </w:pPr>
            <w:bookmarkStart w:id="649" w:name="_Toc336338154"/>
            <w:bookmarkStart w:id="650" w:name="_Toc342900205"/>
            <w:bookmarkEnd w:id="649"/>
            <w:r w:rsidRPr="00D87B79">
              <w:rPr>
                <w:rFonts w:ascii="Tahoma" w:hAnsi="Tahoma" w:cs="Tahoma"/>
                <w:b w:val="0"/>
                <w:sz w:val="14"/>
                <w:lang w:val="it-IT"/>
              </w:rPr>
              <w:t>CAL Suite per Windows Small Business Server 2008 per Utenti o Dispositivi Premium</w:t>
            </w:r>
            <w:bookmarkEnd w:id="650"/>
          </w:p>
        </w:tc>
        <w:tc>
          <w:tcPr>
            <w:tcW w:w="450" w:type="dxa"/>
            <w:shd w:val="clear" w:color="auto" w:fill="FABF8F"/>
            <w:vAlign w:val="center"/>
          </w:tcPr>
          <w:p w:rsidR="00A92422" w:rsidRPr="001E1017" w:rsidRDefault="00A92422" w:rsidP="00EA30FC">
            <w:pPr>
              <w:pStyle w:val="TableText"/>
              <w:widowControl w:val="0"/>
              <w:spacing w:before="40" w:after="20"/>
              <w:rPr>
                <w:rFonts w:cs="Tahoma"/>
                <w:b/>
                <w:sz w:val="13"/>
                <w:szCs w:val="13"/>
                <w:u w:val="single"/>
              </w:rPr>
            </w:pP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01/11</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1</w:t>
            </w:r>
          </w:p>
        </w:tc>
        <w:tc>
          <w:tcPr>
            <w:tcW w:w="450" w:type="dxa"/>
            <w:shd w:val="clear" w:color="auto" w:fill="FABF8F"/>
            <w:vAlign w:val="center"/>
          </w:tcPr>
          <w:p w:rsidR="00A92422" w:rsidRPr="00D87B79" w:rsidDel="001265B4" w:rsidRDefault="00A92422" w:rsidP="00EA30FC">
            <w:pPr>
              <w:pStyle w:val="TableText"/>
              <w:widowControl w:val="0"/>
              <w:spacing w:before="40" w:after="2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1</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E, P</w:t>
            </w:r>
          </w:p>
        </w:tc>
        <w:tc>
          <w:tcPr>
            <w:tcW w:w="504"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A</w:t>
            </w:r>
          </w:p>
        </w:tc>
        <w:tc>
          <w:tcPr>
            <w:tcW w:w="486"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r>
      <w:tr w:rsidR="00A92422" w:rsidRPr="00D87B79" w:rsidTr="00EA30FC">
        <w:trPr>
          <w:trHeight w:val="145"/>
        </w:trPr>
        <w:tc>
          <w:tcPr>
            <w:tcW w:w="2714" w:type="dxa"/>
            <w:shd w:val="clear" w:color="auto" w:fill="FFFFFF"/>
            <w:vAlign w:val="center"/>
          </w:tcPr>
          <w:p w:rsidR="00A92422" w:rsidRPr="00D87B79" w:rsidRDefault="00A92422" w:rsidP="00EA30FC">
            <w:pPr>
              <w:pStyle w:val="Heading2"/>
              <w:spacing w:before="40" w:after="20"/>
              <w:ind w:left="0"/>
              <w:rPr>
                <w:rFonts w:ascii="Tahoma" w:hAnsi="Tahoma" w:cs="Tahoma"/>
                <w:b w:val="0"/>
                <w:sz w:val="14"/>
                <w:szCs w:val="14"/>
              </w:rPr>
            </w:pPr>
            <w:bookmarkStart w:id="651" w:name="_Toc336338155"/>
            <w:bookmarkStart w:id="652" w:name="_Toc342900206"/>
            <w:bookmarkEnd w:id="651"/>
            <w:r w:rsidRPr="00D87B79">
              <w:rPr>
                <w:rFonts w:ascii="Tahoma" w:hAnsi="Tahoma" w:cs="Tahoma"/>
                <w:b w:val="0"/>
                <w:sz w:val="14"/>
                <w:lang w:val="it-IT"/>
              </w:rPr>
              <w:t>CAL Suite per Windows Small Business Server 2008 per Utenti o Dispositivi Premium (5 Client)</w:t>
            </w:r>
            <w:bookmarkEnd w:id="652"/>
          </w:p>
        </w:tc>
        <w:tc>
          <w:tcPr>
            <w:tcW w:w="450" w:type="dxa"/>
            <w:shd w:val="clear" w:color="auto" w:fill="FFFFFF"/>
            <w:vAlign w:val="center"/>
          </w:tcPr>
          <w:p w:rsidR="00A92422" w:rsidRPr="001E1017" w:rsidRDefault="00A92422" w:rsidP="00EA30FC">
            <w:pPr>
              <w:pStyle w:val="TableText"/>
              <w:widowControl w:val="0"/>
              <w:spacing w:before="40" w:after="20"/>
              <w:rPr>
                <w:rFonts w:cs="Tahoma"/>
                <w:b/>
                <w:sz w:val="13"/>
                <w:szCs w:val="13"/>
                <w:u w:val="single"/>
              </w:rPr>
            </w:pPr>
          </w:p>
        </w:tc>
        <w:tc>
          <w:tcPr>
            <w:tcW w:w="450" w:type="dxa"/>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01/11</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5</w:t>
            </w:r>
          </w:p>
        </w:tc>
        <w:tc>
          <w:tcPr>
            <w:tcW w:w="450" w:type="dxa"/>
            <w:shd w:val="clear" w:color="auto" w:fill="FFFFFF"/>
            <w:vAlign w:val="center"/>
          </w:tcPr>
          <w:p w:rsidR="00A92422" w:rsidRPr="00D87B79" w:rsidDel="001265B4" w:rsidRDefault="00A92422" w:rsidP="00EA30FC">
            <w:pPr>
              <w:pStyle w:val="TableText"/>
              <w:widowControl w:val="0"/>
              <w:spacing w:before="40" w:after="2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5</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P</w:t>
            </w:r>
          </w:p>
        </w:tc>
        <w:tc>
          <w:tcPr>
            <w:tcW w:w="504" w:type="dxa"/>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A</w:t>
            </w:r>
          </w:p>
        </w:tc>
        <w:tc>
          <w:tcPr>
            <w:tcW w:w="486" w:type="dxa"/>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OL/OV</w:t>
            </w:r>
          </w:p>
        </w:tc>
      </w:tr>
      <w:tr w:rsidR="00A92422" w:rsidRPr="00D87B79" w:rsidTr="00EA30FC">
        <w:trPr>
          <w:trHeight w:val="145"/>
        </w:trPr>
        <w:tc>
          <w:tcPr>
            <w:tcW w:w="2714" w:type="dxa"/>
            <w:shd w:val="clear" w:color="auto" w:fill="FABF8F"/>
            <w:vAlign w:val="center"/>
          </w:tcPr>
          <w:p w:rsidR="00A92422" w:rsidRPr="00D87B79" w:rsidRDefault="00A92422" w:rsidP="00EA30FC">
            <w:pPr>
              <w:pStyle w:val="Heading2"/>
              <w:spacing w:before="40" w:after="20"/>
              <w:ind w:left="0"/>
              <w:rPr>
                <w:rFonts w:ascii="Tahoma" w:hAnsi="Tahoma" w:cs="Tahoma"/>
                <w:b w:val="0"/>
                <w:sz w:val="14"/>
                <w:szCs w:val="14"/>
              </w:rPr>
            </w:pPr>
            <w:bookmarkStart w:id="653" w:name="_Toc336338156"/>
            <w:bookmarkStart w:id="654" w:name="_Toc342900207"/>
            <w:bookmarkEnd w:id="653"/>
            <w:r w:rsidRPr="00D87B79">
              <w:rPr>
                <w:rFonts w:ascii="Tahoma" w:hAnsi="Tahoma" w:cs="Tahoma"/>
                <w:b w:val="0"/>
                <w:sz w:val="14"/>
                <w:lang w:val="it-IT"/>
              </w:rPr>
              <w:t>CAL Suite per Windows Small Business Server 2008 per Utenti o Dispositivi Premium (20 Client)</w:t>
            </w:r>
            <w:bookmarkEnd w:id="654"/>
          </w:p>
        </w:tc>
        <w:tc>
          <w:tcPr>
            <w:tcW w:w="450" w:type="dxa"/>
            <w:shd w:val="clear" w:color="auto" w:fill="FABF8F"/>
            <w:vAlign w:val="center"/>
          </w:tcPr>
          <w:p w:rsidR="00A92422" w:rsidRPr="001E1017" w:rsidRDefault="00A92422" w:rsidP="00EA30FC">
            <w:pPr>
              <w:pStyle w:val="TableText"/>
              <w:widowControl w:val="0"/>
              <w:spacing w:before="40" w:after="20"/>
              <w:rPr>
                <w:rFonts w:cs="Tahoma"/>
                <w:sz w:val="13"/>
                <w:szCs w:val="13"/>
              </w:rPr>
            </w:pP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01/11</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25</w:t>
            </w:r>
          </w:p>
        </w:tc>
        <w:tc>
          <w:tcPr>
            <w:tcW w:w="450" w:type="dxa"/>
            <w:shd w:val="clear" w:color="auto" w:fill="FABF8F"/>
            <w:vAlign w:val="center"/>
          </w:tcPr>
          <w:p w:rsidR="00A92422" w:rsidRPr="00D87B79" w:rsidDel="001265B4" w:rsidRDefault="00A92422" w:rsidP="00EA30FC">
            <w:pPr>
              <w:pStyle w:val="TableText"/>
              <w:widowControl w:val="0"/>
              <w:spacing w:before="40" w:after="2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25</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P</w:t>
            </w:r>
          </w:p>
        </w:tc>
        <w:tc>
          <w:tcPr>
            <w:tcW w:w="504"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A</w:t>
            </w:r>
          </w:p>
        </w:tc>
        <w:tc>
          <w:tcPr>
            <w:tcW w:w="486"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OL/OV</w:t>
            </w:r>
          </w:p>
        </w:tc>
      </w:tr>
      <w:tr w:rsidR="00A92422" w:rsidRPr="00D87B79" w:rsidTr="00EA30FC">
        <w:trPr>
          <w:trHeight w:val="145"/>
        </w:trPr>
        <w:tc>
          <w:tcPr>
            <w:tcW w:w="2714" w:type="dxa"/>
            <w:shd w:val="clear" w:color="auto" w:fill="FFFFFF"/>
            <w:vAlign w:val="center"/>
          </w:tcPr>
          <w:p w:rsidR="00A92422" w:rsidRPr="00D87B79" w:rsidRDefault="00A92422" w:rsidP="00EA30FC">
            <w:pPr>
              <w:pStyle w:val="Heading2"/>
              <w:spacing w:before="40" w:after="20"/>
              <w:ind w:left="0"/>
              <w:rPr>
                <w:rFonts w:ascii="Tahoma" w:hAnsi="Tahoma" w:cs="Tahoma"/>
                <w:b w:val="0"/>
                <w:sz w:val="14"/>
                <w:szCs w:val="14"/>
              </w:rPr>
            </w:pPr>
            <w:bookmarkStart w:id="655" w:name="_Toc336338157"/>
            <w:bookmarkStart w:id="656" w:name="_Toc342900208"/>
            <w:bookmarkEnd w:id="655"/>
            <w:r w:rsidRPr="00D87B79">
              <w:rPr>
                <w:rFonts w:ascii="Tahoma" w:hAnsi="Tahoma" w:cs="Tahoma"/>
                <w:b w:val="0"/>
                <w:sz w:val="14"/>
                <w:lang w:val="it-IT"/>
              </w:rPr>
              <w:t>Windows Small Business Server 2011 Standard (5 client)</w:t>
            </w:r>
            <w:bookmarkEnd w:id="656"/>
          </w:p>
        </w:tc>
        <w:tc>
          <w:tcPr>
            <w:tcW w:w="450" w:type="dxa"/>
            <w:shd w:val="clear" w:color="auto" w:fill="FFFFFF"/>
            <w:vAlign w:val="center"/>
          </w:tcPr>
          <w:p w:rsidR="00A92422" w:rsidRPr="001E1017" w:rsidRDefault="00A92422" w:rsidP="00EA30FC">
            <w:pPr>
              <w:pStyle w:val="TableText"/>
              <w:widowControl w:val="0"/>
              <w:spacing w:before="40" w:after="20"/>
              <w:rPr>
                <w:rStyle w:val="EndnoteReference"/>
                <w:rFonts w:cs="Tahoma"/>
                <w:b w:val="0"/>
                <w:color w:val="0000FF"/>
                <w:sz w:val="13"/>
                <w:szCs w:val="13"/>
                <w:u w:val="single"/>
              </w:rPr>
            </w:pPr>
            <w:hyperlink w:anchor="_111_Windows_Small" w:history="1">
              <w:r w:rsidRPr="001E1017">
                <w:rPr>
                  <w:rStyle w:val="Hyperlink"/>
                  <w:rFonts w:cs="Tahoma"/>
                  <w:b/>
                  <w:sz w:val="13"/>
                  <w:szCs w:val="13"/>
                </w:rPr>
                <w:t>111</w:t>
              </w:r>
            </w:hyperlink>
          </w:p>
        </w:tc>
        <w:tc>
          <w:tcPr>
            <w:tcW w:w="450" w:type="dxa"/>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01/11</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15</w:t>
            </w:r>
          </w:p>
        </w:tc>
        <w:tc>
          <w:tcPr>
            <w:tcW w:w="450" w:type="dxa"/>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15</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P</w:t>
            </w:r>
          </w:p>
        </w:tc>
        <w:tc>
          <w:tcPr>
            <w:tcW w:w="504" w:type="dxa"/>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A</w:t>
            </w:r>
          </w:p>
        </w:tc>
        <w:tc>
          <w:tcPr>
            <w:tcW w:w="486" w:type="dxa"/>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color w:val="000000"/>
                <w:sz w:val="13"/>
                <w:lang w:val="it-IT"/>
              </w:rPr>
              <w:t>OL/OV</w:t>
            </w:r>
          </w:p>
        </w:tc>
      </w:tr>
      <w:tr w:rsidR="00A92422" w:rsidRPr="00D87B79" w:rsidTr="00EA30FC">
        <w:trPr>
          <w:trHeight w:val="145"/>
        </w:trPr>
        <w:tc>
          <w:tcPr>
            <w:tcW w:w="2714" w:type="dxa"/>
            <w:shd w:val="clear" w:color="auto" w:fill="FABF8F"/>
            <w:vAlign w:val="center"/>
          </w:tcPr>
          <w:p w:rsidR="00A92422" w:rsidRPr="00D87B79" w:rsidRDefault="00A92422" w:rsidP="00EA30FC">
            <w:pPr>
              <w:pStyle w:val="Heading2"/>
              <w:spacing w:before="40" w:after="20"/>
              <w:ind w:left="0"/>
              <w:rPr>
                <w:rFonts w:ascii="Tahoma" w:hAnsi="Tahoma" w:cs="Tahoma"/>
                <w:b w:val="0"/>
                <w:sz w:val="14"/>
                <w:szCs w:val="14"/>
              </w:rPr>
            </w:pPr>
            <w:bookmarkStart w:id="657" w:name="_Toc336338158"/>
            <w:bookmarkStart w:id="658" w:name="_Toc342900209"/>
            <w:bookmarkEnd w:id="657"/>
            <w:r w:rsidRPr="00D87B79">
              <w:rPr>
                <w:rFonts w:ascii="Tahoma" w:hAnsi="Tahoma" w:cs="Tahoma"/>
                <w:b w:val="0"/>
                <w:sz w:val="14"/>
                <w:lang w:val="it-IT"/>
              </w:rPr>
              <w:t>CAL Suite per Windows Small Business Server 2011 (1 client)</w:t>
            </w:r>
            <w:bookmarkEnd w:id="658"/>
          </w:p>
        </w:tc>
        <w:tc>
          <w:tcPr>
            <w:tcW w:w="450" w:type="dxa"/>
            <w:shd w:val="clear" w:color="auto" w:fill="FABF8F"/>
            <w:vAlign w:val="center"/>
          </w:tcPr>
          <w:p w:rsidR="00A92422" w:rsidRPr="001E1017" w:rsidRDefault="00A92422" w:rsidP="00EA30FC">
            <w:pPr>
              <w:pStyle w:val="TableText"/>
              <w:widowControl w:val="0"/>
              <w:spacing w:before="40" w:after="20"/>
              <w:rPr>
                <w:rStyle w:val="EndnoteReference"/>
                <w:rFonts w:cs="Tahoma"/>
                <w:b w:val="0"/>
                <w:color w:val="0000FF"/>
                <w:sz w:val="13"/>
                <w:szCs w:val="13"/>
                <w:u w:val="single"/>
              </w:rPr>
            </w:pPr>
            <w:hyperlink w:anchor="_112_CAL_Suite" w:history="1">
              <w:r w:rsidRPr="001E1017">
                <w:rPr>
                  <w:rStyle w:val="Hyperlink"/>
                  <w:rFonts w:cs="Tahoma"/>
                  <w:b/>
                  <w:sz w:val="13"/>
                  <w:szCs w:val="13"/>
                </w:rPr>
                <w:t>112</w:t>
              </w:r>
            </w:hyperlink>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01/11</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1</w:t>
            </w: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1</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E, P</w:t>
            </w:r>
          </w:p>
        </w:tc>
        <w:tc>
          <w:tcPr>
            <w:tcW w:w="504"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A, ST</w:t>
            </w:r>
          </w:p>
        </w:tc>
        <w:tc>
          <w:tcPr>
            <w:tcW w:w="486"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r>
    </w:tbl>
    <w:p w:rsidR="00A92422" w:rsidRDefault="00A92422" w:rsidP="00A92422">
      <w:bookmarkStart w:id="659" w:name="_Toc336338159"/>
      <w:bookmarkStart w:id="660" w:name="_Toc342900210"/>
      <w:bookmarkEnd w:id="659"/>
      <w:r>
        <w:rPr>
          <w:b/>
        </w:rPr>
        <w:br w:type="page"/>
      </w: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450"/>
        <w:gridCol w:w="450"/>
        <w:gridCol w:w="360"/>
        <w:gridCol w:w="360"/>
        <w:gridCol w:w="450"/>
        <w:gridCol w:w="450"/>
        <w:gridCol w:w="450"/>
        <w:gridCol w:w="450"/>
        <w:gridCol w:w="450"/>
        <w:gridCol w:w="360"/>
        <w:gridCol w:w="450"/>
        <w:gridCol w:w="450"/>
        <w:gridCol w:w="450"/>
        <w:gridCol w:w="450"/>
        <w:gridCol w:w="450"/>
        <w:gridCol w:w="450"/>
        <w:gridCol w:w="504"/>
        <w:gridCol w:w="486"/>
      </w:tblGrid>
      <w:tr w:rsidR="00A92422" w:rsidRPr="00D87B79" w:rsidTr="00EA30FC">
        <w:trPr>
          <w:trHeight w:val="145"/>
        </w:trPr>
        <w:tc>
          <w:tcPr>
            <w:tcW w:w="2714" w:type="dxa"/>
            <w:shd w:val="clear" w:color="auto" w:fill="FFFFFF"/>
            <w:vAlign w:val="center"/>
          </w:tcPr>
          <w:p w:rsidR="00A92422" w:rsidRPr="00D87B79" w:rsidRDefault="00A92422" w:rsidP="00EA30FC">
            <w:pPr>
              <w:pStyle w:val="Heading2"/>
              <w:spacing w:before="40" w:after="20"/>
              <w:ind w:left="0"/>
              <w:rPr>
                <w:rFonts w:ascii="Tahoma" w:hAnsi="Tahoma" w:cs="Tahoma"/>
                <w:b w:val="0"/>
                <w:color w:val="000000"/>
                <w:sz w:val="14"/>
                <w:szCs w:val="14"/>
              </w:rPr>
            </w:pPr>
            <w:r w:rsidRPr="00D87B79">
              <w:rPr>
                <w:rFonts w:ascii="Tahoma" w:hAnsi="Tahoma" w:cs="Tahoma"/>
                <w:b w:val="0"/>
                <w:sz w:val="14"/>
                <w:lang w:val="it-IT"/>
              </w:rPr>
              <w:lastRenderedPageBreak/>
              <w:t>CAL Suite per Windows Small Business Server 2011 (5 client)</w:t>
            </w:r>
            <w:bookmarkEnd w:id="660"/>
          </w:p>
        </w:tc>
        <w:tc>
          <w:tcPr>
            <w:tcW w:w="450" w:type="dxa"/>
            <w:shd w:val="clear" w:color="auto" w:fill="FFFFFF"/>
            <w:vAlign w:val="center"/>
          </w:tcPr>
          <w:p w:rsidR="00A92422" w:rsidRPr="001E1017" w:rsidRDefault="00A92422" w:rsidP="00EA30FC">
            <w:pPr>
              <w:pStyle w:val="TableText"/>
              <w:widowControl w:val="0"/>
              <w:spacing w:before="40" w:after="20"/>
              <w:rPr>
                <w:rStyle w:val="EndnoteReference"/>
                <w:rFonts w:cs="Tahoma"/>
                <w:b w:val="0"/>
                <w:sz w:val="13"/>
                <w:szCs w:val="13"/>
                <w:u w:val="single"/>
              </w:rPr>
            </w:pPr>
            <w:hyperlink w:anchor="_112_CAL_Suite" w:history="1">
              <w:r w:rsidRPr="001E1017">
                <w:rPr>
                  <w:rStyle w:val="Hyperlink"/>
                  <w:rFonts w:cs="Tahoma"/>
                  <w:b/>
                  <w:sz w:val="13"/>
                  <w:szCs w:val="13"/>
                </w:rPr>
                <w:t>112</w:t>
              </w:r>
            </w:hyperlink>
          </w:p>
        </w:tc>
        <w:tc>
          <w:tcPr>
            <w:tcW w:w="450" w:type="dxa"/>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01/11</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b/>
                <w:color w:val="FF0000"/>
                <w:sz w:val="13"/>
              </w:rPr>
            </w:pPr>
          </w:p>
        </w:tc>
        <w:tc>
          <w:tcPr>
            <w:tcW w:w="450" w:type="dxa"/>
            <w:shd w:val="clear" w:color="auto" w:fill="FFFFFF"/>
            <w:vAlign w:val="center"/>
          </w:tcPr>
          <w:p w:rsidR="00A92422" w:rsidRPr="00D87B79" w:rsidRDefault="00A92422" w:rsidP="00EA30FC">
            <w:pPr>
              <w:pStyle w:val="TableText"/>
              <w:widowControl w:val="0"/>
              <w:spacing w:before="40" w:after="20"/>
              <w:rPr>
                <w:rFonts w:ascii="Tahoma" w:hAnsi="Tahoma" w:cs="Tahoma"/>
                <w:b/>
                <w:color w:val="008000"/>
                <w:sz w:val="13"/>
              </w:rPr>
            </w:pPr>
          </w:p>
        </w:tc>
        <w:tc>
          <w:tcPr>
            <w:tcW w:w="450" w:type="dxa"/>
            <w:shd w:val="clear" w:color="auto" w:fill="FFFFFF"/>
            <w:vAlign w:val="center"/>
          </w:tcPr>
          <w:p w:rsidR="00A92422" w:rsidRPr="00D87B79" w:rsidRDefault="00A92422" w:rsidP="00EA30FC">
            <w:pPr>
              <w:pStyle w:val="TableText"/>
              <w:widowControl w:val="0"/>
              <w:spacing w:before="40" w:after="20"/>
              <w:rPr>
                <w:rFonts w:ascii="Tahoma" w:hAnsi="Tahoma" w:cs="Tahoma"/>
                <w:b/>
                <w:color w:val="008000"/>
                <w:sz w:val="13"/>
              </w:rPr>
            </w:pPr>
          </w:p>
        </w:tc>
        <w:tc>
          <w:tcPr>
            <w:tcW w:w="450" w:type="dxa"/>
            <w:shd w:val="clear" w:color="auto" w:fill="FFFFFF"/>
            <w:vAlign w:val="center"/>
          </w:tcPr>
          <w:p w:rsidR="00A92422" w:rsidRPr="00D87B79" w:rsidRDefault="00A92422" w:rsidP="00EA30FC">
            <w:pPr>
              <w:pStyle w:val="TableText"/>
              <w:widowControl w:val="0"/>
              <w:spacing w:before="40" w:after="20"/>
              <w:rPr>
                <w:rFonts w:ascii="Tahoma" w:hAnsi="Tahoma" w:cs="Tahoma"/>
                <w:b/>
                <w:color w:val="008000"/>
                <w:sz w:val="13"/>
              </w:rPr>
            </w:pPr>
          </w:p>
        </w:tc>
        <w:tc>
          <w:tcPr>
            <w:tcW w:w="450" w:type="dxa"/>
            <w:shd w:val="clear" w:color="auto" w:fill="FFFFFF"/>
            <w:vAlign w:val="center"/>
          </w:tcPr>
          <w:p w:rsidR="00A92422" w:rsidRPr="00D87B79" w:rsidRDefault="00A92422" w:rsidP="00EA30FC">
            <w:pPr>
              <w:pStyle w:val="TableText"/>
              <w:widowControl w:val="0"/>
              <w:spacing w:before="40" w:after="20"/>
              <w:rPr>
                <w:rFonts w:ascii="Tahoma" w:hAnsi="Tahoma" w:cs="Tahoma"/>
                <w:b/>
                <w:color w:val="0000FF"/>
                <w:sz w:val="13"/>
              </w:rPr>
            </w:pPr>
          </w:p>
        </w:tc>
        <w:tc>
          <w:tcPr>
            <w:tcW w:w="450" w:type="dxa"/>
            <w:shd w:val="clear" w:color="auto" w:fill="FFFFFF"/>
            <w:vAlign w:val="center"/>
          </w:tcPr>
          <w:p w:rsidR="00A92422" w:rsidRPr="00D87B79" w:rsidRDefault="00A92422" w:rsidP="00EA30FC">
            <w:pPr>
              <w:pStyle w:val="TableText"/>
              <w:widowControl w:val="0"/>
              <w:spacing w:before="40" w:after="20"/>
              <w:rPr>
                <w:rFonts w:ascii="Tahoma" w:hAnsi="Tahoma" w:cs="Tahoma"/>
                <w:b/>
                <w:color w:val="0000FF"/>
                <w:sz w:val="13"/>
              </w:rPr>
            </w:pP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b/>
                <w:color w:val="0000FF"/>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5</w:t>
            </w:r>
          </w:p>
        </w:tc>
        <w:tc>
          <w:tcPr>
            <w:tcW w:w="450" w:type="dxa"/>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5</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P</w:t>
            </w:r>
          </w:p>
        </w:tc>
        <w:tc>
          <w:tcPr>
            <w:tcW w:w="504" w:type="dxa"/>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A</w:t>
            </w:r>
          </w:p>
        </w:tc>
        <w:tc>
          <w:tcPr>
            <w:tcW w:w="486" w:type="dxa"/>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color w:val="000000"/>
                <w:sz w:val="13"/>
                <w:lang w:val="it-IT"/>
              </w:rPr>
              <w:t>OL/OV</w:t>
            </w:r>
          </w:p>
        </w:tc>
      </w:tr>
      <w:tr w:rsidR="00A92422" w:rsidRPr="00D87B79" w:rsidTr="00EA30FC">
        <w:trPr>
          <w:trHeight w:val="145"/>
        </w:trPr>
        <w:tc>
          <w:tcPr>
            <w:tcW w:w="2714" w:type="dxa"/>
            <w:shd w:val="clear" w:color="auto" w:fill="FABF8F"/>
            <w:vAlign w:val="center"/>
          </w:tcPr>
          <w:p w:rsidR="00A92422" w:rsidRPr="00D87B79" w:rsidRDefault="00A92422" w:rsidP="00EA30FC">
            <w:pPr>
              <w:pStyle w:val="Heading2"/>
              <w:spacing w:before="40" w:after="20"/>
              <w:ind w:left="0"/>
              <w:rPr>
                <w:rFonts w:ascii="Tahoma" w:hAnsi="Tahoma" w:cs="Tahoma"/>
                <w:b w:val="0"/>
                <w:color w:val="000000"/>
                <w:sz w:val="14"/>
                <w:szCs w:val="14"/>
              </w:rPr>
            </w:pPr>
            <w:bookmarkStart w:id="661" w:name="_Toc336338160"/>
            <w:bookmarkStart w:id="662" w:name="_Toc342900211"/>
            <w:bookmarkEnd w:id="661"/>
            <w:r w:rsidRPr="00D87B79">
              <w:rPr>
                <w:rFonts w:ascii="Tahoma" w:hAnsi="Tahoma" w:cs="Tahoma"/>
                <w:b w:val="0"/>
                <w:sz w:val="14"/>
                <w:lang w:val="it-IT"/>
              </w:rPr>
              <w:t>CAL Suite per Windows Small Business Server 2011 (20 client)</w:t>
            </w:r>
            <w:bookmarkEnd w:id="662"/>
          </w:p>
        </w:tc>
        <w:tc>
          <w:tcPr>
            <w:tcW w:w="450" w:type="dxa"/>
            <w:shd w:val="clear" w:color="auto" w:fill="FABF8F"/>
            <w:vAlign w:val="center"/>
          </w:tcPr>
          <w:p w:rsidR="00A92422" w:rsidRPr="001E1017" w:rsidRDefault="00A92422" w:rsidP="00EA30FC">
            <w:pPr>
              <w:pStyle w:val="TableText"/>
              <w:widowControl w:val="0"/>
              <w:spacing w:before="40" w:after="20"/>
              <w:rPr>
                <w:rStyle w:val="EndnoteReference"/>
                <w:rFonts w:cs="Tahoma"/>
                <w:b w:val="0"/>
                <w:sz w:val="13"/>
                <w:szCs w:val="13"/>
                <w:u w:val="single"/>
              </w:rPr>
            </w:pPr>
            <w:hyperlink w:anchor="_112_CAL_Suite" w:history="1">
              <w:r w:rsidRPr="001E1017">
                <w:rPr>
                  <w:rStyle w:val="Hyperlink"/>
                  <w:rFonts w:cs="Tahoma"/>
                  <w:b/>
                  <w:sz w:val="13"/>
                  <w:szCs w:val="13"/>
                </w:rPr>
                <w:t>112</w:t>
              </w:r>
            </w:hyperlink>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01/11</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b/>
                <w:color w:val="FF0000"/>
                <w:sz w:val="13"/>
              </w:rPr>
            </w:pP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b/>
                <w:color w:val="008000"/>
                <w:sz w:val="13"/>
              </w:rPr>
            </w:pP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b/>
                <w:color w:val="008000"/>
                <w:sz w:val="13"/>
              </w:rPr>
            </w:pP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b/>
                <w:color w:val="008000"/>
                <w:sz w:val="13"/>
              </w:rPr>
            </w:pP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b/>
                <w:color w:val="0000FF"/>
                <w:sz w:val="13"/>
              </w:rPr>
            </w:pP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b/>
                <w:color w:val="0000FF"/>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b/>
                <w:color w:val="0000FF"/>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25</w:t>
            </w: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25</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P</w:t>
            </w:r>
          </w:p>
        </w:tc>
        <w:tc>
          <w:tcPr>
            <w:tcW w:w="504"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A</w:t>
            </w:r>
          </w:p>
        </w:tc>
        <w:tc>
          <w:tcPr>
            <w:tcW w:w="486"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color w:val="000000"/>
                <w:sz w:val="13"/>
                <w:lang w:val="it-IT"/>
              </w:rPr>
              <w:t>OL/OV</w:t>
            </w:r>
          </w:p>
        </w:tc>
      </w:tr>
      <w:tr w:rsidR="00A92422" w:rsidRPr="00D87B79" w:rsidTr="00EA30FC">
        <w:trPr>
          <w:trHeight w:val="145"/>
        </w:trPr>
        <w:tc>
          <w:tcPr>
            <w:tcW w:w="2714" w:type="dxa"/>
            <w:shd w:val="clear" w:color="auto" w:fill="FFFFFF"/>
            <w:vAlign w:val="center"/>
          </w:tcPr>
          <w:p w:rsidR="00A92422" w:rsidRPr="00D87B79" w:rsidRDefault="00A92422" w:rsidP="00EA30FC">
            <w:pPr>
              <w:pStyle w:val="Heading2"/>
              <w:spacing w:before="40" w:after="20"/>
              <w:ind w:left="0"/>
              <w:rPr>
                <w:rFonts w:ascii="Tahoma" w:hAnsi="Tahoma" w:cs="Tahoma"/>
                <w:b w:val="0"/>
                <w:sz w:val="14"/>
                <w:szCs w:val="14"/>
              </w:rPr>
            </w:pPr>
            <w:bookmarkStart w:id="663" w:name="_Toc336338161"/>
            <w:bookmarkStart w:id="664" w:name="_Toc342900212"/>
            <w:bookmarkEnd w:id="663"/>
            <w:r w:rsidRPr="00D87B79">
              <w:rPr>
                <w:rFonts w:ascii="Tahoma" w:hAnsi="Tahoma" w:cs="Tahoma"/>
                <w:b w:val="0"/>
                <w:sz w:val="14"/>
                <w:lang w:val="it-IT"/>
              </w:rPr>
              <w:t>Premium Add-on per Windows Small Business Server 2011 (5 client)</w:t>
            </w:r>
            <w:bookmarkEnd w:id="664"/>
          </w:p>
        </w:tc>
        <w:tc>
          <w:tcPr>
            <w:tcW w:w="450" w:type="dxa"/>
            <w:shd w:val="clear" w:color="auto" w:fill="FFFFFF"/>
            <w:vAlign w:val="center"/>
          </w:tcPr>
          <w:p w:rsidR="00A92422" w:rsidRPr="001E1017" w:rsidRDefault="00A92422" w:rsidP="00EA30FC">
            <w:pPr>
              <w:pStyle w:val="TableText"/>
              <w:widowControl w:val="0"/>
              <w:spacing w:before="40" w:after="20"/>
              <w:rPr>
                <w:rStyle w:val="EndnoteReference"/>
                <w:rFonts w:cs="Tahoma"/>
                <w:b w:val="0"/>
                <w:color w:val="0000FF"/>
                <w:sz w:val="13"/>
                <w:szCs w:val="13"/>
                <w:u w:val="single"/>
              </w:rPr>
            </w:pPr>
            <w:hyperlink w:anchor="_113_Premium_Add-on" w:history="1">
              <w:r w:rsidRPr="001E1017">
                <w:rPr>
                  <w:rStyle w:val="Hyperlink"/>
                  <w:rFonts w:cs="Tahoma"/>
                  <w:b/>
                  <w:sz w:val="13"/>
                  <w:szCs w:val="13"/>
                </w:rPr>
                <w:t>113</w:t>
              </w:r>
            </w:hyperlink>
          </w:p>
        </w:tc>
        <w:tc>
          <w:tcPr>
            <w:tcW w:w="450" w:type="dxa"/>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01/11</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b/>
                <w:color w:val="FF0000"/>
                <w:sz w:val="13"/>
              </w:rPr>
            </w:pPr>
          </w:p>
        </w:tc>
        <w:tc>
          <w:tcPr>
            <w:tcW w:w="450" w:type="dxa"/>
            <w:shd w:val="clear" w:color="auto" w:fill="FFFFFF"/>
            <w:vAlign w:val="center"/>
          </w:tcPr>
          <w:p w:rsidR="00A92422" w:rsidRPr="00D87B79" w:rsidRDefault="00A92422" w:rsidP="00EA30FC">
            <w:pPr>
              <w:pStyle w:val="TableText"/>
              <w:widowControl w:val="0"/>
              <w:spacing w:before="40" w:after="20"/>
              <w:rPr>
                <w:rFonts w:ascii="Tahoma" w:hAnsi="Tahoma" w:cs="Tahoma"/>
                <w:b/>
                <w:color w:val="008000"/>
                <w:sz w:val="13"/>
              </w:rPr>
            </w:pPr>
          </w:p>
        </w:tc>
        <w:tc>
          <w:tcPr>
            <w:tcW w:w="450" w:type="dxa"/>
            <w:shd w:val="clear" w:color="auto" w:fill="FFFFFF"/>
            <w:vAlign w:val="center"/>
          </w:tcPr>
          <w:p w:rsidR="00A92422" w:rsidRPr="00D87B79" w:rsidRDefault="00A92422" w:rsidP="00EA30FC">
            <w:pPr>
              <w:pStyle w:val="TableText"/>
              <w:widowControl w:val="0"/>
              <w:spacing w:before="40" w:after="20"/>
              <w:rPr>
                <w:rFonts w:ascii="Tahoma" w:hAnsi="Tahoma" w:cs="Tahoma"/>
                <w:b/>
                <w:color w:val="008000"/>
                <w:sz w:val="13"/>
              </w:rPr>
            </w:pPr>
          </w:p>
        </w:tc>
        <w:tc>
          <w:tcPr>
            <w:tcW w:w="450" w:type="dxa"/>
            <w:shd w:val="clear" w:color="auto" w:fill="FFFFFF"/>
            <w:vAlign w:val="center"/>
          </w:tcPr>
          <w:p w:rsidR="00A92422" w:rsidRPr="00D87B79" w:rsidRDefault="00A92422" w:rsidP="00EA30FC">
            <w:pPr>
              <w:pStyle w:val="TableText"/>
              <w:widowControl w:val="0"/>
              <w:spacing w:before="40" w:after="20"/>
              <w:rPr>
                <w:rFonts w:ascii="Tahoma" w:hAnsi="Tahoma" w:cs="Tahoma"/>
                <w:b/>
                <w:color w:val="008000"/>
                <w:sz w:val="13"/>
              </w:rPr>
            </w:pPr>
          </w:p>
        </w:tc>
        <w:tc>
          <w:tcPr>
            <w:tcW w:w="450" w:type="dxa"/>
            <w:shd w:val="clear" w:color="auto" w:fill="FFFFFF"/>
            <w:vAlign w:val="center"/>
          </w:tcPr>
          <w:p w:rsidR="00A92422" w:rsidRPr="00D87B79" w:rsidRDefault="00A92422" w:rsidP="00EA30FC">
            <w:pPr>
              <w:pStyle w:val="TableText"/>
              <w:widowControl w:val="0"/>
              <w:spacing w:before="40" w:after="20"/>
              <w:rPr>
                <w:rFonts w:ascii="Tahoma" w:hAnsi="Tahoma" w:cs="Tahoma"/>
                <w:b/>
                <w:color w:val="0000FF"/>
                <w:sz w:val="13"/>
              </w:rPr>
            </w:pPr>
          </w:p>
        </w:tc>
        <w:tc>
          <w:tcPr>
            <w:tcW w:w="450" w:type="dxa"/>
            <w:shd w:val="clear" w:color="auto" w:fill="FFFFFF"/>
            <w:vAlign w:val="center"/>
          </w:tcPr>
          <w:p w:rsidR="00A92422" w:rsidRPr="00D87B79" w:rsidRDefault="00A92422" w:rsidP="00EA30FC">
            <w:pPr>
              <w:pStyle w:val="TableText"/>
              <w:widowControl w:val="0"/>
              <w:spacing w:before="40" w:after="20"/>
              <w:rPr>
                <w:rFonts w:ascii="Tahoma" w:hAnsi="Tahoma" w:cs="Tahoma"/>
                <w:b/>
                <w:color w:val="0000FF"/>
                <w:sz w:val="13"/>
              </w:rPr>
            </w:pP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b/>
                <w:color w:val="0000FF"/>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5</w:t>
            </w:r>
          </w:p>
        </w:tc>
        <w:tc>
          <w:tcPr>
            <w:tcW w:w="450" w:type="dxa"/>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5</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P</w:t>
            </w:r>
          </w:p>
        </w:tc>
        <w:tc>
          <w:tcPr>
            <w:tcW w:w="504" w:type="dxa"/>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A</w:t>
            </w:r>
          </w:p>
        </w:tc>
        <w:tc>
          <w:tcPr>
            <w:tcW w:w="486" w:type="dxa"/>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OL/OV</w:t>
            </w:r>
          </w:p>
        </w:tc>
      </w:tr>
      <w:tr w:rsidR="00A92422" w:rsidRPr="00D87B79" w:rsidTr="00EA30FC">
        <w:trPr>
          <w:trHeight w:val="145"/>
        </w:trPr>
        <w:tc>
          <w:tcPr>
            <w:tcW w:w="2714" w:type="dxa"/>
            <w:shd w:val="clear" w:color="auto" w:fill="FABF8F"/>
            <w:vAlign w:val="center"/>
          </w:tcPr>
          <w:p w:rsidR="00A92422" w:rsidRPr="00D87B79" w:rsidRDefault="00A92422" w:rsidP="00EA30FC">
            <w:pPr>
              <w:pStyle w:val="Heading2"/>
              <w:spacing w:before="40" w:after="20"/>
              <w:ind w:left="0"/>
              <w:rPr>
                <w:rFonts w:ascii="Tahoma" w:hAnsi="Tahoma" w:cs="Tahoma"/>
                <w:b w:val="0"/>
                <w:sz w:val="14"/>
                <w:szCs w:val="14"/>
              </w:rPr>
            </w:pPr>
            <w:bookmarkStart w:id="665" w:name="_Toc336338162"/>
            <w:bookmarkStart w:id="666" w:name="_Toc342900213"/>
            <w:bookmarkEnd w:id="665"/>
            <w:r w:rsidRPr="00D87B79">
              <w:rPr>
                <w:rFonts w:ascii="Tahoma" w:hAnsi="Tahoma" w:cs="Tahoma"/>
                <w:b w:val="0"/>
                <w:sz w:val="14"/>
                <w:lang w:val="it-IT"/>
              </w:rPr>
              <w:t>Premium Add-on CAL Suite per Windows Small Business Server 2011</w:t>
            </w:r>
            <w:bookmarkEnd w:id="666"/>
          </w:p>
        </w:tc>
        <w:tc>
          <w:tcPr>
            <w:tcW w:w="450" w:type="dxa"/>
            <w:shd w:val="clear" w:color="auto" w:fill="FABF8F"/>
            <w:vAlign w:val="center"/>
          </w:tcPr>
          <w:p w:rsidR="00A92422" w:rsidRPr="001E1017" w:rsidRDefault="00A92422" w:rsidP="00EA30FC">
            <w:pPr>
              <w:pStyle w:val="TableText"/>
              <w:widowControl w:val="0"/>
              <w:spacing w:before="40" w:after="20"/>
              <w:rPr>
                <w:rFonts w:cs="Tahoma"/>
                <w:b/>
                <w:sz w:val="13"/>
                <w:szCs w:val="13"/>
                <w:u w:val="single"/>
              </w:rPr>
            </w:pPr>
            <w:hyperlink w:anchor="_114_Premium_Add-on" w:history="1">
              <w:r w:rsidRPr="001E1017">
                <w:rPr>
                  <w:rStyle w:val="Hyperlink"/>
                  <w:rFonts w:cs="Tahoma"/>
                  <w:b/>
                  <w:sz w:val="13"/>
                  <w:szCs w:val="13"/>
                </w:rPr>
                <w:t>114</w:t>
              </w:r>
            </w:hyperlink>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01/11</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b/>
                <w:color w:val="FF0000"/>
                <w:sz w:val="13"/>
              </w:rPr>
            </w:pP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b/>
                <w:color w:val="008000"/>
                <w:sz w:val="13"/>
              </w:rPr>
            </w:pP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b/>
                <w:color w:val="008000"/>
                <w:sz w:val="13"/>
              </w:rPr>
            </w:pP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b/>
                <w:color w:val="008000"/>
                <w:sz w:val="13"/>
              </w:rPr>
            </w:pP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b/>
                <w:color w:val="0000FF"/>
                <w:sz w:val="13"/>
              </w:rPr>
            </w:pP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b/>
                <w:color w:val="0000FF"/>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b/>
                <w:color w:val="0000FF"/>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1</w:t>
            </w: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2</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1</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1</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E, P</w:t>
            </w:r>
          </w:p>
        </w:tc>
        <w:tc>
          <w:tcPr>
            <w:tcW w:w="504"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A, ST</w:t>
            </w:r>
          </w:p>
        </w:tc>
        <w:tc>
          <w:tcPr>
            <w:tcW w:w="486"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r>
      <w:tr w:rsidR="00A92422" w:rsidRPr="00D87B79" w:rsidTr="00EA30FC">
        <w:trPr>
          <w:trHeight w:val="145"/>
        </w:trPr>
        <w:tc>
          <w:tcPr>
            <w:tcW w:w="2714" w:type="dxa"/>
            <w:shd w:val="clear" w:color="auto" w:fill="FFFFFF"/>
            <w:vAlign w:val="center"/>
          </w:tcPr>
          <w:p w:rsidR="00A92422" w:rsidRPr="00D87B79" w:rsidRDefault="00A92422" w:rsidP="00EA30FC">
            <w:pPr>
              <w:pStyle w:val="Heading2"/>
              <w:spacing w:before="40" w:after="20"/>
              <w:ind w:left="0"/>
              <w:rPr>
                <w:rFonts w:ascii="Tahoma" w:hAnsi="Tahoma" w:cs="Tahoma"/>
                <w:b w:val="0"/>
                <w:sz w:val="14"/>
                <w:szCs w:val="14"/>
              </w:rPr>
            </w:pPr>
            <w:bookmarkStart w:id="667" w:name="_Toc336338163"/>
            <w:bookmarkStart w:id="668" w:name="_Toc342900214"/>
            <w:bookmarkEnd w:id="667"/>
            <w:r w:rsidRPr="00D87B79">
              <w:rPr>
                <w:rFonts w:ascii="Tahoma" w:hAnsi="Tahoma" w:cs="Tahoma"/>
                <w:b w:val="0"/>
                <w:sz w:val="14"/>
                <w:lang w:val="it-IT"/>
              </w:rPr>
              <w:t>Premium Add-on CAL Suite per Windows Small Business Server 2011 (5 client)</w:t>
            </w:r>
            <w:bookmarkEnd w:id="668"/>
          </w:p>
        </w:tc>
        <w:tc>
          <w:tcPr>
            <w:tcW w:w="450" w:type="dxa"/>
            <w:shd w:val="clear" w:color="auto" w:fill="FFFFFF"/>
            <w:vAlign w:val="center"/>
          </w:tcPr>
          <w:p w:rsidR="00A92422" w:rsidRPr="001E1017" w:rsidRDefault="00A92422" w:rsidP="00EA30FC">
            <w:pPr>
              <w:pStyle w:val="TableText"/>
              <w:widowControl w:val="0"/>
              <w:spacing w:before="40" w:after="20"/>
              <w:rPr>
                <w:rFonts w:cs="Tahoma"/>
                <w:b/>
                <w:sz w:val="13"/>
                <w:szCs w:val="13"/>
                <w:u w:val="single"/>
              </w:rPr>
            </w:pPr>
            <w:hyperlink w:anchor="_115_Windows_Small" w:history="1">
              <w:r w:rsidRPr="001E1017">
                <w:rPr>
                  <w:rStyle w:val="Hyperlink"/>
                  <w:rFonts w:cs="Tahoma"/>
                  <w:b/>
                  <w:sz w:val="13"/>
                  <w:szCs w:val="13"/>
                </w:rPr>
                <w:t>115</w:t>
              </w:r>
            </w:hyperlink>
          </w:p>
        </w:tc>
        <w:tc>
          <w:tcPr>
            <w:tcW w:w="450" w:type="dxa"/>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01/11</w:t>
            </w: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b/>
                <w:color w:val="FF0000"/>
                <w:sz w:val="13"/>
              </w:rPr>
            </w:pPr>
          </w:p>
        </w:tc>
        <w:tc>
          <w:tcPr>
            <w:tcW w:w="450" w:type="dxa"/>
            <w:shd w:val="clear" w:color="auto" w:fill="FFFFFF"/>
            <w:vAlign w:val="center"/>
          </w:tcPr>
          <w:p w:rsidR="00A92422" w:rsidRPr="00D87B79" w:rsidRDefault="00A92422" w:rsidP="00EA30FC">
            <w:pPr>
              <w:pStyle w:val="TableText"/>
              <w:widowControl w:val="0"/>
              <w:spacing w:before="40" w:after="20"/>
              <w:rPr>
                <w:rFonts w:ascii="Tahoma" w:hAnsi="Tahoma" w:cs="Tahoma"/>
                <w:b/>
                <w:color w:val="008000"/>
                <w:sz w:val="13"/>
              </w:rPr>
            </w:pPr>
          </w:p>
        </w:tc>
        <w:tc>
          <w:tcPr>
            <w:tcW w:w="450" w:type="dxa"/>
            <w:shd w:val="clear" w:color="auto" w:fill="FFFFFF"/>
            <w:vAlign w:val="center"/>
          </w:tcPr>
          <w:p w:rsidR="00A92422" w:rsidRPr="00D87B79" w:rsidRDefault="00A92422" w:rsidP="00EA30FC">
            <w:pPr>
              <w:pStyle w:val="TableText"/>
              <w:widowControl w:val="0"/>
              <w:spacing w:before="40" w:after="20"/>
              <w:rPr>
                <w:rFonts w:ascii="Tahoma" w:hAnsi="Tahoma" w:cs="Tahoma"/>
                <w:b/>
                <w:color w:val="008000"/>
                <w:sz w:val="13"/>
              </w:rPr>
            </w:pPr>
          </w:p>
        </w:tc>
        <w:tc>
          <w:tcPr>
            <w:tcW w:w="450" w:type="dxa"/>
            <w:shd w:val="clear" w:color="auto" w:fill="FFFFFF"/>
            <w:vAlign w:val="center"/>
          </w:tcPr>
          <w:p w:rsidR="00A92422" w:rsidRPr="00D87B79" w:rsidRDefault="00A92422" w:rsidP="00EA30FC">
            <w:pPr>
              <w:pStyle w:val="TableText"/>
              <w:widowControl w:val="0"/>
              <w:spacing w:before="40" w:after="20"/>
              <w:rPr>
                <w:rFonts w:ascii="Tahoma" w:hAnsi="Tahoma" w:cs="Tahoma"/>
                <w:b/>
                <w:color w:val="008000"/>
                <w:sz w:val="13"/>
              </w:rPr>
            </w:pPr>
          </w:p>
        </w:tc>
        <w:tc>
          <w:tcPr>
            <w:tcW w:w="450" w:type="dxa"/>
            <w:shd w:val="clear" w:color="auto" w:fill="FFFFFF"/>
            <w:vAlign w:val="center"/>
          </w:tcPr>
          <w:p w:rsidR="00A92422" w:rsidRPr="00D87B79" w:rsidRDefault="00A92422" w:rsidP="00EA30FC">
            <w:pPr>
              <w:pStyle w:val="TableText"/>
              <w:widowControl w:val="0"/>
              <w:spacing w:before="40" w:after="20"/>
              <w:rPr>
                <w:rFonts w:ascii="Tahoma" w:hAnsi="Tahoma" w:cs="Tahoma"/>
                <w:b/>
                <w:color w:val="0000FF"/>
                <w:sz w:val="13"/>
              </w:rPr>
            </w:pPr>
          </w:p>
        </w:tc>
        <w:tc>
          <w:tcPr>
            <w:tcW w:w="450" w:type="dxa"/>
            <w:shd w:val="clear" w:color="auto" w:fill="FFFFFF"/>
            <w:vAlign w:val="center"/>
          </w:tcPr>
          <w:p w:rsidR="00A92422" w:rsidRPr="00D87B79" w:rsidRDefault="00A92422" w:rsidP="00EA30FC">
            <w:pPr>
              <w:pStyle w:val="TableText"/>
              <w:widowControl w:val="0"/>
              <w:spacing w:before="40" w:after="20"/>
              <w:rPr>
                <w:rFonts w:ascii="Tahoma" w:hAnsi="Tahoma" w:cs="Tahoma"/>
                <w:b/>
                <w:color w:val="0000FF"/>
                <w:sz w:val="13"/>
              </w:rPr>
            </w:pPr>
          </w:p>
        </w:tc>
        <w:tc>
          <w:tcPr>
            <w:tcW w:w="360" w:type="dxa"/>
            <w:tcBorders>
              <w:righ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b/>
                <w:color w:val="0000FF"/>
                <w:sz w:val="13"/>
              </w:rPr>
            </w:pP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5</w:t>
            </w:r>
          </w:p>
        </w:tc>
        <w:tc>
          <w:tcPr>
            <w:tcW w:w="450" w:type="dxa"/>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10</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5</w:t>
            </w:r>
          </w:p>
        </w:tc>
        <w:tc>
          <w:tcPr>
            <w:tcW w:w="450" w:type="dxa"/>
            <w:tcBorders>
              <w:lef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5</w:t>
            </w:r>
          </w:p>
        </w:tc>
        <w:tc>
          <w:tcPr>
            <w:tcW w:w="450" w:type="dxa"/>
            <w:tcBorders>
              <w:righ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P</w:t>
            </w:r>
          </w:p>
        </w:tc>
        <w:tc>
          <w:tcPr>
            <w:tcW w:w="504" w:type="dxa"/>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A</w:t>
            </w:r>
          </w:p>
        </w:tc>
        <w:tc>
          <w:tcPr>
            <w:tcW w:w="486" w:type="dxa"/>
            <w:shd w:val="clear" w:color="auto" w:fill="FFFFF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OL/OV</w:t>
            </w:r>
          </w:p>
        </w:tc>
      </w:tr>
      <w:tr w:rsidR="00A92422" w:rsidRPr="00D87B79" w:rsidTr="00EA30FC">
        <w:trPr>
          <w:trHeight w:val="440"/>
        </w:trPr>
        <w:tc>
          <w:tcPr>
            <w:tcW w:w="2714" w:type="dxa"/>
            <w:shd w:val="clear" w:color="auto" w:fill="FABF8F"/>
            <w:vAlign w:val="center"/>
          </w:tcPr>
          <w:p w:rsidR="00A92422" w:rsidRPr="00D87B79" w:rsidRDefault="00A92422" w:rsidP="00EA30FC">
            <w:pPr>
              <w:pStyle w:val="Heading2"/>
              <w:spacing w:before="40" w:after="20"/>
              <w:ind w:left="0"/>
              <w:rPr>
                <w:rFonts w:ascii="Tahoma" w:hAnsi="Tahoma" w:cs="Tahoma"/>
                <w:b w:val="0"/>
                <w:sz w:val="14"/>
                <w:szCs w:val="14"/>
              </w:rPr>
            </w:pPr>
            <w:bookmarkStart w:id="669" w:name="_Toc336338164"/>
            <w:bookmarkStart w:id="670" w:name="_Toc342900215"/>
            <w:bookmarkEnd w:id="669"/>
            <w:r w:rsidRPr="00D87B79">
              <w:rPr>
                <w:rFonts w:ascii="Tahoma" w:hAnsi="Tahoma" w:cs="Tahoma"/>
                <w:b w:val="0"/>
                <w:sz w:val="14"/>
                <w:lang w:val="it-IT"/>
              </w:rPr>
              <w:t>Premium Add-on CAL Suite per Windows Small Business Server 2011 (20 client)</w:t>
            </w:r>
            <w:bookmarkEnd w:id="670"/>
          </w:p>
        </w:tc>
        <w:tc>
          <w:tcPr>
            <w:tcW w:w="450" w:type="dxa"/>
            <w:shd w:val="clear" w:color="auto" w:fill="FABF8F"/>
            <w:vAlign w:val="center"/>
          </w:tcPr>
          <w:p w:rsidR="00A92422" w:rsidRPr="001E1017" w:rsidRDefault="00A92422" w:rsidP="00EA30FC">
            <w:pPr>
              <w:pStyle w:val="TableText"/>
              <w:widowControl w:val="0"/>
              <w:spacing w:before="40" w:after="20"/>
              <w:rPr>
                <w:rFonts w:cs="Tahoma"/>
                <w:b/>
                <w:sz w:val="13"/>
                <w:szCs w:val="13"/>
                <w:u w:val="single"/>
              </w:rPr>
            </w:pPr>
            <w:hyperlink w:anchor="_124_Windows_Small" w:history="1">
              <w:r w:rsidRPr="001E1017">
                <w:rPr>
                  <w:rStyle w:val="Hyperlink"/>
                  <w:rFonts w:cs="Tahoma"/>
                  <w:b/>
                  <w:sz w:val="13"/>
                  <w:szCs w:val="13"/>
                </w:rPr>
                <w:t>114</w:t>
              </w:r>
            </w:hyperlink>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01/11</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b/>
                <w:color w:val="FF0000"/>
                <w:sz w:val="13"/>
              </w:rPr>
            </w:pP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b/>
                <w:color w:val="008000"/>
                <w:sz w:val="13"/>
              </w:rPr>
            </w:pP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b/>
                <w:color w:val="008000"/>
                <w:sz w:val="13"/>
              </w:rPr>
            </w:pP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b/>
                <w:color w:val="008000"/>
                <w:sz w:val="13"/>
              </w:rPr>
            </w:pP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b/>
                <w:color w:val="0000FF"/>
                <w:sz w:val="13"/>
              </w:rPr>
            </w:pP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b/>
                <w:color w:val="0000FF"/>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b/>
                <w:color w:val="0000FF"/>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25</w:t>
            </w: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50</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25</w:t>
            </w: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25</w:t>
            </w: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P</w:t>
            </w:r>
          </w:p>
        </w:tc>
        <w:tc>
          <w:tcPr>
            <w:tcW w:w="504"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A</w:t>
            </w:r>
          </w:p>
        </w:tc>
        <w:tc>
          <w:tcPr>
            <w:tcW w:w="486"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color w:val="000000"/>
                <w:sz w:val="13"/>
                <w:lang w:val="it-IT"/>
              </w:rPr>
              <w:t>OL/OV</w:t>
            </w:r>
          </w:p>
        </w:tc>
      </w:tr>
      <w:tr w:rsidR="00A92422" w:rsidRPr="00D87B79" w:rsidTr="00EA30FC">
        <w:trPr>
          <w:trHeight w:val="273"/>
        </w:trPr>
        <w:tc>
          <w:tcPr>
            <w:tcW w:w="2714" w:type="dxa"/>
            <w:vAlign w:val="center"/>
          </w:tcPr>
          <w:p w:rsidR="00A92422" w:rsidRPr="00D87B79" w:rsidRDefault="00A92422" w:rsidP="00EA30FC">
            <w:pPr>
              <w:pStyle w:val="Heading2"/>
              <w:spacing w:before="40" w:after="20"/>
              <w:ind w:left="0"/>
              <w:rPr>
                <w:rFonts w:ascii="Tahoma" w:hAnsi="Tahoma" w:cs="Tahoma"/>
                <w:b w:val="0"/>
                <w:sz w:val="14"/>
                <w:szCs w:val="14"/>
              </w:rPr>
            </w:pPr>
            <w:bookmarkStart w:id="671" w:name="_Toc336338165"/>
            <w:bookmarkStart w:id="672" w:name="_Toc342900216"/>
            <w:bookmarkEnd w:id="671"/>
            <w:r w:rsidRPr="00D87B79">
              <w:rPr>
                <w:rFonts w:ascii="Tahoma" w:hAnsi="Tahoma" w:cs="Tahoma"/>
                <w:b w:val="0"/>
                <w:sz w:val="14"/>
                <w:lang w:val="it-IT"/>
              </w:rPr>
              <w:t>Microsoft Windows Server Essentials 2012</w:t>
            </w:r>
            <w:bookmarkEnd w:id="672"/>
          </w:p>
        </w:tc>
        <w:tc>
          <w:tcPr>
            <w:tcW w:w="450" w:type="dxa"/>
            <w:vAlign w:val="center"/>
          </w:tcPr>
          <w:p w:rsidR="00A92422" w:rsidRPr="001E1017" w:rsidRDefault="00A92422" w:rsidP="00EA30FC">
            <w:pPr>
              <w:pStyle w:val="TableText"/>
              <w:widowControl w:val="0"/>
              <w:spacing w:before="40" w:after="20"/>
              <w:rPr>
                <w:rFonts w:cs="Tahoma"/>
                <w:b/>
                <w:sz w:val="13"/>
                <w:szCs w:val="13"/>
                <w:u w:val="single"/>
              </w:rPr>
            </w:pPr>
          </w:p>
        </w:tc>
        <w:tc>
          <w:tcPr>
            <w:tcW w:w="450" w:type="dxa"/>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11/12</w:t>
            </w:r>
          </w:p>
        </w:tc>
        <w:tc>
          <w:tcPr>
            <w:tcW w:w="360" w:type="dxa"/>
            <w:tcBorders>
              <w:right w:val="single" w:sz="18" w:space="0" w:color="auto"/>
            </w:tcBorders>
            <w:vAlign w:val="center"/>
          </w:tcPr>
          <w:p w:rsidR="00A92422" w:rsidRPr="00D87B79" w:rsidRDefault="00A92422" w:rsidP="00EA30FC">
            <w:pPr>
              <w:pStyle w:val="TableText"/>
              <w:widowControl w:val="0"/>
              <w:spacing w:before="40" w:after="20"/>
              <w:rPr>
                <w:rFonts w:ascii="Tahoma" w:hAnsi="Tahoma" w:cs="Tahoma"/>
                <w:sz w:val="13"/>
              </w:rPr>
            </w:pPr>
          </w:p>
        </w:tc>
        <w:tc>
          <w:tcPr>
            <w:tcW w:w="360" w:type="dxa"/>
            <w:tcBorders>
              <w:left w:val="single" w:sz="18" w:space="0" w:color="auto"/>
            </w:tcBorders>
            <w:vAlign w:val="center"/>
          </w:tcPr>
          <w:p w:rsidR="00A92422" w:rsidRPr="00D87B79" w:rsidRDefault="00A92422" w:rsidP="00EA30FC">
            <w:pPr>
              <w:pStyle w:val="TableText"/>
              <w:widowControl w:val="0"/>
              <w:spacing w:before="40" w:after="20"/>
              <w:rPr>
                <w:rFonts w:ascii="Tahoma" w:hAnsi="Tahoma" w:cs="Tahoma"/>
                <w:b/>
                <w:color w:val="FF0000"/>
                <w:sz w:val="13"/>
              </w:rPr>
            </w:pPr>
          </w:p>
        </w:tc>
        <w:tc>
          <w:tcPr>
            <w:tcW w:w="450" w:type="dxa"/>
            <w:vAlign w:val="center"/>
          </w:tcPr>
          <w:p w:rsidR="00A92422" w:rsidRPr="00D87B79" w:rsidRDefault="00A92422" w:rsidP="00EA30FC">
            <w:pPr>
              <w:pStyle w:val="TableText"/>
              <w:widowControl w:val="0"/>
              <w:spacing w:before="40" w:after="20"/>
              <w:rPr>
                <w:rFonts w:ascii="Tahoma" w:hAnsi="Tahoma" w:cs="Tahoma"/>
                <w:b/>
                <w:color w:val="008000"/>
                <w:sz w:val="13"/>
              </w:rPr>
            </w:pPr>
          </w:p>
        </w:tc>
        <w:tc>
          <w:tcPr>
            <w:tcW w:w="450" w:type="dxa"/>
            <w:vAlign w:val="center"/>
          </w:tcPr>
          <w:p w:rsidR="00A92422" w:rsidRPr="00D87B79" w:rsidRDefault="00A92422" w:rsidP="00EA30FC">
            <w:pPr>
              <w:pStyle w:val="TableText"/>
              <w:widowControl w:val="0"/>
              <w:spacing w:before="40" w:after="20"/>
              <w:rPr>
                <w:rFonts w:ascii="Tahoma" w:hAnsi="Tahoma" w:cs="Tahoma"/>
                <w:b/>
                <w:color w:val="008000"/>
                <w:sz w:val="13"/>
              </w:rPr>
            </w:pPr>
          </w:p>
        </w:tc>
        <w:tc>
          <w:tcPr>
            <w:tcW w:w="450" w:type="dxa"/>
            <w:vAlign w:val="center"/>
          </w:tcPr>
          <w:p w:rsidR="00A92422" w:rsidRPr="00D87B79" w:rsidRDefault="00A92422" w:rsidP="00EA30FC">
            <w:pPr>
              <w:pStyle w:val="TableText"/>
              <w:widowControl w:val="0"/>
              <w:spacing w:before="40" w:after="20"/>
              <w:rPr>
                <w:rFonts w:ascii="Tahoma" w:hAnsi="Tahoma" w:cs="Tahoma"/>
                <w:b/>
                <w:color w:val="008000"/>
                <w:sz w:val="13"/>
              </w:rPr>
            </w:pPr>
          </w:p>
        </w:tc>
        <w:tc>
          <w:tcPr>
            <w:tcW w:w="450" w:type="dxa"/>
            <w:vAlign w:val="center"/>
          </w:tcPr>
          <w:p w:rsidR="00A92422" w:rsidRPr="00D87B79" w:rsidRDefault="00A92422" w:rsidP="00EA30FC">
            <w:pPr>
              <w:pStyle w:val="TableText"/>
              <w:widowControl w:val="0"/>
              <w:spacing w:before="40" w:after="20"/>
              <w:rPr>
                <w:rFonts w:ascii="Tahoma" w:hAnsi="Tahoma" w:cs="Tahoma"/>
                <w:b/>
                <w:color w:val="0000FF"/>
                <w:sz w:val="13"/>
              </w:rPr>
            </w:pPr>
          </w:p>
        </w:tc>
        <w:tc>
          <w:tcPr>
            <w:tcW w:w="450" w:type="dxa"/>
            <w:vAlign w:val="center"/>
          </w:tcPr>
          <w:p w:rsidR="00A92422" w:rsidRPr="00D87B79" w:rsidRDefault="00A92422" w:rsidP="00EA30FC">
            <w:pPr>
              <w:pStyle w:val="TableText"/>
              <w:widowControl w:val="0"/>
              <w:spacing w:before="40" w:after="20"/>
              <w:rPr>
                <w:rFonts w:ascii="Tahoma" w:hAnsi="Tahoma" w:cs="Tahoma"/>
                <w:b/>
                <w:color w:val="0000FF"/>
                <w:sz w:val="13"/>
              </w:rPr>
            </w:pPr>
          </w:p>
        </w:tc>
        <w:tc>
          <w:tcPr>
            <w:tcW w:w="360" w:type="dxa"/>
            <w:tcBorders>
              <w:right w:val="single" w:sz="18" w:space="0" w:color="auto"/>
            </w:tcBorders>
            <w:vAlign w:val="center"/>
          </w:tcPr>
          <w:p w:rsidR="00A92422" w:rsidRPr="00D87B79" w:rsidRDefault="00A92422" w:rsidP="00EA30FC">
            <w:pPr>
              <w:pStyle w:val="TableText"/>
              <w:widowControl w:val="0"/>
              <w:spacing w:before="40" w:after="20"/>
              <w:rPr>
                <w:rFonts w:ascii="Tahoma" w:hAnsi="Tahoma" w:cs="Tahoma"/>
                <w:b/>
                <w:color w:val="0000FF"/>
                <w:sz w:val="13"/>
              </w:rPr>
            </w:pPr>
          </w:p>
        </w:tc>
        <w:tc>
          <w:tcPr>
            <w:tcW w:w="450" w:type="dxa"/>
            <w:tcBorders>
              <w:left w:val="single" w:sz="18" w:space="0" w:color="auto"/>
            </w:tcBorders>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5</w:t>
            </w:r>
          </w:p>
        </w:tc>
        <w:tc>
          <w:tcPr>
            <w:tcW w:w="450" w:type="dxa"/>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10</w:t>
            </w:r>
          </w:p>
        </w:tc>
        <w:tc>
          <w:tcPr>
            <w:tcW w:w="450" w:type="dxa"/>
            <w:tcBorders>
              <w:right w:val="single" w:sz="18" w:space="0" w:color="auto"/>
            </w:tcBorders>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5</w:t>
            </w:r>
          </w:p>
        </w:tc>
        <w:tc>
          <w:tcPr>
            <w:tcW w:w="450" w:type="dxa"/>
            <w:tcBorders>
              <w:left w:val="single" w:sz="18" w:space="0" w:color="auto"/>
            </w:tcBorders>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5</w:t>
            </w:r>
          </w:p>
        </w:tc>
        <w:tc>
          <w:tcPr>
            <w:tcW w:w="450" w:type="dxa"/>
            <w:tcBorders>
              <w:right w:val="single" w:sz="18" w:space="0" w:color="auto"/>
            </w:tcBorders>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tcBorders>
              <w:left w:val="single" w:sz="18" w:space="0" w:color="auto"/>
              <w:right w:val="single" w:sz="18" w:space="0" w:color="auto"/>
            </w:tcBorders>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P</w:t>
            </w:r>
          </w:p>
        </w:tc>
        <w:tc>
          <w:tcPr>
            <w:tcW w:w="504" w:type="dxa"/>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A</w:t>
            </w:r>
          </w:p>
        </w:tc>
        <w:tc>
          <w:tcPr>
            <w:tcW w:w="486" w:type="dxa"/>
            <w:vAlign w:val="center"/>
          </w:tcPr>
          <w:p w:rsidR="00A92422" w:rsidRPr="00D87B79" w:rsidRDefault="00A92422" w:rsidP="00EA30FC">
            <w:pPr>
              <w:pStyle w:val="TableText"/>
              <w:widowControl w:val="0"/>
              <w:spacing w:before="40" w:after="20"/>
              <w:rPr>
                <w:rFonts w:ascii="Tahoma" w:hAnsi="Tahoma" w:cs="Tahoma"/>
                <w:color w:val="000000"/>
                <w:sz w:val="13"/>
              </w:rPr>
            </w:pPr>
          </w:p>
        </w:tc>
      </w:tr>
      <w:tr w:rsidR="00A92422" w:rsidRPr="00D87B79" w:rsidTr="00EA30FC">
        <w:trPr>
          <w:trHeight w:val="145"/>
        </w:trPr>
        <w:tc>
          <w:tcPr>
            <w:tcW w:w="2714" w:type="dxa"/>
            <w:shd w:val="clear" w:color="auto" w:fill="FABF8F"/>
            <w:vAlign w:val="center"/>
          </w:tcPr>
          <w:p w:rsidR="00A92422" w:rsidRPr="00D87B79" w:rsidRDefault="00A92422" w:rsidP="00EA30FC">
            <w:pPr>
              <w:pStyle w:val="Heading2"/>
              <w:spacing w:before="40" w:after="20"/>
              <w:ind w:left="0"/>
              <w:rPr>
                <w:rFonts w:ascii="Tahoma" w:hAnsi="Tahoma" w:cs="Tahoma"/>
                <w:b w:val="0"/>
                <w:sz w:val="14"/>
                <w:szCs w:val="14"/>
              </w:rPr>
            </w:pPr>
            <w:bookmarkStart w:id="673" w:name="_Toc336338166"/>
            <w:bookmarkStart w:id="674" w:name="_Toc342900217"/>
            <w:bookmarkEnd w:id="673"/>
            <w:r w:rsidRPr="00D87B79">
              <w:rPr>
                <w:rFonts w:ascii="Tahoma" w:hAnsi="Tahoma" w:cs="Tahoma"/>
                <w:b w:val="0"/>
                <w:sz w:val="14"/>
                <w:lang w:val="it-IT"/>
              </w:rPr>
              <w:t>Windows Small Business Server 2011 Essentials</w:t>
            </w:r>
            <w:bookmarkEnd w:id="674"/>
          </w:p>
        </w:tc>
        <w:tc>
          <w:tcPr>
            <w:tcW w:w="450" w:type="dxa"/>
            <w:shd w:val="clear" w:color="auto" w:fill="FABF8F"/>
            <w:vAlign w:val="center"/>
          </w:tcPr>
          <w:p w:rsidR="00A92422" w:rsidRPr="001E1017" w:rsidRDefault="00A92422" w:rsidP="00EA30FC">
            <w:pPr>
              <w:pStyle w:val="TableText"/>
              <w:widowControl w:val="0"/>
              <w:spacing w:before="40" w:after="20"/>
              <w:rPr>
                <w:rFonts w:cs="Tahoma"/>
                <w:b/>
                <w:sz w:val="13"/>
                <w:szCs w:val="13"/>
                <w:u w:val="single"/>
              </w:rPr>
            </w:pPr>
            <w:hyperlink w:anchor="_124_Windows_Small_1" w:history="1">
              <w:r w:rsidRPr="001E1017">
                <w:rPr>
                  <w:rStyle w:val="Hyperlink"/>
                  <w:rFonts w:cs="Tahoma"/>
                  <w:b/>
                  <w:sz w:val="13"/>
                  <w:szCs w:val="13"/>
                </w:rPr>
                <w:t>115</w:t>
              </w:r>
            </w:hyperlink>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rPr>
              <w:t>05/11</w:t>
            </w: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r w:rsidRPr="00D87B79">
              <w:rPr>
                <w:rFonts w:ascii="Tahoma" w:hAnsi="Tahoma" w:cs="Tahoma"/>
                <w:sz w:val="13"/>
                <w:lang w:val="it-IT"/>
              </w:rPr>
              <w:t>SRV</w:t>
            </w:r>
          </w:p>
        </w:tc>
        <w:tc>
          <w:tcPr>
            <w:tcW w:w="360" w:type="dxa"/>
            <w:tcBorders>
              <w:lef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color w:val="000000"/>
                <w:sz w:val="13"/>
              </w:rPr>
            </w:pP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color w:val="000000"/>
                <w:sz w:val="13"/>
              </w:rPr>
            </w:pP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color w:val="000000"/>
                <w:sz w:val="13"/>
              </w:rPr>
            </w:pP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color w:val="000000"/>
                <w:sz w:val="13"/>
              </w:rPr>
            </w:pP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color w:val="000000"/>
                <w:sz w:val="13"/>
              </w:rPr>
            </w:pP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color w:val="000000"/>
                <w:sz w:val="13"/>
              </w:rPr>
            </w:pPr>
          </w:p>
        </w:tc>
        <w:tc>
          <w:tcPr>
            <w:tcW w:w="360" w:type="dxa"/>
            <w:tcBorders>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color w:val="000000"/>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color w:val="000000"/>
                <w:sz w:val="13"/>
              </w:rPr>
            </w:pPr>
          </w:p>
        </w:tc>
        <w:tc>
          <w:tcPr>
            <w:tcW w:w="450"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tcBorders>
              <w:lef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tcBorders>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504" w:type="dxa"/>
            <w:shd w:val="clear" w:color="auto" w:fill="FABF8F"/>
            <w:vAlign w:val="center"/>
          </w:tcPr>
          <w:p w:rsidR="00A92422" w:rsidRPr="00D87B79" w:rsidRDefault="00A92422" w:rsidP="00EA30FC">
            <w:pPr>
              <w:pStyle w:val="TableText"/>
              <w:widowControl w:val="0"/>
              <w:spacing w:before="40" w:after="20"/>
              <w:rPr>
                <w:rFonts w:ascii="Tahoma" w:hAnsi="Tahoma" w:cs="Tahoma"/>
                <w:sz w:val="13"/>
              </w:rPr>
            </w:pPr>
          </w:p>
        </w:tc>
        <w:tc>
          <w:tcPr>
            <w:tcW w:w="486" w:type="dxa"/>
            <w:shd w:val="clear" w:color="auto" w:fill="FABF8F"/>
            <w:vAlign w:val="center"/>
          </w:tcPr>
          <w:p w:rsidR="00A92422" w:rsidRPr="00D87B79" w:rsidRDefault="00A92422" w:rsidP="00EA30FC">
            <w:pPr>
              <w:pStyle w:val="TableText"/>
              <w:widowControl w:val="0"/>
              <w:spacing w:before="40" w:after="20"/>
              <w:rPr>
                <w:rFonts w:ascii="Tahoma" w:hAnsi="Tahoma" w:cs="Tahoma"/>
                <w:color w:val="000000"/>
                <w:sz w:val="13"/>
              </w:rPr>
            </w:pPr>
          </w:p>
        </w:tc>
      </w:tr>
    </w:tbl>
    <w:p w:rsidR="00A92422" w:rsidRPr="00D87B79" w:rsidRDefault="00A92422" w:rsidP="00A92422">
      <w:pPr>
        <w:pStyle w:val="Heading1"/>
      </w:pPr>
      <w:bookmarkStart w:id="675" w:name="_Toc342900218"/>
      <w:r>
        <w:rPr>
          <w:noProof/>
          <w:lang w:val="en-US"/>
        </w:rPr>
        <mc:AlternateContent>
          <mc:Choice Requires="wps">
            <w:drawing>
              <wp:anchor distT="0" distB="0" distL="114300" distR="114300" simplePos="0" relativeHeight="251660288" behindDoc="0" locked="0" layoutInCell="1" allowOverlap="1" wp14:anchorId="28D7FD69" wp14:editId="01217E63">
                <wp:simplePos x="0" y="0"/>
                <wp:positionH relativeFrom="column">
                  <wp:posOffset>-332105</wp:posOffset>
                </wp:positionH>
                <wp:positionV relativeFrom="paragraph">
                  <wp:posOffset>18415</wp:posOffset>
                </wp:positionV>
                <wp:extent cx="6547485" cy="504190"/>
                <wp:effectExtent l="0" t="0" r="0" b="0"/>
                <wp:wrapNone/>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92422" w:rsidRDefault="00A92422" w:rsidP="00A92422">
                            <w:pPr>
                              <w:rPr>
                                <w:rFonts w:cs="Tahoma"/>
                                <w:i/>
                                <w:color w:val="000000"/>
                                <w:sz w:val="14"/>
                                <w:szCs w:val="14"/>
                              </w:rPr>
                            </w:pPr>
                            <w:r w:rsidRPr="00C45706">
                              <w:rPr>
                                <w:rFonts w:cs="Tahoma"/>
                                <w:bCs/>
                                <w:i/>
                                <w:sz w:val="14"/>
                                <w:szCs w:val="14"/>
                                <w:lang w:val="it-IT"/>
                              </w:rPr>
                              <w:t>Nota:</w:t>
                            </w:r>
                            <w:r>
                              <w:rPr>
                                <w:rFonts w:cs="Tahoma"/>
                                <w:i/>
                                <w:color w:val="000000"/>
                                <w:sz w:val="14"/>
                                <w:szCs w:val="14"/>
                              </w:rPr>
                              <w:t xml:space="preserve"> </w:t>
                            </w:r>
                            <w:r>
                              <w:rPr>
                                <w:rFonts w:cs="Tahoma"/>
                                <w:i/>
                                <w:color w:val="000000"/>
                                <w:sz w:val="14"/>
                                <w:szCs w:val="14"/>
                                <w:lang w:val="it-IT"/>
                              </w:rPr>
                              <w:t>se la cella del prodotto è vuota significa che il prodotto non è attualmente offerto nel programma.</w:t>
                            </w:r>
                          </w:p>
                          <w:p w:rsidR="00A92422" w:rsidRDefault="00A92422" w:rsidP="00A92422">
                            <w:pPr>
                              <w:rPr>
                                <w:rFonts w:cs="Tahoma"/>
                                <w:i/>
                                <w:color w:val="000000"/>
                                <w:sz w:val="14"/>
                                <w:szCs w:val="14"/>
                              </w:rPr>
                            </w:pPr>
                            <w:r>
                              <w:rPr>
                                <w:rFonts w:cs="Tahoma"/>
                                <w:i/>
                                <w:color w:val="000000"/>
                                <w:sz w:val="14"/>
                                <w:szCs w:val="14"/>
                                <w:lang w:val="it-IT"/>
                              </w:rPr>
                              <w:t>*Per quanto riguarda Select Plus verranno utilizzati solo i valori "L" e tre anni per "L&amp;SA" / "SA".</w:t>
                            </w:r>
                          </w:p>
                          <w:p w:rsidR="00A92422" w:rsidRDefault="00A92422" w:rsidP="00A9242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29" type="#_x0000_t202" style="position:absolute;margin-left:-26.15pt;margin-top:1.45pt;width:515.55pt;height:39.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" filled="f" stroked="f">
                <v:textbox>
                  <w:txbxContent>
                    <w:p w:rsidR="00A92422" w:rsidRDefault="00A92422" w:rsidP="00A92422">
                      <w:pPr>
                        <w:rPr>
                          <w:rFonts w:cs="Tahoma"/>
                          <w:i/>
                          <w:color w:val="000000"/>
                          <w:sz w:val="14"/>
                          <w:szCs w:val="14"/>
                        </w:rPr>
                      </w:pPr>
                      <w:r w:rsidRPr="00C45706">
                        <w:rPr>
                          <w:rFonts w:cs="Tahoma"/>
                          <w:bCs/>
                          <w:i/>
                          <w:sz w:val="14"/>
                          <w:szCs w:val="14"/>
                          <w:lang w:val="it-IT"/>
                        </w:rPr>
                        <w:t>Nota:</w:t>
                      </w:r>
                      <w:r>
                        <w:rPr>
                          <w:rFonts w:cs="Tahoma"/>
                          <w:i/>
                          <w:color w:val="000000"/>
                          <w:sz w:val="14"/>
                          <w:szCs w:val="14"/>
                        </w:rPr>
                        <w:t xml:space="preserve"> </w:t>
                      </w:r>
                      <w:r>
                        <w:rPr>
                          <w:rFonts w:cs="Tahoma"/>
                          <w:i/>
                          <w:color w:val="000000"/>
                          <w:sz w:val="14"/>
                          <w:szCs w:val="14"/>
                          <w:lang w:val="it-IT"/>
                        </w:rPr>
                        <w:t>se la cella del prodotto è vuota significa che il prodotto non è attualmente offerto nel programma.</w:t>
                      </w:r>
                    </w:p>
                    <w:p w:rsidR="00A92422" w:rsidRDefault="00A92422" w:rsidP="00A92422">
                      <w:pPr>
                        <w:rPr>
                          <w:rFonts w:cs="Tahoma"/>
                          <w:i/>
                          <w:color w:val="000000"/>
                          <w:sz w:val="14"/>
                          <w:szCs w:val="14"/>
                        </w:rPr>
                      </w:pPr>
                      <w:r>
                        <w:rPr>
                          <w:rFonts w:cs="Tahoma"/>
                          <w:i/>
                          <w:color w:val="000000"/>
                          <w:sz w:val="14"/>
                          <w:szCs w:val="14"/>
                          <w:lang w:val="it-IT"/>
                        </w:rPr>
                        <w:t>*Per quanto riguarda Select Plus verranno utilizzati solo i valori "L" e tre anni per "L&amp;SA" / "SA".</w:t>
                      </w:r>
                    </w:p>
                    <w:p w:rsidR="00A92422" w:rsidRDefault="00A92422" w:rsidP="00A92422"/>
                  </w:txbxContent>
                </v:textbox>
              </v:shape>
            </w:pict>
          </mc:Fallback>
        </mc:AlternateContent>
      </w:r>
      <w:r w:rsidRPr="00D87B79">
        <w:br w:type="page"/>
      </w:r>
      <w:bookmarkEnd w:id="1"/>
      <w:r w:rsidRPr="00D87B79">
        <w:lastRenderedPageBreak/>
        <w:t>ARTICOLO 1</w:t>
      </w:r>
      <w:r>
        <w:t xml:space="preserve"> – </w:t>
      </w:r>
      <w:r w:rsidRPr="00D87B79">
        <w:t>MODIFICHE APPORTATE ALLA LISTA DEI PRODOTTI NEGLI ULTIMI 12 MESI</w:t>
      </w:r>
      <w:bookmarkEnd w:id="675"/>
    </w:p>
    <w:p w:rsidR="00A92422" w:rsidRPr="00D87B79" w:rsidRDefault="00A92422" w:rsidP="00A92422">
      <w:pPr>
        <w:pStyle w:val="Heading2"/>
        <w:ind w:left="0"/>
        <w:jc w:val="both"/>
        <w:rPr>
          <w:rFonts w:ascii="Tahoma" w:hAnsi="Tahoma" w:cs="Tahoma"/>
        </w:rPr>
      </w:pPr>
      <w:bookmarkStart w:id="676" w:name="_Toc336338168"/>
    </w:p>
    <w:p w:rsidR="00A92422" w:rsidRPr="00D87B79" w:rsidRDefault="00A92422" w:rsidP="00A92422">
      <w:pPr>
        <w:pStyle w:val="Heading2"/>
        <w:ind w:left="0"/>
        <w:jc w:val="both"/>
        <w:rPr>
          <w:rFonts w:ascii="Tahoma" w:hAnsi="Tahoma" w:cs="Tahoma"/>
        </w:rPr>
      </w:pPr>
      <w:bookmarkStart w:id="677" w:name="_Toc342900219"/>
      <w:r w:rsidRPr="00D87B79">
        <w:rPr>
          <w:rFonts w:ascii="Tahoma" w:hAnsi="Tahoma" w:cs="Tahoma"/>
          <w:color w:val="FF6600"/>
          <w:lang w:val="it-IT"/>
        </w:rPr>
        <w:t>MODIFICHE APPORTATE NEL MESE DI GENNAIO 2013</w:t>
      </w:r>
      <w:bookmarkEnd w:id="677"/>
    </w:p>
    <w:p w:rsidR="00A92422" w:rsidRPr="00D87B79" w:rsidRDefault="00A92422" w:rsidP="00A92422">
      <w:pPr>
        <w:rPr>
          <w:rFonts w:cs="Tahoma"/>
        </w:rPr>
      </w:pPr>
    </w:p>
    <w:p w:rsidR="00A92422" w:rsidRPr="00D87B79" w:rsidRDefault="00A92422" w:rsidP="00A92422">
      <w:pPr>
        <w:rPr>
          <w:rFonts w:cs="Tahoma"/>
        </w:rPr>
      </w:pPr>
      <w:r w:rsidRPr="00D87B79">
        <w:rPr>
          <w:rFonts w:cs="Tahoma"/>
          <w:b/>
          <w:lang w:val="it-IT"/>
        </w:rPr>
        <w:t>Prodotti Aggiunti</w:t>
      </w:r>
    </w:p>
    <w:p w:rsidR="00A92422" w:rsidRPr="00D87B79" w:rsidRDefault="00A92422" w:rsidP="00A92422">
      <w:pPr>
        <w:keepNext/>
        <w:tabs>
          <w:tab w:val="num" w:pos="720"/>
        </w:tabs>
        <w:outlineLvl w:val="3"/>
        <w:rPr>
          <w:rFonts w:cs="Tahoma"/>
        </w:rPr>
      </w:pPr>
      <w:r w:rsidRPr="00D87B79">
        <w:rPr>
          <w:rFonts w:cs="Tahoma"/>
          <w:color w:val="000000"/>
          <w:lang w:val="it-IT"/>
        </w:rPr>
        <w:t>Windows MultiPoint Server 2012 Premium con Windows MultiPoint Server 2012 (CAL) (5 Client)</w:t>
      </w:r>
    </w:p>
    <w:p w:rsidR="00A92422" w:rsidRPr="00D87B79" w:rsidRDefault="00A92422" w:rsidP="00A92422">
      <w:pPr>
        <w:keepNext/>
        <w:tabs>
          <w:tab w:val="num" w:pos="720"/>
        </w:tabs>
        <w:outlineLvl w:val="3"/>
        <w:rPr>
          <w:rFonts w:cs="Tahoma"/>
        </w:rPr>
      </w:pPr>
      <w:r w:rsidRPr="00D87B79">
        <w:rPr>
          <w:rFonts w:cs="Tahoma"/>
          <w:color w:val="000000"/>
          <w:lang w:val="it-IT"/>
        </w:rPr>
        <w:t>Windows MultiPoint Server 2012 Premium con Windows MultiPoint Server 2012 (CAL) (5 Client) con Windows</w:t>
      </w:r>
    </w:p>
    <w:p w:rsidR="00A92422" w:rsidRPr="00D87B79" w:rsidRDefault="00A92422" w:rsidP="00A92422">
      <w:pPr>
        <w:rPr>
          <w:rFonts w:cs="Tahoma"/>
        </w:rPr>
      </w:pPr>
    </w:p>
    <w:p w:rsidR="00A92422" w:rsidRPr="00D87B79" w:rsidRDefault="00A92422" w:rsidP="00A92422">
      <w:pPr>
        <w:rPr>
          <w:rFonts w:cs="Tahoma"/>
        </w:rPr>
      </w:pPr>
      <w:r w:rsidRPr="00D87B79">
        <w:rPr>
          <w:rFonts w:cs="Tahoma"/>
          <w:b/>
          <w:color w:val="000000"/>
          <w:lang w:val="it-IT"/>
        </w:rPr>
        <w:t>Modifiche</w:t>
      </w:r>
    </w:p>
    <w:p w:rsidR="00A92422" w:rsidRPr="00D87B79" w:rsidRDefault="00A92422" w:rsidP="00A92422">
      <w:pPr>
        <w:rPr>
          <w:rFonts w:cs="Tahoma"/>
        </w:rPr>
      </w:pPr>
      <w:r w:rsidRPr="00D87B79">
        <w:rPr>
          <w:rFonts w:cs="Tahoma"/>
          <w:color w:val="000000"/>
          <w:lang w:val="it-IT"/>
        </w:rPr>
        <w:t>CAL Suite per Windows Small Business Server 2008 per Utenti o Dispositivi Premium</w:t>
      </w:r>
    </w:p>
    <w:p w:rsidR="00A92422" w:rsidRPr="00D87B79" w:rsidRDefault="00A92422" w:rsidP="00A92422">
      <w:pPr>
        <w:rPr>
          <w:rFonts w:cs="Tahoma"/>
        </w:rPr>
      </w:pPr>
      <w:r w:rsidRPr="00D87B79">
        <w:rPr>
          <w:rFonts w:cs="Tahoma"/>
          <w:color w:val="000000"/>
          <w:lang w:val="it-IT"/>
        </w:rPr>
        <w:t>CAL Suite per Windows Small Business Server 2008 per Utenti o Dispositivi Premium (5 Client)</w:t>
      </w:r>
    </w:p>
    <w:p w:rsidR="00A92422" w:rsidRPr="00D87B79" w:rsidRDefault="00A92422" w:rsidP="00A92422">
      <w:pPr>
        <w:rPr>
          <w:rFonts w:cs="Tahoma"/>
        </w:rPr>
      </w:pPr>
      <w:r w:rsidRPr="00D87B79">
        <w:rPr>
          <w:rFonts w:cs="Tahoma"/>
          <w:color w:val="000000"/>
          <w:lang w:val="it-IT"/>
        </w:rPr>
        <w:t>CAL Suite per Windows Small Business Server 2008 per Utenti o Dispositivi Premium (20 Client)</w:t>
      </w:r>
    </w:p>
    <w:p w:rsidR="00A92422" w:rsidRPr="00D87B79" w:rsidRDefault="00A92422" w:rsidP="00A92422">
      <w:pPr>
        <w:rPr>
          <w:rFonts w:cs="Tahoma"/>
        </w:rPr>
      </w:pPr>
      <w:r w:rsidRPr="00D87B79">
        <w:rPr>
          <w:rFonts w:cs="Tahoma"/>
          <w:color w:val="000000"/>
          <w:lang w:val="it-IT"/>
        </w:rPr>
        <w:t>CAL Suite per Windows Small Business Server 2011 (1 Client)</w:t>
      </w:r>
    </w:p>
    <w:p w:rsidR="00A92422" w:rsidRPr="00D87B79" w:rsidRDefault="00A92422" w:rsidP="00A92422">
      <w:pPr>
        <w:rPr>
          <w:rFonts w:cs="Tahoma"/>
        </w:rPr>
      </w:pPr>
      <w:r w:rsidRPr="00D87B79">
        <w:rPr>
          <w:rFonts w:cs="Tahoma"/>
          <w:color w:val="000000"/>
          <w:lang w:val="it-IT"/>
        </w:rPr>
        <w:t>CAL Suite per Windows Small Business Server 2011 (5 Client)</w:t>
      </w:r>
    </w:p>
    <w:p w:rsidR="00A92422" w:rsidRPr="00D87B79" w:rsidRDefault="00A92422" w:rsidP="00A92422">
      <w:pPr>
        <w:rPr>
          <w:rFonts w:cs="Tahoma"/>
        </w:rPr>
      </w:pPr>
      <w:r w:rsidRPr="00D87B79">
        <w:rPr>
          <w:rFonts w:cs="Tahoma"/>
          <w:color w:val="000000"/>
          <w:lang w:val="it-IT"/>
        </w:rPr>
        <w:t>CAL Suite per Windows Small Business Server 2011 (20 Client)</w:t>
      </w:r>
    </w:p>
    <w:p w:rsidR="00A92422" w:rsidRPr="00D87B79" w:rsidRDefault="00A92422" w:rsidP="00A92422">
      <w:pPr>
        <w:rPr>
          <w:rFonts w:cs="Tahoma"/>
        </w:rPr>
      </w:pPr>
      <w:r w:rsidRPr="00D87B79">
        <w:rPr>
          <w:rFonts w:cs="Tahoma"/>
          <w:color w:val="000000"/>
          <w:lang w:val="it-IT"/>
        </w:rPr>
        <w:t>Windows Small Business Server 2011 Standard (5 Client)</w:t>
      </w:r>
    </w:p>
    <w:p w:rsidR="00A92422" w:rsidRPr="00D87B79" w:rsidRDefault="00A92422" w:rsidP="00A92422">
      <w:pPr>
        <w:rPr>
          <w:rFonts w:cs="Tahoma"/>
        </w:rPr>
      </w:pPr>
      <w:r w:rsidRPr="00D87B79">
        <w:rPr>
          <w:rFonts w:cs="Tahoma"/>
          <w:color w:val="000000"/>
          <w:lang w:val="it-IT"/>
        </w:rPr>
        <w:t>Premium Add-On per Windows Small Business Server 2011 (5 Client)</w:t>
      </w:r>
    </w:p>
    <w:p w:rsidR="00A92422" w:rsidRPr="00D87B79" w:rsidRDefault="00A92422" w:rsidP="00A92422">
      <w:pPr>
        <w:rPr>
          <w:rFonts w:cs="Tahoma"/>
        </w:rPr>
      </w:pPr>
    </w:p>
    <w:p w:rsidR="00A92422" w:rsidRPr="00D87B79" w:rsidRDefault="00A92422" w:rsidP="00A92422">
      <w:pPr>
        <w:rPr>
          <w:rFonts w:cs="Tahoma"/>
        </w:rPr>
      </w:pPr>
      <w:r w:rsidRPr="00D87B79">
        <w:rPr>
          <w:rFonts w:cs="Tahoma"/>
          <w:b/>
          <w:color w:val="000000"/>
          <w:lang w:val="it-IT"/>
        </w:rPr>
        <w:t>Prodotti Eliminat</w:t>
      </w:r>
      <w:r>
        <w:rPr>
          <w:rFonts w:cs="Tahoma"/>
          <w:b/>
          <w:color w:val="000000"/>
          <w:lang w:val="it-IT"/>
        </w:rPr>
        <w:t>i</w:t>
      </w:r>
    </w:p>
    <w:p w:rsidR="00A92422" w:rsidRPr="00D87B79" w:rsidRDefault="00A92422" w:rsidP="00A92422">
      <w:pPr>
        <w:rPr>
          <w:rFonts w:cs="Tahoma"/>
        </w:rPr>
      </w:pPr>
      <w:r w:rsidRPr="00D87B79">
        <w:rPr>
          <w:rFonts w:cs="Tahoma"/>
          <w:color w:val="000000"/>
          <w:lang w:val="it-IT"/>
        </w:rPr>
        <w:t>Licenza di Gestione Client per OSE per Windows Embedded Device Manager 2011</w:t>
      </w:r>
    </w:p>
    <w:p w:rsidR="00A92422" w:rsidRPr="00D87B79" w:rsidRDefault="00A92422" w:rsidP="00A92422">
      <w:pPr>
        <w:rPr>
          <w:rFonts w:cs="Tahoma"/>
        </w:rPr>
      </w:pPr>
      <w:r w:rsidRPr="00D87B79">
        <w:rPr>
          <w:rFonts w:cs="Tahoma"/>
          <w:color w:val="000000"/>
          <w:lang w:val="it-IT"/>
        </w:rPr>
        <w:t>Licenza di Gestione Client per Utente per Windows Embedded Device Manager 2011</w:t>
      </w:r>
    </w:p>
    <w:p w:rsidR="00A92422" w:rsidRPr="00D87B79" w:rsidRDefault="00A92422" w:rsidP="00A92422">
      <w:pPr>
        <w:rPr>
          <w:rFonts w:cs="Tahoma"/>
        </w:rPr>
      </w:pPr>
      <w:r w:rsidRPr="00D87B79">
        <w:rPr>
          <w:rFonts w:cs="Tahoma"/>
          <w:color w:val="000000"/>
          <w:lang w:val="it-IT"/>
        </w:rPr>
        <w:t>Licenza CAL per Dispositivo per Windows Server 2008 per Windows Essential Server Solutions (5 Client)</w:t>
      </w:r>
    </w:p>
    <w:p w:rsidR="00A92422" w:rsidRPr="00D87B79" w:rsidRDefault="00A92422" w:rsidP="00A92422">
      <w:pPr>
        <w:rPr>
          <w:rFonts w:cs="Tahoma"/>
        </w:rPr>
      </w:pPr>
      <w:r w:rsidRPr="00D87B79">
        <w:rPr>
          <w:rFonts w:cs="Tahoma"/>
          <w:color w:val="000000"/>
          <w:lang w:val="it-IT"/>
        </w:rPr>
        <w:t>User CAL per Windows Server 2008 per Windows Essential Server Solutions (5 Client)</w:t>
      </w:r>
    </w:p>
    <w:p w:rsidR="00A92422" w:rsidRPr="00D87B79" w:rsidRDefault="00A92422" w:rsidP="00A92422">
      <w:pPr>
        <w:keepNext/>
        <w:tabs>
          <w:tab w:val="num" w:pos="720"/>
        </w:tabs>
        <w:outlineLvl w:val="3"/>
        <w:rPr>
          <w:rFonts w:cs="Tahoma"/>
        </w:rPr>
      </w:pPr>
      <w:r w:rsidRPr="00D87B79">
        <w:rPr>
          <w:rFonts w:cs="Tahoma"/>
          <w:color w:val="000000"/>
          <w:lang w:val="it-IT"/>
        </w:rPr>
        <w:t>Windows MultiPoint Server 2011 Premium con Windows MultiPoint Server 2011 (CAL) (5 Client)</w:t>
      </w:r>
    </w:p>
    <w:p w:rsidR="00A92422" w:rsidRPr="00D87B79" w:rsidRDefault="00A92422" w:rsidP="00A92422">
      <w:pPr>
        <w:rPr>
          <w:rFonts w:cs="Tahoma"/>
        </w:rPr>
      </w:pPr>
      <w:r w:rsidRPr="00D87B79">
        <w:rPr>
          <w:rFonts w:cs="Tahoma"/>
          <w:color w:val="000000"/>
          <w:lang w:val="it-IT"/>
        </w:rPr>
        <w:t>Windows MultiPoint Server 2011 Premium con Windows MultiPoint Server 2011 (CAL) (5 Client) con Windows</w:t>
      </w:r>
    </w:p>
    <w:p w:rsidR="00A92422" w:rsidRPr="00D87B79" w:rsidRDefault="00A92422" w:rsidP="00A92422">
      <w:pPr>
        <w:pStyle w:val="Heading2"/>
        <w:ind w:left="0"/>
        <w:jc w:val="both"/>
        <w:rPr>
          <w:rFonts w:ascii="Tahoma" w:hAnsi="Tahoma" w:cs="Tahoma"/>
        </w:rPr>
      </w:pPr>
    </w:p>
    <w:p w:rsidR="00A92422" w:rsidRPr="00D87B79" w:rsidRDefault="00A92422" w:rsidP="00A92422">
      <w:pPr>
        <w:rPr>
          <w:rFonts w:cs="Tahoma"/>
        </w:rPr>
      </w:pPr>
    </w:p>
    <w:p w:rsidR="00A92422" w:rsidRPr="00D87B79" w:rsidRDefault="00A92422" w:rsidP="00A92422">
      <w:pPr>
        <w:pStyle w:val="Heading2"/>
        <w:ind w:left="0"/>
        <w:jc w:val="both"/>
        <w:rPr>
          <w:rFonts w:ascii="Tahoma" w:hAnsi="Tahoma" w:cs="Tahoma"/>
        </w:rPr>
      </w:pPr>
      <w:bookmarkStart w:id="678" w:name="_Toc342900220"/>
      <w:bookmarkEnd w:id="676"/>
      <w:r w:rsidRPr="00D87B79">
        <w:rPr>
          <w:rFonts w:ascii="Tahoma" w:hAnsi="Tahoma" w:cs="Tahoma"/>
          <w:color w:val="FF6600"/>
          <w:lang w:val="it-IT"/>
        </w:rPr>
        <w:t>MODIFICHE APPORTATE NEL MESE DI DICEMBRE 2012</w:t>
      </w:r>
      <w:bookmarkEnd w:id="678"/>
    </w:p>
    <w:p w:rsidR="00A92422" w:rsidRPr="00D87B79" w:rsidRDefault="00A92422" w:rsidP="00A92422">
      <w:pPr>
        <w:jc w:val="both"/>
        <w:outlineLvl w:val="1"/>
        <w:rPr>
          <w:rFonts w:cs="Tahoma"/>
        </w:rPr>
      </w:pPr>
    </w:p>
    <w:p w:rsidR="00A92422" w:rsidRPr="00D87B79" w:rsidRDefault="00A92422" w:rsidP="00A92422">
      <w:pPr>
        <w:rPr>
          <w:rFonts w:cs="Tahoma"/>
        </w:rPr>
      </w:pPr>
      <w:r w:rsidRPr="00D87B79">
        <w:rPr>
          <w:rFonts w:cs="Tahoma"/>
          <w:b/>
          <w:lang w:val="it-IT"/>
        </w:rPr>
        <w:t>Prodotti Aggiunti</w:t>
      </w:r>
    </w:p>
    <w:p w:rsidR="00A92422" w:rsidRPr="00D87B79" w:rsidRDefault="00A92422" w:rsidP="00A92422">
      <w:pPr>
        <w:rPr>
          <w:rFonts w:cs="Tahoma"/>
        </w:rPr>
      </w:pPr>
      <w:r w:rsidRPr="00D87B79">
        <w:rPr>
          <w:rFonts w:cs="Tahoma"/>
          <w:color w:val="000000"/>
          <w:lang w:val="it-IT"/>
        </w:rPr>
        <w:t>Access 2013</w:t>
      </w:r>
    </w:p>
    <w:p w:rsidR="00A92422" w:rsidRPr="00D87B79" w:rsidRDefault="00A92422" w:rsidP="00A92422">
      <w:pPr>
        <w:rPr>
          <w:rFonts w:cs="Tahoma"/>
        </w:rPr>
      </w:pPr>
      <w:r w:rsidRPr="00D87B79">
        <w:rPr>
          <w:rFonts w:cs="Tahoma"/>
          <w:color w:val="000000"/>
          <w:lang w:val="it-IT"/>
        </w:rPr>
        <w:t>Excel 2013</w:t>
      </w:r>
    </w:p>
    <w:p w:rsidR="00A92422" w:rsidRPr="00D87B79" w:rsidRDefault="00A92422" w:rsidP="00A92422">
      <w:pPr>
        <w:rPr>
          <w:rFonts w:cs="Tahoma"/>
        </w:rPr>
      </w:pPr>
      <w:r w:rsidRPr="00D87B79">
        <w:rPr>
          <w:rFonts w:cs="Tahoma"/>
          <w:color w:val="000000"/>
          <w:lang w:val="it-IT"/>
        </w:rPr>
        <w:t>Enterprise CAL per Exchange 2013 con Servizi</w:t>
      </w:r>
    </w:p>
    <w:p w:rsidR="00A92422" w:rsidRPr="00D87B79" w:rsidRDefault="00A92422" w:rsidP="00A92422">
      <w:pPr>
        <w:rPr>
          <w:rFonts w:cs="Tahoma"/>
        </w:rPr>
      </w:pPr>
      <w:r w:rsidRPr="00D87B79">
        <w:rPr>
          <w:rFonts w:cs="Tahoma"/>
          <w:color w:val="000000"/>
          <w:lang w:val="it-IT"/>
        </w:rPr>
        <w:t>Enterprise CAL per Exchange 2013 senza Servizi</w:t>
      </w:r>
    </w:p>
    <w:p w:rsidR="00A92422" w:rsidRPr="00D87B79" w:rsidRDefault="00A92422" w:rsidP="00A92422">
      <w:pPr>
        <w:rPr>
          <w:rFonts w:cs="Tahoma"/>
        </w:rPr>
      </w:pPr>
      <w:r w:rsidRPr="00D87B79">
        <w:rPr>
          <w:rFonts w:cs="Tahoma"/>
          <w:color w:val="000000"/>
          <w:lang w:val="it-IT"/>
        </w:rPr>
        <w:t>Exchange Server Enterprise 2013</w:t>
      </w:r>
    </w:p>
    <w:p w:rsidR="00A92422" w:rsidRPr="00D87B79" w:rsidRDefault="00A92422" w:rsidP="00A92422">
      <w:pPr>
        <w:rPr>
          <w:rFonts w:cs="Tahoma"/>
        </w:rPr>
      </w:pPr>
      <w:r w:rsidRPr="00D87B79">
        <w:rPr>
          <w:rFonts w:cs="Tahoma"/>
          <w:color w:val="000000"/>
          <w:lang w:val="it-IT"/>
        </w:rPr>
        <w:t>Exchange Server Standard 2013</w:t>
      </w:r>
    </w:p>
    <w:p w:rsidR="00A92422" w:rsidRPr="00D87B79" w:rsidRDefault="00A92422" w:rsidP="00A92422">
      <w:pPr>
        <w:rPr>
          <w:rFonts w:cs="Tahoma"/>
        </w:rPr>
      </w:pPr>
      <w:r w:rsidRPr="00D87B79">
        <w:rPr>
          <w:rFonts w:cs="Tahoma"/>
          <w:color w:val="000000"/>
          <w:lang w:val="it-IT"/>
        </w:rPr>
        <w:t>Standard CAL per Exchange 2013</w:t>
      </w:r>
    </w:p>
    <w:p w:rsidR="00A92422" w:rsidRPr="00D87B79" w:rsidRDefault="00A92422" w:rsidP="00A92422">
      <w:pPr>
        <w:rPr>
          <w:rFonts w:cs="Tahoma"/>
        </w:rPr>
      </w:pPr>
      <w:r w:rsidRPr="00D87B79">
        <w:rPr>
          <w:rFonts w:cs="Tahoma"/>
          <w:color w:val="000000"/>
          <w:lang w:val="it-IT"/>
        </w:rPr>
        <w:t>InfoPath 2013</w:t>
      </w:r>
    </w:p>
    <w:p w:rsidR="00A92422" w:rsidRPr="00D87B79" w:rsidRDefault="00A92422" w:rsidP="00A92422">
      <w:pPr>
        <w:rPr>
          <w:rFonts w:cs="Tahoma"/>
        </w:rPr>
      </w:pPr>
      <w:r w:rsidRPr="00D87B79">
        <w:rPr>
          <w:rFonts w:cs="Tahoma"/>
          <w:color w:val="000000"/>
          <w:lang w:val="it-IT"/>
        </w:rPr>
        <w:t>Lync 2013</w:t>
      </w:r>
    </w:p>
    <w:p w:rsidR="00A92422" w:rsidRPr="00D87B79" w:rsidRDefault="00A92422" w:rsidP="00A92422">
      <w:pPr>
        <w:rPr>
          <w:rFonts w:cs="Tahoma"/>
        </w:rPr>
      </w:pPr>
      <w:r w:rsidRPr="00D87B79">
        <w:rPr>
          <w:rFonts w:cs="Tahoma"/>
          <w:color w:val="000000"/>
          <w:lang w:val="it-IT"/>
        </w:rPr>
        <w:t>Lync Server 2013</w:t>
      </w:r>
    </w:p>
    <w:p w:rsidR="00A92422" w:rsidRPr="00D87B79" w:rsidRDefault="00A92422" w:rsidP="00A92422">
      <w:pPr>
        <w:rPr>
          <w:rFonts w:cs="Tahoma"/>
        </w:rPr>
      </w:pPr>
      <w:r w:rsidRPr="00D87B79">
        <w:rPr>
          <w:rFonts w:cs="Tahoma"/>
          <w:color w:val="000000"/>
          <w:lang w:val="it-IT"/>
        </w:rPr>
        <w:t>Enterprise CAL per Lync Server 2013</w:t>
      </w:r>
    </w:p>
    <w:p w:rsidR="00A92422" w:rsidRPr="00D87B79" w:rsidRDefault="00A92422" w:rsidP="00A92422">
      <w:pPr>
        <w:rPr>
          <w:rFonts w:cs="Tahoma"/>
        </w:rPr>
      </w:pPr>
      <w:r w:rsidRPr="00D87B79">
        <w:rPr>
          <w:rFonts w:cs="Tahoma"/>
          <w:color w:val="000000"/>
          <w:lang w:val="it-IT"/>
        </w:rPr>
        <w:t>Plus CAL per Lync Server 2013</w:t>
      </w:r>
    </w:p>
    <w:p w:rsidR="00A92422" w:rsidRPr="00D87B79" w:rsidRDefault="00A92422" w:rsidP="00A92422">
      <w:pPr>
        <w:rPr>
          <w:rFonts w:cs="Tahoma"/>
        </w:rPr>
      </w:pPr>
      <w:r w:rsidRPr="00D87B79">
        <w:rPr>
          <w:rFonts w:cs="Tahoma"/>
          <w:color w:val="000000"/>
          <w:lang w:val="it-IT"/>
        </w:rPr>
        <w:t>Standard CAL per Lync Server 2013</w:t>
      </w:r>
    </w:p>
    <w:p w:rsidR="00A92422" w:rsidRPr="00D87B79" w:rsidRDefault="00A92422" w:rsidP="00A92422">
      <w:pPr>
        <w:rPr>
          <w:rFonts w:cs="Tahoma"/>
        </w:rPr>
      </w:pPr>
      <w:r w:rsidRPr="00D87B79">
        <w:rPr>
          <w:rFonts w:cs="Tahoma"/>
          <w:color w:val="000000"/>
          <w:lang w:val="it-IT"/>
        </w:rPr>
        <w:t>Office Home and Student RT 2013</w:t>
      </w:r>
    </w:p>
    <w:p w:rsidR="00A92422" w:rsidRPr="00D87B79" w:rsidRDefault="00A92422" w:rsidP="00A92422">
      <w:pPr>
        <w:rPr>
          <w:rFonts w:cs="Tahoma"/>
        </w:rPr>
      </w:pPr>
      <w:r w:rsidRPr="00D87B79">
        <w:rPr>
          <w:rFonts w:cs="Tahoma"/>
          <w:color w:val="000000"/>
          <w:lang w:val="it-IT"/>
        </w:rPr>
        <w:t>Office Multi Language Pack 2013</w:t>
      </w:r>
    </w:p>
    <w:p w:rsidR="00A92422" w:rsidRPr="00D87B79" w:rsidRDefault="00A92422" w:rsidP="00A92422">
      <w:pPr>
        <w:rPr>
          <w:rFonts w:cs="Tahoma"/>
        </w:rPr>
      </w:pPr>
      <w:r w:rsidRPr="00D87B79">
        <w:rPr>
          <w:rFonts w:cs="Tahoma"/>
          <w:color w:val="000000"/>
          <w:lang w:val="it-IT"/>
        </w:rPr>
        <w:t>Office Professional Plus 2013</w:t>
      </w:r>
    </w:p>
    <w:p w:rsidR="00A92422" w:rsidRPr="00D87B79" w:rsidRDefault="00A92422" w:rsidP="00A92422">
      <w:pPr>
        <w:rPr>
          <w:rFonts w:cs="Tahoma"/>
        </w:rPr>
      </w:pPr>
      <w:r w:rsidRPr="00D87B79">
        <w:rPr>
          <w:rFonts w:cs="Tahoma"/>
          <w:color w:val="000000"/>
          <w:lang w:val="it-IT"/>
        </w:rPr>
        <w:t>Office Standard 2013</w:t>
      </w:r>
    </w:p>
    <w:p w:rsidR="00A92422" w:rsidRPr="00D87B79" w:rsidRDefault="00A92422" w:rsidP="00A92422">
      <w:pPr>
        <w:rPr>
          <w:rFonts w:cs="Tahoma"/>
        </w:rPr>
      </w:pPr>
      <w:r w:rsidRPr="00D87B79">
        <w:rPr>
          <w:rFonts w:cs="Tahoma"/>
          <w:color w:val="000000"/>
          <w:lang w:val="it-IT"/>
        </w:rPr>
        <w:t>OneNote 2013</w:t>
      </w:r>
    </w:p>
    <w:p w:rsidR="00A92422" w:rsidRPr="00D87B79" w:rsidRDefault="00A92422" w:rsidP="00A92422">
      <w:pPr>
        <w:rPr>
          <w:rFonts w:cs="Tahoma"/>
        </w:rPr>
      </w:pPr>
      <w:r w:rsidRPr="00D87B79">
        <w:rPr>
          <w:rFonts w:cs="Tahoma"/>
          <w:color w:val="000000"/>
          <w:lang w:val="it-IT"/>
        </w:rPr>
        <w:t>Outlook 2013</w:t>
      </w:r>
    </w:p>
    <w:p w:rsidR="00A92422" w:rsidRPr="00D87B79" w:rsidRDefault="00A92422" w:rsidP="00A92422">
      <w:pPr>
        <w:rPr>
          <w:rFonts w:cs="Tahoma"/>
        </w:rPr>
      </w:pPr>
      <w:r w:rsidRPr="00D87B79">
        <w:rPr>
          <w:rFonts w:cs="Tahoma"/>
          <w:color w:val="000000"/>
          <w:lang w:val="it-IT"/>
        </w:rPr>
        <w:t>PowerPoint 2013</w:t>
      </w:r>
    </w:p>
    <w:p w:rsidR="00A92422" w:rsidRPr="00D87B79" w:rsidRDefault="00A92422" w:rsidP="00A92422">
      <w:pPr>
        <w:rPr>
          <w:rFonts w:cs="Tahoma"/>
        </w:rPr>
      </w:pPr>
      <w:r w:rsidRPr="00D87B79">
        <w:rPr>
          <w:rFonts w:cs="Tahoma"/>
          <w:color w:val="000000"/>
          <w:lang w:val="it-IT"/>
        </w:rPr>
        <w:t>Project Standard 2013</w:t>
      </w:r>
    </w:p>
    <w:p w:rsidR="00A92422" w:rsidRPr="00D87B79" w:rsidRDefault="00A92422" w:rsidP="00A92422">
      <w:pPr>
        <w:rPr>
          <w:rFonts w:cs="Tahoma"/>
        </w:rPr>
      </w:pPr>
      <w:r w:rsidRPr="00D87B79">
        <w:rPr>
          <w:rFonts w:cs="Tahoma"/>
          <w:color w:val="000000"/>
          <w:lang w:val="it-IT"/>
        </w:rPr>
        <w:t>Project Professional 2013</w:t>
      </w:r>
    </w:p>
    <w:p w:rsidR="00A92422" w:rsidRPr="00D87B79" w:rsidRDefault="00A92422" w:rsidP="00A92422">
      <w:pPr>
        <w:rPr>
          <w:rFonts w:cs="Tahoma"/>
        </w:rPr>
      </w:pPr>
      <w:r w:rsidRPr="00D87B79">
        <w:rPr>
          <w:rFonts w:cs="Tahoma"/>
          <w:color w:val="000000"/>
          <w:lang w:val="it-IT"/>
        </w:rPr>
        <w:t>Project Server 2013</w:t>
      </w:r>
    </w:p>
    <w:p w:rsidR="00A92422" w:rsidRPr="00D87B79" w:rsidRDefault="00A92422" w:rsidP="00A92422">
      <w:pPr>
        <w:rPr>
          <w:rFonts w:cs="Tahoma"/>
        </w:rPr>
      </w:pPr>
      <w:r w:rsidRPr="00D87B79">
        <w:rPr>
          <w:rFonts w:cs="Tahoma"/>
          <w:color w:val="000000"/>
          <w:lang w:val="it-IT"/>
        </w:rPr>
        <w:t>CAL per Project Server 2013</w:t>
      </w:r>
    </w:p>
    <w:p w:rsidR="00A92422" w:rsidRPr="00D87B79" w:rsidRDefault="00A92422" w:rsidP="00A92422">
      <w:pPr>
        <w:rPr>
          <w:rFonts w:cs="Tahoma"/>
        </w:rPr>
      </w:pPr>
      <w:r w:rsidRPr="00D87B79">
        <w:rPr>
          <w:rFonts w:cs="Tahoma"/>
          <w:color w:val="000000"/>
          <w:lang w:val="it-IT"/>
        </w:rPr>
        <w:lastRenderedPageBreak/>
        <w:t>Publisher 2013</w:t>
      </w:r>
    </w:p>
    <w:p w:rsidR="00A92422" w:rsidRPr="00D87B79" w:rsidRDefault="00A92422" w:rsidP="00A92422">
      <w:pPr>
        <w:rPr>
          <w:rFonts w:cs="Tahoma"/>
        </w:rPr>
      </w:pPr>
      <w:r w:rsidRPr="00D87B79">
        <w:rPr>
          <w:rFonts w:cs="Tahoma"/>
          <w:color w:val="000000"/>
          <w:lang w:val="it-IT"/>
        </w:rPr>
        <w:t>Enterprise CAL per SharePoint 2013</w:t>
      </w:r>
    </w:p>
    <w:p w:rsidR="00A92422" w:rsidRPr="00D87B79" w:rsidRDefault="00A92422" w:rsidP="00A92422">
      <w:pPr>
        <w:rPr>
          <w:rFonts w:cs="Tahoma"/>
        </w:rPr>
      </w:pPr>
      <w:r w:rsidRPr="00D87B79">
        <w:rPr>
          <w:rFonts w:cs="Tahoma"/>
          <w:color w:val="000000"/>
          <w:lang w:val="it-IT"/>
        </w:rPr>
        <w:t>SharePoint Server 2013</w:t>
      </w:r>
    </w:p>
    <w:p w:rsidR="00A92422" w:rsidRPr="00D87B79" w:rsidRDefault="00A92422" w:rsidP="00A92422">
      <w:pPr>
        <w:rPr>
          <w:rFonts w:cs="Tahoma"/>
        </w:rPr>
      </w:pPr>
      <w:r w:rsidRPr="00D87B79">
        <w:rPr>
          <w:rFonts w:cs="Tahoma"/>
          <w:color w:val="000000"/>
          <w:lang w:val="it-IT"/>
        </w:rPr>
        <w:t>Standard CAL per SharePoint 2013</w:t>
      </w:r>
    </w:p>
    <w:p w:rsidR="00A92422" w:rsidRPr="00D87B79" w:rsidRDefault="00A92422" w:rsidP="00A92422">
      <w:pPr>
        <w:rPr>
          <w:rFonts w:cs="Tahoma"/>
        </w:rPr>
      </w:pPr>
      <w:r w:rsidRPr="00D87B79">
        <w:rPr>
          <w:rFonts w:cs="Tahoma"/>
          <w:color w:val="000000"/>
          <w:lang w:val="it-IT"/>
        </w:rPr>
        <w:t>Visio Professional 2013</w:t>
      </w:r>
    </w:p>
    <w:p w:rsidR="00A92422" w:rsidRPr="00D87B79" w:rsidRDefault="00A92422" w:rsidP="00A92422">
      <w:pPr>
        <w:rPr>
          <w:rFonts w:cs="Tahoma"/>
        </w:rPr>
      </w:pPr>
      <w:r w:rsidRPr="00D87B79">
        <w:rPr>
          <w:rFonts w:cs="Tahoma"/>
          <w:color w:val="000000"/>
          <w:lang w:val="it-IT"/>
        </w:rPr>
        <w:t>Visio Standard 2013</w:t>
      </w:r>
    </w:p>
    <w:p w:rsidR="00A92422" w:rsidRPr="00D87B79" w:rsidRDefault="00A92422" w:rsidP="00A92422">
      <w:pPr>
        <w:rPr>
          <w:rFonts w:cs="Tahoma"/>
        </w:rPr>
      </w:pPr>
      <w:r w:rsidRPr="00D87B79">
        <w:rPr>
          <w:rFonts w:cs="Tahoma"/>
          <w:color w:val="000000"/>
          <w:lang w:val="it-IT"/>
        </w:rPr>
        <w:t>Word 2013</w:t>
      </w:r>
    </w:p>
    <w:p w:rsidR="00A92422" w:rsidRPr="00D87B79" w:rsidRDefault="00A92422" w:rsidP="00A92422">
      <w:pPr>
        <w:rPr>
          <w:rFonts w:cs="Tahoma"/>
        </w:rPr>
      </w:pPr>
      <w:r w:rsidRPr="00D87B79">
        <w:rPr>
          <w:rFonts w:cs="Tahoma"/>
          <w:color w:val="000000"/>
          <w:lang w:val="it-IT"/>
        </w:rPr>
        <w:t>Windows MultiPoint Server Standard 2012</w:t>
      </w:r>
    </w:p>
    <w:p w:rsidR="00A92422" w:rsidRPr="00D87B79" w:rsidRDefault="00A92422" w:rsidP="00A92422">
      <w:pPr>
        <w:rPr>
          <w:rFonts w:cs="Tahoma"/>
        </w:rPr>
      </w:pPr>
      <w:r w:rsidRPr="00D87B79">
        <w:rPr>
          <w:rFonts w:cs="Tahoma"/>
          <w:color w:val="000000"/>
          <w:lang w:val="it-IT"/>
        </w:rPr>
        <w:t>Windows MultiPoint Server Premium 2012</w:t>
      </w:r>
    </w:p>
    <w:p w:rsidR="00A92422" w:rsidRPr="00D87B79" w:rsidRDefault="00A92422" w:rsidP="00A92422">
      <w:pPr>
        <w:rPr>
          <w:rFonts w:cs="Tahoma"/>
        </w:rPr>
      </w:pPr>
      <w:r w:rsidRPr="00D87B79">
        <w:rPr>
          <w:rFonts w:cs="Tahoma"/>
          <w:color w:val="000000"/>
          <w:lang w:val="it-IT"/>
        </w:rPr>
        <w:t>CAL per Windows MultiPoint Server 2012</w:t>
      </w:r>
    </w:p>
    <w:p w:rsidR="00A92422" w:rsidRPr="00D87B79" w:rsidRDefault="00A92422" w:rsidP="00A92422">
      <w:pPr>
        <w:rPr>
          <w:rFonts w:cs="Tahoma"/>
        </w:rPr>
      </w:pPr>
      <w:r w:rsidRPr="00D87B79">
        <w:rPr>
          <w:rFonts w:cs="Tahoma"/>
          <w:color w:val="000000"/>
          <w:lang w:val="it-IT"/>
        </w:rPr>
        <w:t>CAL per Windows MultiPoint Server con CAL per Windows Server 2012</w:t>
      </w:r>
    </w:p>
    <w:p w:rsidR="00A92422" w:rsidRPr="00D87B79" w:rsidRDefault="00A92422" w:rsidP="00A92422">
      <w:pPr>
        <w:rPr>
          <w:rFonts w:cs="Tahoma"/>
        </w:rPr>
      </w:pPr>
      <w:r w:rsidRPr="00D87B79">
        <w:rPr>
          <w:rFonts w:cs="Tahoma"/>
          <w:color w:val="000000"/>
          <w:lang w:val="it-IT"/>
        </w:rPr>
        <w:t>Windows Intune (Per Utente)</w:t>
      </w:r>
    </w:p>
    <w:p w:rsidR="00A92422" w:rsidRPr="00D87B79" w:rsidRDefault="00A92422" w:rsidP="00A92422">
      <w:pPr>
        <w:rPr>
          <w:rFonts w:cs="Tahoma"/>
        </w:rPr>
      </w:pPr>
      <w:r w:rsidRPr="00D87B79">
        <w:rPr>
          <w:rFonts w:cs="Tahoma"/>
          <w:color w:val="000000"/>
          <w:lang w:val="it-IT"/>
        </w:rPr>
        <w:t>Componente Aggiuntivo per Windows Intune per System Center Configuration Manager e System Center EndPoint Protection (Per Utente)</w:t>
      </w:r>
    </w:p>
    <w:p w:rsidR="00A92422" w:rsidRPr="00D87B79" w:rsidRDefault="00A92422" w:rsidP="00A92422">
      <w:pPr>
        <w:rPr>
          <w:rFonts w:cs="Tahoma"/>
        </w:rPr>
      </w:pPr>
      <w:r w:rsidRPr="00D87B79">
        <w:rPr>
          <w:rFonts w:cs="Tahoma"/>
          <w:color w:val="000000"/>
          <w:lang w:val="it-IT"/>
        </w:rPr>
        <w:t>USL per Windows Intune</w:t>
      </w:r>
    </w:p>
    <w:p w:rsidR="00A92422" w:rsidRPr="00D87B79" w:rsidRDefault="00A92422" w:rsidP="00A92422">
      <w:pPr>
        <w:rPr>
          <w:rFonts w:cs="Tahoma"/>
        </w:rPr>
      </w:pPr>
      <w:r w:rsidRPr="00D87B79">
        <w:rPr>
          <w:rFonts w:cs="Tahoma"/>
          <w:color w:val="000000"/>
          <w:lang w:val="it-IT"/>
        </w:rPr>
        <w:t>USL Add-On per Windows Intune</w:t>
      </w:r>
    </w:p>
    <w:p w:rsidR="00A92422" w:rsidRPr="00D87B79" w:rsidRDefault="00A92422" w:rsidP="00A92422">
      <w:pPr>
        <w:rPr>
          <w:rFonts w:cs="Tahoma"/>
        </w:rPr>
      </w:pPr>
      <w:r w:rsidRPr="00D87B79">
        <w:rPr>
          <w:rFonts w:cs="Tahoma"/>
          <w:color w:val="000000"/>
          <w:lang w:val="it-IT"/>
        </w:rPr>
        <w:t>USL Add-On per Windows Intune Extra Storage 1 GB</w:t>
      </w:r>
    </w:p>
    <w:p w:rsidR="00A92422" w:rsidRPr="00D87B79" w:rsidRDefault="00A92422" w:rsidP="00A92422">
      <w:pPr>
        <w:rPr>
          <w:rFonts w:cs="Tahoma"/>
        </w:rPr>
      </w:pPr>
      <w:r w:rsidRPr="00D87B79">
        <w:rPr>
          <w:rFonts w:cs="Tahoma"/>
          <w:color w:val="000000"/>
          <w:lang w:val="it-IT"/>
        </w:rPr>
        <w:t>Win Pro con MDOP 8</w:t>
      </w:r>
    </w:p>
    <w:p w:rsidR="00A92422" w:rsidRPr="00D87B79" w:rsidRDefault="00A92422" w:rsidP="00A92422">
      <w:pPr>
        <w:keepNext/>
        <w:tabs>
          <w:tab w:val="num" w:pos="720"/>
        </w:tabs>
        <w:spacing w:before="60"/>
        <w:outlineLvl w:val="3"/>
        <w:rPr>
          <w:rFonts w:cs="Tahoma"/>
        </w:rPr>
      </w:pPr>
    </w:p>
    <w:p w:rsidR="00A92422" w:rsidRPr="00D87B79" w:rsidRDefault="00A92422" w:rsidP="00A92422">
      <w:pPr>
        <w:rPr>
          <w:rFonts w:cs="Tahoma"/>
        </w:rPr>
      </w:pPr>
      <w:r w:rsidRPr="00D87B79">
        <w:rPr>
          <w:rFonts w:cs="Tahoma"/>
          <w:b/>
          <w:color w:val="000000"/>
          <w:lang w:val="it-IT"/>
        </w:rPr>
        <w:t>Promozioni</w:t>
      </w:r>
      <w:r w:rsidRPr="00D87B79">
        <w:rPr>
          <w:rFonts w:cs="Tahoma"/>
        </w:rPr>
        <w:t xml:space="preserve"> </w:t>
      </w:r>
    </w:p>
    <w:p w:rsidR="00A92422" w:rsidRPr="00D87B79" w:rsidRDefault="00A92422" w:rsidP="00A92422">
      <w:pPr>
        <w:outlineLvl w:val="1"/>
        <w:rPr>
          <w:rFonts w:cs="Tahoma"/>
        </w:rPr>
      </w:pPr>
      <w:r w:rsidRPr="00D87B79">
        <w:rPr>
          <w:rFonts w:cs="Tahoma"/>
          <w:color w:val="000000"/>
          <w:lang w:val="it-IT"/>
        </w:rPr>
        <w:t>Sono state aggiunte le seguenti promozioni:</w:t>
      </w:r>
    </w:p>
    <w:p w:rsidR="00A92422" w:rsidRPr="00D87B79" w:rsidRDefault="00A92422" w:rsidP="00A92422">
      <w:pPr>
        <w:outlineLvl w:val="1"/>
        <w:rPr>
          <w:rFonts w:cs="Tahoma"/>
        </w:rPr>
      </w:pPr>
      <w:r w:rsidRPr="00D87B79">
        <w:rPr>
          <w:rFonts w:cs="Tahoma"/>
          <w:color w:val="000000"/>
          <w:lang w:val="it-IT"/>
        </w:rPr>
        <w:t>55% di sconto sulle CAL per Project Server Acquistate a Livello Aziendale</w:t>
      </w:r>
    </w:p>
    <w:p w:rsidR="00A92422" w:rsidRPr="00D87B79" w:rsidRDefault="00A92422" w:rsidP="00A92422">
      <w:pPr>
        <w:outlineLvl w:val="1"/>
        <w:rPr>
          <w:rFonts w:cs="Tahoma"/>
        </w:rPr>
      </w:pPr>
      <w:r w:rsidRPr="00D87B79">
        <w:rPr>
          <w:rFonts w:cs="Tahoma"/>
          <w:color w:val="000000"/>
          <w:lang w:val="it-IT"/>
        </w:rPr>
        <w:t>15% di sconto sulle Licenze Step-up per Project/Visio</w:t>
      </w:r>
    </w:p>
    <w:p w:rsidR="00A92422" w:rsidRPr="00D87B79" w:rsidRDefault="00A92422" w:rsidP="00A92422">
      <w:pPr>
        <w:outlineLvl w:val="1"/>
        <w:rPr>
          <w:rFonts w:cs="Tahoma"/>
        </w:rPr>
      </w:pPr>
    </w:p>
    <w:p w:rsidR="00A92422" w:rsidRPr="00D87B79" w:rsidRDefault="00A92422" w:rsidP="00A92422">
      <w:pPr>
        <w:outlineLvl w:val="1"/>
        <w:rPr>
          <w:rFonts w:cs="Tahoma"/>
        </w:rPr>
      </w:pPr>
      <w:r w:rsidRPr="00D87B79">
        <w:rPr>
          <w:rFonts w:cs="Tahoma"/>
          <w:color w:val="000000"/>
          <w:lang w:val="it-IT"/>
        </w:rPr>
        <w:t>Sono state eliminate le seguenti promozioni:</w:t>
      </w:r>
    </w:p>
    <w:p w:rsidR="00A92422" w:rsidRPr="00D87B79" w:rsidRDefault="00A92422" w:rsidP="00A92422">
      <w:pPr>
        <w:outlineLvl w:val="1"/>
        <w:rPr>
          <w:rFonts w:cs="Tahoma"/>
        </w:rPr>
      </w:pPr>
      <w:r w:rsidRPr="00D87B79">
        <w:rPr>
          <w:rFonts w:cs="Tahoma"/>
          <w:lang w:val="it-IT"/>
        </w:rPr>
        <w:t>Sconto Promozionale del 20% per PC Nuovi con Windows Intune</w:t>
      </w:r>
    </w:p>
    <w:p w:rsidR="00A92422" w:rsidRPr="00D87B79" w:rsidRDefault="00A92422" w:rsidP="00A92422">
      <w:pPr>
        <w:outlineLvl w:val="1"/>
        <w:rPr>
          <w:rFonts w:cs="Tahoma"/>
        </w:rPr>
      </w:pPr>
    </w:p>
    <w:p w:rsidR="00A92422" w:rsidRPr="00D87B79" w:rsidRDefault="00A92422" w:rsidP="00A92422">
      <w:pPr>
        <w:rPr>
          <w:rFonts w:cs="Tahoma"/>
        </w:rPr>
      </w:pPr>
      <w:r w:rsidRPr="00D87B79">
        <w:rPr>
          <w:rFonts w:cs="Tahoma"/>
          <w:b/>
          <w:color w:val="000000"/>
          <w:lang w:val="it-IT"/>
        </w:rPr>
        <w:t>Prodotti Eliminati</w:t>
      </w:r>
    </w:p>
    <w:p w:rsidR="00A92422" w:rsidRPr="00D87B79" w:rsidRDefault="00A92422" w:rsidP="00A92422">
      <w:pPr>
        <w:rPr>
          <w:rFonts w:cs="Tahoma"/>
        </w:rPr>
      </w:pPr>
      <w:r w:rsidRPr="00D87B79">
        <w:rPr>
          <w:rFonts w:cs="Tahoma"/>
          <w:color w:val="000000"/>
          <w:lang w:val="it-IT"/>
        </w:rPr>
        <w:t>Access 2010</w:t>
      </w:r>
    </w:p>
    <w:p w:rsidR="00A92422" w:rsidRPr="00D87B79" w:rsidRDefault="00A92422" w:rsidP="00A92422">
      <w:pPr>
        <w:rPr>
          <w:rFonts w:cs="Tahoma"/>
        </w:rPr>
      </w:pPr>
      <w:r w:rsidRPr="00D87B79">
        <w:rPr>
          <w:rFonts w:cs="Tahoma"/>
          <w:color w:val="000000"/>
          <w:lang w:val="it-IT"/>
        </w:rPr>
        <w:t>Duet Enterprise per Microsoft SharePoint e SAP 1.0</w:t>
      </w:r>
    </w:p>
    <w:p w:rsidR="00A92422" w:rsidRPr="00D87B79" w:rsidRDefault="00A92422" w:rsidP="00A92422">
      <w:pPr>
        <w:rPr>
          <w:rFonts w:cs="Tahoma"/>
        </w:rPr>
      </w:pPr>
      <w:r w:rsidRPr="00D87B79">
        <w:rPr>
          <w:rFonts w:cs="Tahoma"/>
          <w:color w:val="000000"/>
          <w:lang w:val="it-IT"/>
        </w:rPr>
        <w:t>Dynamics CRM Onprem Mobile</w:t>
      </w:r>
    </w:p>
    <w:p w:rsidR="00A92422" w:rsidRPr="00D87B79" w:rsidRDefault="00A92422" w:rsidP="00A92422">
      <w:pPr>
        <w:rPr>
          <w:rFonts w:cs="Tahoma"/>
        </w:rPr>
      </w:pPr>
      <w:r w:rsidRPr="00D87B79">
        <w:rPr>
          <w:rFonts w:cs="Tahoma"/>
          <w:color w:val="000000"/>
          <w:lang w:val="it-IT"/>
        </w:rPr>
        <w:t>Dynamics CRM Mobile</w:t>
      </w:r>
    </w:p>
    <w:p w:rsidR="00A92422" w:rsidRPr="00D87B79" w:rsidRDefault="00A92422" w:rsidP="00A92422">
      <w:pPr>
        <w:rPr>
          <w:rFonts w:cs="Tahoma"/>
        </w:rPr>
      </w:pPr>
      <w:r w:rsidRPr="00D87B79">
        <w:rPr>
          <w:rFonts w:cs="Tahoma"/>
          <w:color w:val="000000"/>
          <w:lang w:val="it-IT"/>
        </w:rPr>
        <w:t>Excel 2010</w:t>
      </w:r>
    </w:p>
    <w:p w:rsidR="00A92422" w:rsidRPr="00D87B79" w:rsidRDefault="00A92422" w:rsidP="00A92422">
      <w:pPr>
        <w:rPr>
          <w:rFonts w:cs="Tahoma"/>
        </w:rPr>
      </w:pPr>
      <w:r w:rsidRPr="00D87B79">
        <w:rPr>
          <w:rFonts w:cs="Tahoma"/>
          <w:color w:val="000000"/>
          <w:lang w:val="it-IT"/>
        </w:rPr>
        <w:t>Exchange Server 2010 External Connector</w:t>
      </w:r>
    </w:p>
    <w:p w:rsidR="00A92422" w:rsidRPr="00D87B79" w:rsidRDefault="00A92422" w:rsidP="00A92422">
      <w:pPr>
        <w:rPr>
          <w:rFonts w:cs="Tahoma"/>
        </w:rPr>
      </w:pPr>
      <w:r w:rsidRPr="00D87B79">
        <w:rPr>
          <w:rFonts w:cs="Tahoma"/>
          <w:color w:val="000000"/>
          <w:lang w:val="it-IT"/>
        </w:rPr>
        <w:t>FAST SearchServer per SharePoint</w:t>
      </w:r>
    </w:p>
    <w:p w:rsidR="00A92422" w:rsidRPr="00D87B79" w:rsidRDefault="00A92422" w:rsidP="00A92422">
      <w:pPr>
        <w:rPr>
          <w:rFonts w:cs="Tahoma"/>
        </w:rPr>
      </w:pPr>
      <w:r w:rsidRPr="00D87B79">
        <w:rPr>
          <w:rFonts w:cs="Tahoma"/>
          <w:color w:val="000000"/>
          <w:lang w:val="it-IT"/>
        </w:rPr>
        <w:t>Forefront Protection Suite</w:t>
      </w:r>
    </w:p>
    <w:p w:rsidR="00A92422" w:rsidRPr="00D87B79" w:rsidRDefault="00A92422" w:rsidP="00A92422">
      <w:pPr>
        <w:rPr>
          <w:rFonts w:cs="Tahoma"/>
        </w:rPr>
      </w:pPr>
      <w:r w:rsidRPr="00D87B79">
        <w:rPr>
          <w:rFonts w:cs="Tahoma"/>
          <w:color w:val="000000"/>
          <w:lang w:val="it-IT"/>
        </w:rPr>
        <w:t>Forefront Security Exchange Server</w:t>
      </w:r>
    </w:p>
    <w:p w:rsidR="00A92422" w:rsidRPr="00D87B79" w:rsidRDefault="00A92422" w:rsidP="00A92422">
      <w:pPr>
        <w:rPr>
          <w:rFonts w:cs="Tahoma"/>
        </w:rPr>
      </w:pPr>
      <w:r w:rsidRPr="00D87B79">
        <w:rPr>
          <w:rFonts w:cs="Tahoma"/>
          <w:color w:val="000000"/>
          <w:lang w:val="it-IT"/>
        </w:rPr>
        <w:t>Forefront Security for Office Communications Server</w:t>
      </w:r>
    </w:p>
    <w:p w:rsidR="00A92422" w:rsidRPr="00D87B79" w:rsidRDefault="00A92422" w:rsidP="00A92422">
      <w:pPr>
        <w:rPr>
          <w:rFonts w:cs="Tahoma"/>
        </w:rPr>
      </w:pPr>
      <w:r w:rsidRPr="00D87B79">
        <w:rPr>
          <w:rFonts w:cs="Tahoma"/>
          <w:color w:val="000000"/>
          <w:lang w:val="it-IT"/>
        </w:rPr>
        <w:t>Forefront Security per SharePoint</w:t>
      </w:r>
    </w:p>
    <w:p w:rsidR="00A92422" w:rsidRPr="00D87B79" w:rsidRDefault="00A92422" w:rsidP="00A92422">
      <w:pPr>
        <w:rPr>
          <w:rFonts w:cs="Tahoma"/>
        </w:rPr>
      </w:pPr>
      <w:r w:rsidRPr="00D87B79">
        <w:rPr>
          <w:rFonts w:cs="Tahoma"/>
          <w:color w:val="000000"/>
          <w:lang w:val="it-IT"/>
        </w:rPr>
        <w:t>Forefront Security Server Management Console</w:t>
      </w:r>
    </w:p>
    <w:p w:rsidR="00A92422" w:rsidRPr="00D87B79" w:rsidRDefault="00A92422" w:rsidP="00A92422">
      <w:pPr>
        <w:rPr>
          <w:rFonts w:cs="Tahoma"/>
        </w:rPr>
      </w:pPr>
      <w:r w:rsidRPr="00D87B79">
        <w:rPr>
          <w:rFonts w:cs="Tahoma"/>
          <w:color w:val="000000"/>
          <w:lang w:val="it-IT"/>
        </w:rPr>
        <w:t>Forefront Security Web</w:t>
      </w:r>
    </w:p>
    <w:p w:rsidR="00A92422" w:rsidRPr="00D87B79" w:rsidRDefault="00A92422" w:rsidP="00A92422">
      <w:pPr>
        <w:rPr>
          <w:rFonts w:cs="Tahoma"/>
        </w:rPr>
      </w:pPr>
      <w:r w:rsidRPr="00D87B79">
        <w:rPr>
          <w:rFonts w:cs="Tahoma"/>
          <w:color w:val="000000"/>
          <w:lang w:val="it-IT"/>
        </w:rPr>
        <w:t>Forefront Threat Management Gateway Enterprise</w:t>
      </w:r>
    </w:p>
    <w:p w:rsidR="00A92422" w:rsidRPr="00D87B79" w:rsidRDefault="00A92422" w:rsidP="00A92422">
      <w:pPr>
        <w:rPr>
          <w:rFonts w:cs="Tahoma"/>
        </w:rPr>
      </w:pPr>
      <w:r w:rsidRPr="00D87B79">
        <w:rPr>
          <w:rFonts w:cs="Tahoma"/>
          <w:color w:val="000000"/>
          <w:lang w:val="it-IT"/>
        </w:rPr>
        <w:t>Forefront Threat Management Gateway Medium Business</w:t>
      </w:r>
    </w:p>
    <w:p w:rsidR="00A92422" w:rsidRPr="00D87B79" w:rsidRDefault="00A92422" w:rsidP="00A92422">
      <w:pPr>
        <w:rPr>
          <w:rFonts w:cs="Tahoma"/>
        </w:rPr>
      </w:pPr>
      <w:r w:rsidRPr="00D87B79">
        <w:rPr>
          <w:rFonts w:cs="Tahoma"/>
          <w:color w:val="000000"/>
          <w:lang w:val="it-IT"/>
        </w:rPr>
        <w:t>Forefront Threat Management Gateway Standard</w:t>
      </w:r>
    </w:p>
    <w:p w:rsidR="00A92422" w:rsidRPr="00D87B79" w:rsidRDefault="00A92422" w:rsidP="00A92422">
      <w:pPr>
        <w:rPr>
          <w:rFonts w:cs="Tahoma"/>
        </w:rPr>
      </w:pPr>
      <w:r w:rsidRPr="00D87B79">
        <w:rPr>
          <w:rFonts w:cs="Tahoma"/>
          <w:color w:val="000000"/>
          <w:lang w:val="it-IT"/>
        </w:rPr>
        <w:t>Forefront Threat Management Gateway Web Protection Service</w:t>
      </w:r>
    </w:p>
    <w:p w:rsidR="00A92422" w:rsidRPr="00D87B79" w:rsidRDefault="00A92422" w:rsidP="00A92422">
      <w:pPr>
        <w:rPr>
          <w:rFonts w:cs="Tahoma"/>
        </w:rPr>
      </w:pPr>
      <w:r w:rsidRPr="00D87B79">
        <w:rPr>
          <w:rFonts w:cs="Tahoma"/>
          <w:color w:val="000000"/>
          <w:lang w:val="it-IT"/>
        </w:rPr>
        <w:t>Forefront Protection 2010 for Exchange Server</w:t>
      </w:r>
    </w:p>
    <w:p w:rsidR="00A92422" w:rsidRPr="00D87B79" w:rsidRDefault="00A92422" w:rsidP="00A92422">
      <w:pPr>
        <w:rPr>
          <w:rFonts w:cs="Tahoma"/>
        </w:rPr>
      </w:pPr>
      <w:r w:rsidRPr="00D87B79">
        <w:rPr>
          <w:rFonts w:cs="Tahoma"/>
          <w:color w:val="000000"/>
          <w:lang w:val="it-IT"/>
        </w:rPr>
        <w:t>External Connector per Forefront Protection 2010 for Exchange Server</w:t>
      </w:r>
    </w:p>
    <w:p w:rsidR="00A92422" w:rsidRPr="00D87B79" w:rsidRDefault="00A92422" w:rsidP="00A92422">
      <w:pPr>
        <w:rPr>
          <w:rFonts w:cs="Tahoma"/>
        </w:rPr>
      </w:pPr>
      <w:r w:rsidRPr="00D87B79">
        <w:rPr>
          <w:rFonts w:cs="Tahoma"/>
          <w:color w:val="000000"/>
          <w:lang w:val="it-IT"/>
        </w:rPr>
        <w:t>Forefront Protection for SharePoint</w:t>
      </w:r>
    </w:p>
    <w:p w:rsidR="00A92422" w:rsidRPr="00D87B79" w:rsidRDefault="00A92422" w:rsidP="00A92422">
      <w:pPr>
        <w:rPr>
          <w:rFonts w:cs="Tahoma"/>
        </w:rPr>
      </w:pPr>
      <w:r w:rsidRPr="00D87B79">
        <w:rPr>
          <w:rFonts w:cs="Tahoma"/>
          <w:color w:val="000000"/>
          <w:lang w:val="it-IT"/>
        </w:rPr>
        <w:t>Groove Enterprise Services</w:t>
      </w:r>
    </w:p>
    <w:p w:rsidR="00A92422" w:rsidRPr="00D87B79" w:rsidRDefault="00A92422" w:rsidP="00A92422">
      <w:pPr>
        <w:rPr>
          <w:rFonts w:cs="Tahoma"/>
        </w:rPr>
      </w:pPr>
      <w:r w:rsidRPr="00D87B79">
        <w:rPr>
          <w:rFonts w:cs="Tahoma"/>
          <w:color w:val="000000"/>
          <w:lang w:val="it-IT"/>
        </w:rPr>
        <w:t>Groove Server</w:t>
      </w:r>
    </w:p>
    <w:p w:rsidR="00A92422" w:rsidRPr="00D87B79" w:rsidRDefault="00A92422" w:rsidP="00A92422">
      <w:pPr>
        <w:rPr>
          <w:rFonts w:cs="Tahoma"/>
        </w:rPr>
      </w:pPr>
      <w:r w:rsidRPr="00D87B79">
        <w:rPr>
          <w:rFonts w:cs="Tahoma"/>
          <w:color w:val="000000"/>
          <w:lang w:val="it-IT"/>
        </w:rPr>
        <w:t>InfoPath 2010</w:t>
      </w:r>
    </w:p>
    <w:p w:rsidR="00A92422" w:rsidRPr="00D87B79" w:rsidRDefault="00A92422" w:rsidP="00A92422">
      <w:pPr>
        <w:rPr>
          <w:rFonts w:cs="Tahoma"/>
        </w:rPr>
      </w:pPr>
      <w:r w:rsidRPr="00D87B79">
        <w:rPr>
          <w:rFonts w:cs="Tahoma"/>
          <w:color w:val="000000"/>
          <w:lang w:val="it-IT"/>
        </w:rPr>
        <w:t>Lync 2010</w:t>
      </w:r>
    </w:p>
    <w:p w:rsidR="00A92422" w:rsidRPr="00D87B79" w:rsidRDefault="00A92422" w:rsidP="00A92422">
      <w:pPr>
        <w:rPr>
          <w:rFonts w:cs="Tahoma"/>
        </w:rPr>
      </w:pPr>
      <w:r w:rsidRPr="00D87B79">
        <w:rPr>
          <w:rFonts w:cs="Tahoma"/>
          <w:color w:val="000000"/>
          <w:lang w:val="it-IT"/>
        </w:rPr>
        <w:t>Lync Server 2010 Enterprise Edition</w:t>
      </w:r>
    </w:p>
    <w:p w:rsidR="00A92422" w:rsidRPr="00D87B79" w:rsidRDefault="00A92422" w:rsidP="00A92422">
      <w:pPr>
        <w:rPr>
          <w:rFonts w:cs="Tahoma"/>
        </w:rPr>
      </w:pPr>
      <w:r w:rsidRPr="00D87B79">
        <w:rPr>
          <w:rFonts w:cs="Tahoma"/>
          <w:color w:val="000000"/>
          <w:lang w:val="it-IT"/>
        </w:rPr>
        <w:t>Enterprise External Connector per Lync Server 2010</w:t>
      </w:r>
    </w:p>
    <w:p w:rsidR="00A92422" w:rsidRPr="00D87B79" w:rsidRDefault="00A92422" w:rsidP="00A92422">
      <w:pPr>
        <w:rPr>
          <w:rFonts w:cs="Tahoma"/>
        </w:rPr>
      </w:pPr>
      <w:r w:rsidRPr="00D87B79">
        <w:rPr>
          <w:rFonts w:cs="Tahoma"/>
          <w:color w:val="000000"/>
          <w:lang w:val="it-IT"/>
        </w:rPr>
        <w:t>Plus External Connector per Lync Server 2010</w:t>
      </w:r>
    </w:p>
    <w:p w:rsidR="00A92422" w:rsidRPr="00D87B79" w:rsidRDefault="00A92422" w:rsidP="00A92422">
      <w:pPr>
        <w:rPr>
          <w:rFonts w:cs="Tahoma"/>
        </w:rPr>
      </w:pPr>
      <w:r w:rsidRPr="00D87B79">
        <w:rPr>
          <w:rFonts w:cs="Tahoma"/>
          <w:color w:val="000000"/>
          <w:lang w:val="it-IT"/>
        </w:rPr>
        <w:t>Standard External Connector per Lync Server 2010</w:t>
      </w:r>
    </w:p>
    <w:p w:rsidR="00A92422" w:rsidRPr="00D87B79" w:rsidRDefault="00A92422" w:rsidP="00A92422">
      <w:pPr>
        <w:rPr>
          <w:rFonts w:cs="Tahoma"/>
        </w:rPr>
      </w:pPr>
      <w:r w:rsidRPr="00D87B79">
        <w:rPr>
          <w:rFonts w:cs="Tahoma"/>
          <w:color w:val="000000"/>
          <w:lang w:val="it-IT"/>
        </w:rPr>
        <w:t>Lync Server 2010 Standard Edition</w:t>
      </w:r>
    </w:p>
    <w:p w:rsidR="00A92422" w:rsidRPr="00D87B79" w:rsidRDefault="00A92422" w:rsidP="00A92422">
      <w:pPr>
        <w:rPr>
          <w:rFonts w:cs="Tahoma"/>
        </w:rPr>
      </w:pPr>
      <w:r w:rsidRPr="00D87B79">
        <w:rPr>
          <w:rFonts w:cs="Tahoma"/>
          <w:color w:val="000000"/>
          <w:lang w:val="it-IT"/>
        </w:rPr>
        <w:t>Office Groove Enterprise Services</w:t>
      </w:r>
    </w:p>
    <w:p w:rsidR="00A92422" w:rsidRPr="00D87B79" w:rsidRDefault="00A92422" w:rsidP="00A92422">
      <w:pPr>
        <w:rPr>
          <w:rFonts w:cs="Tahoma"/>
        </w:rPr>
      </w:pPr>
      <w:r w:rsidRPr="00D87B79">
        <w:rPr>
          <w:rFonts w:cs="Tahoma"/>
          <w:color w:val="000000"/>
          <w:lang w:val="it-IT"/>
        </w:rPr>
        <w:t>Office Multi-Language Pack 2010</w:t>
      </w:r>
    </w:p>
    <w:p w:rsidR="00A92422" w:rsidRPr="00D87B79" w:rsidRDefault="00A92422" w:rsidP="00A92422">
      <w:pPr>
        <w:rPr>
          <w:rFonts w:cs="Tahoma"/>
        </w:rPr>
      </w:pPr>
      <w:r w:rsidRPr="00D87B79">
        <w:rPr>
          <w:rFonts w:cs="Tahoma"/>
          <w:color w:val="000000"/>
          <w:lang w:val="it-IT"/>
        </w:rPr>
        <w:lastRenderedPageBreak/>
        <w:t>Office Professional Plus 2010</w:t>
      </w:r>
    </w:p>
    <w:p w:rsidR="00A92422" w:rsidRPr="00D87B79" w:rsidRDefault="00A92422" w:rsidP="00A92422">
      <w:pPr>
        <w:rPr>
          <w:rFonts w:cs="Tahoma"/>
        </w:rPr>
      </w:pPr>
      <w:r w:rsidRPr="00D87B79">
        <w:rPr>
          <w:rFonts w:cs="Tahoma"/>
          <w:color w:val="000000"/>
          <w:lang w:val="it-IT"/>
        </w:rPr>
        <w:t>Office Standard 2010</w:t>
      </w:r>
    </w:p>
    <w:p w:rsidR="00A92422" w:rsidRPr="00D87B79" w:rsidRDefault="00A92422" w:rsidP="00A92422">
      <w:pPr>
        <w:rPr>
          <w:rFonts w:cs="Tahoma"/>
        </w:rPr>
      </w:pPr>
      <w:r w:rsidRPr="00D87B79">
        <w:rPr>
          <w:rFonts w:cs="Tahoma"/>
          <w:color w:val="000000"/>
          <w:lang w:val="it-IT"/>
        </w:rPr>
        <w:t>Office Small Business Get Genuine</w:t>
      </w:r>
    </w:p>
    <w:p w:rsidR="00A92422" w:rsidRPr="00D87B79" w:rsidRDefault="00A92422" w:rsidP="00A92422">
      <w:pPr>
        <w:rPr>
          <w:rFonts w:cs="Tahoma"/>
        </w:rPr>
      </w:pPr>
      <w:r w:rsidRPr="00D87B79">
        <w:rPr>
          <w:rFonts w:cs="Tahoma"/>
          <w:color w:val="000000"/>
          <w:lang w:val="it-IT"/>
        </w:rPr>
        <w:t>OneNote 2010</w:t>
      </w:r>
    </w:p>
    <w:p w:rsidR="00A92422" w:rsidRPr="00D87B79" w:rsidRDefault="00A92422" w:rsidP="00A92422">
      <w:pPr>
        <w:rPr>
          <w:rFonts w:cs="Tahoma"/>
        </w:rPr>
      </w:pPr>
      <w:r w:rsidRPr="00D87B79">
        <w:rPr>
          <w:rFonts w:cs="Tahoma"/>
          <w:color w:val="000000"/>
          <w:lang w:val="it-IT"/>
        </w:rPr>
        <w:t>Outlook 2010</w:t>
      </w:r>
    </w:p>
    <w:p w:rsidR="00A92422" w:rsidRPr="00D87B79" w:rsidRDefault="00A92422" w:rsidP="00A92422">
      <w:pPr>
        <w:rPr>
          <w:rFonts w:cs="Tahoma"/>
        </w:rPr>
      </w:pPr>
      <w:r w:rsidRPr="00D87B79">
        <w:rPr>
          <w:rFonts w:cs="Tahoma"/>
          <w:color w:val="000000"/>
          <w:lang w:val="it-IT"/>
        </w:rPr>
        <w:t>Outlook con Business Contact Manager</w:t>
      </w:r>
    </w:p>
    <w:p w:rsidR="00A92422" w:rsidRPr="00D87B79" w:rsidRDefault="00A92422" w:rsidP="00A92422">
      <w:pPr>
        <w:rPr>
          <w:rFonts w:cs="Tahoma"/>
        </w:rPr>
      </w:pPr>
      <w:r w:rsidRPr="00D87B79">
        <w:rPr>
          <w:rFonts w:cs="Tahoma"/>
          <w:color w:val="000000"/>
          <w:lang w:val="it-IT"/>
        </w:rPr>
        <w:t>PowerPoint 2010</w:t>
      </w:r>
    </w:p>
    <w:p w:rsidR="00A92422" w:rsidRPr="00D87B79" w:rsidRDefault="00A92422" w:rsidP="00A92422">
      <w:pPr>
        <w:rPr>
          <w:rFonts w:cs="Tahoma"/>
        </w:rPr>
      </w:pPr>
      <w:r w:rsidRPr="00D87B79">
        <w:rPr>
          <w:rFonts w:cs="Tahoma"/>
          <w:color w:val="000000"/>
          <w:lang w:val="it-IT"/>
        </w:rPr>
        <w:t>Project 2010 Standard</w:t>
      </w:r>
    </w:p>
    <w:p w:rsidR="00A92422" w:rsidRPr="00D87B79" w:rsidRDefault="00A92422" w:rsidP="00A92422">
      <w:pPr>
        <w:rPr>
          <w:rFonts w:cs="Tahoma"/>
        </w:rPr>
      </w:pPr>
      <w:r w:rsidRPr="00D87B79">
        <w:rPr>
          <w:rFonts w:cs="Tahoma"/>
          <w:color w:val="000000"/>
          <w:lang w:val="it-IT"/>
        </w:rPr>
        <w:t>Project 2010 Professional</w:t>
      </w:r>
    </w:p>
    <w:p w:rsidR="00A92422" w:rsidRPr="00D87B79" w:rsidRDefault="00A92422" w:rsidP="00A92422">
      <w:pPr>
        <w:rPr>
          <w:rFonts w:cs="Tahoma"/>
        </w:rPr>
      </w:pPr>
      <w:r w:rsidRPr="00D87B79">
        <w:rPr>
          <w:rFonts w:cs="Tahoma"/>
          <w:color w:val="000000"/>
          <w:lang w:val="it-IT"/>
        </w:rPr>
        <w:t>Search Server 2010</w:t>
      </w:r>
    </w:p>
    <w:p w:rsidR="00A92422" w:rsidRPr="00D87B79" w:rsidRDefault="00A92422" w:rsidP="00A92422">
      <w:pPr>
        <w:rPr>
          <w:rFonts w:cs="Tahoma"/>
        </w:rPr>
      </w:pPr>
      <w:r w:rsidRPr="00D87B79">
        <w:rPr>
          <w:rFonts w:cs="Tahoma"/>
          <w:color w:val="000000"/>
          <w:lang w:val="it-IT"/>
        </w:rPr>
        <w:t>SharePoint Server 2010 for Internet Sites Enterprise</w:t>
      </w:r>
    </w:p>
    <w:p w:rsidR="00A92422" w:rsidRPr="00D87B79" w:rsidRDefault="00A92422" w:rsidP="00A92422">
      <w:pPr>
        <w:rPr>
          <w:rFonts w:cs="Tahoma"/>
        </w:rPr>
      </w:pPr>
      <w:r w:rsidRPr="00D87B79">
        <w:rPr>
          <w:rFonts w:cs="Tahoma"/>
          <w:color w:val="000000"/>
          <w:lang w:val="it-IT"/>
        </w:rPr>
        <w:t>SharePoint Server 2010 for Internet Sites Standard</w:t>
      </w:r>
    </w:p>
    <w:p w:rsidR="00A92422" w:rsidRPr="00D87B79" w:rsidRDefault="00A92422" w:rsidP="00A92422">
      <w:pPr>
        <w:rPr>
          <w:rFonts w:cs="Tahoma"/>
        </w:rPr>
      </w:pPr>
      <w:r w:rsidRPr="00D87B79">
        <w:rPr>
          <w:rFonts w:cs="Tahoma"/>
          <w:color w:val="000000"/>
          <w:lang w:val="it-IT"/>
        </w:rPr>
        <w:t>SharePoint Workspace 2010</w:t>
      </w:r>
    </w:p>
    <w:p w:rsidR="00A92422" w:rsidRPr="00D87B79" w:rsidRDefault="00A92422" w:rsidP="00A92422">
      <w:pPr>
        <w:rPr>
          <w:rFonts w:cs="Tahoma"/>
        </w:rPr>
      </w:pPr>
      <w:r w:rsidRPr="00D87B79">
        <w:rPr>
          <w:rFonts w:cs="Tahoma"/>
          <w:color w:val="000000"/>
          <w:lang w:val="it-IT"/>
        </w:rPr>
        <w:t>Visio 2010 Premium</w:t>
      </w:r>
    </w:p>
    <w:p w:rsidR="00A92422" w:rsidRPr="00D87B79" w:rsidRDefault="00A92422" w:rsidP="00A92422">
      <w:pPr>
        <w:rPr>
          <w:rFonts w:cs="Tahoma"/>
        </w:rPr>
      </w:pPr>
      <w:r w:rsidRPr="00D87B79">
        <w:rPr>
          <w:rFonts w:cs="Tahoma"/>
          <w:color w:val="000000"/>
          <w:lang w:val="it-IT"/>
        </w:rPr>
        <w:t>Visio 2010 Standard</w:t>
      </w:r>
    </w:p>
    <w:p w:rsidR="00A92422" w:rsidRPr="00D87B79" w:rsidRDefault="00A92422" w:rsidP="00A92422">
      <w:pPr>
        <w:rPr>
          <w:rFonts w:cs="Tahoma"/>
        </w:rPr>
      </w:pPr>
      <w:r w:rsidRPr="00D87B79">
        <w:rPr>
          <w:rFonts w:cs="Tahoma"/>
          <w:color w:val="000000"/>
          <w:lang w:val="it-IT"/>
        </w:rPr>
        <w:t>Windows Intune (Per Dispositivo)</w:t>
      </w:r>
    </w:p>
    <w:p w:rsidR="00A92422" w:rsidRPr="00D87B79" w:rsidRDefault="00A92422" w:rsidP="00A92422">
      <w:pPr>
        <w:rPr>
          <w:rFonts w:cs="Tahoma"/>
        </w:rPr>
      </w:pPr>
      <w:r w:rsidRPr="00D87B79">
        <w:rPr>
          <w:rFonts w:cs="Tahoma"/>
          <w:color w:val="000000"/>
          <w:lang w:val="it-IT"/>
        </w:rPr>
        <w:t>Componente Aggiuntivo per Windows Intune (Per Dispositivo)</w:t>
      </w:r>
    </w:p>
    <w:p w:rsidR="00A92422" w:rsidRPr="00D87B79" w:rsidRDefault="00A92422" w:rsidP="00A92422">
      <w:pPr>
        <w:rPr>
          <w:rFonts w:cs="Tahoma"/>
        </w:rPr>
      </w:pPr>
      <w:r w:rsidRPr="00D87B79">
        <w:rPr>
          <w:rFonts w:cs="Tahoma"/>
          <w:color w:val="000000"/>
          <w:lang w:val="it-IT"/>
        </w:rPr>
        <w:t>Windows MultiPoint Server 2011 Standard</w:t>
      </w:r>
    </w:p>
    <w:p w:rsidR="00A92422" w:rsidRPr="00D87B79" w:rsidRDefault="00A92422" w:rsidP="00A92422">
      <w:pPr>
        <w:rPr>
          <w:rFonts w:cs="Tahoma"/>
        </w:rPr>
      </w:pPr>
      <w:r w:rsidRPr="00D87B79">
        <w:rPr>
          <w:rFonts w:cs="Tahoma"/>
          <w:color w:val="000000"/>
          <w:lang w:val="it-IT"/>
        </w:rPr>
        <w:t>Windows MultiPoint Server 2011 Premium</w:t>
      </w:r>
    </w:p>
    <w:p w:rsidR="00A92422" w:rsidRPr="00D87B79" w:rsidRDefault="00A92422" w:rsidP="00A92422">
      <w:pPr>
        <w:rPr>
          <w:rFonts w:cs="Tahoma"/>
        </w:rPr>
      </w:pPr>
      <w:r w:rsidRPr="00D87B79">
        <w:rPr>
          <w:rFonts w:cs="Tahoma"/>
          <w:color w:val="000000"/>
          <w:lang w:val="it-IT"/>
        </w:rPr>
        <w:t>CAL per Windows MultiPoint Server 2011</w:t>
      </w:r>
    </w:p>
    <w:p w:rsidR="00A92422" w:rsidRPr="00D87B79" w:rsidRDefault="00A92422" w:rsidP="00A92422">
      <w:pPr>
        <w:rPr>
          <w:rFonts w:cs="Tahoma"/>
        </w:rPr>
      </w:pPr>
      <w:r w:rsidRPr="00D87B79">
        <w:rPr>
          <w:rFonts w:cs="Tahoma"/>
          <w:color w:val="000000"/>
          <w:lang w:val="it-IT"/>
        </w:rPr>
        <w:t>CAL per Windows MultiPoint Server 2011 con CAL per Windows Server 2008</w:t>
      </w:r>
    </w:p>
    <w:p w:rsidR="00A92422" w:rsidRPr="00D87B79" w:rsidRDefault="00A92422" w:rsidP="00A92422">
      <w:pPr>
        <w:rPr>
          <w:rFonts w:cs="Tahoma"/>
        </w:rPr>
      </w:pPr>
      <w:r w:rsidRPr="00D87B79">
        <w:rPr>
          <w:rFonts w:cs="Tahoma"/>
          <w:color w:val="000000"/>
          <w:lang w:val="it-IT"/>
        </w:rPr>
        <w:t>CAL per Windows MultiPoint Server 2011 Premium con Windows MultiPoint Server 2011 (5 Client)</w:t>
      </w:r>
    </w:p>
    <w:p w:rsidR="00A92422" w:rsidRPr="00D87B79" w:rsidRDefault="00A92422" w:rsidP="00A92422">
      <w:pPr>
        <w:rPr>
          <w:rFonts w:cs="Tahoma"/>
        </w:rPr>
      </w:pPr>
      <w:r w:rsidRPr="00D87B79">
        <w:rPr>
          <w:rFonts w:cs="Tahoma"/>
          <w:color w:val="000000"/>
          <w:lang w:val="it-IT"/>
        </w:rPr>
        <w:t>CAL per Windows MultiPoint Server 2011 Premium con Windows MultiPoint Server 2011 (5 Client) con CAL per Windows Server 2008 (5 Client)</w:t>
      </w:r>
    </w:p>
    <w:p w:rsidR="00A92422" w:rsidRPr="00D87B79" w:rsidRDefault="00A92422" w:rsidP="00A92422">
      <w:pPr>
        <w:rPr>
          <w:rFonts w:cs="Tahoma"/>
        </w:rPr>
      </w:pPr>
      <w:r w:rsidRPr="00D87B79">
        <w:rPr>
          <w:rFonts w:cs="Tahoma"/>
          <w:color w:val="000000"/>
          <w:lang w:val="it-IT"/>
        </w:rPr>
        <w:t>Word 2010</w:t>
      </w:r>
    </w:p>
    <w:p w:rsidR="00A92422" w:rsidRPr="00D87B79" w:rsidRDefault="00A92422" w:rsidP="00A92422">
      <w:pPr>
        <w:rPr>
          <w:rFonts w:cs="Tahoma"/>
        </w:rPr>
      </w:pPr>
    </w:p>
    <w:p w:rsidR="00A92422" w:rsidRPr="00D87B79" w:rsidRDefault="00A92422" w:rsidP="00A92422">
      <w:pPr>
        <w:rPr>
          <w:rFonts w:cs="Tahoma"/>
        </w:rPr>
      </w:pPr>
    </w:p>
    <w:p w:rsidR="00A92422" w:rsidRPr="00D87B79" w:rsidRDefault="00A92422" w:rsidP="00A92422">
      <w:pPr>
        <w:pStyle w:val="Heading2"/>
        <w:ind w:left="0"/>
        <w:jc w:val="both"/>
        <w:rPr>
          <w:rFonts w:ascii="Tahoma" w:hAnsi="Tahoma" w:cs="Tahoma"/>
        </w:rPr>
      </w:pPr>
      <w:bookmarkStart w:id="679" w:name="_Toc342900221"/>
      <w:r w:rsidRPr="00D87B79">
        <w:rPr>
          <w:rFonts w:ascii="Tahoma" w:hAnsi="Tahoma" w:cs="Tahoma"/>
          <w:color w:val="FF6600"/>
          <w:lang w:val="it-IT"/>
        </w:rPr>
        <w:t>MODIFICHE APPORTATE NEL MESE DI NOVEMBRE 2012</w:t>
      </w:r>
      <w:bookmarkEnd w:id="679"/>
    </w:p>
    <w:p w:rsidR="00A92422" w:rsidRPr="00D87B79" w:rsidRDefault="00A92422" w:rsidP="00A92422">
      <w:pPr>
        <w:pStyle w:val="Heading2"/>
        <w:ind w:left="0"/>
        <w:jc w:val="both"/>
        <w:rPr>
          <w:rFonts w:ascii="Tahoma" w:hAnsi="Tahoma" w:cs="Tahoma"/>
        </w:rPr>
      </w:pPr>
    </w:p>
    <w:p w:rsidR="00A92422" w:rsidRPr="00D87B79" w:rsidRDefault="00A92422" w:rsidP="00A92422">
      <w:pPr>
        <w:rPr>
          <w:rFonts w:cs="Tahoma"/>
        </w:rPr>
      </w:pPr>
      <w:r w:rsidRPr="00D87B79">
        <w:rPr>
          <w:rFonts w:cs="Tahoma"/>
          <w:b/>
          <w:color w:val="000000"/>
          <w:lang w:val="it-IT"/>
        </w:rPr>
        <w:t>Prodotti Aggiunti</w:t>
      </w:r>
    </w:p>
    <w:p w:rsidR="00A92422" w:rsidRPr="00D87B79" w:rsidRDefault="00A92422" w:rsidP="00A92422">
      <w:pPr>
        <w:rPr>
          <w:rFonts w:cs="Tahoma"/>
        </w:rPr>
      </w:pPr>
      <w:r w:rsidRPr="00D87B79">
        <w:rPr>
          <w:rFonts w:cs="Tahoma"/>
          <w:lang w:val="it-IT"/>
        </w:rPr>
        <w:t>Microsoft Windows Server Essentials 2012</w:t>
      </w:r>
    </w:p>
    <w:p w:rsidR="00A92422" w:rsidRPr="00D87B79" w:rsidRDefault="00A92422" w:rsidP="00A92422">
      <w:pPr>
        <w:rPr>
          <w:rFonts w:cs="Tahoma"/>
        </w:rPr>
      </w:pPr>
      <w:r w:rsidRPr="00D87B79">
        <w:rPr>
          <w:rFonts w:cs="Tahoma"/>
          <w:lang w:val="it-IT"/>
        </w:rPr>
        <w:t>Microsoft AutoRoute Euro 2013</w:t>
      </w:r>
    </w:p>
    <w:p w:rsidR="00A92422" w:rsidRPr="00D87B79" w:rsidRDefault="00A92422" w:rsidP="00A92422">
      <w:pPr>
        <w:rPr>
          <w:rFonts w:cs="Tahoma"/>
        </w:rPr>
      </w:pPr>
      <w:r w:rsidRPr="00D87B79">
        <w:rPr>
          <w:rFonts w:cs="Tahoma"/>
          <w:lang w:val="it-IT"/>
        </w:rPr>
        <w:t>Microsoft Desktop Organization Pack 2012 per Software Assurance</w:t>
      </w:r>
    </w:p>
    <w:p w:rsidR="00A92422" w:rsidRPr="00D87B79" w:rsidRDefault="00A92422" w:rsidP="00A92422">
      <w:pPr>
        <w:rPr>
          <w:rFonts w:cs="Tahoma"/>
        </w:rPr>
      </w:pPr>
    </w:p>
    <w:p w:rsidR="00A92422" w:rsidRPr="00D87B79" w:rsidRDefault="00A92422" w:rsidP="00A92422">
      <w:pPr>
        <w:rPr>
          <w:rFonts w:cs="Tahoma"/>
        </w:rPr>
      </w:pPr>
      <w:r w:rsidRPr="00D87B79">
        <w:rPr>
          <w:rFonts w:cs="Tahoma"/>
          <w:b/>
          <w:color w:val="000000"/>
          <w:lang w:val="it-IT"/>
        </w:rPr>
        <w:t>Promozioni</w:t>
      </w:r>
    </w:p>
    <w:p w:rsidR="00A92422" w:rsidRPr="00D87B79" w:rsidRDefault="00A92422" w:rsidP="00A92422">
      <w:pPr>
        <w:rPr>
          <w:rFonts w:cs="Tahoma"/>
        </w:rPr>
      </w:pPr>
      <w:r w:rsidRPr="00D87B79">
        <w:rPr>
          <w:rFonts w:cs="Tahoma"/>
          <w:color w:val="000000"/>
          <w:lang w:val="it-IT"/>
        </w:rPr>
        <w:t>Sono state aggiunte le seguenti promozioni:</w:t>
      </w:r>
    </w:p>
    <w:p w:rsidR="00A92422" w:rsidRPr="00D87B79" w:rsidRDefault="00A92422" w:rsidP="00A92422">
      <w:pPr>
        <w:rPr>
          <w:rFonts w:cs="Tahoma"/>
        </w:rPr>
      </w:pPr>
      <w:r w:rsidRPr="00D87B79">
        <w:rPr>
          <w:rFonts w:cs="Tahoma"/>
          <w:color w:val="000000"/>
          <w:lang w:val="it-IT"/>
        </w:rPr>
        <w:t>Sconto del 30% per l’Aggiornamento a Visual Studio Premium con MSDN</w:t>
      </w:r>
    </w:p>
    <w:p w:rsidR="00A92422" w:rsidRPr="00D87B79" w:rsidRDefault="00A92422" w:rsidP="00A92422">
      <w:pPr>
        <w:rPr>
          <w:rFonts w:cs="Tahoma"/>
        </w:rPr>
      </w:pPr>
      <w:r w:rsidRPr="00D87B79">
        <w:rPr>
          <w:rFonts w:cs="Tahoma"/>
          <w:lang w:val="it-IT"/>
        </w:rPr>
        <w:t>Step-Up a Windows 8 con SA</w:t>
      </w:r>
    </w:p>
    <w:p w:rsidR="00A92422" w:rsidRPr="00D87B79" w:rsidRDefault="00A92422" w:rsidP="00A92422">
      <w:pPr>
        <w:rPr>
          <w:rFonts w:cs="Tahoma"/>
        </w:rPr>
      </w:pPr>
      <w:r w:rsidRPr="00D87B79">
        <w:rPr>
          <w:rFonts w:cs="Tahoma"/>
          <w:lang w:val="it-IT"/>
        </w:rPr>
        <w:t>Sconto Promozionale del 20% per PC Nuovi con Windows Intune</w:t>
      </w:r>
    </w:p>
    <w:p w:rsidR="00A92422" w:rsidRPr="00D87B79" w:rsidRDefault="00A92422" w:rsidP="00A92422">
      <w:pPr>
        <w:rPr>
          <w:rFonts w:cs="Tahoma"/>
        </w:rPr>
      </w:pPr>
    </w:p>
    <w:p w:rsidR="00A92422" w:rsidRPr="00D87B79" w:rsidRDefault="00A92422" w:rsidP="00A92422">
      <w:pPr>
        <w:keepNext/>
        <w:rPr>
          <w:rFonts w:cs="Tahoma"/>
        </w:rPr>
      </w:pPr>
      <w:r w:rsidRPr="00D87B79">
        <w:rPr>
          <w:rFonts w:cs="Tahoma"/>
          <w:b/>
          <w:color w:val="000000"/>
          <w:lang w:val="it-IT"/>
        </w:rPr>
        <w:t>Modifiche</w:t>
      </w:r>
    </w:p>
    <w:p w:rsidR="00A92422" w:rsidRPr="00D87B79" w:rsidRDefault="00A92422" w:rsidP="00A92422">
      <w:pPr>
        <w:keepNext/>
        <w:rPr>
          <w:rFonts w:cs="Tahoma"/>
        </w:rPr>
      </w:pPr>
      <w:r w:rsidRPr="00D87B79">
        <w:rPr>
          <w:rFonts w:cs="Tahoma"/>
          <w:color w:val="000000"/>
          <w:lang w:val="it-IT"/>
        </w:rPr>
        <w:t>Sono stati apportati aggiornamenti ai seguenti prodotti:</w:t>
      </w:r>
    </w:p>
    <w:p w:rsidR="00A92422" w:rsidRPr="00D87B79" w:rsidRDefault="00A92422" w:rsidP="00A92422">
      <w:pPr>
        <w:rPr>
          <w:rFonts w:cs="Tahoma"/>
        </w:rPr>
      </w:pPr>
      <w:r w:rsidRPr="00D87B79">
        <w:rPr>
          <w:rFonts w:cs="Tahoma"/>
          <w:color w:val="000000"/>
          <w:lang w:val="it-IT"/>
        </w:rPr>
        <w:t>Microsoft Desktop Optimization Pack</w:t>
      </w:r>
    </w:p>
    <w:p w:rsidR="00A92422" w:rsidRPr="00D87B79" w:rsidRDefault="00A92422" w:rsidP="00A92422">
      <w:pPr>
        <w:rPr>
          <w:rFonts w:cs="Tahoma"/>
        </w:rPr>
      </w:pPr>
    </w:p>
    <w:p w:rsidR="00A92422" w:rsidRPr="00D87B79" w:rsidRDefault="00A92422" w:rsidP="00A92422">
      <w:pPr>
        <w:rPr>
          <w:rFonts w:cs="Tahoma"/>
        </w:rPr>
      </w:pPr>
      <w:r w:rsidRPr="00D87B79">
        <w:rPr>
          <w:rFonts w:cs="Tahoma"/>
          <w:b/>
          <w:color w:val="000000"/>
          <w:lang w:val="it-IT"/>
        </w:rPr>
        <w:t>Prodotti Eliminati</w:t>
      </w:r>
    </w:p>
    <w:p w:rsidR="00A92422" w:rsidRPr="00D87B79" w:rsidRDefault="00A92422" w:rsidP="00A92422">
      <w:pPr>
        <w:rPr>
          <w:rFonts w:cs="Tahoma"/>
        </w:rPr>
      </w:pPr>
      <w:r w:rsidRPr="00D87B79">
        <w:rPr>
          <w:rFonts w:cs="Tahoma"/>
          <w:lang w:val="it-IT"/>
        </w:rPr>
        <w:t>Windows Small Business Server Essentials 2011</w:t>
      </w:r>
    </w:p>
    <w:p w:rsidR="00A92422" w:rsidRPr="00D87B79" w:rsidRDefault="00A92422" w:rsidP="00A92422">
      <w:pPr>
        <w:rPr>
          <w:rFonts w:cs="Tahoma"/>
        </w:rPr>
      </w:pPr>
      <w:r w:rsidRPr="00D87B79">
        <w:rPr>
          <w:rFonts w:cs="Tahoma"/>
          <w:lang w:val="it-IT"/>
        </w:rPr>
        <w:t>AutoRoute 2011</w:t>
      </w:r>
    </w:p>
    <w:p w:rsidR="00A92422" w:rsidRPr="00D87B79" w:rsidRDefault="00A92422" w:rsidP="00A92422">
      <w:pPr>
        <w:rPr>
          <w:rFonts w:cs="Tahoma"/>
        </w:rPr>
      </w:pPr>
      <w:r w:rsidRPr="00D87B79">
        <w:rPr>
          <w:rFonts w:cs="Tahoma"/>
          <w:lang w:val="it-IT"/>
        </w:rPr>
        <w:t>Microsoft Desktop Optimization Pack 2011 R2 per Software Assurance.</w:t>
      </w:r>
    </w:p>
    <w:p w:rsidR="00A92422" w:rsidRPr="00512E2A" w:rsidRDefault="00A92422" w:rsidP="00A92422">
      <w:pPr>
        <w:pStyle w:val="Heading2"/>
        <w:ind w:left="0"/>
        <w:jc w:val="both"/>
        <w:rPr>
          <w:rFonts w:ascii="Tahoma" w:hAnsi="Tahoma" w:cs="Tahoma"/>
          <w:sz w:val="18"/>
          <w:szCs w:val="18"/>
        </w:rPr>
      </w:pPr>
    </w:p>
    <w:p w:rsidR="00A92422" w:rsidRPr="00512E2A" w:rsidRDefault="00A92422" w:rsidP="00A92422">
      <w:pPr>
        <w:pStyle w:val="Heading2"/>
        <w:ind w:left="0"/>
        <w:jc w:val="both"/>
        <w:rPr>
          <w:rFonts w:ascii="Tahoma" w:hAnsi="Tahoma" w:cs="Tahoma"/>
          <w:sz w:val="18"/>
          <w:szCs w:val="18"/>
        </w:rPr>
      </w:pPr>
    </w:p>
    <w:p w:rsidR="00A92422" w:rsidRPr="00D87B79" w:rsidRDefault="00A92422" w:rsidP="00A92422">
      <w:pPr>
        <w:pStyle w:val="Heading2"/>
        <w:ind w:left="0"/>
        <w:jc w:val="both"/>
        <w:rPr>
          <w:rFonts w:ascii="Tahoma" w:hAnsi="Tahoma" w:cs="Tahoma"/>
        </w:rPr>
      </w:pPr>
      <w:bookmarkStart w:id="680" w:name="_Toc336338169"/>
      <w:bookmarkStart w:id="681" w:name="_Toc342900222"/>
      <w:bookmarkEnd w:id="680"/>
      <w:r w:rsidRPr="00D87B79">
        <w:rPr>
          <w:rFonts w:ascii="Tahoma" w:hAnsi="Tahoma" w:cs="Tahoma"/>
          <w:color w:val="FF6600"/>
          <w:lang w:val="it-IT"/>
        </w:rPr>
        <w:t>MODIFICHE APPORTATE NEL MESE DI OTTOBRE 2012</w:t>
      </w:r>
      <w:bookmarkEnd w:id="681"/>
    </w:p>
    <w:p w:rsidR="00A92422" w:rsidRPr="00D87B79" w:rsidRDefault="00A92422" w:rsidP="00A92422">
      <w:pPr>
        <w:rPr>
          <w:rFonts w:cs="Tahoma"/>
        </w:rPr>
      </w:pPr>
    </w:p>
    <w:p w:rsidR="00A92422" w:rsidRPr="00D87B79" w:rsidRDefault="00A92422" w:rsidP="00A92422">
      <w:pPr>
        <w:rPr>
          <w:rFonts w:cs="Tahoma"/>
        </w:rPr>
      </w:pPr>
      <w:r w:rsidRPr="00D87B79">
        <w:rPr>
          <w:rFonts w:cs="Tahoma"/>
          <w:b/>
          <w:color w:val="000000"/>
          <w:lang w:val="it-IT"/>
        </w:rPr>
        <w:t>Prodotti Aggiunti</w:t>
      </w:r>
    </w:p>
    <w:p w:rsidR="00A92422" w:rsidRPr="00D87B79" w:rsidRDefault="00A92422" w:rsidP="00A92422">
      <w:pPr>
        <w:rPr>
          <w:rFonts w:cs="Tahoma"/>
        </w:rPr>
      </w:pPr>
      <w:r w:rsidRPr="00D87B79">
        <w:rPr>
          <w:rFonts w:cs="Tahoma"/>
          <w:color w:val="000000"/>
          <w:lang w:val="it-IT"/>
        </w:rPr>
        <w:t>Licenza “Subscription” per Windows Companion</w:t>
      </w:r>
    </w:p>
    <w:p w:rsidR="00A92422" w:rsidRPr="00D87B79" w:rsidRDefault="00A92422" w:rsidP="00A92422">
      <w:pPr>
        <w:rPr>
          <w:rFonts w:cs="Tahoma"/>
        </w:rPr>
      </w:pPr>
    </w:p>
    <w:p w:rsidR="00A92422" w:rsidRPr="00D87B79" w:rsidRDefault="00A92422" w:rsidP="00A92422">
      <w:pPr>
        <w:rPr>
          <w:rFonts w:cs="Tahoma"/>
        </w:rPr>
      </w:pPr>
      <w:r w:rsidRPr="00D87B79">
        <w:rPr>
          <w:rFonts w:cs="Tahoma"/>
          <w:b/>
          <w:color w:val="000000"/>
          <w:lang w:val="it-IT"/>
        </w:rPr>
        <w:t>Modifiche</w:t>
      </w:r>
    </w:p>
    <w:p w:rsidR="00A92422" w:rsidRPr="00D87B79" w:rsidRDefault="00A92422" w:rsidP="00A92422">
      <w:pPr>
        <w:rPr>
          <w:rFonts w:cs="Tahoma"/>
        </w:rPr>
      </w:pPr>
      <w:r w:rsidRPr="00D87B79">
        <w:rPr>
          <w:rFonts w:cs="Tahoma"/>
          <w:color w:val="000000"/>
          <w:lang w:val="it-IT"/>
        </w:rPr>
        <w:t>Il valore di punti è cambiato per i seguenti prodotti:</w:t>
      </w:r>
    </w:p>
    <w:p w:rsidR="00A92422" w:rsidRPr="00D87B79" w:rsidRDefault="00A92422" w:rsidP="00A92422">
      <w:pPr>
        <w:rPr>
          <w:rFonts w:cs="Tahoma"/>
        </w:rPr>
      </w:pPr>
      <w:r w:rsidRPr="00D87B79">
        <w:rPr>
          <w:rFonts w:cs="Tahoma"/>
          <w:color w:val="000000"/>
          <w:lang w:val="it-IT"/>
        </w:rPr>
        <w:t>Core Infrastructure Server Suite Datacenter</w:t>
      </w:r>
    </w:p>
    <w:p w:rsidR="00A92422" w:rsidRPr="00D87B79" w:rsidRDefault="00A92422" w:rsidP="00A92422">
      <w:pPr>
        <w:rPr>
          <w:rFonts w:cs="Tahoma"/>
        </w:rPr>
      </w:pPr>
      <w:r w:rsidRPr="00D87B79">
        <w:rPr>
          <w:rFonts w:cs="Tahoma"/>
          <w:color w:val="000000"/>
          <w:lang w:val="it-IT"/>
        </w:rPr>
        <w:lastRenderedPageBreak/>
        <w:t>Core Infrastructure Server Suite Standard</w:t>
      </w:r>
    </w:p>
    <w:p w:rsidR="00A92422" w:rsidRPr="00D87B79" w:rsidRDefault="00A92422" w:rsidP="00A92422">
      <w:pPr>
        <w:rPr>
          <w:rFonts w:cs="Tahoma"/>
        </w:rPr>
      </w:pPr>
      <w:r w:rsidRPr="00D87B79">
        <w:rPr>
          <w:rFonts w:cs="Tahoma"/>
          <w:color w:val="000000"/>
          <w:lang w:val="it-IT"/>
        </w:rPr>
        <w:t>Licenza di Gestione Server Standard per System Center 2012 (2 processori)</w:t>
      </w:r>
    </w:p>
    <w:p w:rsidR="00A92422" w:rsidRPr="00D87B79" w:rsidRDefault="00A92422" w:rsidP="00A92422">
      <w:pPr>
        <w:rPr>
          <w:rFonts w:cs="Tahoma"/>
        </w:rPr>
      </w:pPr>
      <w:r w:rsidRPr="00D87B79">
        <w:rPr>
          <w:rFonts w:cs="Tahoma"/>
          <w:color w:val="000000"/>
          <w:lang w:val="it-IT"/>
        </w:rPr>
        <w:t>Licenza di Gestione Server per System Center2012 Datacenter (2 processori)</w:t>
      </w:r>
    </w:p>
    <w:p w:rsidR="00A92422" w:rsidRPr="00D87B79" w:rsidRDefault="00A92422" w:rsidP="00A92422">
      <w:pPr>
        <w:rPr>
          <w:rFonts w:cs="Tahoma"/>
        </w:rPr>
      </w:pPr>
      <w:r w:rsidRPr="00D87B79">
        <w:rPr>
          <w:rFonts w:cs="Tahoma"/>
          <w:color w:val="000000"/>
          <w:lang w:val="it-IT"/>
        </w:rPr>
        <w:t>System Center Configuration Manager 2007 R3</w:t>
      </w:r>
    </w:p>
    <w:p w:rsidR="00A92422" w:rsidRPr="00D87B79" w:rsidRDefault="00A92422" w:rsidP="00A92422">
      <w:pPr>
        <w:rPr>
          <w:rFonts w:cs="Tahoma"/>
        </w:rPr>
      </w:pPr>
      <w:r w:rsidRPr="00D87B79">
        <w:rPr>
          <w:rFonts w:cs="Tahoma"/>
          <w:color w:val="000000"/>
          <w:lang w:val="it-IT"/>
        </w:rPr>
        <w:t>Licenza di Gestione Server Enterprise per System Center Configuration Manager 2007 R3</w:t>
      </w:r>
      <w:r w:rsidRPr="00D87B79">
        <w:rPr>
          <w:rFonts w:cs="Tahoma"/>
        </w:rPr>
        <w:t xml:space="preserve"> </w:t>
      </w:r>
    </w:p>
    <w:p w:rsidR="00A92422" w:rsidRPr="00D87B79" w:rsidRDefault="00A92422" w:rsidP="00A92422">
      <w:pPr>
        <w:rPr>
          <w:rFonts w:cs="Tahoma"/>
        </w:rPr>
      </w:pPr>
      <w:r w:rsidRPr="00D87B79">
        <w:rPr>
          <w:rFonts w:cs="Tahoma"/>
          <w:color w:val="000000"/>
          <w:lang w:val="it-IT"/>
        </w:rPr>
        <w:t>Licenza di Gestione Server Standard (Standard Server ML) per System Center Configuration Manager 2007 R3</w:t>
      </w:r>
    </w:p>
    <w:p w:rsidR="00A92422" w:rsidRPr="00D87B79" w:rsidRDefault="00A92422" w:rsidP="00A92422">
      <w:pPr>
        <w:rPr>
          <w:rFonts w:cs="Tahoma"/>
        </w:rPr>
      </w:pPr>
      <w:r w:rsidRPr="00D87B79">
        <w:rPr>
          <w:rFonts w:cs="Tahoma"/>
          <w:color w:val="000000"/>
          <w:lang w:val="it-IT"/>
        </w:rPr>
        <w:t>System Center Configuration Manager 2007 R3 con Tecnologia SQL Server 2008</w:t>
      </w:r>
    </w:p>
    <w:p w:rsidR="00A92422" w:rsidRPr="00D87B79" w:rsidRDefault="00A92422" w:rsidP="00A92422">
      <w:pPr>
        <w:rPr>
          <w:rFonts w:cs="Tahoma"/>
        </w:rPr>
      </w:pPr>
      <w:r w:rsidRPr="00D87B79">
        <w:rPr>
          <w:rFonts w:cs="Tahoma"/>
          <w:color w:val="000000"/>
          <w:lang w:val="it-IT"/>
        </w:rPr>
        <w:t>Licenza di Gestione Client per Utente per System Center Data Protection Manager 2010</w:t>
      </w:r>
    </w:p>
    <w:p w:rsidR="00A92422" w:rsidRPr="00D87B79" w:rsidRDefault="00A92422" w:rsidP="00A92422">
      <w:pPr>
        <w:rPr>
          <w:rFonts w:cs="Tahoma"/>
        </w:rPr>
      </w:pPr>
      <w:r w:rsidRPr="00D87B79">
        <w:rPr>
          <w:rFonts w:cs="Tahoma"/>
          <w:color w:val="000000"/>
          <w:lang w:val="it-IT"/>
        </w:rPr>
        <w:t>Licenza di Gestione Client per OSE per System Center Data Protection Manager 2010</w:t>
      </w:r>
    </w:p>
    <w:p w:rsidR="00A92422" w:rsidRPr="00D87B79" w:rsidRDefault="00A92422" w:rsidP="00A92422">
      <w:pPr>
        <w:rPr>
          <w:rFonts w:cs="Tahoma"/>
        </w:rPr>
      </w:pPr>
      <w:r w:rsidRPr="00D87B79">
        <w:rPr>
          <w:rFonts w:cs="Tahoma"/>
          <w:color w:val="000000"/>
          <w:lang w:val="it-IT"/>
        </w:rPr>
        <w:t>Licenza di Gestione Server Enterprise per System Center Data Protection Manager 2010</w:t>
      </w:r>
      <w:r w:rsidRPr="00D87B79">
        <w:rPr>
          <w:rFonts w:cs="Tahoma"/>
        </w:rPr>
        <w:t xml:space="preserve"> </w:t>
      </w:r>
    </w:p>
    <w:p w:rsidR="00A92422" w:rsidRPr="00D87B79" w:rsidRDefault="00A92422" w:rsidP="00A92422">
      <w:pPr>
        <w:rPr>
          <w:rFonts w:cs="Tahoma"/>
        </w:rPr>
      </w:pPr>
      <w:r w:rsidRPr="00D87B79">
        <w:rPr>
          <w:rFonts w:cs="Tahoma"/>
          <w:color w:val="000000"/>
          <w:lang w:val="it-IT"/>
        </w:rPr>
        <w:t>Licenza di Gestione Server Standard per System Center Data Protection Manager 2010</w:t>
      </w:r>
      <w:r w:rsidRPr="00D87B79">
        <w:rPr>
          <w:rFonts w:cs="Tahoma"/>
        </w:rPr>
        <w:t xml:space="preserve"> </w:t>
      </w:r>
    </w:p>
    <w:p w:rsidR="00A92422" w:rsidRPr="00D87B79" w:rsidRDefault="00A92422" w:rsidP="00A92422">
      <w:pPr>
        <w:rPr>
          <w:rFonts w:cs="Tahoma"/>
        </w:rPr>
      </w:pPr>
      <w:r w:rsidRPr="00D87B79">
        <w:rPr>
          <w:rFonts w:cs="Tahoma"/>
          <w:color w:val="000000"/>
          <w:lang w:val="it-IT"/>
        </w:rPr>
        <w:t>System Center Operations Manager 2007 R2</w:t>
      </w:r>
    </w:p>
    <w:p w:rsidR="00A92422" w:rsidRPr="00D87B79" w:rsidRDefault="00A92422" w:rsidP="00A92422">
      <w:pPr>
        <w:rPr>
          <w:rFonts w:cs="Tahoma"/>
        </w:rPr>
      </w:pPr>
      <w:r w:rsidRPr="00D87B79">
        <w:rPr>
          <w:rFonts w:cs="Tahoma"/>
          <w:color w:val="000000"/>
          <w:lang w:val="it-IT"/>
        </w:rPr>
        <w:t>System Center Operations Manager 2007 R2 con Tecnologia SQL Server 2008</w:t>
      </w:r>
    </w:p>
    <w:p w:rsidR="00A92422" w:rsidRPr="00D87B79" w:rsidRDefault="00A92422" w:rsidP="00A92422">
      <w:pPr>
        <w:rPr>
          <w:rFonts w:cs="Tahoma"/>
        </w:rPr>
      </w:pPr>
      <w:r w:rsidRPr="00D87B79">
        <w:rPr>
          <w:rFonts w:cs="Tahoma"/>
          <w:color w:val="000000"/>
          <w:lang w:val="it-IT"/>
        </w:rPr>
        <w:t>Licenza di Gestione Server Standard per System Center Operations Manager 2007 R2</w:t>
      </w:r>
      <w:r w:rsidRPr="00D87B79">
        <w:rPr>
          <w:rFonts w:cs="Tahoma"/>
        </w:rPr>
        <w:t xml:space="preserve"> </w:t>
      </w:r>
    </w:p>
    <w:p w:rsidR="00A92422" w:rsidRPr="00D87B79" w:rsidRDefault="00A92422" w:rsidP="00A92422">
      <w:pPr>
        <w:rPr>
          <w:rFonts w:cs="Tahoma"/>
        </w:rPr>
      </w:pPr>
      <w:r w:rsidRPr="00D87B79">
        <w:rPr>
          <w:rFonts w:cs="Tahoma"/>
          <w:color w:val="000000"/>
          <w:lang w:val="it-IT"/>
        </w:rPr>
        <w:t>Licenza di Gestione Server Enterprise per System Center Operations Manager 2007 R2</w:t>
      </w:r>
      <w:r w:rsidRPr="00D87B79">
        <w:rPr>
          <w:rFonts w:cs="Tahoma"/>
        </w:rPr>
        <w:t xml:space="preserve"> </w:t>
      </w:r>
    </w:p>
    <w:p w:rsidR="00A92422" w:rsidRPr="00D87B79" w:rsidRDefault="00A92422" w:rsidP="00A92422">
      <w:pPr>
        <w:rPr>
          <w:rFonts w:cs="Tahoma"/>
        </w:rPr>
      </w:pPr>
      <w:r w:rsidRPr="00D87B79">
        <w:rPr>
          <w:rFonts w:cs="Tahoma"/>
          <w:color w:val="000000"/>
          <w:lang w:val="it-IT"/>
        </w:rPr>
        <w:t>Licenza di Gestione Client per OSE per System Center Operations Manager 2007 R2</w:t>
      </w:r>
    </w:p>
    <w:p w:rsidR="00A92422" w:rsidRPr="00D87B79" w:rsidRDefault="00A92422" w:rsidP="00A92422">
      <w:pPr>
        <w:rPr>
          <w:rFonts w:cs="Tahoma"/>
        </w:rPr>
      </w:pPr>
      <w:r w:rsidRPr="00D87B79">
        <w:rPr>
          <w:rFonts w:cs="Tahoma"/>
          <w:color w:val="000000"/>
          <w:lang w:val="it-IT"/>
        </w:rPr>
        <w:t>Licenza di Gestione Client per Utente per System Center Operations Manager 2007 R2</w:t>
      </w:r>
    </w:p>
    <w:p w:rsidR="00A92422" w:rsidRPr="00D87B79" w:rsidRDefault="00A92422" w:rsidP="00A92422">
      <w:pPr>
        <w:rPr>
          <w:rFonts w:cs="Tahoma"/>
        </w:rPr>
      </w:pPr>
      <w:r w:rsidRPr="00D87B79">
        <w:rPr>
          <w:rFonts w:cs="Tahoma"/>
          <w:color w:val="000000"/>
          <w:lang w:val="it-IT"/>
        </w:rPr>
        <w:t>System Center Server Management Suite Enterprise</w:t>
      </w:r>
      <w:r w:rsidRPr="00D87B79">
        <w:rPr>
          <w:rFonts w:cs="Tahoma"/>
        </w:rPr>
        <w:t xml:space="preserve"> </w:t>
      </w:r>
    </w:p>
    <w:p w:rsidR="00A92422" w:rsidRPr="00D87B79" w:rsidRDefault="00A92422" w:rsidP="00A92422">
      <w:pPr>
        <w:rPr>
          <w:rFonts w:cs="Tahoma"/>
        </w:rPr>
      </w:pPr>
      <w:r w:rsidRPr="00D87B79">
        <w:rPr>
          <w:rFonts w:cs="Tahoma"/>
          <w:color w:val="000000"/>
          <w:lang w:val="it-IT"/>
        </w:rPr>
        <w:t>System Center Server Management Suite Datacenter</w:t>
      </w:r>
    </w:p>
    <w:p w:rsidR="00A92422" w:rsidRPr="00D87B79" w:rsidRDefault="00A92422" w:rsidP="00A92422">
      <w:pPr>
        <w:rPr>
          <w:rFonts w:cs="Tahoma"/>
        </w:rPr>
      </w:pPr>
      <w:r w:rsidRPr="00D87B79">
        <w:rPr>
          <w:rFonts w:cs="Tahoma"/>
          <w:color w:val="000000"/>
          <w:lang w:val="it-IT"/>
        </w:rPr>
        <w:t>System Center Service Manager 2010</w:t>
      </w:r>
    </w:p>
    <w:p w:rsidR="00A92422" w:rsidRPr="00D87B79" w:rsidRDefault="00A92422" w:rsidP="00A92422">
      <w:pPr>
        <w:rPr>
          <w:rFonts w:cs="Tahoma"/>
        </w:rPr>
      </w:pPr>
      <w:r w:rsidRPr="00D87B79">
        <w:rPr>
          <w:rFonts w:cs="Tahoma"/>
          <w:color w:val="000000"/>
          <w:lang w:val="it-IT"/>
        </w:rPr>
        <w:t>System Center Service Manager 2010 con Tecnologia SQL Server 2008</w:t>
      </w:r>
    </w:p>
    <w:p w:rsidR="00A92422" w:rsidRPr="00D87B79" w:rsidRDefault="00A92422" w:rsidP="00A92422">
      <w:pPr>
        <w:rPr>
          <w:rFonts w:cs="Tahoma"/>
        </w:rPr>
      </w:pPr>
      <w:r w:rsidRPr="00D87B79">
        <w:rPr>
          <w:rFonts w:cs="Tahoma"/>
          <w:color w:val="000000"/>
          <w:lang w:val="it-IT"/>
        </w:rPr>
        <w:t>Licenza di Gestione Client (Client ML) per OSE per System Center Service Manager 2010</w:t>
      </w:r>
    </w:p>
    <w:p w:rsidR="00A92422" w:rsidRPr="00D87B79" w:rsidRDefault="00A92422" w:rsidP="00A92422">
      <w:pPr>
        <w:rPr>
          <w:rFonts w:cs="Tahoma"/>
        </w:rPr>
      </w:pPr>
      <w:r w:rsidRPr="00D87B79">
        <w:rPr>
          <w:rFonts w:cs="Tahoma"/>
          <w:color w:val="000000"/>
          <w:lang w:val="it-IT"/>
        </w:rPr>
        <w:t>Licenza di Gestione Client (Client ML) per Utente per System Center Service Manager 2010</w:t>
      </w:r>
    </w:p>
    <w:p w:rsidR="00A92422" w:rsidRPr="00D87B79" w:rsidRDefault="00A92422" w:rsidP="00A92422">
      <w:pPr>
        <w:rPr>
          <w:rFonts w:cs="Tahoma"/>
        </w:rPr>
      </w:pPr>
      <w:r w:rsidRPr="00D87B79">
        <w:rPr>
          <w:rFonts w:cs="Tahoma"/>
          <w:color w:val="000000"/>
          <w:lang w:val="it-IT"/>
        </w:rPr>
        <w:t>Licenza di Gestione Server (Server ML) per OSE per System Center Service Manager 2010</w:t>
      </w:r>
    </w:p>
    <w:p w:rsidR="00A92422" w:rsidRPr="00D87B79" w:rsidRDefault="00A92422" w:rsidP="00A92422">
      <w:pPr>
        <w:rPr>
          <w:rFonts w:cs="Tahoma"/>
        </w:rPr>
      </w:pPr>
      <w:r w:rsidRPr="00D87B79">
        <w:rPr>
          <w:rFonts w:cs="Tahoma"/>
          <w:color w:val="000000"/>
          <w:lang w:val="it-IT"/>
        </w:rPr>
        <w:t>Licenza di Gestione Client per OSE per System Center Virtual Machine Manager 2008 R2</w:t>
      </w:r>
    </w:p>
    <w:p w:rsidR="00A92422" w:rsidRPr="00D87B79" w:rsidRDefault="00A92422" w:rsidP="00A92422">
      <w:pPr>
        <w:rPr>
          <w:rFonts w:cs="Tahoma"/>
        </w:rPr>
      </w:pPr>
      <w:r w:rsidRPr="00D87B79">
        <w:rPr>
          <w:rFonts w:cs="Tahoma"/>
          <w:color w:val="000000"/>
          <w:lang w:val="it-IT"/>
        </w:rPr>
        <w:t>Licenza di Gestione Client per Utente per System Center Virtual Machine Manager 2008 R2</w:t>
      </w:r>
    </w:p>
    <w:p w:rsidR="00A92422" w:rsidRPr="00D87B79" w:rsidRDefault="00A92422" w:rsidP="00A92422">
      <w:pPr>
        <w:rPr>
          <w:rFonts w:cs="Tahoma"/>
        </w:rPr>
      </w:pPr>
      <w:r w:rsidRPr="00D87B79">
        <w:rPr>
          <w:rFonts w:cs="Tahoma"/>
          <w:color w:val="000000"/>
          <w:lang w:val="it-IT"/>
        </w:rPr>
        <w:t>Licenza di Gestione Server per System Center Virtual Machine Manager 2008 R2 Enterprise</w:t>
      </w:r>
    </w:p>
    <w:p w:rsidR="00A92422" w:rsidRPr="00D87B79" w:rsidRDefault="00A92422" w:rsidP="00A92422">
      <w:pPr>
        <w:rPr>
          <w:rFonts w:cs="Tahoma"/>
        </w:rPr>
      </w:pPr>
    </w:p>
    <w:p w:rsidR="00A92422" w:rsidRPr="00D87B79" w:rsidRDefault="00A92422" w:rsidP="00A92422">
      <w:pPr>
        <w:rPr>
          <w:rFonts w:cs="Tahoma"/>
        </w:rPr>
      </w:pPr>
      <w:r w:rsidRPr="00D87B79">
        <w:rPr>
          <w:rFonts w:cs="Tahoma"/>
          <w:b/>
          <w:color w:val="000000"/>
          <w:lang w:val="it-IT"/>
        </w:rPr>
        <w:t>Prodotti Eliminati</w:t>
      </w:r>
    </w:p>
    <w:p w:rsidR="00A92422" w:rsidRPr="00D87B79" w:rsidRDefault="00A92422" w:rsidP="00A92422">
      <w:pPr>
        <w:rPr>
          <w:rFonts w:cs="Tahoma"/>
        </w:rPr>
      </w:pPr>
      <w:r w:rsidRPr="00D87B79">
        <w:rPr>
          <w:rFonts w:cs="Tahoma"/>
          <w:color w:val="000000"/>
          <w:lang w:val="it-IT"/>
        </w:rPr>
        <w:t>System Center Mobile Device Manager 2008</w:t>
      </w:r>
    </w:p>
    <w:p w:rsidR="00A92422" w:rsidRPr="00D87B79" w:rsidRDefault="00A92422" w:rsidP="00A92422">
      <w:pPr>
        <w:rPr>
          <w:rFonts w:cs="Tahoma"/>
        </w:rPr>
      </w:pPr>
      <w:r w:rsidRPr="00D87B79">
        <w:rPr>
          <w:rFonts w:cs="Tahoma"/>
          <w:color w:val="000000"/>
          <w:lang w:val="it-IT"/>
        </w:rPr>
        <w:t>Database Consolidation Appliance 2012</w:t>
      </w:r>
    </w:p>
    <w:p w:rsidR="00A92422" w:rsidRPr="00D87B79" w:rsidRDefault="00A92422" w:rsidP="00A92422">
      <w:pPr>
        <w:ind w:right="720"/>
        <w:rPr>
          <w:rFonts w:cs="Tahoma"/>
        </w:rPr>
      </w:pPr>
    </w:p>
    <w:p w:rsidR="00A92422" w:rsidRPr="00D87B79" w:rsidRDefault="00A92422" w:rsidP="00A92422">
      <w:pPr>
        <w:ind w:right="720"/>
        <w:rPr>
          <w:rFonts w:cs="Tahoma"/>
        </w:rPr>
      </w:pPr>
    </w:p>
    <w:p w:rsidR="00A92422" w:rsidRPr="00D87B79" w:rsidRDefault="00A92422" w:rsidP="00A92422">
      <w:pPr>
        <w:pStyle w:val="Heading2"/>
        <w:ind w:left="0"/>
        <w:jc w:val="both"/>
        <w:rPr>
          <w:rFonts w:ascii="Tahoma" w:hAnsi="Tahoma" w:cs="Tahoma"/>
        </w:rPr>
      </w:pPr>
      <w:bookmarkStart w:id="682" w:name="_Toc336338170"/>
      <w:bookmarkStart w:id="683" w:name="_Toc342900223"/>
      <w:bookmarkEnd w:id="682"/>
      <w:r w:rsidRPr="00D87B79">
        <w:rPr>
          <w:rFonts w:ascii="Tahoma" w:hAnsi="Tahoma" w:cs="Tahoma"/>
          <w:color w:val="FF6600"/>
          <w:lang w:val="it-IT"/>
        </w:rPr>
        <w:t>MODIFICHE APPORTATE NEL MESE DI SETTEMBRE 2012</w:t>
      </w:r>
      <w:bookmarkEnd w:id="683"/>
    </w:p>
    <w:p w:rsidR="00A92422" w:rsidRPr="00D87B79" w:rsidRDefault="00A92422" w:rsidP="00A92422">
      <w:pPr>
        <w:ind w:right="720"/>
        <w:rPr>
          <w:rFonts w:cs="Tahoma"/>
        </w:rPr>
      </w:pPr>
    </w:p>
    <w:p w:rsidR="00A92422" w:rsidRPr="00D87B79" w:rsidRDefault="00A92422" w:rsidP="00A92422">
      <w:pPr>
        <w:rPr>
          <w:rFonts w:cs="Tahoma"/>
        </w:rPr>
      </w:pPr>
      <w:r w:rsidRPr="00D87B79">
        <w:rPr>
          <w:rFonts w:cs="Tahoma"/>
          <w:b/>
          <w:color w:val="000000"/>
          <w:lang w:val="it-IT"/>
        </w:rPr>
        <w:t>Prodotti Aggiunti</w:t>
      </w:r>
    </w:p>
    <w:p w:rsidR="00A92422" w:rsidRPr="00D87B79" w:rsidRDefault="00A92422" w:rsidP="00A92422">
      <w:pPr>
        <w:rPr>
          <w:rFonts w:cs="Tahoma"/>
        </w:rPr>
      </w:pPr>
      <w:r w:rsidRPr="00D87B79">
        <w:rPr>
          <w:rFonts w:cs="Tahoma"/>
          <w:color w:val="000000"/>
          <w:lang w:val="it-IT"/>
        </w:rPr>
        <w:t>Visual Studio</w:t>
      </w:r>
      <w:r w:rsidRPr="003A0F2F">
        <w:rPr>
          <w:rFonts w:cs="Tahoma"/>
          <w:color w:val="000000"/>
          <w:vertAlign w:val="superscript"/>
          <w:lang w:val="it-IT"/>
        </w:rPr>
        <w:t>®</w:t>
      </w:r>
      <w:r w:rsidRPr="00D87B79">
        <w:rPr>
          <w:rFonts w:cs="Tahoma"/>
          <w:color w:val="000000"/>
          <w:lang w:val="it-IT"/>
        </w:rPr>
        <w:t xml:space="preserve"> Professional 2012</w:t>
      </w:r>
    </w:p>
    <w:p w:rsidR="00A92422" w:rsidRPr="00D87B79" w:rsidRDefault="00A92422" w:rsidP="00A92422">
      <w:pPr>
        <w:rPr>
          <w:rFonts w:cs="Tahoma"/>
        </w:rPr>
      </w:pPr>
      <w:r w:rsidRPr="00D87B79">
        <w:rPr>
          <w:rFonts w:cs="Tahoma"/>
          <w:color w:val="000000"/>
          <w:lang w:val="it-IT"/>
        </w:rPr>
        <w:t>Visual Studio</w:t>
      </w:r>
      <w:r w:rsidRPr="003A0F2F">
        <w:rPr>
          <w:rFonts w:cs="Tahoma"/>
          <w:color w:val="000000"/>
          <w:vertAlign w:val="superscript"/>
          <w:lang w:val="it-IT"/>
        </w:rPr>
        <w:t>®</w:t>
      </w:r>
      <w:r w:rsidRPr="00D87B79">
        <w:rPr>
          <w:rFonts w:cs="Tahoma"/>
          <w:color w:val="000000"/>
          <w:lang w:val="it-IT"/>
        </w:rPr>
        <w:t xml:space="preserve"> Professional 2012 con MSDN</w:t>
      </w:r>
    </w:p>
    <w:p w:rsidR="00A92422" w:rsidRPr="00D87B79" w:rsidRDefault="00A92422" w:rsidP="00A92422">
      <w:pPr>
        <w:rPr>
          <w:rFonts w:cs="Tahoma"/>
        </w:rPr>
      </w:pPr>
      <w:r w:rsidRPr="00D87B79">
        <w:rPr>
          <w:rFonts w:cs="Tahoma"/>
          <w:color w:val="000000"/>
          <w:lang w:val="it-IT"/>
        </w:rPr>
        <w:t>Visual Studio</w:t>
      </w:r>
      <w:r w:rsidRPr="003A0F2F">
        <w:rPr>
          <w:rFonts w:cs="Tahoma"/>
          <w:color w:val="000000"/>
          <w:vertAlign w:val="superscript"/>
          <w:lang w:val="it-IT"/>
        </w:rPr>
        <w:t>®</w:t>
      </w:r>
      <w:r w:rsidRPr="00D87B79">
        <w:rPr>
          <w:rFonts w:cs="Tahoma"/>
          <w:color w:val="000000"/>
          <w:lang w:val="it-IT"/>
        </w:rPr>
        <w:t xml:space="preserve"> Premium 2012 con MSDN</w:t>
      </w:r>
    </w:p>
    <w:p w:rsidR="00A92422" w:rsidRPr="00D87B79" w:rsidRDefault="00A92422" w:rsidP="00A92422">
      <w:pPr>
        <w:rPr>
          <w:rFonts w:cs="Tahoma"/>
        </w:rPr>
      </w:pPr>
      <w:r w:rsidRPr="00D87B79">
        <w:rPr>
          <w:rFonts w:cs="Tahoma"/>
          <w:color w:val="000000"/>
          <w:lang w:val="it-IT"/>
        </w:rPr>
        <w:t>Visual Studio</w:t>
      </w:r>
      <w:r w:rsidRPr="003A0F2F">
        <w:rPr>
          <w:rFonts w:cs="Tahoma"/>
          <w:color w:val="000000"/>
          <w:vertAlign w:val="superscript"/>
          <w:lang w:val="it-IT"/>
        </w:rPr>
        <w:t>®</w:t>
      </w:r>
      <w:r w:rsidRPr="00D87B79">
        <w:rPr>
          <w:rFonts w:cs="Tahoma"/>
          <w:color w:val="000000"/>
          <w:lang w:val="it-IT"/>
        </w:rPr>
        <w:t xml:space="preserve"> Ultimate 2012 con MSDN</w:t>
      </w:r>
    </w:p>
    <w:p w:rsidR="00A92422" w:rsidRPr="00D87B79" w:rsidRDefault="00A92422" w:rsidP="00A92422">
      <w:pPr>
        <w:rPr>
          <w:rFonts w:cs="Tahoma"/>
        </w:rPr>
      </w:pPr>
      <w:r w:rsidRPr="00D87B79">
        <w:rPr>
          <w:rFonts w:cs="Tahoma"/>
          <w:color w:val="000000"/>
          <w:lang w:val="it-IT"/>
        </w:rPr>
        <w:t>Visual Studio</w:t>
      </w:r>
      <w:r w:rsidRPr="003A0F2F">
        <w:rPr>
          <w:rFonts w:cs="Tahoma"/>
          <w:color w:val="000000"/>
          <w:vertAlign w:val="superscript"/>
          <w:lang w:val="it-IT"/>
        </w:rPr>
        <w:t>®</w:t>
      </w:r>
      <w:r w:rsidRPr="00D87B79">
        <w:rPr>
          <w:rFonts w:cs="Tahoma"/>
          <w:color w:val="000000"/>
          <w:lang w:val="it-IT"/>
        </w:rPr>
        <w:t xml:space="preserve"> Test Professional 2012 con MSDN</w:t>
      </w:r>
    </w:p>
    <w:p w:rsidR="00A92422" w:rsidRPr="00D87B79" w:rsidRDefault="00A92422" w:rsidP="00A92422">
      <w:pPr>
        <w:rPr>
          <w:rFonts w:cs="Tahoma"/>
        </w:rPr>
      </w:pPr>
      <w:r w:rsidRPr="00D87B79">
        <w:rPr>
          <w:rFonts w:cs="Tahoma"/>
          <w:color w:val="000000"/>
          <w:lang w:val="it-IT"/>
        </w:rPr>
        <w:t>Visual Studio</w:t>
      </w:r>
      <w:r w:rsidRPr="003A0F2F">
        <w:rPr>
          <w:rFonts w:cs="Tahoma"/>
          <w:color w:val="000000"/>
          <w:vertAlign w:val="superscript"/>
          <w:lang w:val="it-IT"/>
        </w:rPr>
        <w:t>®</w:t>
      </w:r>
      <w:r w:rsidRPr="00D87B79">
        <w:rPr>
          <w:rFonts w:cs="Tahoma"/>
          <w:color w:val="000000"/>
          <w:lang w:val="it-IT"/>
        </w:rPr>
        <w:t xml:space="preserve"> Team Foundation Server 2012 con Tecnologia SQL Server 2012</w:t>
      </w:r>
    </w:p>
    <w:p w:rsidR="00A92422" w:rsidRPr="00D87B79" w:rsidRDefault="00A92422" w:rsidP="00A92422">
      <w:pPr>
        <w:rPr>
          <w:rFonts w:cs="Tahoma"/>
        </w:rPr>
      </w:pPr>
      <w:r w:rsidRPr="00D87B79">
        <w:rPr>
          <w:rFonts w:cs="Tahoma"/>
          <w:color w:val="000000"/>
          <w:lang w:val="it-IT"/>
        </w:rPr>
        <w:t>CAL per Dispositivo per Visual Studio</w:t>
      </w:r>
      <w:r w:rsidRPr="003A0F2F">
        <w:rPr>
          <w:rFonts w:cs="Tahoma"/>
          <w:color w:val="000000"/>
          <w:vertAlign w:val="superscript"/>
          <w:lang w:val="it-IT"/>
        </w:rPr>
        <w:t>®</w:t>
      </w:r>
      <w:r w:rsidRPr="00D87B79">
        <w:rPr>
          <w:rFonts w:cs="Tahoma"/>
          <w:color w:val="000000"/>
          <w:lang w:val="it-IT"/>
        </w:rPr>
        <w:t xml:space="preserve"> Team Foundation Server 2012</w:t>
      </w:r>
    </w:p>
    <w:p w:rsidR="00A92422" w:rsidRPr="00D87B79" w:rsidRDefault="00A92422" w:rsidP="00A92422">
      <w:pPr>
        <w:rPr>
          <w:rFonts w:cs="Tahoma"/>
        </w:rPr>
      </w:pPr>
      <w:r w:rsidRPr="00D87B79">
        <w:rPr>
          <w:rFonts w:cs="Tahoma"/>
          <w:color w:val="000000"/>
          <w:lang w:val="it-IT"/>
        </w:rPr>
        <w:t>User CAL per Visual Studio</w:t>
      </w:r>
      <w:r w:rsidRPr="003A0F2F">
        <w:rPr>
          <w:rFonts w:cs="Tahoma"/>
          <w:color w:val="000000"/>
          <w:vertAlign w:val="superscript"/>
          <w:lang w:val="it-IT"/>
        </w:rPr>
        <w:t>®</w:t>
      </w:r>
      <w:r w:rsidRPr="00D87B79">
        <w:rPr>
          <w:rFonts w:cs="Tahoma"/>
          <w:color w:val="000000"/>
          <w:lang w:val="it-IT"/>
        </w:rPr>
        <w:t xml:space="preserve"> Team Foundation Server 2012</w:t>
      </w:r>
    </w:p>
    <w:p w:rsidR="00A92422" w:rsidRPr="00D87B79" w:rsidRDefault="00A92422" w:rsidP="00A92422">
      <w:pPr>
        <w:rPr>
          <w:rFonts w:cs="Tahoma"/>
        </w:rPr>
      </w:pPr>
      <w:r w:rsidRPr="00D87B79">
        <w:rPr>
          <w:rFonts w:cs="Tahoma"/>
          <w:color w:val="000000"/>
          <w:lang w:val="it-IT"/>
        </w:rPr>
        <w:t>External Connector per Visual Studio</w:t>
      </w:r>
      <w:r w:rsidRPr="003A0F2F">
        <w:rPr>
          <w:rFonts w:cs="Tahoma"/>
          <w:color w:val="000000"/>
          <w:vertAlign w:val="superscript"/>
          <w:lang w:val="it-IT"/>
        </w:rPr>
        <w:t>®</w:t>
      </w:r>
      <w:r w:rsidRPr="00D87B79">
        <w:rPr>
          <w:rFonts w:cs="Tahoma"/>
          <w:color w:val="000000"/>
          <w:lang w:val="it-IT"/>
        </w:rPr>
        <w:t xml:space="preserve"> Team Foundation Server 2012</w:t>
      </w:r>
    </w:p>
    <w:p w:rsidR="00A92422" w:rsidRPr="00D87B79" w:rsidRDefault="00A92422" w:rsidP="00A92422">
      <w:pPr>
        <w:rPr>
          <w:rFonts w:cs="Tahoma"/>
        </w:rPr>
      </w:pPr>
      <w:r w:rsidRPr="00D87B79">
        <w:rPr>
          <w:rFonts w:cs="Tahoma"/>
          <w:color w:val="000000"/>
          <w:lang w:val="it-IT"/>
        </w:rPr>
        <w:t>CAL per Windows Server™ 2012 (Dispositivo e Utente)</w:t>
      </w:r>
    </w:p>
    <w:p w:rsidR="00A92422" w:rsidRPr="00D87B79" w:rsidRDefault="00A92422" w:rsidP="00A92422">
      <w:pPr>
        <w:rPr>
          <w:rFonts w:cs="Tahoma"/>
        </w:rPr>
      </w:pPr>
      <w:r w:rsidRPr="00D87B79">
        <w:rPr>
          <w:rFonts w:cs="Tahoma"/>
          <w:color w:val="000000"/>
          <w:lang w:val="it-IT"/>
        </w:rPr>
        <w:t>Windows Server™ 2012 Datacenter</w:t>
      </w:r>
    </w:p>
    <w:p w:rsidR="00A92422" w:rsidRPr="00D87B79" w:rsidRDefault="00A92422" w:rsidP="00A92422">
      <w:pPr>
        <w:rPr>
          <w:rFonts w:cs="Tahoma"/>
        </w:rPr>
      </w:pPr>
      <w:r w:rsidRPr="00D87B79">
        <w:rPr>
          <w:rFonts w:cs="Tahoma"/>
          <w:color w:val="000000"/>
          <w:lang w:val="it-IT"/>
        </w:rPr>
        <w:t>Windows Server™ 2012 Standard</w:t>
      </w:r>
    </w:p>
    <w:p w:rsidR="00A92422" w:rsidRPr="00D87B79" w:rsidRDefault="00A92422" w:rsidP="00A92422">
      <w:pPr>
        <w:rPr>
          <w:rFonts w:cs="Tahoma"/>
        </w:rPr>
      </w:pPr>
      <w:r w:rsidRPr="00D87B79">
        <w:rPr>
          <w:rFonts w:cs="Tahoma"/>
          <w:color w:val="000000"/>
          <w:lang w:val="it-IT"/>
        </w:rPr>
        <w:t>External Connector per Windows Server™ 2012</w:t>
      </w:r>
    </w:p>
    <w:p w:rsidR="00A92422" w:rsidRPr="00D87B79" w:rsidRDefault="00A92422" w:rsidP="00A92422">
      <w:pPr>
        <w:rPr>
          <w:rFonts w:cs="Tahoma"/>
        </w:rPr>
      </w:pPr>
      <w:r w:rsidRPr="00D87B79">
        <w:rPr>
          <w:rFonts w:cs="Tahoma"/>
          <w:color w:val="000000"/>
          <w:lang w:val="it-IT"/>
        </w:rPr>
        <w:t>CAL per Servizi Desktop Remoto Windows Server™ 2012</w:t>
      </w:r>
    </w:p>
    <w:p w:rsidR="00A92422" w:rsidRPr="00D87B79" w:rsidRDefault="00A92422" w:rsidP="00A92422">
      <w:pPr>
        <w:rPr>
          <w:rFonts w:cs="Tahoma"/>
        </w:rPr>
      </w:pPr>
      <w:r w:rsidRPr="00D87B79">
        <w:rPr>
          <w:rFonts w:cs="Tahoma"/>
          <w:color w:val="000000"/>
          <w:lang w:val="it-IT"/>
        </w:rPr>
        <w:t>External Connector per Servizi Desktop Remoto Windows Server™ 2012</w:t>
      </w:r>
    </w:p>
    <w:p w:rsidR="00A92422" w:rsidRPr="00D87B79" w:rsidRDefault="00A92422" w:rsidP="00A92422">
      <w:pPr>
        <w:rPr>
          <w:rFonts w:cs="Tahoma"/>
        </w:rPr>
      </w:pPr>
      <w:r w:rsidRPr="00D87B79">
        <w:rPr>
          <w:rFonts w:cs="Tahoma"/>
          <w:color w:val="000000"/>
          <w:lang w:val="it-IT"/>
        </w:rPr>
        <w:t>CAL per Windows Server™ 2012 Rights Management Services</w:t>
      </w:r>
    </w:p>
    <w:p w:rsidR="00A92422" w:rsidRPr="00D87B79" w:rsidRDefault="00A92422" w:rsidP="00A92422">
      <w:pPr>
        <w:rPr>
          <w:rFonts w:cs="Tahoma"/>
        </w:rPr>
      </w:pPr>
      <w:r w:rsidRPr="00D87B79">
        <w:rPr>
          <w:rFonts w:cs="Tahoma"/>
          <w:color w:val="000000"/>
          <w:lang w:val="it-IT"/>
        </w:rPr>
        <w:t>External Connector per Windows Server™ 2012 Rights Management Services</w:t>
      </w:r>
    </w:p>
    <w:p w:rsidR="00A92422" w:rsidRPr="00D87B79" w:rsidRDefault="00A92422" w:rsidP="00A92422">
      <w:pPr>
        <w:rPr>
          <w:rFonts w:cs="Tahoma"/>
        </w:rPr>
      </w:pPr>
      <w:r w:rsidRPr="00D87B79">
        <w:rPr>
          <w:rFonts w:cs="Tahoma"/>
          <w:color w:val="000000"/>
          <w:lang w:val="it-IT"/>
        </w:rPr>
        <w:t>Enterprise Additive CAL per Microsoft Dynamics AX 2012 (Utente e Dispositivo)</w:t>
      </w:r>
    </w:p>
    <w:p w:rsidR="00A92422" w:rsidRPr="00D87B79" w:rsidRDefault="00A92422" w:rsidP="00A92422">
      <w:pPr>
        <w:rPr>
          <w:rFonts w:cs="Tahoma"/>
        </w:rPr>
      </w:pPr>
      <w:r w:rsidRPr="00D87B79">
        <w:rPr>
          <w:rFonts w:cs="Tahoma"/>
          <w:color w:val="000000"/>
          <w:lang w:val="it-IT"/>
        </w:rPr>
        <w:t>Enterprise CAL per Microsoft Dynamics AX 2012 (Utente e Dispositivo)</w:t>
      </w:r>
    </w:p>
    <w:p w:rsidR="00A92422" w:rsidRPr="00D87B79" w:rsidRDefault="00A92422" w:rsidP="00A92422">
      <w:pPr>
        <w:rPr>
          <w:rFonts w:cs="Tahoma"/>
        </w:rPr>
      </w:pPr>
      <w:r w:rsidRPr="00D87B79">
        <w:rPr>
          <w:rFonts w:cs="Tahoma"/>
          <w:color w:val="000000"/>
          <w:lang w:val="it-IT"/>
        </w:rPr>
        <w:t>Functional Additive CAL per Microsoft Dynamics AX 2012 (Utente e Dispositivo)</w:t>
      </w:r>
    </w:p>
    <w:p w:rsidR="00A92422" w:rsidRPr="00D87B79" w:rsidRDefault="00A92422" w:rsidP="00A92422">
      <w:pPr>
        <w:rPr>
          <w:rFonts w:cs="Tahoma"/>
        </w:rPr>
      </w:pPr>
      <w:r w:rsidRPr="00D87B79">
        <w:rPr>
          <w:rFonts w:cs="Tahoma"/>
          <w:color w:val="000000"/>
          <w:lang w:val="it-IT"/>
        </w:rPr>
        <w:t>Functional CAL per Microsoft Dynamics AX 2012 (Utente e Dispositivo)</w:t>
      </w:r>
    </w:p>
    <w:p w:rsidR="00A92422" w:rsidRPr="00D87B79" w:rsidRDefault="00A92422" w:rsidP="00A92422">
      <w:pPr>
        <w:rPr>
          <w:rFonts w:cs="Tahoma"/>
        </w:rPr>
      </w:pPr>
      <w:r w:rsidRPr="00D87B79">
        <w:rPr>
          <w:rFonts w:cs="Tahoma"/>
          <w:color w:val="000000"/>
          <w:lang w:val="it-IT"/>
        </w:rPr>
        <w:t>Self Serve CAL per Microsoft Dynamics AX 2012 (Utente e Dispositivo)</w:t>
      </w:r>
    </w:p>
    <w:p w:rsidR="00A92422" w:rsidRPr="00D87B79" w:rsidRDefault="00A92422" w:rsidP="00A92422">
      <w:pPr>
        <w:rPr>
          <w:rFonts w:cs="Tahoma"/>
        </w:rPr>
      </w:pPr>
      <w:r w:rsidRPr="00D87B79">
        <w:rPr>
          <w:rFonts w:cs="Tahoma"/>
          <w:color w:val="000000"/>
          <w:lang w:val="it-IT"/>
        </w:rPr>
        <w:t>Microsoft Dynamics AX 2012 Server</w:t>
      </w:r>
    </w:p>
    <w:p w:rsidR="00A92422" w:rsidRPr="00D87B79" w:rsidRDefault="00A92422" w:rsidP="00A92422">
      <w:pPr>
        <w:rPr>
          <w:rFonts w:cs="Tahoma"/>
        </w:rPr>
      </w:pPr>
      <w:r w:rsidRPr="00D87B79">
        <w:rPr>
          <w:rFonts w:cs="Tahoma"/>
          <w:color w:val="000000"/>
          <w:lang w:val="it-IT"/>
        </w:rPr>
        <w:lastRenderedPageBreak/>
        <w:t>Task Additive CAL per Microsoft Dynamics AX 2012 (Utente e Dispositivo)</w:t>
      </w:r>
    </w:p>
    <w:p w:rsidR="00A92422" w:rsidRPr="00D87B79" w:rsidRDefault="00A92422" w:rsidP="00A92422">
      <w:pPr>
        <w:rPr>
          <w:rFonts w:cs="Tahoma"/>
        </w:rPr>
      </w:pPr>
      <w:r w:rsidRPr="00D87B79">
        <w:rPr>
          <w:rFonts w:cs="Tahoma"/>
          <w:color w:val="000000"/>
          <w:lang w:val="it-IT"/>
        </w:rPr>
        <w:t>Task CAL per Microsoft Dynamics AX 2012 (Utente e Dispositivo)</w:t>
      </w:r>
    </w:p>
    <w:p w:rsidR="00A92422" w:rsidRPr="00D87B79" w:rsidRDefault="00A92422" w:rsidP="00A92422">
      <w:pPr>
        <w:rPr>
          <w:rFonts w:cs="Tahoma"/>
        </w:rPr>
      </w:pPr>
      <w:r w:rsidRPr="00D87B79">
        <w:rPr>
          <w:rFonts w:cs="Tahoma"/>
          <w:color w:val="000000"/>
          <w:lang w:val="it-IT"/>
        </w:rPr>
        <w:t>Windows 8 Enterprise Sideloading</w:t>
      </w:r>
    </w:p>
    <w:p w:rsidR="00A92422" w:rsidRPr="00D87B79" w:rsidRDefault="00A92422" w:rsidP="00A92422">
      <w:pPr>
        <w:rPr>
          <w:rFonts w:cs="Tahoma"/>
        </w:rPr>
      </w:pPr>
      <w:r w:rsidRPr="00D87B79">
        <w:rPr>
          <w:rFonts w:cs="Tahoma"/>
          <w:color w:val="000000"/>
          <w:lang w:val="it-IT"/>
        </w:rPr>
        <w:t>Aggiornamento per Windows 8 Pro</w:t>
      </w:r>
    </w:p>
    <w:p w:rsidR="00A92422" w:rsidRPr="00D87B79" w:rsidRDefault="00A92422" w:rsidP="00A92422">
      <w:pPr>
        <w:rPr>
          <w:rFonts w:cs="Tahoma"/>
        </w:rPr>
      </w:pPr>
      <w:r w:rsidRPr="00D87B79">
        <w:rPr>
          <w:rFonts w:cs="Tahoma"/>
          <w:color w:val="000000"/>
          <w:lang w:val="it-IT"/>
        </w:rPr>
        <w:t>Windows 8 Pro con MDOP</w:t>
      </w:r>
    </w:p>
    <w:p w:rsidR="00A92422" w:rsidRPr="00D87B79" w:rsidRDefault="00A92422" w:rsidP="00A92422">
      <w:pPr>
        <w:rPr>
          <w:rFonts w:cs="Tahoma"/>
        </w:rPr>
      </w:pPr>
      <w:r w:rsidRPr="00D87B79">
        <w:rPr>
          <w:rFonts w:cs="Tahoma"/>
          <w:color w:val="000000"/>
          <w:lang w:val="it-IT"/>
        </w:rPr>
        <w:t>Diritti di Noleggio per Windows</w:t>
      </w:r>
    </w:p>
    <w:p w:rsidR="00A92422" w:rsidRPr="00D87B79" w:rsidRDefault="00A92422" w:rsidP="00A92422">
      <w:pPr>
        <w:rPr>
          <w:rFonts w:cs="Tahoma"/>
        </w:rPr>
      </w:pPr>
    </w:p>
    <w:p w:rsidR="00A92422" w:rsidRPr="00D87B79" w:rsidRDefault="00A92422" w:rsidP="00A92422">
      <w:pPr>
        <w:rPr>
          <w:rFonts w:cs="Tahoma"/>
        </w:rPr>
      </w:pPr>
      <w:r w:rsidRPr="00D87B79">
        <w:rPr>
          <w:rFonts w:cs="Tahoma"/>
          <w:b/>
          <w:color w:val="000000"/>
          <w:lang w:val="it-IT"/>
        </w:rPr>
        <w:t>Promozioni</w:t>
      </w:r>
    </w:p>
    <w:p w:rsidR="00A92422" w:rsidRPr="00D87B79" w:rsidRDefault="00A92422" w:rsidP="00A92422">
      <w:pPr>
        <w:rPr>
          <w:rFonts w:cs="Tahoma"/>
        </w:rPr>
      </w:pPr>
      <w:r w:rsidRPr="00D87B79">
        <w:rPr>
          <w:rFonts w:cs="Tahoma"/>
          <w:color w:val="000000"/>
          <w:lang w:val="it-IT"/>
        </w:rPr>
        <w:t>Sono state aggiunte le seguenti promozioni:</w:t>
      </w:r>
    </w:p>
    <w:p w:rsidR="00A92422" w:rsidRPr="00D87B79" w:rsidRDefault="00A92422" w:rsidP="00A92422">
      <w:pPr>
        <w:rPr>
          <w:rFonts w:cs="Tahoma"/>
        </w:rPr>
      </w:pPr>
      <w:r w:rsidRPr="00D87B79">
        <w:rPr>
          <w:rFonts w:cs="Tahoma"/>
          <w:color w:val="000000"/>
          <w:lang w:val="it-IT"/>
        </w:rPr>
        <w:t>Promozione Step-Up per Windows Server Datacenter</w:t>
      </w:r>
    </w:p>
    <w:p w:rsidR="00A92422" w:rsidRPr="00D87B79" w:rsidRDefault="00A92422" w:rsidP="00A92422">
      <w:pPr>
        <w:rPr>
          <w:rFonts w:cs="Tahoma"/>
        </w:rPr>
      </w:pPr>
      <w:r w:rsidRPr="00D87B79">
        <w:rPr>
          <w:rFonts w:cs="Tahoma"/>
          <w:color w:val="000000"/>
          <w:lang w:val="it-IT"/>
        </w:rPr>
        <w:t>Forefront Online Protection for Exchange</w:t>
      </w:r>
      <w:r w:rsidRPr="00D87B79">
        <w:rPr>
          <w:rFonts w:cs="Tahoma"/>
        </w:rPr>
        <w:t xml:space="preserve"> </w:t>
      </w:r>
    </w:p>
    <w:p w:rsidR="00A92422" w:rsidRPr="00D87B79" w:rsidRDefault="00A92422" w:rsidP="00A92422">
      <w:pPr>
        <w:rPr>
          <w:rFonts w:cs="Tahoma"/>
        </w:rPr>
      </w:pPr>
    </w:p>
    <w:p w:rsidR="00A92422" w:rsidRPr="00D87B79" w:rsidRDefault="00A92422" w:rsidP="00A92422">
      <w:pPr>
        <w:outlineLvl w:val="1"/>
        <w:rPr>
          <w:rFonts w:cs="Tahoma"/>
        </w:rPr>
      </w:pPr>
      <w:r w:rsidRPr="00D87B79">
        <w:rPr>
          <w:rFonts w:cs="Tahoma"/>
          <w:color w:val="000000"/>
          <w:lang w:val="it-IT"/>
        </w:rPr>
        <w:t>Sono state eliminate le seguenti promozioni</w:t>
      </w:r>
    </w:p>
    <w:p w:rsidR="00A92422" w:rsidRPr="00D87B79" w:rsidRDefault="00A92422" w:rsidP="00A92422">
      <w:pPr>
        <w:rPr>
          <w:rFonts w:cs="Tahoma"/>
        </w:rPr>
      </w:pPr>
      <w:r w:rsidRPr="00D87B79">
        <w:rPr>
          <w:rFonts w:cs="Tahoma"/>
          <w:color w:val="000000"/>
          <w:lang w:val="it-IT"/>
        </w:rPr>
        <w:t>Promozione di Enrollment for Core Infrastructure Standard Suite</w:t>
      </w:r>
    </w:p>
    <w:p w:rsidR="00A92422" w:rsidRPr="00D87B79" w:rsidRDefault="00A92422" w:rsidP="00A92422">
      <w:pPr>
        <w:outlineLvl w:val="1"/>
        <w:rPr>
          <w:rFonts w:cs="Tahoma"/>
        </w:rPr>
      </w:pPr>
    </w:p>
    <w:p w:rsidR="00A92422" w:rsidRPr="00D87B79" w:rsidRDefault="00A92422" w:rsidP="00A92422">
      <w:pPr>
        <w:rPr>
          <w:rFonts w:cs="Tahoma"/>
        </w:rPr>
      </w:pPr>
      <w:r w:rsidRPr="00D87B79">
        <w:rPr>
          <w:rFonts w:cs="Tahoma"/>
          <w:b/>
          <w:color w:val="000000"/>
          <w:lang w:val="it-IT"/>
        </w:rPr>
        <w:t>Prodotti Eliminati</w:t>
      </w:r>
    </w:p>
    <w:p w:rsidR="00A92422" w:rsidRPr="00D87B79" w:rsidRDefault="00A92422" w:rsidP="00A92422">
      <w:pPr>
        <w:rPr>
          <w:rFonts w:cs="Tahoma"/>
        </w:rPr>
      </w:pPr>
      <w:r w:rsidRPr="00D87B79">
        <w:rPr>
          <w:rFonts w:cs="Tahoma"/>
          <w:color w:val="000000"/>
          <w:lang w:val="it-IT"/>
        </w:rPr>
        <w:t>Tellme Basic (A pagamento)</w:t>
      </w:r>
    </w:p>
    <w:p w:rsidR="00A92422" w:rsidRPr="00D87B79" w:rsidRDefault="00A92422" w:rsidP="00A92422">
      <w:pPr>
        <w:rPr>
          <w:rFonts w:cs="Tahoma"/>
        </w:rPr>
      </w:pPr>
      <w:r w:rsidRPr="00D87B79">
        <w:rPr>
          <w:rFonts w:cs="Tahoma"/>
          <w:color w:val="000000"/>
          <w:lang w:val="it-IT"/>
        </w:rPr>
        <w:t>Tellme Standard (A pagamento)</w:t>
      </w:r>
    </w:p>
    <w:p w:rsidR="00A92422" w:rsidRPr="00D87B79" w:rsidRDefault="00A92422" w:rsidP="00A92422">
      <w:pPr>
        <w:rPr>
          <w:rFonts w:cs="Tahoma"/>
        </w:rPr>
      </w:pPr>
      <w:r w:rsidRPr="00D87B79">
        <w:rPr>
          <w:rFonts w:cs="Tahoma"/>
          <w:color w:val="000000"/>
          <w:lang w:val="it-IT"/>
        </w:rPr>
        <w:t>Tellme Premium (A pagamento)</w:t>
      </w:r>
    </w:p>
    <w:p w:rsidR="00A92422" w:rsidRPr="00D87B79" w:rsidRDefault="00A92422" w:rsidP="00A92422">
      <w:pPr>
        <w:rPr>
          <w:rFonts w:cs="Tahoma"/>
        </w:rPr>
      </w:pPr>
      <w:r w:rsidRPr="00D87B79">
        <w:rPr>
          <w:rFonts w:cs="Tahoma"/>
          <w:color w:val="000000"/>
          <w:lang w:val="it-IT"/>
        </w:rPr>
        <w:t>Tellme Basic (SL Servizi)</w:t>
      </w:r>
    </w:p>
    <w:p w:rsidR="00A92422" w:rsidRPr="00D87B79" w:rsidRDefault="00A92422" w:rsidP="00A92422">
      <w:pPr>
        <w:rPr>
          <w:rFonts w:cs="Tahoma"/>
        </w:rPr>
      </w:pPr>
      <w:r w:rsidRPr="00D87B79">
        <w:rPr>
          <w:rFonts w:cs="Tahoma"/>
          <w:color w:val="000000"/>
          <w:lang w:val="it-IT"/>
        </w:rPr>
        <w:t>Tellme Standard (SL Servizi)</w:t>
      </w:r>
    </w:p>
    <w:p w:rsidR="00A92422" w:rsidRPr="00D87B79" w:rsidRDefault="00A92422" w:rsidP="00A92422">
      <w:pPr>
        <w:rPr>
          <w:rFonts w:cs="Tahoma"/>
        </w:rPr>
      </w:pPr>
      <w:r w:rsidRPr="00D87B79">
        <w:rPr>
          <w:rFonts w:cs="Tahoma"/>
          <w:color w:val="000000"/>
          <w:lang w:val="it-IT"/>
        </w:rPr>
        <w:t>Tellme Premium (SL Servizi)</w:t>
      </w:r>
    </w:p>
    <w:p w:rsidR="00A92422" w:rsidRPr="00D87B79" w:rsidRDefault="00A92422" w:rsidP="00A92422">
      <w:pPr>
        <w:rPr>
          <w:rFonts w:cs="Tahoma"/>
        </w:rPr>
      </w:pPr>
      <w:r w:rsidRPr="00D87B79">
        <w:rPr>
          <w:rFonts w:cs="Tahoma"/>
          <w:color w:val="000000"/>
          <w:lang w:val="it-IT"/>
        </w:rPr>
        <w:t>Tellme Overage Minutes (A pagamento)</w:t>
      </w:r>
    </w:p>
    <w:p w:rsidR="00A92422" w:rsidRPr="00D87B79" w:rsidRDefault="00A92422" w:rsidP="00A92422">
      <w:pPr>
        <w:rPr>
          <w:rFonts w:cs="Tahoma"/>
        </w:rPr>
      </w:pPr>
      <w:r w:rsidRPr="00D87B79">
        <w:rPr>
          <w:rFonts w:cs="Tahoma"/>
          <w:color w:val="000000"/>
          <w:lang w:val="it-IT"/>
        </w:rPr>
        <w:t>Visual Studio</w:t>
      </w:r>
      <w:r w:rsidRPr="003A0F2F">
        <w:rPr>
          <w:rFonts w:cs="Tahoma"/>
          <w:color w:val="000000"/>
          <w:vertAlign w:val="superscript"/>
          <w:lang w:val="it-IT"/>
        </w:rPr>
        <w:t>®</w:t>
      </w:r>
      <w:r w:rsidRPr="00D87B79">
        <w:rPr>
          <w:rFonts w:cs="Tahoma"/>
          <w:color w:val="000000"/>
          <w:lang w:val="it-IT"/>
        </w:rPr>
        <w:t xml:space="preserve"> 2010 Professional</w:t>
      </w:r>
    </w:p>
    <w:p w:rsidR="00A92422" w:rsidRPr="00D87B79" w:rsidRDefault="00A92422" w:rsidP="00A92422">
      <w:pPr>
        <w:rPr>
          <w:rFonts w:cs="Tahoma"/>
        </w:rPr>
      </w:pPr>
      <w:r w:rsidRPr="00D87B79">
        <w:rPr>
          <w:rFonts w:cs="Tahoma"/>
          <w:color w:val="000000"/>
          <w:lang w:val="it-IT"/>
        </w:rPr>
        <w:t>Visual Studio</w:t>
      </w:r>
      <w:r w:rsidRPr="003A0F2F">
        <w:rPr>
          <w:rFonts w:cs="Tahoma"/>
          <w:color w:val="000000"/>
          <w:vertAlign w:val="superscript"/>
          <w:lang w:val="it-IT"/>
        </w:rPr>
        <w:t>®</w:t>
      </w:r>
      <w:r w:rsidRPr="00D87B79">
        <w:rPr>
          <w:rFonts w:cs="Tahoma"/>
          <w:color w:val="000000"/>
          <w:lang w:val="it-IT"/>
        </w:rPr>
        <w:t xml:space="preserve"> 2010 Professional con MSDN</w:t>
      </w:r>
    </w:p>
    <w:p w:rsidR="00A92422" w:rsidRPr="00D87B79" w:rsidRDefault="00A92422" w:rsidP="00A92422">
      <w:pPr>
        <w:rPr>
          <w:rFonts w:cs="Tahoma"/>
        </w:rPr>
      </w:pPr>
      <w:r w:rsidRPr="00D87B79">
        <w:rPr>
          <w:rFonts w:cs="Tahoma"/>
          <w:color w:val="000000"/>
          <w:lang w:val="it-IT"/>
        </w:rPr>
        <w:t>Visual Studio</w:t>
      </w:r>
      <w:r w:rsidRPr="003A0F2F">
        <w:rPr>
          <w:rFonts w:cs="Tahoma"/>
          <w:color w:val="000000"/>
          <w:vertAlign w:val="superscript"/>
          <w:lang w:val="it-IT"/>
        </w:rPr>
        <w:t>®</w:t>
      </w:r>
      <w:r w:rsidRPr="00D87B79">
        <w:rPr>
          <w:rFonts w:cs="Tahoma"/>
          <w:color w:val="000000"/>
          <w:lang w:val="it-IT"/>
        </w:rPr>
        <w:t xml:space="preserve"> 2010 Professional con MSDN Integrato</w:t>
      </w:r>
    </w:p>
    <w:p w:rsidR="00A92422" w:rsidRPr="00D87B79" w:rsidRDefault="00A92422" w:rsidP="00A92422">
      <w:pPr>
        <w:rPr>
          <w:rFonts w:cs="Tahoma"/>
        </w:rPr>
      </w:pPr>
      <w:r w:rsidRPr="00D87B79">
        <w:rPr>
          <w:rFonts w:cs="Tahoma"/>
          <w:color w:val="000000"/>
          <w:lang w:val="it-IT"/>
        </w:rPr>
        <w:t>Visual Studio</w:t>
      </w:r>
      <w:r w:rsidRPr="003A0F2F">
        <w:rPr>
          <w:rFonts w:cs="Tahoma"/>
          <w:color w:val="000000"/>
          <w:vertAlign w:val="superscript"/>
          <w:lang w:val="it-IT"/>
        </w:rPr>
        <w:t>®</w:t>
      </w:r>
      <w:r w:rsidRPr="00D87B79">
        <w:rPr>
          <w:rFonts w:cs="Tahoma"/>
          <w:color w:val="000000"/>
          <w:lang w:val="it-IT"/>
        </w:rPr>
        <w:t xml:space="preserve"> 2010 Premium</w:t>
      </w:r>
    </w:p>
    <w:p w:rsidR="00A92422" w:rsidRPr="00D87B79" w:rsidRDefault="00A92422" w:rsidP="00A92422">
      <w:pPr>
        <w:rPr>
          <w:rFonts w:cs="Tahoma"/>
        </w:rPr>
      </w:pPr>
      <w:r w:rsidRPr="00D87B79">
        <w:rPr>
          <w:rFonts w:cs="Tahoma"/>
          <w:color w:val="000000"/>
          <w:lang w:val="it-IT"/>
        </w:rPr>
        <w:t>Visual Studio</w:t>
      </w:r>
      <w:r w:rsidRPr="003A0F2F">
        <w:rPr>
          <w:rFonts w:cs="Tahoma"/>
          <w:color w:val="000000"/>
          <w:vertAlign w:val="superscript"/>
          <w:lang w:val="it-IT"/>
        </w:rPr>
        <w:t>®</w:t>
      </w:r>
      <w:r w:rsidRPr="00D87B79">
        <w:rPr>
          <w:rFonts w:cs="Tahoma"/>
          <w:color w:val="000000"/>
          <w:lang w:val="it-IT"/>
        </w:rPr>
        <w:t xml:space="preserve"> 2010 Premium con MSDN</w:t>
      </w:r>
    </w:p>
    <w:p w:rsidR="00A92422" w:rsidRPr="00D87B79" w:rsidRDefault="00A92422" w:rsidP="00A92422">
      <w:pPr>
        <w:rPr>
          <w:rFonts w:cs="Tahoma"/>
        </w:rPr>
      </w:pPr>
      <w:r w:rsidRPr="00D87B79">
        <w:rPr>
          <w:rFonts w:cs="Tahoma"/>
          <w:color w:val="000000"/>
          <w:lang w:val="it-IT"/>
        </w:rPr>
        <w:t>Visual Studio</w:t>
      </w:r>
      <w:r w:rsidRPr="003A0F2F">
        <w:rPr>
          <w:rFonts w:cs="Tahoma"/>
          <w:color w:val="000000"/>
          <w:vertAlign w:val="superscript"/>
          <w:lang w:val="it-IT"/>
        </w:rPr>
        <w:t>®</w:t>
      </w:r>
      <w:r w:rsidRPr="00D87B79">
        <w:rPr>
          <w:rFonts w:cs="Tahoma"/>
          <w:color w:val="000000"/>
          <w:lang w:val="it-IT"/>
        </w:rPr>
        <w:t xml:space="preserve"> 2010 Ultimate</w:t>
      </w:r>
    </w:p>
    <w:p w:rsidR="00A92422" w:rsidRPr="00D87B79" w:rsidRDefault="00A92422" w:rsidP="00A92422">
      <w:pPr>
        <w:rPr>
          <w:rFonts w:cs="Tahoma"/>
        </w:rPr>
      </w:pPr>
      <w:r w:rsidRPr="00D87B79">
        <w:rPr>
          <w:rFonts w:cs="Tahoma"/>
          <w:color w:val="000000"/>
          <w:lang w:val="it-IT"/>
        </w:rPr>
        <w:t>Visual Studio</w:t>
      </w:r>
      <w:r w:rsidRPr="003A0F2F">
        <w:rPr>
          <w:rFonts w:cs="Tahoma"/>
          <w:color w:val="000000"/>
          <w:vertAlign w:val="superscript"/>
          <w:lang w:val="it-IT"/>
        </w:rPr>
        <w:t>®</w:t>
      </w:r>
      <w:r w:rsidRPr="00D87B79">
        <w:rPr>
          <w:rFonts w:cs="Tahoma"/>
          <w:color w:val="000000"/>
          <w:lang w:val="it-IT"/>
        </w:rPr>
        <w:t xml:space="preserve"> 2010 Ultimate con MSDN</w:t>
      </w:r>
    </w:p>
    <w:p w:rsidR="00A92422" w:rsidRPr="00D87B79" w:rsidRDefault="00A92422" w:rsidP="00A92422">
      <w:pPr>
        <w:rPr>
          <w:rFonts w:cs="Tahoma"/>
        </w:rPr>
      </w:pPr>
      <w:r w:rsidRPr="00D87B79">
        <w:rPr>
          <w:rFonts w:cs="Tahoma"/>
          <w:color w:val="000000"/>
          <w:lang w:val="it-IT"/>
        </w:rPr>
        <w:t>Visual Studio</w:t>
      </w:r>
      <w:r w:rsidRPr="003A0F2F">
        <w:rPr>
          <w:rFonts w:cs="Tahoma"/>
          <w:color w:val="000000"/>
          <w:vertAlign w:val="superscript"/>
          <w:lang w:val="it-IT"/>
        </w:rPr>
        <w:t>®</w:t>
      </w:r>
      <w:r w:rsidRPr="00D87B79">
        <w:rPr>
          <w:rFonts w:cs="Tahoma"/>
          <w:color w:val="000000"/>
          <w:lang w:val="it-IT"/>
        </w:rPr>
        <w:t xml:space="preserve"> Test Professional 2010</w:t>
      </w:r>
    </w:p>
    <w:p w:rsidR="00A92422" w:rsidRPr="00D87B79" w:rsidRDefault="00A92422" w:rsidP="00A92422">
      <w:pPr>
        <w:rPr>
          <w:rFonts w:cs="Tahoma"/>
        </w:rPr>
      </w:pPr>
      <w:r w:rsidRPr="00D87B79">
        <w:rPr>
          <w:rFonts w:cs="Tahoma"/>
          <w:color w:val="000000"/>
          <w:lang w:val="it-IT"/>
        </w:rPr>
        <w:t>Visual Studio</w:t>
      </w:r>
      <w:r w:rsidRPr="003A0F2F">
        <w:rPr>
          <w:rFonts w:cs="Tahoma"/>
          <w:color w:val="000000"/>
          <w:vertAlign w:val="superscript"/>
          <w:lang w:val="it-IT"/>
        </w:rPr>
        <w:t>®</w:t>
      </w:r>
      <w:r w:rsidRPr="00D87B79">
        <w:rPr>
          <w:rFonts w:cs="Tahoma"/>
          <w:color w:val="000000"/>
          <w:lang w:val="it-IT"/>
        </w:rPr>
        <w:t xml:space="preserve"> Test Professional 2010 con MSDN</w:t>
      </w:r>
    </w:p>
    <w:p w:rsidR="00A92422" w:rsidRPr="00D87B79" w:rsidRDefault="00A92422" w:rsidP="00A92422">
      <w:pPr>
        <w:rPr>
          <w:rFonts w:cs="Tahoma"/>
        </w:rPr>
      </w:pPr>
      <w:r w:rsidRPr="00D87B79">
        <w:rPr>
          <w:rFonts w:cs="Tahoma"/>
          <w:color w:val="000000"/>
          <w:lang w:val="it-IT"/>
        </w:rPr>
        <w:t>Visual Studio</w:t>
      </w:r>
      <w:r w:rsidRPr="003A0F2F">
        <w:rPr>
          <w:rFonts w:cs="Tahoma"/>
          <w:color w:val="000000"/>
          <w:vertAlign w:val="superscript"/>
          <w:lang w:val="it-IT"/>
        </w:rPr>
        <w:t>®</w:t>
      </w:r>
      <w:r w:rsidRPr="00D87B79">
        <w:rPr>
          <w:rFonts w:cs="Tahoma"/>
          <w:color w:val="000000"/>
          <w:lang w:val="it-IT"/>
        </w:rPr>
        <w:t xml:space="preserve"> LightSwitch 2011</w:t>
      </w:r>
    </w:p>
    <w:p w:rsidR="00A92422" w:rsidRPr="00D87B79" w:rsidRDefault="00A92422" w:rsidP="00A92422">
      <w:pPr>
        <w:rPr>
          <w:rFonts w:cs="Tahoma"/>
        </w:rPr>
      </w:pPr>
      <w:r w:rsidRPr="00D87B79">
        <w:rPr>
          <w:rFonts w:cs="Tahoma"/>
          <w:color w:val="000000"/>
          <w:lang w:val="it-IT"/>
        </w:rPr>
        <w:t>Visual Studio</w:t>
      </w:r>
      <w:r w:rsidRPr="003A0F2F">
        <w:rPr>
          <w:rFonts w:cs="Tahoma"/>
          <w:color w:val="000000"/>
          <w:vertAlign w:val="superscript"/>
          <w:lang w:val="it-IT"/>
        </w:rPr>
        <w:t>®</w:t>
      </w:r>
      <w:r w:rsidRPr="00D87B79">
        <w:rPr>
          <w:rFonts w:cs="Tahoma"/>
          <w:color w:val="000000"/>
          <w:lang w:val="it-IT"/>
        </w:rPr>
        <w:t xml:space="preserve"> Load Test Virtual User Pack 2010</w:t>
      </w:r>
    </w:p>
    <w:p w:rsidR="00A92422" w:rsidRPr="00D87B79" w:rsidRDefault="00A92422" w:rsidP="00A92422">
      <w:pPr>
        <w:rPr>
          <w:rFonts w:cs="Tahoma"/>
        </w:rPr>
      </w:pPr>
      <w:r w:rsidRPr="00D87B79">
        <w:rPr>
          <w:rFonts w:cs="Tahoma"/>
          <w:color w:val="000000"/>
          <w:lang w:val="it-IT"/>
        </w:rPr>
        <w:t>Visual Studio</w:t>
      </w:r>
      <w:r w:rsidRPr="003A0F2F">
        <w:rPr>
          <w:rFonts w:cs="Tahoma"/>
          <w:color w:val="000000"/>
          <w:vertAlign w:val="superscript"/>
          <w:lang w:val="it-IT"/>
        </w:rPr>
        <w:t>®</w:t>
      </w:r>
      <w:r w:rsidRPr="00D87B79">
        <w:rPr>
          <w:rFonts w:cs="Tahoma"/>
          <w:color w:val="000000"/>
          <w:lang w:val="it-IT"/>
        </w:rPr>
        <w:t xml:space="preserve"> Team Foundation Server 2010 con Tecnologia SQL Server 2008</w:t>
      </w:r>
    </w:p>
    <w:p w:rsidR="00A92422" w:rsidRPr="00D87B79" w:rsidRDefault="00A92422" w:rsidP="00A92422">
      <w:pPr>
        <w:rPr>
          <w:rFonts w:cs="Tahoma"/>
        </w:rPr>
      </w:pPr>
      <w:r w:rsidRPr="00D87B79">
        <w:rPr>
          <w:rFonts w:cs="Tahoma"/>
          <w:color w:val="000000"/>
          <w:lang w:val="it-IT"/>
        </w:rPr>
        <w:t>CAL per Dispositivo per Visual Studio</w:t>
      </w:r>
      <w:r w:rsidRPr="003A0F2F">
        <w:rPr>
          <w:rFonts w:cs="Tahoma"/>
          <w:color w:val="000000"/>
          <w:vertAlign w:val="superscript"/>
          <w:lang w:val="it-IT"/>
        </w:rPr>
        <w:t>®</w:t>
      </w:r>
      <w:r w:rsidRPr="00D87B79">
        <w:rPr>
          <w:rFonts w:cs="Tahoma"/>
          <w:color w:val="000000"/>
          <w:lang w:val="it-IT"/>
        </w:rPr>
        <w:t xml:space="preserve"> Team Foundation Server 2010</w:t>
      </w:r>
    </w:p>
    <w:p w:rsidR="00A92422" w:rsidRPr="00D87B79" w:rsidRDefault="00A92422" w:rsidP="00A92422">
      <w:pPr>
        <w:rPr>
          <w:rFonts w:cs="Tahoma"/>
        </w:rPr>
      </w:pPr>
      <w:r w:rsidRPr="00D87B79">
        <w:rPr>
          <w:rFonts w:cs="Tahoma"/>
          <w:color w:val="000000"/>
          <w:lang w:val="it-IT"/>
        </w:rPr>
        <w:t>User CAL per Visual Studio</w:t>
      </w:r>
      <w:r w:rsidRPr="003A0F2F">
        <w:rPr>
          <w:rFonts w:cs="Tahoma"/>
          <w:color w:val="000000"/>
          <w:vertAlign w:val="superscript"/>
          <w:lang w:val="it-IT"/>
        </w:rPr>
        <w:t>®</w:t>
      </w:r>
      <w:r w:rsidRPr="00D87B79">
        <w:rPr>
          <w:rFonts w:cs="Tahoma"/>
          <w:color w:val="000000"/>
          <w:lang w:val="it-IT"/>
        </w:rPr>
        <w:t xml:space="preserve"> Team Foundation Server 2010</w:t>
      </w:r>
    </w:p>
    <w:p w:rsidR="00A92422" w:rsidRPr="00D87B79" w:rsidRDefault="00A92422" w:rsidP="00A92422">
      <w:pPr>
        <w:rPr>
          <w:rFonts w:cs="Tahoma"/>
        </w:rPr>
      </w:pPr>
      <w:r w:rsidRPr="00D87B79">
        <w:rPr>
          <w:rFonts w:cs="Tahoma"/>
          <w:color w:val="000000"/>
          <w:lang w:val="it-IT"/>
        </w:rPr>
        <w:t>External Connector per Visual Studio</w:t>
      </w:r>
      <w:r w:rsidRPr="003A0F2F">
        <w:rPr>
          <w:rFonts w:cs="Tahoma"/>
          <w:color w:val="000000"/>
          <w:vertAlign w:val="superscript"/>
          <w:lang w:val="it-IT"/>
        </w:rPr>
        <w:t>®</w:t>
      </w:r>
      <w:r w:rsidRPr="00D87B79">
        <w:rPr>
          <w:rFonts w:cs="Tahoma"/>
          <w:color w:val="000000"/>
          <w:lang w:val="it-IT"/>
        </w:rPr>
        <w:t xml:space="preserve"> Team Foundation Server 2010</w:t>
      </w:r>
    </w:p>
    <w:p w:rsidR="00A92422" w:rsidRPr="00D87B79" w:rsidRDefault="00A92422" w:rsidP="00A92422">
      <w:pPr>
        <w:rPr>
          <w:rFonts w:cs="Tahoma"/>
        </w:rPr>
      </w:pPr>
      <w:r w:rsidRPr="00D87B79">
        <w:rPr>
          <w:rFonts w:cs="Tahoma"/>
          <w:color w:val="000000"/>
          <w:lang w:val="it-IT"/>
        </w:rPr>
        <w:t>CAL per Windows Server™ 2008 (Dispositivo e Utente)</w:t>
      </w:r>
    </w:p>
    <w:p w:rsidR="00A92422" w:rsidRPr="00D87B79" w:rsidRDefault="00A92422" w:rsidP="00A92422">
      <w:pPr>
        <w:rPr>
          <w:rFonts w:cs="Tahoma"/>
        </w:rPr>
      </w:pPr>
      <w:r w:rsidRPr="00D87B79">
        <w:rPr>
          <w:rFonts w:cs="Tahoma"/>
          <w:color w:val="000000"/>
          <w:lang w:val="it-IT"/>
        </w:rPr>
        <w:t>Windows Server™ 2008 R2 HPC Edition</w:t>
      </w:r>
    </w:p>
    <w:p w:rsidR="00A92422" w:rsidRPr="00D87B79" w:rsidRDefault="00A92422" w:rsidP="00A92422">
      <w:pPr>
        <w:rPr>
          <w:rFonts w:cs="Tahoma"/>
        </w:rPr>
      </w:pPr>
      <w:r w:rsidRPr="00D87B79">
        <w:rPr>
          <w:rFonts w:cs="Tahoma"/>
          <w:color w:val="000000"/>
          <w:lang w:val="it-IT"/>
        </w:rPr>
        <w:t>Windows Server™ 2008 R2 Datacenter</w:t>
      </w:r>
    </w:p>
    <w:p w:rsidR="00A92422" w:rsidRPr="00D87B79" w:rsidRDefault="00A92422" w:rsidP="00A92422">
      <w:pPr>
        <w:rPr>
          <w:rFonts w:cs="Tahoma"/>
        </w:rPr>
      </w:pPr>
      <w:r w:rsidRPr="00D87B79">
        <w:rPr>
          <w:rFonts w:cs="Tahoma"/>
          <w:color w:val="000000"/>
          <w:lang w:val="it-IT"/>
        </w:rPr>
        <w:t>Windows Server™ 2008 R2 Enterprise</w:t>
      </w:r>
    </w:p>
    <w:p w:rsidR="00A92422" w:rsidRPr="00D87B79" w:rsidRDefault="00A92422" w:rsidP="00A92422">
      <w:pPr>
        <w:rPr>
          <w:rFonts w:cs="Tahoma"/>
        </w:rPr>
      </w:pPr>
      <w:r w:rsidRPr="00D87B79">
        <w:rPr>
          <w:rFonts w:cs="Tahoma"/>
          <w:color w:val="000000"/>
          <w:lang w:val="it-IT"/>
        </w:rPr>
        <w:t>Windows Server™ 2008 R2 per Sistemi Basati su Itanium</w:t>
      </w:r>
    </w:p>
    <w:p w:rsidR="00A92422" w:rsidRPr="00D87B79" w:rsidRDefault="00A92422" w:rsidP="00A92422">
      <w:pPr>
        <w:rPr>
          <w:rFonts w:cs="Tahoma"/>
        </w:rPr>
      </w:pPr>
      <w:r w:rsidRPr="00D87B79">
        <w:rPr>
          <w:rFonts w:cs="Tahoma"/>
          <w:color w:val="000000"/>
          <w:lang w:val="it-IT"/>
        </w:rPr>
        <w:t>Windows Server™ 2008 R2 Standard</w:t>
      </w:r>
    </w:p>
    <w:p w:rsidR="00A92422" w:rsidRPr="00D87B79" w:rsidRDefault="00A92422" w:rsidP="00A92422">
      <w:pPr>
        <w:rPr>
          <w:rFonts w:cs="Tahoma"/>
        </w:rPr>
      </w:pPr>
      <w:r w:rsidRPr="00D87B79">
        <w:rPr>
          <w:rFonts w:cs="Tahoma"/>
          <w:color w:val="000000"/>
          <w:lang w:val="it-IT"/>
        </w:rPr>
        <w:t>External Connector per Windows Server™ 2008</w:t>
      </w:r>
    </w:p>
    <w:p w:rsidR="00A92422" w:rsidRPr="00D87B79" w:rsidRDefault="00A92422" w:rsidP="00A92422">
      <w:pPr>
        <w:rPr>
          <w:rFonts w:cs="Tahoma"/>
        </w:rPr>
      </w:pPr>
      <w:r w:rsidRPr="00D87B79">
        <w:rPr>
          <w:rFonts w:cs="Tahoma"/>
          <w:color w:val="000000"/>
          <w:lang w:val="it-IT"/>
        </w:rPr>
        <w:t>CAL per Servizi Desktop Remoto Windows Server™ 2008</w:t>
      </w:r>
    </w:p>
    <w:p w:rsidR="00A92422" w:rsidRPr="00D87B79" w:rsidRDefault="00A92422" w:rsidP="00A92422">
      <w:pPr>
        <w:rPr>
          <w:rFonts w:cs="Tahoma"/>
        </w:rPr>
      </w:pPr>
      <w:r w:rsidRPr="00D87B79">
        <w:rPr>
          <w:rFonts w:cs="Tahoma"/>
          <w:color w:val="000000"/>
          <w:lang w:val="it-IT"/>
        </w:rPr>
        <w:t>External Connector per Servizi Desktop Remoto Windows Server™ 2008</w:t>
      </w:r>
    </w:p>
    <w:p w:rsidR="00A92422" w:rsidRPr="00D87B79" w:rsidRDefault="00A92422" w:rsidP="00A92422">
      <w:pPr>
        <w:rPr>
          <w:rFonts w:cs="Tahoma"/>
        </w:rPr>
      </w:pPr>
      <w:r w:rsidRPr="00D87B79">
        <w:rPr>
          <w:rFonts w:cs="Tahoma"/>
          <w:color w:val="000000"/>
          <w:lang w:val="it-IT"/>
        </w:rPr>
        <w:t>CAL per Windows Server™ 2008 Rights Management Services</w:t>
      </w:r>
    </w:p>
    <w:p w:rsidR="00A92422" w:rsidRPr="00D87B79" w:rsidRDefault="00A92422" w:rsidP="00A92422">
      <w:pPr>
        <w:rPr>
          <w:rFonts w:cs="Tahoma"/>
        </w:rPr>
      </w:pPr>
      <w:r w:rsidRPr="00D87B79">
        <w:rPr>
          <w:rFonts w:cs="Tahoma"/>
          <w:color w:val="000000"/>
          <w:lang w:val="it-IT"/>
        </w:rPr>
        <w:t>External Connector per Windows Server™ 2008 Rights Management Services</w:t>
      </w:r>
    </w:p>
    <w:p w:rsidR="00A92422" w:rsidRPr="00D87B79" w:rsidRDefault="00A92422" w:rsidP="00A92422">
      <w:pPr>
        <w:rPr>
          <w:rFonts w:cs="Tahoma"/>
        </w:rPr>
      </w:pPr>
      <w:r w:rsidRPr="00D87B79">
        <w:rPr>
          <w:rFonts w:cs="Tahoma"/>
          <w:color w:val="000000"/>
          <w:lang w:val="it-IT"/>
        </w:rPr>
        <w:t>Windows Web Server 2008 R2</w:t>
      </w:r>
    </w:p>
    <w:p w:rsidR="00A92422" w:rsidRPr="00D87B79" w:rsidRDefault="00A92422" w:rsidP="00A92422">
      <w:pPr>
        <w:rPr>
          <w:rFonts w:cs="Tahoma"/>
        </w:rPr>
      </w:pPr>
      <w:r w:rsidRPr="00D87B79">
        <w:rPr>
          <w:rFonts w:cs="Tahoma"/>
          <w:color w:val="000000"/>
          <w:lang w:val="it-IT"/>
        </w:rPr>
        <w:t>HPC Pack 2008 R2 Enterprise</w:t>
      </w:r>
    </w:p>
    <w:p w:rsidR="00A92422" w:rsidRPr="00D87B79" w:rsidRDefault="00A92422" w:rsidP="00A92422">
      <w:pPr>
        <w:rPr>
          <w:rFonts w:cs="Tahoma"/>
        </w:rPr>
      </w:pPr>
      <w:r w:rsidRPr="00D87B79">
        <w:rPr>
          <w:rFonts w:cs="Tahoma"/>
          <w:color w:val="000000"/>
          <w:lang w:val="it-IT"/>
        </w:rPr>
        <w:t>HPC Pack 2008 R2 per Workstation</w:t>
      </w:r>
    </w:p>
    <w:p w:rsidR="00A92422" w:rsidRPr="00D87B79" w:rsidRDefault="00A92422" w:rsidP="00A92422">
      <w:pPr>
        <w:rPr>
          <w:rFonts w:cs="Tahoma"/>
        </w:rPr>
      </w:pPr>
      <w:r w:rsidRPr="00D87B79">
        <w:rPr>
          <w:rFonts w:cs="Tahoma"/>
          <w:color w:val="000000"/>
          <w:lang w:val="it-IT"/>
        </w:rPr>
        <w:t>Windows HPC Server 2008 R2 Suite</w:t>
      </w:r>
    </w:p>
    <w:p w:rsidR="00A92422" w:rsidRPr="00D87B79" w:rsidRDefault="00A92422" w:rsidP="00A92422">
      <w:pPr>
        <w:rPr>
          <w:rFonts w:cs="Tahoma"/>
        </w:rPr>
      </w:pPr>
      <w:r w:rsidRPr="00D87B79">
        <w:rPr>
          <w:rFonts w:cs="Tahoma"/>
          <w:color w:val="000000"/>
          <w:lang w:val="it-IT"/>
        </w:rPr>
        <w:t>Win Starter 7</w:t>
      </w:r>
    </w:p>
    <w:p w:rsidR="00A92422" w:rsidRPr="00D87B79" w:rsidRDefault="00A92422" w:rsidP="00A92422">
      <w:pPr>
        <w:rPr>
          <w:rFonts w:cs="Tahoma"/>
        </w:rPr>
      </w:pPr>
      <w:r w:rsidRPr="00D87B79">
        <w:rPr>
          <w:rFonts w:cs="Tahoma"/>
          <w:color w:val="000000"/>
          <w:lang w:val="it-IT"/>
        </w:rPr>
        <w:t>Win 7 Professional (aggiornamento)</w:t>
      </w:r>
    </w:p>
    <w:p w:rsidR="00A92422" w:rsidRPr="00D87B79" w:rsidRDefault="00A92422" w:rsidP="00A92422">
      <w:pPr>
        <w:rPr>
          <w:rFonts w:cs="Tahoma"/>
        </w:rPr>
      </w:pPr>
      <w:r w:rsidRPr="00D87B79">
        <w:rPr>
          <w:rFonts w:cs="Tahoma"/>
          <w:color w:val="000000"/>
          <w:lang w:val="it-IT"/>
        </w:rPr>
        <w:t>Windows 7 Professional con MDOP</w:t>
      </w:r>
    </w:p>
    <w:p w:rsidR="00A92422" w:rsidRPr="00D87B79" w:rsidRDefault="00A92422" w:rsidP="00A92422">
      <w:pPr>
        <w:rPr>
          <w:rFonts w:cs="Tahoma"/>
        </w:rPr>
      </w:pPr>
    </w:p>
    <w:p w:rsidR="00A92422" w:rsidRPr="00D87B79" w:rsidRDefault="00A92422" w:rsidP="00A92422">
      <w:pPr>
        <w:ind w:right="720"/>
        <w:rPr>
          <w:rFonts w:cs="Tahoma"/>
        </w:rPr>
      </w:pPr>
    </w:p>
    <w:p w:rsidR="00A92422" w:rsidRDefault="00A92422" w:rsidP="00A92422">
      <w:pPr>
        <w:rPr>
          <w:rFonts w:cs="Tahoma"/>
          <w:b/>
          <w:color w:val="FF6600"/>
          <w:sz w:val="24"/>
          <w:szCs w:val="24"/>
          <w:lang w:val="it-IT"/>
        </w:rPr>
      </w:pPr>
      <w:bookmarkStart w:id="684" w:name="_Toc336338171"/>
      <w:bookmarkStart w:id="685" w:name="_Toc342900224"/>
      <w:bookmarkEnd w:id="684"/>
      <w:r>
        <w:rPr>
          <w:rFonts w:cs="Tahoma"/>
          <w:color w:val="FF6600"/>
          <w:lang w:val="it-IT"/>
        </w:rPr>
        <w:br w:type="page"/>
      </w:r>
    </w:p>
    <w:p w:rsidR="00A92422" w:rsidRPr="00D87B79" w:rsidRDefault="00A92422" w:rsidP="00A92422">
      <w:pPr>
        <w:pStyle w:val="Heading2"/>
        <w:ind w:left="0"/>
        <w:jc w:val="both"/>
        <w:rPr>
          <w:rFonts w:ascii="Tahoma" w:hAnsi="Tahoma" w:cs="Tahoma"/>
        </w:rPr>
      </w:pPr>
      <w:r w:rsidRPr="00D87B79">
        <w:rPr>
          <w:rFonts w:ascii="Tahoma" w:hAnsi="Tahoma" w:cs="Tahoma"/>
          <w:color w:val="FF6600"/>
          <w:lang w:val="it-IT"/>
        </w:rPr>
        <w:lastRenderedPageBreak/>
        <w:t>MODIFICHE APPORTATE NEL MESE DI AGOSTO 2012</w:t>
      </w:r>
      <w:bookmarkEnd w:id="685"/>
    </w:p>
    <w:p w:rsidR="00A92422" w:rsidRPr="00D87B79" w:rsidRDefault="00A92422" w:rsidP="00A92422">
      <w:pPr>
        <w:rPr>
          <w:rFonts w:cs="Tahoma"/>
        </w:rPr>
      </w:pPr>
    </w:p>
    <w:p w:rsidR="00A92422" w:rsidRPr="00D87B79" w:rsidRDefault="00A92422" w:rsidP="00A92422">
      <w:pPr>
        <w:rPr>
          <w:rFonts w:cs="Tahoma"/>
        </w:rPr>
      </w:pPr>
      <w:r w:rsidRPr="00D87B79">
        <w:rPr>
          <w:rFonts w:cs="Tahoma"/>
          <w:b/>
          <w:lang w:val="it-IT"/>
        </w:rPr>
        <w:t>Prodotti Aggiunti</w:t>
      </w:r>
    </w:p>
    <w:p w:rsidR="00A92422" w:rsidRPr="00D87B79" w:rsidRDefault="00A92422" w:rsidP="00A92422">
      <w:pPr>
        <w:rPr>
          <w:rFonts w:cs="Tahoma"/>
        </w:rPr>
      </w:pPr>
      <w:r w:rsidRPr="00D87B79">
        <w:rPr>
          <w:rFonts w:cs="Tahoma"/>
          <w:lang w:val="it-IT"/>
        </w:rPr>
        <w:t>MapPoint</w:t>
      </w:r>
      <w:r w:rsidRPr="003A0F2F">
        <w:rPr>
          <w:rFonts w:cs="Tahoma"/>
          <w:vertAlign w:val="superscript"/>
          <w:lang w:val="it-IT"/>
        </w:rPr>
        <w:t>®</w:t>
      </w:r>
      <w:r w:rsidRPr="00D87B79">
        <w:rPr>
          <w:rFonts w:cs="Tahoma"/>
          <w:lang w:val="it-IT"/>
        </w:rPr>
        <w:t xml:space="preserve"> Fleet Edition 2013</w:t>
      </w:r>
    </w:p>
    <w:p w:rsidR="00A92422" w:rsidRPr="00D87B79" w:rsidRDefault="00A92422" w:rsidP="00A92422">
      <w:pPr>
        <w:rPr>
          <w:rFonts w:cs="Tahoma"/>
        </w:rPr>
      </w:pPr>
      <w:r w:rsidRPr="00D87B79">
        <w:rPr>
          <w:rFonts w:cs="Tahoma"/>
          <w:lang w:val="it-IT"/>
        </w:rPr>
        <w:t>MapPoint</w:t>
      </w:r>
      <w:r w:rsidRPr="003A0F2F">
        <w:rPr>
          <w:rFonts w:cs="Tahoma"/>
          <w:vertAlign w:val="superscript"/>
          <w:lang w:val="it-IT"/>
        </w:rPr>
        <w:t>®</w:t>
      </w:r>
      <w:r w:rsidRPr="00D87B79">
        <w:rPr>
          <w:rFonts w:cs="Tahoma"/>
          <w:lang w:val="it-IT"/>
        </w:rPr>
        <w:t xml:space="preserve"> 2013 per Windows</w:t>
      </w:r>
      <w:r w:rsidRPr="00D87B79">
        <w:rPr>
          <w:rFonts w:cs="Tahoma"/>
        </w:rPr>
        <w:t xml:space="preserve"> </w:t>
      </w:r>
    </w:p>
    <w:p w:rsidR="00A92422" w:rsidRPr="00D87B79" w:rsidRDefault="00A92422" w:rsidP="00A92422">
      <w:pPr>
        <w:rPr>
          <w:rFonts w:cs="Tahoma"/>
        </w:rPr>
      </w:pPr>
      <w:r w:rsidRPr="00D87B79">
        <w:rPr>
          <w:rFonts w:cs="Tahoma"/>
          <w:lang w:val="it-IT"/>
        </w:rPr>
        <w:t>Microsoft Translator API</w:t>
      </w:r>
    </w:p>
    <w:p w:rsidR="00A92422" w:rsidRPr="00D87B79" w:rsidRDefault="00A92422" w:rsidP="00A92422">
      <w:pPr>
        <w:rPr>
          <w:rFonts w:cs="Tahoma"/>
        </w:rPr>
      </w:pPr>
      <w:r w:rsidRPr="00D87B79">
        <w:rPr>
          <w:rFonts w:cs="Tahoma"/>
          <w:lang w:val="it-IT"/>
        </w:rPr>
        <w:t>Office 365 Piano G1-G4</w:t>
      </w:r>
    </w:p>
    <w:p w:rsidR="00A92422" w:rsidRPr="00D87B79" w:rsidRDefault="00A92422" w:rsidP="00A92422">
      <w:pPr>
        <w:rPr>
          <w:rFonts w:cs="Tahoma"/>
        </w:rPr>
      </w:pPr>
      <w:r w:rsidRPr="00D87B79">
        <w:rPr>
          <w:rFonts w:cs="Tahoma"/>
          <w:lang w:val="it-IT"/>
        </w:rPr>
        <w:t>Streets and Trips 2013</w:t>
      </w:r>
    </w:p>
    <w:p w:rsidR="00A92422" w:rsidRPr="00D87B79" w:rsidRDefault="00A92422" w:rsidP="00A92422">
      <w:pPr>
        <w:rPr>
          <w:rFonts w:cs="Tahoma"/>
        </w:rPr>
      </w:pPr>
    </w:p>
    <w:p w:rsidR="00A92422" w:rsidRPr="00D87B79" w:rsidRDefault="00A92422" w:rsidP="00A92422">
      <w:pPr>
        <w:rPr>
          <w:rFonts w:cs="Tahoma"/>
        </w:rPr>
      </w:pPr>
      <w:r w:rsidRPr="00D87B79">
        <w:rPr>
          <w:rFonts w:cs="Tahoma"/>
          <w:b/>
          <w:lang w:val="it-IT"/>
        </w:rPr>
        <w:t>Promozioni</w:t>
      </w:r>
    </w:p>
    <w:p w:rsidR="00A92422" w:rsidRPr="00D87B79" w:rsidRDefault="00A92422" w:rsidP="00A92422">
      <w:pPr>
        <w:rPr>
          <w:rFonts w:cs="Tahoma"/>
        </w:rPr>
      </w:pPr>
      <w:r w:rsidRPr="00D87B79">
        <w:rPr>
          <w:rFonts w:cs="Tahoma"/>
          <w:color w:val="000000"/>
          <w:lang w:val="it-IT"/>
        </w:rPr>
        <w:t>Non sono state aggiunte, eliminate né sono scadute promozioni.</w:t>
      </w:r>
    </w:p>
    <w:p w:rsidR="00A92422" w:rsidRPr="00D87B79" w:rsidRDefault="00A92422" w:rsidP="00A92422">
      <w:pPr>
        <w:rPr>
          <w:rFonts w:cs="Tahoma"/>
        </w:rPr>
      </w:pPr>
      <w:r w:rsidRPr="00D87B79">
        <w:rPr>
          <w:rFonts w:cs="Tahoma"/>
          <w:szCs w:val="18"/>
        </w:rPr>
        <w:br/>
      </w:r>
      <w:r w:rsidRPr="00D87B79">
        <w:rPr>
          <w:rFonts w:cs="Tahoma"/>
          <w:b/>
          <w:lang w:val="it-IT"/>
        </w:rPr>
        <w:t>Prodotti Eliminati</w:t>
      </w:r>
    </w:p>
    <w:p w:rsidR="00A92422" w:rsidRPr="00D87B79" w:rsidRDefault="00A92422" w:rsidP="00A92422">
      <w:pPr>
        <w:rPr>
          <w:rFonts w:cs="Tahoma"/>
        </w:rPr>
      </w:pPr>
      <w:r w:rsidRPr="00D87B79">
        <w:rPr>
          <w:rFonts w:cs="Tahoma"/>
          <w:lang w:val="it-IT"/>
        </w:rPr>
        <w:t>MapPoint</w:t>
      </w:r>
      <w:r w:rsidRPr="003A0F2F">
        <w:rPr>
          <w:rFonts w:cs="Tahoma"/>
          <w:vertAlign w:val="superscript"/>
          <w:lang w:val="it-IT"/>
        </w:rPr>
        <w:t>®</w:t>
      </w:r>
      <w:r w:rsidRPr="00D87B79">
        <w:rPr>
          <w:rFonts w:cs="Tahoma"/>
          <w:lang w:val="it-IT"/>
        </w:rPr>
        <w:t xml:space="preserve"> Fleet Edition 2011</w:t>
      </w:r>
    </w:p>
    <w:p w:rsidR="00A92422" w:rsidRPr="00D87B79" w:rsidRDefault="00A92422" w:rsidP="00A92422">
      <w:pPr>
        <w:rPr>
          <w:rFonts w:cs="Tahoma"/>
        </w:rPr>
      </w:pPr>
      <w:r w:rsidRPr="00D87B79">
        <w:rPr>
          <w:rFonts w:cs="Tahoma"/>
          <w:lang w:val="it-IT"/>
        </w:rPr>
        <w:t>MapPoint</w:t>
      </w:r>
      <w:r w:rsidRPr="003A0F2F">
        <w:rPr>
          <w:rFonts w:cs="Tahoma"/>
          <w:vertAlign w:val="superscript"/>
          <w:lang w:val="it-IT"/>
        </w:rPr>
        <w:t>®</w:t>
      </w:r>
      <w:r w:rsidRPr="00D87B79">
        <w:rPr>
          <w:rFonts w:cs="Tahoma"/>
          <w:lang w:val="it-IT"/>
        </w:rPr>
        <w:t xml:space="preserve"> 2011 per Windows</w:t>
      </w:r>
      <w:r w:rsidRPr="00D87B79">
        <w:rPr>
          <w:rFonts w:cs="Tahoma"/>
        </w:rPr>
        <w:t xml:space="preserve"> </w:t>
      </w:r>
    </w:p>
    <w:p w:rsidR="00A92422" w:rsidRPr="00D87B79" w:rsidRDefault="00A92422" w:rsidP="00A92422">
      <w:pPr>
        <w:rPr>
          <w:rFonts w:cs="Tahoma"/>
        </w:rPr>
      </w:pPr>
      <w:r w:rsidRPr="00D87B79">
        <w:rPr>
          <w:rFonts w:cs="Tahoma"/>
          <w:lang w:val="it-IT"/>
        </w:rPr>
        <w:t>Streets and Trips 2011</w:t>
      </w:r>
    </w:p>
    <w:p w:rsidR="00A92422" w:rsidRPr="00D87B79" w:rsidRDefault="00A92422" w:rsidP="00A92422">
      <w:pPr>
        <w:rPr>
          <w:rFonts w:cs="Tahoma"/>
        </w:rPr>
      </w:pPr>
    </w:p>
    <w:p w:rsidR="00A92422" w:rsidRPr="001F74E7" w:rsidRDefault="00A92422" w:rsidP="00A92422">
      <w:pPr>
        <w:pStyle w:val="Heading2"/>
        <w:ind w:left="0"/>
        <w:jc w:val="both"/>
        <w:rPr>
          <w:rFonts w:ascii="Tahoma" w:hAnsi="Tahoma" w:cs="Tahoma"/>
          <w:sz w:val="18"/>
          <w:szCs w:val="18"/>
        </w:rPr>
      </w:pPr>
    </w:p>
    <w:p w:rsidR="00A92422" w:rsidRPr="00D87B79" w:rsidRDefault="00A92422" w:rsidP="00A92422">
      <w:pPr>
        <w:pStyle w:val="Heading2"/>
        <w:ind w:left="0"/>
        <w:jc w:val="both"/>
        <w:rPr>
          <w:rFonts w:ascii="Tahoma" w:hAnsi="Tahoma" w:cs="Tahoma"/>
        </w:rPr>
      </w:pPr>
      <w:bookmarkStart w:id="686" w:name="_Toc336338172"/>
      <w:bookmarkStart w:id="687" w:name="_Toc342900225"/>
      <w:bookmarkEnd w:id="686"/>
      <w:r w:rsidRPr="00D87B79">
        <w:rPr>
          <w:rFonts w:ascii="Tahoma" w:hAnsi="Tahoma" w:cs="Tahoma"/>
          <w:color w:val="FF6600"/>
          <w:lang w:val="it-IT"/>
        </w:rPr>
        <w:t>MODIFICHE APPORTATE NEL MESE DI LUGLIO 2012</w:t>
      </w:r>
      <w:bookmarkEnd w:id="687"/>
    </w:p>
    <w:p w:rsidR="00A92422" w:rsidRPr="00D87B79" w:rsidRDefault="00A92422" w:rsidP="00A92422">
      <w:pPr>
        <w:rPr>
          <w:rFonts w:cs="Tahoma"/>
        </w:rPr>
      </w:pPr>
    </w:p>
    <w:p w:rsidR="00A92422" w:rsidRPr="00D87B79" w:rsidRDefault="00A92422" w:rsidP="00A92422">
      <w:pPr>
        <w:rPr>
          <w:rFonts w:cs="Tahoma"/>
        </w:rPr>
      </w:pPr>
      <w:r w:rsidRPr="00D87B79">
        <w:rPr>
          <w:rFonts w:cs="Tahoma"/>
          <w:b/>
          <w:lang w:val="it-IT"/>
        </w:rPr>
        <w:t>Prodotti Aggiunti</w:t>
      </w:r>
    </w:p>
    <w:p w:rsidR="00A92422" w:rsidRPr="00D87B79" w:rsidRDefault="00A92422" w:rsidP="00A92422">
      <w:pPr>
        <w:rPr>
          <w:rFonts w:cs="Tahoma"/>
        </w:rPr>
      </w:pPr>
      <w:r w:rsidRPr="00D87B79">
        <w:rPr>
          <w:rFonts w:cs="Tahoma"/>
          <w:lang w:val="it-IT"/>
        </w:rPr>
        <w:t>Lync Online Piano 3</w:t>
      </w:r>
    </w:p>
    <w:p w:rsidR="00A92422" w:rsidRPr="00D87B79" w:rsidRDefault="00A92422" w:rsidP="00A92422">
      <w:pPr>
        <w:rPr>
          <w:rFonts w:cs="Tahoma"/>
        </w:rPr>
      </w:pPr>
      <w:r w:rsidRPr="00D87B79">
        <w:rPr>
          <w:rFonts w:cs="Tahoma"/>
          <w:lang w:val="it-IT"/>
        </w:rPr>
        <w:t>Lync Online Piano 3A</w:t>
      </w:r>
    </w:p>
    <w:p w:rsidR="00A92422" w:rsidRPr="00D87B79" w:rsidRDefault="00A92422" w:rsidP="00A92422">
      <w:pPr>
        <w:rPr>
          <w:rFonts w:cs="Tahoma"/>
        </w:rPr>
      </w:pPr>
      <w:r w:rsidRPr="00D87B79">
        <w:rPr>
          <w:rFonts w:cs="Tahoma"/>
          <w:lang w:val="it-IT"/>
        </w:rPr>
        <w:t>Office Web Applications con SharePoint Piano 2A</w:t>
      </w:r>
    </w:p>
    <w:p w:rsidR="00A92422" w:rsidRPr="00D87B79" w:rsidRDefault="00A92422" w:rsidP="00A92422">
      <w:pPr>
        <w:rPr>
          <w:rFonts w:cs="Tahoma"/>
        </w:rPr>
      </w:pPr>
      <w:r w:rsidRPr="00D87B79">
        <w:rPr>
          <w:rFonts w:cs="Tahoma"/>
          <w:lang w:val="it-IT"/>
        </w:rPr>
        <w:t>Learning Solutions IT Academy (SL per Utente)</w:t>
      </w:r>
      <w:r w:rsidRPr="00D87B79">
        <w:rPr>
          <w:rFonts w:cs="Tahoma"/>
        </w:rPr>
        <w:t xml:space="preserve"> </w:t>
      </w:r>
    </w:p>
    <w:p w:rsidR="00A92422" w:rsidRPr="00D87B79" w:rsidRDefault="00A92422" w:rsidP="00A92422">
      <w:pPr>
        <w:rPr>
          <w:rFonts w:cs="Tahoma"/>
        </w:rPr>
      </w:pPr>
    </w:p>
    <w:p w:rsidR="00A92422" w:rsidRPr="00D87B79" w:rsidRDefault="00A92422" w:rsidP="00A92422">
      <w:pPr>
        <w:rPr>
          <w:rFonts w:cs="Tahoma"/>
        </w:rPr>
      </w:pPr>
      <w:r w:rsidRPr="00D87B79">
        <w:rPr>
          <w:rFonts w:cs="Tahoma"/>
          <w:b/>
          <w:lang w:val="it-IT"/>
        </w:rPr>
        <w:t>Promozioni</w:t>
      </w:r>
    </w:p>
    <w:p w:rsidR="00A92422" w:rsidRPr="00D87B79" w:rsidRDefault="00A92422" w:rsidP="00A92422">
      <w:pPr>
        <w:rPr>
          <w:rFonts w:cs="Tahoma"/>
        </w:rPr>
      </w:pPr>
      <w:bookmarkStart w:id="688" w:name="_Toc325609137"/>
      <w:bookmarkEnd w:id="688"/>
      <w:r w:rsidRPr="00D87B79">
        <w:rPr>
          <w:rFonts w:cs="Tahoma"/>
          <w:color w:val="000000"/>
          <w:lang w:val="it-IT"/>
        </w:rPr>
        <w:t>Non sono state aggiunte, eliminate né sono scadute promozioni.</w:t>
      </w:r>
    </w:p>
    <w:p w:rsidR="00A92422" w:rsidRPr="00D87B79" w:rsidRDefault="00A92422" w:rsidP="00A92422">
      <w:pPr>
        <w:rPr>
          <w:rFonts w:cs="Tahoma"/>
        </w:rPr>
      </w:pPr>
      <w:r w:rsidRPr="00D87B79">
        <w:rPr>
          <w:rFonts w:cs="Tahoma"/>
          <w:szCs w:val="18"/>
        </w:rPr>
        <w:br/>
      </w:r>
      <w:r w:rsidRPr="00D87B79">
        <w:rPr>
          <w:rFonts w:cs="Tahoma"/>
          <w:b/>
          <w:lang w:val="it-IT"/>
        </w:rPr>
        <w:t>Prodotti Eliminati</w:t>
      </w:r>
    </w:p>
    <w:p w:rsidR="00A92422" w:rsidRPr="00D87B79" w:rsidRDefault="00A92422" w:rsidP="00A92422">
      <w:pPr>
        <w:rPr>
          <w:rFonts w:cs="Tahoma"/>
        </w:rPr>
      </w:pPr>
      <w:r w:rsidRPr="00D87B79">
        <w:rPr>
          <w:rFonts w:cs="Tahoma"/>
          <w:color w:val="000000"/>
          <w:lang w:val="it-IT"/>
        </w:rPr>
        <w:t>Non sono stati eliminati prodotti.</w:t>
      </w:r>
    </w:p>
    <w:p w:rsidR="00A92422" w:rsidRPr="00D87B79" w:rsidRDefault="00A92422" w:rsidP="00A92422">
      <w:pPr>
        <w:rPr>
          <w:rFonts w:cs="Tahoma"/>
        </w:rPr>
      </w:pPr>
    </w:p>
    <w:p w:rsidR="00A92422" w:rsidRPr="00D87B79" w:rsidRDefault="00A92422" w:rsidP="00A92422">
      <w:pPr>
        <w:rPr>
          <w:rFonts w:cs="Tahoma"/>
        </w:rPr>
      </w:pPr>
      <w:r w:rsidRPr="00D87B79">
        <w:rPr>
          <w:rFonts w:cs="Tahoma"/>
          <w:color w:val="000000"/>
          <w:lang w:val="it-IT"/>
        </w:rPr>
        <w:t>Altre Modifiche</w:t>
      </w:r>
    </w:p>
    <w:p w:rsidR="00A92422" w:rsidRPr="00D87B79" w:rsidRDefault="00A92422" w:rsidP="00A92422">
      <w:pPr>
        <w:rPr>
          <w:rFonts w:cs="Tahoma"/>
        </w:rPr>
      </w:pPr>
      <w:r w:rsidRPr="00D87B79">
        <w:rPr>
          <w:rFonts w:cs="Tahoma"/>
          <w:color w:val="000000"/>
          <w:lang w:val="it-IT"/>
        </w:rPr>
        <w:t>Gli Articoli da 3 a 5 sono stati riorganizzati negli Articoli da 3 a 9 relativi ai miglioramenti dell’usabilità.</w:t>
      </w:r>
      <w:r w:rsidRPr="00D87B79">
        <w:rPr>
          <w:rFonts w:cs="Tahoma"/>
        </w:rPr>
        <w:t xml:space="preserve"> </w:t>
      </w:r>
    </w:p>
    <w:p w:rsidR="00A92422" w:rsidRPr="00D87B79" w:rsidRDefault="00A92422" w:rsidP="00A92422">
      <w:pPr>
        <w:ind w:right="720"/>
        <w:rPr>
          <w:rFonts w:cs="Tahoma"/>
        </w:rPr>
      </w:pPr>
    </w:p>
    <w:p w:rsidR="00A92422" w:rsidRPr="001B0290" w:rsidRDefault="00A92422" w:rsidP="00A92422">
      <w:pPr>
        <w:pStyle w:val="Heading2"/>
        <w:ind w:left="0"/>
        <w:jc w:val="both"/>
        <w:rPr>
          <w:rFonts w:ascii="Tahoma" w:hAnsi="Tahoma" w:cs="Tahoma"/>
          <w:sz w:val="18"/>
          <w:szCs w:val="18"/>
        </w:rPr>
      </w:pPr>
    </w:p>
    <w:p w:rsidR="00A92422" w:rsidRPr="00D87B79" w:rsidRDefault="00A92422" w:rsidP="00A92422">
      <w:pPr>
        <w:pStyle w:val="Heading2"/>
        <w:keepNext/>
        <w:keepLines/>
        <w:ind w:left="0"/>
        <w:jc w:val="both"/>
        <w:rPr>
          <w:rFonts w:ascii="Tahoma" w:hAnsi="Tahoma" w:cs="Tahoma"/>
        </w:rPr>
      </w:pPr>
      <w:bookmarkStart w:id="689" w:name="_Toc336338173"/>
      <w:bookmarkStart w:id="690" w:name="_Toc342900226"/>
      <w:bookmarkEnd w:id="689"/>
      <w:r w:rsidRPr="00D87B79">
        <w:rPr>
          <w:rFonts w:ascii="Tahoma" w:hAnsi="Tahoma" w:cs="Tahoma"/>
          <w:color w:val="FF6600"/>
          <w:lang w:val="it-IT"/>
        </w:rPr>
        <w:t>MODIFICHE APPORTATE NEL MESE DI GIUGNO 2012</w:t>
      </w:r>
      <w:bookmarkEnd w:id="690"/>
    </w:p>
    <w:p w:rsidR="00A92422" w:rsidRPr="00D87B79" w:rsidRDefault="00A92422" w:rsidP="00A92422">
      <w:pPr>
        <w:keepNext/>
        <w:keepLines/>
        <w:rPr>
          <w:rFonts w:cs="Tahoma"/>
        </w:rPr>
      </w:pPr>
    </w:p>
    <w:p w:rsidR="00A92422" w:rsidRPr="00D87B79" w:rsidRDefault="00A92422" w:rsidP="00A92422">
      <w:pPr>
        <w:keepNext/>
        <w:keepLines/>
        <w:rPr>
          <w:rFonts w:cs="Tahoma"/>
        </w:rPr>
      </w:pPr>
      <w:r w:rsidRPr="00D87B79">
        <w:rPr>
          <w:rFonts w:cs="Tahoma"/>
          <w:b/>
          <w:lang w:val="it-IT"/>
        </w:rPr>
        <w:t>Prodotti Aggiunti</w:t>
      </w:r>
    </w:p>
    <w:p w:rsidR="00A92422" w:rsidRPr="00D87B79" w:rsidRDefault="00A92422" w:rsidP="00A92422">
      <w:pPr>
        <w:keepNext/>
        <w:keepLines/>
        <w:rPr>
          <w:rFonts w:cs="Tahoma"/>
        </w:rPr>
      </w:pPr>
      <w:r w:rsidRPr="00D87B79">
        <w:rPr>
          <w:rFonts w:cs="Tahoma"/>
          <w:lang w:val="it-IT"/>
        </w:rPr>
        <w:t>Dynamics CRM Mobile (Online; Per Utente)</w:t>
      </w:r>
    </w:p>
    <w:p w:rsidR="00A92422" w:rsidRPr="00D87B79" w:rsidRDefault="00A92422" w:rsidP="00A92422">
      <w:pPr>
        <w:rPr>
          <w:rFonts w:cs="Tahoma"/>
        </w:rPr>
      </w:pPr>
      <w:r w:rsidRPr="00D87B79">
        <w:rPr>
          <w:rFonts w:cs="Tahoma"/>
          <w:lang w:val="it-IT"/>
        </w:rPr>
        <w:t>Dynamics CRM Onprem Mobile</w:t>
      </w:r>
    </w:p>
    <w:p w:rsidR="00A92422" w:rsidRPr="00D87B79" w:rsidRDefault="00A92422" w:rsidP="00A92422">
      <w:pPr>
        <w:rPr>
          <w:rFonts w:cs="Tahoma"/>
        </w:rPr>
      </w:pPr>
      <w:r w:rsidRPr="00D87B79">
        <w:rPr>
          <w:rFonts w:cs="Tahoma"/>
          <w:color w:val="000000"/>
          <w:lang w:val="it-IT"/>
        </w:rPr>
        <w:t>Archiviazione Exchange Online per Exchange Server A (SL per Utente)</w:t>
      </w:r>
    </w:p>
    <w:p w:rsidR="00A92422" w:rsidRPr="00D87B79" w:rsidRDefault="00A92422" w:rsidP="00A92422">
      <w:pPr>
        <w:rPr>
          <w:rFonts w:cs="Tahoma"/>
        </w:rPr>
      </w:pPr>
      <w:r w:rsidRPr="00D87B79">
        <w:rPr>
          <w:rFonts w:cs="Tahoma"/>
          <w:color w:val="000000"/>
          <w:lang w:val="it-IT"/>
        </w:rPr>
        <w:t>Exchange Online Piano 1A per Ex Allievi</w:t>
      </w:r>
    </w:p>
    <w:p w:rsidR="00A92422" w:rsidRPr="00D87B79" w:rsidRDefault="00A92422" w:rsidP="00A92422">
      <w:pPr>
        <w:rPr>
          <w:rFonts w:cs="Tahoma"/>
        </w:rPr>
      </w:pPr>
      <w:r w:rsidRPr="00D87B79">
        <w:rPr>
          <w:rFonts w:cs="Tahoma"/>
          <w:color w:val="000000"/>
          <w:lang w:val="it-IT"/>
        </w:rPr>
        <w:t>Exchange Online Piano 2A</w:t>
      </w:r>
    </w:p>
    <w:p w:rsidR="00A92422" w:rsidRPr="00D87B79" w:rsidRDefault="00A92422" w:rsidP="00A92422">
      <w:pPr>
        <w:rPr>
          <w:rFonts w:cs="Tahoma"/>
        </w:rPr>
      </w:pPr>
      <w:r w:rsidRPr="00D87B79">
        <w:rPr>
          <w:rFonts w:cs="Tahoma"/>
          <w:color w:val="000000"/>
          <w:lang w:val="it-IT"/>
        </w:rPr>
        <w:t>CAL per Forefront Identity Manager 2010 R2 (solo Utente)</w:t>
      </w:r>
    </w:p>
    <w:p w:rsidR="00A92422" w:rsidRPr="00D87B79" w:rsidRDefault="00A92422" w:rsidP="00A92422">
      <w:pPr>
        <w:rPr>
          <w:rFonts w:cs="Tahoma"/>
        </w:rPr>
      </w:pPr>
      <w:r w:rsidRPr="00D87B79">
        <w:rPr>
          <w:rFonts w:cs="Tahoma"/>
          <w:color w:val="000000"/>
          <w:lang w:val="it-IT"/>
        </w:rPr>
        <w:t>External Connector per Forefront Identity Manager 2010 R2</w:t>
      </w:r>
    </w:p>
    <w:p w:rsidR="00A92422" w:rsidRPr="00D87B79" w:rsidRDefault="00A92422" w:rsidP="00A92422">
      <w:pPr>
        <w:rPr>
          <w:rFonts w:cs="Tahoma"/>
        </w:rPr>
      </w:pPr>
      <w:r w:rsidRPr="00D87B79">
        <w:rPr>
          <w:rFonts w:cs="Tahoma"/>
          <w:color w:val="000000"/>
          <w:lang w:val="it-IT"/>
        </w:rPr>
        <w:t>Forefront Identity Manager 2010 R2 Server</w:t>
      </w:r>
    </w:p>
    <w:p w:rsidR="00A92422" w:rsidRPr="00D87B79" w:rsidRDefault="00A92422" w:rsidP="00A92422">
      <w:pPr>
        <w:rPr>
          <w:rFonts w:cs="Tahoma"/>
        </w:rPr>
      </w:pPr>
      <w:r w:rsidRPr="00D87B79">
        <w:rPr>
          <w:rFonts w:cs="Tahoma"/>
          <w:color w:val="000000"/>
          <w:lang w:val="it-IT"/>
        </w:rPr>
        <w:t>Forefront Identity Manager 2010 R2 - Windows Live Edition</w:t>
      </w:r>
    </w:p>
    <w:p w:rsidR="00A92422" w:rsidRPr="00D87B79" w:rsidRDefault="00A92422" w:rsidP="00A92422">
      <w:pPr>
        <w:rPr>
          <w:rFonts w:cs="Tahoma"/>
        </w:rPr>
      </w:pPr>
      <w:r w:rsidRPr="00D87B79">
        <w:rPr>
          <w:rFonts w:cs="Tahoma"/>
          <w:color w:val="000000"/>
          <w:lang w:val="it-IT"/>
        </w:rPr>
        <w:t>Office 365 A2-A4 (SL per Utente)</w:t>
      </w:r>
    </w:p>
    <w:p w:rsidR="00A92422" w:rsidRPr="00D87B79" w:rsidRDefault="00A92422" w:rsidP="00A92422">
      <w:pPr>
        <w:rPr>
          <w:rFonts w:cs="Tahoma"/>
        </w:rPr>
      </w:pPr>
      <w:r w:rsidRPr="00D87B79">
        <w:rPr>
          <w:rFonts w:cs="Tahoma"/>
          <w:color w:val="000000"/>
          <w:lang w:val="it-IT"/>
        </w:rPr>
        <w:t>Sottoscrizione Office Professional Plus A (SL per Utente)</w:t>
      </w:r>
    </w:p>
    <w:p w:rsidR="00A92422" w:rsidRPr="00D87B79" w:rsidRDefault="00A92422" w:rsidP="00A92422">
      <w:pPr>
        <w:rPr>
          <w:rFonts w:cs="Tahoma"/>
        </w:rPr>
      </w:pPr>
      <w:r w:rsidRPr="00D87B79">
        <w:rPr>
          <w:rFonts w:cs="Tahoma"/>
          <w:color w:val="000000"/>
          <w:lang w:val="it-IT"/>
        </w:rPr>
        <w:t>Office Web Applications A (SL per Utente)</w:t>
      </w:r>
    </w:p>
    <w:p w:rsidR="00A92422" w:rsidRPr="00D87B79" w:rsidRDefault="00A92422" w:rsidP="00A92422">
      <w:pPr>
        <w:rPr>
          <w:rFonts w:cs="Tahoma"/>
        </w:rPr>
      </w:pPr>
      <w:r w:rsidRPr="00D87B79">
        <w:rPr>
          <w:rFonts w:cs="Tahoma"/>
          <w:color w:val="000000"/>
          <w:lang w:val="it-IT"/>
        </w:rPr>
        <w:t>SharePoint™ Online Extra Storage 1 GB A (SL Add-on)</w:t>
      </w:r>
    </w:p>
    <w:p w:rsidR="00A92422" w:rsidRPr="00D87B79" w:rsidRDefault="00A92422" w:rsidP="00A92422">
      <w:pPr>
        <w:rPr>
          <w:rFonts w:cs="Tahoma"/>
        </w:rPr>
      </w:pPr>
    </w:p>
    <w:p w:rsidR="00A92422" w:rsidRPr="00D87B79" w:rsidRDefault="00A92422" w:rsidP="00A92422">
      <w:pPr>
        <w:rPr>
          <w:rFonts w:cs="Tahoma"/>
        </w:rPr>
      </w:pPr>
      <w:r w:rsidRPr="00D87B79">
        <w:rPr>
          <w:rFonts w:cs="Tahoma"/>
          <w:b/>
          <w:lang w:val="it-IT"/>
        </w:rPr>
        <w:t>Promozioni</w:t>
      </w:r>
    </w:p>
    <w:p w:rsidR="00A92422" w:rsidRPr="00D87B79" w:rsidRDefault="00A92422" w:rsidP="00A92422">
      <w:pPr>
        <w:rPr>
          <w:rFonts w:cs="Tahoma"/>
        </w:rPr>
      </w:pPr>
      <w:bookmarkStart w:id="691" w:name="_Toc323034103"/>
      <w:bookmarkStart w:id="692" w:name="_Toc325609139"/>
      <w:bookmarkStart w:id="693" w:name="_Toc328145933"/>
      <w:bookmarkEnd w:id="691"/>
      <w:bookmarkEnd w:id="692"/>
      <w:bookmarkEnd w:id="693"/>
      <w:r w:rsidRPr="00D87B79">
        <w:rPr>
          <w:rFonts w:cs="Tahoma"/>
          <w:color w:val="000000"/>
          <w:lang w:val="it-IT"/>
        </w:rPr>
        <w:t>Non sono state aggiunte, eliminate né sono scadute promozioni.</w:t>
      </w:r>
    </w:p>
    <w:p w:rsidR="00A92422" w:rsidRDefault="00A92422" w:rsidP="00A92422">
      <w:pPr>
        <w:rPr>
          <w:rFonts w:cs="Tahoma"/>
          <w:b/>
          <w:lang w:val="it-IT"/>
        </w:rPr>
      </w:pPr>
      <w:r w:rsidRPr="00D87B79">
        <w:rPr>
          <w:rFonts w:cs="Tahoma"/>
          <w:szCs w:val="18"/>
        </w:rPr>
        <w:br/>
      </w:r>
    </w:p>
    <w:p w:rsidR="00A92422" w:rsidRDefault="00A92422" w:rsidP="00A92422">
      <w:pPr>
        <w:rPr>
          <w:lang w:val="it-IT"/>
        </w:rPr>
      </w:pPr>
      <w:r>
        <w:rPr>
          <w:lang w:val="it-IT"/>
        </w:rPr>
        <w:br w:type="page"/>
      </w:r>
    </w:p>
    <w:p w:rsidR="00A92422" w:rsidRPr="00D87B79" w:rsidRDefault="00A92422" w:rsidP="00A92422">
      <w:pPr>
        <w:rPr>
          <w:rFonts w:cs="Tahoma"/>
        </w:rPr>
      </w:pPr>
      <w:r w:rsidRPr="00D87B79">
        <w:rPr>
          <w:rFonts w:cs="Tahoma"/>
          <w:b/>
          <w:lang w:val="it-IT"/>
        </w:rPr>
        <w:lastRenderedPageBreak/>
        <w:t>Prodotti Eliminati</w:t>
      </w:r>
    </w:p>
    <w:p w:rsidR="00A92422" w:rsidRPr="00D87B79" w:rsidRDefault="00A92422" w:rsidP="00A92422">
      <w:pPr>
        <w:rPr>
          <w:rFonts w:cs="Tahoma"/>
        </w:rPr>
      </w:pPr>
      <w:r w:rsidRPr="00D87B79">
        <w:rPr>
          <w:rFonts w:cs="Tahoma"/>
          <w:color w:val="000000"/>
          <w:lang w:val="it-IT"/>
        </w:rPr>
        <w:t>CAL per Forefront Identity Manager 2010 (solo Utente)</w:t>
      </w:r>
    </w:p>
    <w:p w:rsidR="00A92422" w:rsidRPr="00D87B79" w:rsidRDefault="00A92422" w:rsidP="00A92422">
      <w:pPr>
        <w:rPr>
          <w:rFonts w:cs="Tahoma"/>
        </w:rPr>
      </w:pPr>
      <w:r w:rsidRPr="00D87B79">
        <w:rPr>
          <w:rFonts w:cs="Tahoma"/>
          <w:color w:val="000000"/>
          <w:lang w:val="it-IT"/>
        </w:rPr>
        <w:t>External Connector per Forefront Identity Manager 2010</w:t>
      </w:r>
    </w:p>
    <w:p w:rsidR="00A92422" w:rsidRPr="00D87B79" w:rsidRDefault="00A92422" w:rsidP="00A92422">
      <w:pPr>
        <w:rPr>
          <w:rFonts w:cs="Tahoma"/>
        </w:rPr>
      </w:pPr>
      <w:r w:rsidRPr="00D87B79">
        <w:rPr>
          <w:rFonts w:cs="Tahoma"/>
          <w:color w:val="000000"/>
          <w:lang w:val="it-IT"/>
        </w:rPr>
        <w:t>Forefront Identity Manager 2010 Server</w:t>
      </w:r>
    </w:p>
    <w:p w:rsidR="00A92422" w:rsidRPr="00D87B79" w:rsidRDefault="00A92422" w:rsidP="00A92422">
      <w:pPr>
        <w:rPr>
          <w:rFonts w:cs="Tahoma"/>
        </w:rPr>
      </w:pPr>
      <w:r w:rsidRPr="00D87B79">
        <w:rPr>
          <w:rFonts w:cs="Tahoma"/>
          <w:color w:val="000000"/>
          <w:lang w:val="it-IT"/>
        </w:rPr>
        <w:t>Forefront Identity Manager 2010 - Windows Live Edition</w:t>
      </w:r>
    </w:p>
    <w:p w:rsidR="00A92422" w:rsidRPr="00D87B79" w:rsidRDefault="00A92422" w:rsidP="00A92422">
      <w:pPr>
        <w:pStyle w:val="Heading2"/>
        <w:ind w:left="0"/>
        <w:jc w:val="both"/>
        <w:rPr>
          <w:rFonts w:ascii="Tahoma" w:hAnsi="Tahoma" w:cs="Tahoma"/>
        </w:rPr>
      </w:pPr>
    </w:p>
    <w:p w:rsidR="00A92422" w:rsidRPr="00D87B79" w:rsidRDefault="00A92422" w:rsidP="00A92422">
      <w:pPr>
        <w:rPr>
          <w:rFonts w:cs="Tahoma"/>
        </w:rPr>
      </w:pPr>
    </w:p>
    <w:p w:rsidR="00A92422" w:rsidRPr="00D87B79" w:rsidRDefault="00A92422" w:rsidP="00A92422">
      <w:pPr>
        <w:pStyle w:val="Heading2"/>
        <w:ind w:left="0"/>
        <w:jc w:val="both"/>
        <w:rPr>
          <w:rFonts w:ascii="Tahoma" w:hAnsi="Tahoma" w:cs="Tahoma"/>
        </w:rPr>
      </w:pPr>
      <w:bookmarkStart w:id="694" w:name="_Toc336338174"/>
      <w:bookmarkStart w:id="695" w:name="_Toc342900227"/>
      <w:bookmarkEnd w:id="694"/>
      <w:r w:rsidRPr="00D87B79">
        <w:rPr>
          <w:rFonts w:ascii="Tahoma" w:hAnsi="Tahoma" w:cs="Tahoma"/>
          <w:color w:val="FF6600"/>
          <w:lang w:val="it-IT"/>
        </w:rPr>
        <w:t>MODIFICHE APPORTATE NEL MESE DI MAGGIO 2012</w:t>
      </w:r>
      <w:bookmarkEnd w:id="695"/>
    </w:p>
    <w:p w:rsidR="00A92422" w:rsidRPr="00D87B79" w:rsidRDefault="00A92422" w:rsidP="00A92422">
      <w:pPr>
        <w:rPr>
          <w:rFonts w:cs="Tahoma"/>
        </w:rPr>
      </w:pPr>
    </w:p>
    <w:p w:rsidR="00A92422" w:rsidRPr="00D87B79" w:rsidRDefault="00A92422" w:rsidP="00A92422">
      <w:pPr>
        <w:rPr>
          <w:rFonts w:cs="Tahoma"/>
        </w:rPr>
      </w:pPr>
      <w:r w:rsidRPr="00D87B79">
        <w:rPr>
          <w:rFonts w:cs="Tahoma"/>
          <w:b/>
          <w:lang w:val="it-IT"/>
        </w:rPr>
        <w:t>Prodotti Aggiunti</w:t>
      </w:r>
    </w:p>
    <w:p w:rsidR="00A92422" w:rsidRPr="00D87B79" w:rsidRDefault="00A92422" w:rsidP="00A92422">
      <w:pPr>
        <w:rPr>
          <w:rFonts w:cs="Tahoma"/>
        </w:rPr>
      </w:pPr>
      <w:r w:rsidRPr="00D87B79">
        <w:rPr>
          <w:rFonts w:cs="Tahoma"/>
          <w:lang w:val="it-IT"/>
        </w:rPr>
        <w:t>Non sono stati aggiunti prodotti.</w:t>
      </w:r>
      <w:r w:rsidRPr="00D87B79">
        <w:rPr>
          <w:rFonts w:cs="Tahoma"/>
        </w:rPr>
        <w:t xml:space="preserve"> </w:t>
      </w:r>
    </w:p>
    <w:p w:rsidR="00A92422" w:rsidRPr="00D87B79" w:rsidRDefault="00A92422" w:rsidP="00A92422">
      <w:pPr>
        <w:rPr>
          <w:rFonts w:cs="Tahoma"/>
        </w:rPr>
      </w:pPr>
    </w:p>
    <w:p w:rsidR="00A92422" w:rsidRPr="00D87B79" w:rsidRDefault="00A92422" w:rsidP="00A92422">
      <w:pPr>
        <w:rPr>
          <w:rFonts w:cs="Tahoma"/>
        </w:rPr>
      </w:pPr>
      <w:r w:rsidRPr="00D87B79">
        <w:rPr>
          <w:rFonts w:cs="Tahoma"/>
          <w:b/>
          <w:lang w:val="it-IT"/>
        </w:rPr>
        <w:t>Promozioni</w:t>
      </w:r>
    </w:p>
    <w:p w:rsidR="00A92422" w:rsidRPr="00D87B79" w:rsidRDefault="00A92422" w:rsidP="00A92422">
      <w:pPr>
        <w:rPr>
          <w:rFonts w:cs="Tahoma"/>
        </w:rPr>
      </w:pPr>
      <w:r w:rsidRPr="00D87B79">
        <w:rPr>
          <w:rFonts w:cs="Tahoma"/>
          <w:color w:val="000000"/>
          <w:lang w:val="it-IT"/>
        </w:rPr>
        <w:t>Promozione Exchange Server Standard</w:t>
      </w:r>
    </w:p>
    <w:p w:rsidR="00A92422" w:rsidRPr="00D87B79" w:rsidRDefault="00A92422" w:rsidP="00A92422">
      <w:pPr>
        <w:rPr>
          <w:rFonts w:cs="Tahoma"/>
        </w:rPr>
      </w:pPr>
      <w:bookmarkStart w:id="696" w:name="_Toc323034105"/>
      <w:bookmarkStart w:id="697" w:name="_Toc325609141"/>
      <w:bookmarkStart w:id="698" w:name="_Toc328145935"/>
      <w:bookmarkEnd w:id="696"/>
      <w:bookmarkEnd w:id="697"/>
      <w:bookmarkEnd w:id="698"/>
      <w:r w:rsidRPr="00D87B79">
        <w:rPr>
          <w:rFonts w:cs="Tahoma"/>
          <w:color w:val="000000"/>
          <w:lang w:val="it-IT"/>
        </w:rPr>
        <w:t>Promozione Up-to-Date di Open Value Subscription Education Solution N-2</w:t>
      </w:r>
      <w:r w:rsidRPr="00D87B79">
        <w:rPr>
          <w:rFonts w:cs="Tahoma"/>
        </w:rPr>
        <w:t xml:space="preserve"> </w:t>
      </w:r>
    </w:p>
    <w:p w:rsidR="00A92422" w:rsidRPr="00D87B79" w:rsidRDefault="00A92422" w:rsidP="00A92422">
      <w:pPr>
        <w:rPr>
          <w:rFonts w:cs="Tahoma"/>
        </w:rPr>
      </w:pPr>
      <w:r w:rsidRPr="00D87B79">
        <w:rPr>
          <w:rFonts w:cs="Tahoma"/>
          <w:szCs w:val="18"/>
        </w:rPr>
        <w:br/>
      </w:r>
      <w:r w:rsidRPr="00D87B79">
        <w:rPr>
          <w:rFonts w:cs="Tahoma"/>
          <w:b/>
          <w:lang w:val="it-IT"/>
        </w:rPr>
        <w:t>Prodotti Eliminati</w:t>
      </w:r>
    </w:p>
    <w:p w:rsidR="00A92422" w:rsidRPr="00D87B79" w:rsidRDefault="00A92422" w:rsidP="00A92422">
      <w:pPr>
        <w:rPr>
          <w:rFonts w:cs="Tahoma"/>
        </w:rPr>
      </w:pPr>
      <w:r w:rsidRPr="00D87B79">
        <w:rPr>
          <w:rFonts w:cs="Tahoma"/>
          <w:color w:val="000000"/>
          <w:lang w:val="it-IT"/>
        </w:rPr>
        <w:t>Non sono stati eliminati prodotti.</w:t>
      </w:r>
    </w:p>
    <w:p w:rsidR="00A92422" w:rsidRPr="00D87B79" w:rsidRDefault="00A92422" w:rsidP="00A92422">
      <w:pPr>
        <w:rPr>
          <w:rFonts w:cs="Tahoma"/>
        </w:rPr>
      </w:pPr>
    </w:p>
    <w:p w:rsidR="00A92422" w:rsidRPr="00D87B79" w:rsidRDefault="00A92422" w:rsidP="00A92422">
      <w:pPr>
        <w:pStyle w:val="Heading2"/>
        <w:ind w:left="0"/>
        <w:jc w:val="both"/>
        <w:rPr>
          <w:rFonts w:ascii="Tahoma" w:hAnsi="Tahoma" w:cs="Tahoma"/>
        </w:rPr>
      </w:pPr>
      <w:bookmarkStart w:id="699" w:name="_Toc336338175"/>
      <w:bookmarkStart w:id="700" w:name="_Toc342900228"/>
      <w:bookmarkEnd w:id="699"/>
      <w:r w:rsidRPr="00D87B79">
        <w:rPr>
          <w:rFonts w:ascii="Tahoma" w:hAnsi="Tahoma" w:cs="Tahoma"/>
          <w:color w:val="FF6600"/>
          <w:lang w:val="it-IT"/>
        </w:rPr>
        <w:t>MODIFICHE APPORTATE NEL MESE DI APRILE 2012</w:t>
      </w:r>
      <w:bookmarkEnd w:id="700"/>
    </w:p>
    <w:p w:rsidR="00A92422" w:rsidRPr="00D87B79" w:rsidRDefault="00A92422" w:rsidP="00A92422">
      <w:pPr>
        <w:rPr>
          <w:rFonts w:cs="Tahoma"/>
        </w:rPr>
      </w:pPr>
    </w:p>
    <w:p w:rsidR="00A92422" w:rsidRPr="00D87B79" w:rsidRDefault="00A92422" w:rsidP="00A92422">
      <w:pPr>
        <w:rPr>
          <w:rFonts w:cs="Tahoma"/>
        </w:rPr>
      </w:pPr>
      <w:r w:rsidRPr="00D87B79">
        <w:rPr>
          <w:rFonts w:cs="Tahoma"/>
          <w:b/>
          <w:lang w:val="it-IT"/>
        </w:rPr>
        <w:t>Prodotti Aggiunti</w:t>
      </w:r>
    </w:p>
    <w:p w:rsidR="00A92422" w:rsidRPr="00D87B79" w:rsidRDefault="00A92422" w:rsidP="00A92422">
      <w:pPr>
        <w:rPr>
          <w:rFonts w:cs="Tahoma"/>
        </w:rPr>
      </w:pPr>
      <w:r w:rsidRPr="00D87B79">
        <w:rPr>
          <w:rFonts w:cs="Tahoma"/>
          <w:color w:val="000000"/>
          <w:lang w:val="it-IT"/>
        </w:rPr>
        <w:t>SQL Server</w:t>
      </w:r>
      <w:r w:rsidRPr="003A0F2F">
        <w:rPr>
          <w:rFonts w:cs="Tahoma"/>
          <w:color w:val="000000"/>
          <w:vertAlign w:val="superscript"/>
          <w:lang w:val="it-IT"/>
        </w:rPr>
        <w:t>®</w:t>
      </w:r>
      <w:r w:rsidRPr="00D87B79">
        <w:rPr>
          <w:rFonts w:cs="Tahoma"/>
          <w:color w:val="000000"/>
          <w:lang w:val="it-IT"/>
        </w:rPr>
        <w:t xml:space="preserve"> 2012 Business Intelligence</w:t>
      </w:r>
    </w:p>
    <w:p w:rsidR="00A92422" w:rsidRPr="00D87B79" w:rsidRDefault="00A92422" w:rsidP="00A92422">
      <w:pPr>
        <w:rPr>
          <w:rFonts w:cs="Tahoma"/>
        </w:rPr>
      </w:pPr>
      <w:r w:rsidRPr="00D87B79">
        <w:rPr>
          <w:rFonts w:cs="Tahoma"/>
          <w:color w:val="000000"/>
          <w:lang w:val="it-IT"/>
        </w:rPr>
        <w:t>CAL per SQL Server</w:t>
      </w:r>
      <w:r w:rsidRPr="003A0F2F">
        <w:rPr>
          <w:rFonts w:cs="Tahoma"/>
          <w:color w:val="000000"/>
          <w:vertAlign w:val="superscript"/>
          <w:lang w:val="it-IT"/>
        </w:rPr>
        <w:t>®</w:t>
      </w:r>
      <w:r w:rsidRPr="00D87B79">
        <w:rPr>
          <w:rFonts w:cs="Tahoma"/>
          <w:color w:val="000000"/>
          <w:lang w:val="it-IT"/>
        </w:rPr>
        <w:t xml:space="preserve"> 2012 (SL per Dispositivo e Utente)</w:t>
      </w:r>
    </w:p>
    <w:p w:rsidR="00A92422" w:rsidRPr="00D87B79" w:rsidRDefault="00A92422" w:rsidP="00A92422">
      <w:pPr>
        <w:rPr>
          <w:rFonts w:cs="Tahoma"/>
        </w:rPr>
      </w:pPr>
      <w:r w:rsidRPr="00D87B79">
        <w:rPr>
          <w:rFonts w:cs="Tahoma"/>
          <w:color w:val="000000"/>
          <w:lang w:val="it-IT"/>
        </w:rPr>
        <w:t>SQL Server</w:t>
      </w:r>
      <w:r w:rsidRPr="003A0F2F">
        <w:rPr>
          <w:rFonts w:cs="Tahoma"/>
          <w:color w:val="000000"/>
          <w:vertAlign w:val="superscript"/>
          <w:lang w:val="it-IT"/>
        </w:rPr>
        <w:t>®</w:t>
      </w:r>
      <w:r w:rsidRPr="00D87B79">
        <w:rPr>
          <w:rFonts w:cs="Tahoma"/>
          <w:color w:val="000000"/>
          <w:lang w:val="it-IT"/>
        </w:rPr>
        <w:t xml:space="preserve"> 2012 Developer</w:t>
      </w:r>
    </w:p>
    <w:p w:rsidR="00A92422" w:rsidRPr="00D87B79" w:rsidRDefault="00A92422" w:rsidP="00A92422">
      <w:pPr>
        <w:rPr>
          <w:rFonts w:cs="Tahoma"/>
        </w:rPr>
      </w:pPr>
      <w:r w:rsidRPr="00D87B79">
        <w:rPr>
          <w:rFonts w:cs="Tahoma"/>
          <w:color w:val="000000"/>
          <w:lang w:val="it-IT"/>
        </w:rPr>
        <w:t>SQL Server</w:t>
      </w:r>
      <w:r w:rsidRPr="003A0F2F">
        <w:rPr>
          <w:rFonts w:cs="Tahoma"/>
          <w:color w:val="000000"/>
          <w:vertAlign w:val="superscript"/>
          <w:lang w:val="it-IT"/>
        </w:rPr>
        <w:t>®</w:t>
      </w:r>
      <w:r w:rsidRPr="00D87B79">
        <w:rPr>
          <w:rFonts w:cs="Tahoma"/>
          <w:color w:val="000000"/>
          <w:lang w:val="it-IT"/>
        </w:rPr>
        <w:t xml:space="preserve"> 2012 Enterprise</w:t>
      </w:r>
    </w:p>
    <w:p w:rsidR="00A92422" w:rsidRPr="00D87B79" w:rsidRDefault="00A92422" w:rsidP="00A92422">
      <w:pPr>
        <w:rPr>
          <w:rFonts w:cs="Tahoma"/>
        </w:rPr>
      </w:pPr>
      <w:r w:rsidRPr="00D87B79">
        <w:rPr>
          <w:rFonts w:cs="Tahoma"/>
          <w:color w:val="000000"/>
          <w:lang w:val="it-IT"/>
        </w:rPr>
        <w:t>SQL Server</w:t>
      </w:r>
      <w:r w:rsidRPr="003A0F2F">
        <w:rPr>
          <w:rFonts w:cs="Tahoma"/>
          <w:color w:val="000000"/>
          <w:vertAlign w:val="superscript"/>
          <w:lang w:val="it-IT"/>
        </w:rPr>
        <w:t>®</w:t>
      </w:r>
      <w:r w:rsidRPr="00D87B79">
        <w:rPr>
          <w:rFonts w:cs="Tahoma"/>
          <w:color w:val="000000"/>
          <w:lang w:val="it-IT"/>
        </w:rPr>
        <w:t xml:space="preserve"> 2012 Enterprise Core (2 Licenze Core per confezione)</w:t>
      </w:r>
    </w:p>
    <w:p w:rsidR="00A92422" w:rsidRPr="00D87B79" w:rsidRDefault="00A92422" w:rsidP="00A92422">
      <w:pPr>
        <w:rPr>
          <w:rFonts w:cs="Tahoma"/>
        </w:rPr>
      </w:pPr>
      <w:r w:rsidRPr="00D87B79">
        <w:rPr>
          <w:rFonts w:cs="Tahoma"/>
          <w:color w:val="000000"/>
          <w:lang w:val="it-IT"/>
        </w:rPr>
        <w:t>SQL Server</w:t>
      </w:r>
      <w:r w:rsidRPr="003A0F2F">
        <w:rPr>
          <w:rFonts w:cs="Tahoma"/>
          <w:color w:val="000000"/>
          <w:vertAlign w:val="superscript"/>
          <w:lang w:val="it-IT"/>
        </w:rPr>
        <w:t>®</w:t>
      </w:r>
      <w:r w:rsidRPr="00D87B79">
        <w:rPr>
          <w:rFonts w:cs="Tahoma"/>
          <w:color w:val="000000"/>
          <w:lang w:val="it-IT"/>
        </w:rPr>
        <w:t xml:space="preserve"> 2012 Standard</w:t>
      </w:r>
    </w:p>
    <w:p w:rsidR="00A92422" w:rsidRPr="00D87B79" w:rsidRDefault="00A92422" w:rsidP="00A92422">
      <w:pPr>
        <w:rPr>
          <w:rFonts w:cs="Tahoma"/>
        </w:rPr>
      </w:pPr>
      <w:r w:rsidRPr="00D87B79">
        <w:rPr>
          <w:rFonts w:cs="Tahoma"/>
          <w:color w:val="000000"/>
          <w:lang w:val="it-IT"/>
        </w:rPr>
        <w:t>SQL Server</w:t>
      </w:r>
      <w:r w:rsidRPr="003A0F2F">
        <w:rPr>
          <w:rFonts w:cs="Tahoma"/>
          <w:color w:val="000000"/>
          <w:vertAlign w:val="superscript"/>
          <w:lang w:val="it-IT"/>
        </w:rPr>
        <w:t>®</w:t>
      </w:r>
      <w:r w:rsidRPr="00D87B79">
        <w:rPr>
          <w:rFonts w:cs="Tahoma"/>
          <w:color w:val="000000"/>
          <w:lang w:val="it-IT"/>
        </w:rPr>
        <w:t xml:space="preserve"> 2012 Standard Core (2 Licenze Core per confezione)</w:t>
      </w:r>
    </w:p>
    <w:p w:rsidR="00A92422" w:rsidRPr="00D87B79" w:rsidRDefault="00A92422" w:rsidP="00A92422">
      <w:pPr>
        <w:rPr>
          <w:rFonts w:cs="Tahoma"/>
        </w:rPr>
      </w:pPr>
      <w:r w:rsidRPr="00D87B79">
        <w:rPr>
          <w:rFonts w:cs="Tahoma"/>
          <w:lang w:val="it-IT"/>
        </w:rPr>
        <w:t>System Center 2012 Client Management Suite (Client ML) per OSE</w:t>
      </w:r>
    </w:p>
    <w:p w:rsidR="00A92422" w:rsidRPr="00D87B79" w:rsidRDefault="00A92422" w:rsidP="00A92422">
      <w:pPr>
        <w:rPr>
          <w:rFonts w:cs="Tahoma"/>
        </w:rPr>
      </w:pPr>
      <w:r w:rsidRPr="00D87B79">
        <w:rPr>
          <w:rFonts w:cs="Tahoma"/>
          <w:lang w:val="it-IT"/>
        </w:rPr>
        <w:t>System Center 2012 Client Management Suite (Client ML) per Utente</w:t>
      </w:r>
    </w:p>
    <w:p w:rsidR="00A92422" w:rsidRPr="00D87B79" w:rsidRDefault="00A92422" w:rsidP="00A92422">
      <w:pPr>
        <w:rPr>
          <w:rFonts w:cs="Tahoma"/>
        </w:rPr>
      </w:pPr>
      <w:r w:rsidRPr="00D87B79">
        <w:rPr>
          <w:rFonts w:cs="Tahoma"/>
          <w:lang w:val="it-IT"/>
        </w:rPr>
        <w:t>Licenza di Gestione Client (Client ML) per System Center 2012 Configuration Manager (Solo Studenti)</w:t>
      </w:r>
    </w:p>
    <w:p w:rsidR="00A92422" w:rsidRPr="00D87B79" w:rsidRDefault="00A92422" w:rsidP="00A92422">
      <w:pPr>
        <w:rPr>
          <w:rFonts w:cs="Tahoma"/>
        </w:rPr>
      </w:pPr>
      <w:r w:rsidRPr="00D87B79">
        <w:rPr>
          <w:rFonts w:cs="Tahoma"/>
          <w:lang w:val="it-IT"/>
        </w:rPr>
        <w:t>Licenza di Gestione Client (Client ML) per OSE per System Center 2012 Configuration Manager</w:t>
      </w:r>
    </w:p>
    <w:p w:rsidR="00A92422" w:rsidRPr="00D87B79" w:rsidRDefault="00A92422" w:rsidP="00A92422">
      <w:pPr>
        <w:rPr>
          <w:rFonts w:cs="Tahoma"/>
        </w:rPr>
      </w:pPr>
      <w:r w:rsidRPr="00D87B79">
        <w:rPr>
          <w:rFonts w:cs="Tahoma"/>
          <w:lang w:val="it-IT"/>
        </w:rPr>
        <w:t>Licenza di Gestione Client (Client ML) per Utente per System Center 2012 Configuration Manager</w:t>
      </w:r>
    </w:p>
    <w:p w:rsidR="00A92422" w:rsidRPr="00D87B79" w:rsidRDefault="00A92422" w:rsidP="00A92422">
      <w:pPr>
        <w:rPr>
          <w:rFonts w:cs="Tahoma"/>
        </w:rPr>
      </w:pPr>
      <w:r w:rsidRPr="00D87B79">
        <w:rPr>
          <w:rFonts w:cs="Tahoma"/>
          <w:lang w:val="it-IT"/>
        </w:rPr>
        <w:t>Licenza di Gestione Server per System Center2012 Datacenter (2 processori)</w:t>
      </w:r>
    </w:p>
    <w:p w:rsidR="00A92422" w:rsidRPr="00D87B79" w:rsidRDefault="00A92422" w:rsidP="00A92422">
      <w:pPr>
        <w:rPr>
          <w:rFonts w:cs="Tahoma"/>
        </w:rPr>
      </w:pPr>
      <w:r w:rsidRPr="00D87B79">
        <w:rPr>
          <w:rFonts w:cs="Tahoma"/>
          <w:lang w:val="it-IT"/>
        </w:rPr>
        <w:t>System Center 2012 Endpoint Protection</w:t>
      </w:r>
    </w:p>
    <w:p w:rsidR="00A92422" w:rsidRPr="00D87B79" w:rsidRDefault="00A92422" w:rsidP="00A92422">
      <w:pPr>
        <w:rPr>
          <w:rFonts w:cs="Tahoma"/>
        </w:rPr>
      </w:pPr>
      <w:r w:rsidRPr="00D87B79">
        <w:rPr>
          <w:rFonts w:cs="Tahoma"/>
          <w:lang w:val="it-IT"/>
        </w:rPr>
        <w:t>Licenza di Gestione Server Standard per System Center 2012 (2 processori)</w:t>
      </w:r>
    </w:p>
    <w:p w:rsidR="00A92422" w:rsidRPr="00D87B79" w:rsidRDefault="00A92422" w:rsidP="00A92422">
      <w:pPr>
        <w:rPr>
          <w:rFonts w:cs="Tahoma"/>
        </w:rPr>
      </w:pPr>
      <w:r w:rsidRPr="00D87B79">
        <w:rPr>
          <w:rFonts w:cs="Tahoma"/>
          <w:lang w:val="it-IT"/>
        </w:rPr>
        <w:t>VDI Suite</w:t>
      </w:r>
    </w:p>
    <w:p w:rsidR="00A92422" w:rsidRPr="00D87B79" w:rsidRDefault="00A92422" w:rsidP="00A92422">
      <w:pPr>
        <w:rPr>
          <w:rFonts w:cs="Tahoma"/>
        </w:rPr>
      </w:pPr>
      <w:r w:rsidRPr="00D87B79">
        <w:rPr>
          <w:rFonts w:cs="Tahoma"/>
          <w:b/>
          <w:lang w:val="it-IT"/>
        </w:rPr>
        <w:t>Prodotti Eliminati</w:t>
      </w:r>
    </w:p>
    <w:p w:rsidR="00A92422" w:rsidRPr="00D87B79" w:rsidRDefault="00A92422" w:rsidP="00A92422">
      <w:pPr>
        <w:rPr>
          <w:rFonts w:cs="Tahoma"/>
        </w:rPr>
      </w:pPr>
      <w:r w:rsidRPr="00D87B79">
        <w:rPr>
          <w:rFonts w:cs="Tahoma"/>
          <w:lang w:val="it-IT"/>
        </w:rPr>
        <w:t>Core Infrastructure Server Suite Enterprise</w:t>
      </w:r>
      <w:r w:rsidRPr="00D87B79">
        <w:rPr>
          <w:rFonts w:cs="Tahoma"/>
        </w:rPr>
        <w:t xml:space="preserve"> </w:t>
      </w:r>
    </w:p>
    <w:p w:rsidR="00A92422" w:rsidRPr="00D87B79" w:rsidRDefault="00A92422" w:rsidP="00A92422">
      <w:pPr>
        <w:rPr>
          <w:rFonts w:cs="Tahoma"/>
        </w:rPr>
      </w:pPr>
      <w:r w:rsidRPr="00D87B79">
        <w:rPr>
          <w:rFonts w:cs="Tahoma"/>
          <w:lang w:val="it-IT"/>
        </w:rPr>
        <w:t>Forefront Endpoint Protection</w:t>
      </w:r>
    </w:p>
    <w:p w:rsidR="00A92422" w:rsidRPr="00D87B79" w:rsidRDefault="00A92422" w:rsidP="00A92422">
      <w:pPr>
        <w:rPr>
          <w:rFonts w:cs="Tahoma"/>
        </w:rPr>
      </w:pPr>
      <w:r w:rsidRPr="00D87B79">
        <w:rPr>
          <w:rFonts w:cs="Tahoma"/>
          <w:lang w:val="it-IT"/>
        </w:rPr>
        <w:t>Learning Solutions IT Academy (SL Servizi)</w:t>
      </w:r>
      <w:r w:rsidRPr="00D87B79">
        <w:rPr>
          <w:rFonts w:cs="Tahoma"/>
        </w:rPr>
        <w:t xml:space="preserve"> </w:t>
      </w:r>
    </w:p>
    <w:p w:rsidR="00A92422" w:rsidRPr="00D87B79" w:rsidRDefault="00A92422" w:rsidP="00A92422">
      <w:pPr>
        <w:rPr>
          <w:rFonts w:cs="Tahoma"/>
        </w:rPr>
      </w:pPr>
      <w:r w:rsidRPr="00D87B79">
        <w:rPr>
          <w:rFonts w:cs="Tahoma"/>
          <w:lang w:val="it-IT"/>
        </w:rPr>
        <w:t>SQL Server2008 R2 Datacenter</w:t>
      </w:r>
      <w:r w:rsidRPr="00D87B79">
        <w:rPr>
          <w:rFonts w:cs="Tahoma"/>
        </w:rPr>
        <w:t xml:space="preserve"> </w:t>
      </w:r>
    </w:p>
    <w:p w:rsidR="00A92422" w:rsidRPr="00D87B79" w:rsidRDefault="00A92422" w:rsidP="00A92422">
      <w:pPr>
        <w:rPr>
          <w:rFonts w:cs="Tahoma"/>
        </w:rPr>
      </w:pPr>
      <w:r w:rsidRPr="00D87B79">
        <w:rPr>
          <w:rFonts w:cs="Tahoma"/>
          <w:lang w:val="it-IT"/>
        </w:rPr>
        <w:t>SQL Server2008 R2 Enterprise</w:t>
      </w:r>
    </w:p>
    <w:p w:rsidR="00A92422" w:rsidRPr="00D87B79" w:rsidRDefault="00A92422" w:rsidP="00A92422">
      <w:pPr>
        <w:rPr>
          <w:rFonts w:cs="Tahoma"/>
        </w:rPr>
      </w:pPr>
      <w:r w:rsidRPr="00D87B79">
        <w:rPr>
          <w:rFonts w:cs="Tahoma"/>
          <w:lang w:val="it-IT"/>
        </w:rPr>
        <w:t>SQL Server2008 R2 Small Business</w:t>
      </w:r>
      <w:r w:rsidRPr="00D87B79">
        <w:rPr>
          <w:rFonts w:cs="Tahoma"/>
        </w:rPr>
        <w:t xml:space="preserve"> </w:t>
      </w:r>
    </w:p>
    <w:p w:rsidR="00A92422" w:rsidRPr="00D87B79" w:rsidRDefault="00A92422" w:rsidP="00A92422">
      <w:pPr>
        <w:rPr>
          <w:rFonts w:cs="Tahoma"/>
        </w:rPr>
      </w:pPr>
      <w:r w:rsidRPr="00D87B79">
        <w:rPr>
          <w:rFonts w:cs="Tahoma"/>
          <w:lang w:val="it-IT"/>
        </w:rPr>
        <w:t>SQL Server2008 R2 Standard</w:t>
      </w:r>
    </w:p>
    <w:p w:rsidR="00A92422" w:rsidRPr="00D87B79" w:rsidRDefault="00A92422" w:rsidP="00A92422">
      <w:pPr>
        <w:rPr>
          <w:rFonts w:cs="Tahoma"/>
        </w:rPr>
      </w:pPr>
      <w:r w:rsidRPr="00D87B79">
        <w:rPr>
          <w:rFonts w:cs="Tahoma"/>
          <w:lang w:val="it-IT"/>
        </w:rPr>
        <w:t>Processore per SQL Server 2008 R2 Workgroup</w:t>
      </w:r>
    </w:p>
    <w:p w:rsidR="00A92422" w:rsidRPr="00D87B79" w:rsidRDefault="00A92422" w:rsidP="00A92422">
      <w:pPr>
        <w:rPr>
          <w:rFonts w:cs="Tahoma"/>
        </w:rPr>
      </w:pPr>
      <w:r w:rsidRPr="00D87B79">
        <w:rPr>
          <w:rFonts w:cs="Tahoma"/>
          <w:lang w:val="it-IT"/>
        </w:rPr>
        <w:t>SQL Server 2008 R2 Workgroup (5 Add On Client)</w:t>
      </w:r>
    </w:p>
    <w:p w:rsidR="00A92422" w:rsidRPr="00D87B79" w:rsidRDefault="00A92422" w:rsidP="00A92422">
      <w:pPr>
        <w:rPr>
          <w:rFonts w:cs="Tahoma"/>
        </w:rPr>
      </w:pPr>
      <w:r w:rsidRPr="00D87B79">
        <w:rPr>
          <w:rFonts w:cs="Tahoma"/>
          <w:lang w:val="it-IT"/>
        </w:rPr>
        <w:t>SQL Server2008 R2 Web</w:t>
      </w:r>
    </w:p>
    <w:p w:rsidR="00A92422" w:rsidRPr="00D87B79" w:rsidRDefault="00A92422" w:rsidP="00A92422">
      <w:pPr>
        <w:rPr>
          <w:rFonts w:cs="Tahoma"/>
        </w:rPr>
      </w:pPr>
      <w:r w:rsidRPr="00D87B79">
        <w:rPr>
          <w:rFonts w:cs="Tahoma"/>
          <w:lang w:val="it-IT"/>
        </w:rPr>
        <w:t>System Center Client Management Suite (Client ML) per OSE</w:t>
      </w:r>
    </w:p>
    <w:p w:rsidR="00A92422" w:rsidRPr="00D87B79" w:rsidRDefault="00A92422" w:rsidP="00A92422">
      <w:pPr>
        <w:rPr>
          <w:rFonts w:cs="Tahoma"/>
        </w:rPr>
      </w:pPr>
      <w:r w:rsidRPr="00D87B79">
        <w:rPr>
          <w:rFonts w:cs="Tahoma"/>
          <w:lang w:val="it-IT"/>
        </w:rPr>
        <w:t>System Center Client Management Suite (Client ML) per Utente</w:t>
      </w:r>
    </w:p>
    <w:p w:rsidR="00A92422" w:rsidRPr="00D87B79" w:rsidRDefault="00A92422" w:rsidP="00A92422">
      <w:pPr>
        <w:rPr>
          <w:rFonts w:cs="Tahoma"/>
        </w:rPr>
      </w:pPr>
      <w:r w:rsidRPr="00D87B79">
        <w:rPr>
          <w:rFonts w:cs="Tahoma"/>
          <w:lang w:val="it-IT"/>
        </w:rPr>
        <w:t>Licenza di Gestione Client (Client ML) per System Center Configuration Manager 2007 R3 (Solo Studenti)</w:t>
      </w:r>
    </w:p>
    <w:p w:rsidR="00A92422" w:rsidRPr="00D87B79" w:rsidRDefault="00A92422" w:rsidP="00A92422">
      <w:pPr>
        <w:rPr>
          <w:rFonts w:cs="Tahoma"/>
        </w:rPr>
      </w:pPr>
      <w:r w:rsidRPr="00D87B79">
        <w:rPr>
          <w:rFonts w:cs="Tahoma"/>
          <w:lang w:val="it-IT"/>
        </w:rPr>
        <w:t>Licenza di Gestione Client per OSE per System Center Configuration Manager 2007 R3</w:t>
      </w:r>
    </w:p>
    <w:p w:rsidR="00A92422" w:rsidRPr="00D87B79" w:rsidRDefault="00A92422" w:rsidP="00A92422">
      <w:pPr>
        <w:rPr>
          <w:rFonts w:cs="Tahoma"/>
        </w:rPr>
      </w:pPr>
      <w:bookmarkStart w:id="701" w:name="_Toc317591145"/>
      <w:bookmarkStart w:id="702" w:name="_Toc323034107"/>
      <w:bookmarkStart w:id="703" w:name="_Toc325609143"/>
      <w:bookmarkStart w:id="704" w:name="_Toc328145937"/>
      <w:bookmarkEnd w:id="701"/>
      <w:bookmarkEnd w:id="702"/>
      <w:bookmarkEnd w:id="703"/>
      <w:bookmarkEnd w:id="704"/>
      <w:r w:rsidRPr="00D87B79">
        <w:rPr>
          <w:rFonts w:cs="Tahoma"/>
          <w:lang w:val="it-IT"/>
        </w:rPr>
        <w:t>Licenza di Gestione Client per Utente per System Center Configuration Manager 2007 R3</w:t>
      </w:r>
    </w:p>
    <w:p w:rsidR="00A92422" w:rsidRPr="00D87B79" w:rsidRDefault="00A92422" w:rsidP="00A92422">
      <w:pPr>
        <w:rPr>
          <w:rFonts w:cs="Tahoma"/>
        </w:rPr>
      </w:pPr>
      <w:r w:rsidRPr="00D87B79">
        <w:rPr>
          <w:rFonts w:cs="Tahoma"/>
          <w:lang w:val="it-IT"/>
        </w:rPr>
        <w:t>Visual Studio Team Explorer Everywhere 2010</w:t>
      </w:r>
    </w:p>
    <w:p w:rsidR="00A92422" w:rsidRPr="00D87B79" w:rsidRDefault="00A92422" w:rsidP="00A92422">
      <w:pPr>
        <w:rPr>
          <w:rFonts w:cs="Tahoma"/>
        </w:rPr>
      </w:pPr>
      <w:r w:rsidRPr="00D87B79">
        <w:rPr>
          <w:rFonts w:cs="Tahoma"/>
          <w:lang w:val="it-IT"/>
        </w:rPr>
        <w:t>Windows Embedded Device Manager 2011</w:t>
      </w:r>
    </w:p>
    <w:p w:rsidR="00A92422" w:rsidRPr="00D87B79" w:rsidRDefault="00A92422" w:rsidP="00A92422">
      <w:pPr>
        <w:rPr>
          <w:rFonts w:cs="Tahoma"/>
        </w:rPr>
      </w:pPr>
      <w:r w:rsidRPr="00D87B79">
        <w:rPr>
          <w:rFonts w:cs="Tahoma"/>
          <w:lang w:val="it-IT"/>
        </w:rPr>
        <w:t>Windows Embedded Device Manager 2011 con Tecnologia SQL Server 2008</w:t>
      </w:r>
    </w:p>
    <w:p w:rsidR="00A92422" w:rsidRPr="00544AC8" w:rsidRDefault="00A92422" w:rsidP="00A92422">
      <w:pPr>
        <w:pStyle w:val="Heading2"/>
        <w:ind w:left="0"/>
        <w:jc w:val="both"/>
        <w:rPr>
          <w:rFonts w:ascii="Tahoma" w:hAnsi="Tahoma" w:cs="Tahoma"/>
          <w:sz w:val="18"/>
          <w:szCs w:val="18"/>
        </w:rPr>
      </w:pPr>
    </w:p>
    <w:p w:rsidR="00A92422" w:rsidRPr="00D87B79" w:rsidRDefault="00A92422" w:rsidP="00A92422">
      <w:pPr>
        <w:rPr>
          <w:rFonts w:cs="Tahoma"/>
        </w:rPr>
      </w:pPr>
    </w:p>
    <w:p w:rsidR="00A92422" w:rsidRPr="00D87B79" w:rsidRDefault="00A92422" w:rsidP="00A92422">
      <w:pPr>
        <w:pStyle w:val="Heading2"/>
        <w:ind w:left="0"/>
        <w:jc w:val="both"/>
        <w:rPr>
          <w:rFonts w:ascii="Tahoma" w:hAnsi="Tahoma" w:cs="Tahoma"/>
        </w:rPr>
      </w:pPr>
      <w:bookmarkStart w:id="705" w:name="_Toc336338176"/>
      <w:bookmarkStart w:id="706" w:name="_Toc342900229"/>
      <w:bookmarkEnd w:id="705"/>
      <w:r w:rsidRPr="00D87B79">
        <w:rPr>
          <w:rFonts w:ascii="Tahoma" w:hAnsi="Tahoma" w:cs="Tahoma"/>
          <w:color w:val="FF6600"/>
          <w:lang w:val="it-IT"/>
        </w:rPr>
        <w:t>MODIFICHE APPORTATE NEL MESE DI MARZO 2012</w:t>
      </w:r>
      <w:bookmarkEnd w:id="706"/>
    </w:p>
    <w:p w:rsidR="00A92422" w:rsidRPr="00544AC8" w:rsidRDefault="00A92422" w:rsidP="00A92422">
      <w:pPr>
        <w:pStyle w:val="Heading2"/>
        <w:ind w:left="0"/>
        <w:jc w:val="both"/>
        <w:rPr>
          <w:rFonts w:ascii="Tahoma" w:hAnsi="Tahoma" w:cs="Tahoma"/>
          <w:sz w:val="18"/>
          <w:szCs w:val="18"/>
        </w:rPr>
      </w:pPr>
    </w:p>
    <w:p w:rsidR="00A92422" w:rsidRPr="00D87B79" w:rsidRDefault="00A92422" w:rsidP="00A92422">
      <w:pPr>
        <w:rPr>
          <w:rFonts w:cs="Tahoma"/>
        </w:rPr>
      </w:pPr>
      <w:r w:rsidRPr="00D87B79">
        <w:rPr>
          <w:rFonts w:cs="Tahoma"/>
          <w:b/>
          <w:lang w:val="it-IT"/>
        </w:rPr>
        <w:t>Prodotti Aggiunti</w:t>
      </w:r>
    </w:p>
    <w:p w:rsidR="00A92422" w:rsidRPr="00D87B79" w:rsidRDefault="00A92422" w:rsidP="00A92422">
      <w:pPr>
        <w:rPr>
          <w:rFonts w:cs="Tahoma"/>
        </w:rPr>
      </w:pPr>
      <w:r w:rsidRPr="00D87B79">
        <w:rPr>
          <w:rFonts w:cs="Tahoma"/>
          <w:lang w:val="it-IT"/>
        </w:rPr>
        <w:t>Non sono stati aggiunti prodotti.</w:t>
      </w:r>
    </w:p>
    <w:p w:rsidR="00A92422" w:rsidRPr="00D87B79" w:rsidRDefault="00A92422" w:rsidP="00A92422">
      <w:pPr>
        <w:rPr>
          <w:rFonts w:cs="Tahoma"/>
        </w:rPr>
      </w:pPr>
      <w:r w:rsidRPr="00D87B79">
        <w:rPr>
          <w:rFonts w:cs="Tahoma"/>
          <w:b/>
          <w:szCs w:val="18"/>
        </w:rPr>
        <w:br/>
      </w:r>
      <w:r w:rsidRPr="00D87B79">
        <w:rPr>
          <w:rFonts w:cs="Tahoma"/>
          <w:b/>
          <w:lang w:val="it-IT"/>
        </w:rPr>
        <w:t>Promozioni</w:t>
      </w:r>
    </w:p>
    <w:p w:rsidR="00A92422" w:rsidRPr="00D87B79" w:rsidRDefault="00A92422" w:rsidP="00A92422">
      <w:pPr>
        <w:outlineLvl w:val="1"/>
        <w:rPr>
          <w:rFonts w:cs="Tahoma"/>
        </w:rPr>
      </w:pPr>
      <w:r w:rsidRPr="00D87B79">
        <w:rPr>
          <w:rFonts w:cs="Tahoma"/>
          <w:color w:val="000000"/>
          <w:lang w:val="it-IT"/>
        </w:rPr>
        <w:t>Promozione di Bing Maps per Applicazioni Line-of-Business</w:t>
      </w:r>
    </w:p>
    <w:p w:rsidR="00A92422" w:rsidRPr="00D87B79" w:rsidRDefault="00A92422" w:rsidP="00A92422">
      <w:pPr>
        <w:outlineLvl w:val="1"/>
        <w:rPr>
          <w:rFonts w:cs="Tahoma"/>
        </w:rPr>
      </w:pPr>
      <w:r w:rsidRPr="00D87B79">
        <w:rPr>
          <w:rFonts w:cs="Tahoma"/>
          <w:color w:val="000000"/>
          <w:lang w:val="it-IT"/>
        </w:rPr>
        <w:t>Promozione di Enrollment for Core Infrastructure Standard Suite</w:t>
      </w:r>
    </w:p>
    <w:p w:rsidR="00A92422" w:rsidRPr="00D87B79" w:rsidRDefault="00A92422" w:rsidP="00A92422">
      <w:pPr>
        <w:rPr>
          <w:rFonts w:cs="Tahoma"/>
        </w:rPr>
      </w:pPr>
    </w:p>
    <w:p w:rsidR="00A92422" w:rsidRPr="00D87B79" w:rsidRDefault="00A92422" w:rsidP="00A92422">
      <w:pPr>
        <w:rPr>
          <w:rFonts w:cs="Tahoma"/>
        </w:rPr>
      </w:pPr>
      <w:r w:rsidRPr="00D87B79">
        <w:rPr>
          <w:rFonts w:cs="Tahoma"/>
          <w:b/>
          <w:lang w:val="it-IT"/>
        </w:rPr>
        <w:t>Prodotti Eliminati</w:t>
      </w:r>
    </w:p>
    <w:p w:rsidR="00A92422" w:rsidRPr="00D87B79" w:rsidRDefault="00A92422" w:rsidP="00A92422">
      <w:pPr>
        <w:rPr>
          <w:rFonts w:cs="Tahoma"/>
        </w:rPr>
      </w:pPr>
      <w:r w:rsidRPr="00D87B79">
        <w:rPr>
          <w:rFonts w:cs="Tahoma"/>
          <w:lang w:val="it-IT"/>
        </w:rPr>
        <w:t>Non sono stati eliminati prodotti.</w:t>
      </w:r>
    </w:p>
    <w:p w:rsidR="00A92422" w:rsidRPr="00D87B79" w:rsidRDefault="00A92422" w:rsidP="00A92422">
      <w:pPr>
        <w:rPr>
          <w:rFonts w:cs="Tahoma"/>
        </w:rPr>
      </w:pPr>
    </w:p>
    <w:p w:rsidR="00A92422" w:rsidRPr="00544AC8" w:rsidRDefault="00A92422" w:rsidP="00A92422">
      <w:pPr>
        <w:pStyle w:val="Heading2"/>
        <w:ind w:left="0"/>
        <w:jc w:val="both"/>
        <w:rPr>
          <w:rFonts w:ascii="Tahoma" w:hAnsi="Tahoma" w:cs="Tahoma"/>
          <w:sz w:val="18"/>
          <w:szCs w:val="18"/>
        </w:rPr>
      </w:pPr>
    </w:p>
    <w:p w:rsidR="00A92422" w:rsidRPr="00D87B79" w:rsidRDefault="00A92422" w:rsidP="00A92422">
      <w:pPr>
        <w:pStyle w:val="Heading3"/>
        <w:rPr>
          <w:rFonts w:ascii="Tahoma" w:hAnsi="Tahoma" w:cs="Tahoma"/>
        </w:rPr>
      </w:pPr>
      <w:bookmarkStart w:id="707" w:name="_Toc336338177"/>
      <w:bookmarkStart w:id="708" w:name="_Toc342900230"/>
      <w:bookmarkEnd w:id="707"/>
      <w:r w:rsidRPr="00D87B79">
        <w:rPr>
          <w:rFonts w:ascii="Tahoma" w:hAnsi="Tahoma" w:cs="Tahoma"/>
          <w:color w:val="FF6600"/>
          <w:sz w:val="24"/>
          <w:lang w:val="it-IT"/>
        </w:rPr>
        <w:t>MODIFICHE APPORTATE NEL MESE DI FEBBRAIO 2012</w:t>
      </w:r>
      <w:bookmarkEnd w:id="708"/>
    </w:p>
    <w:p w:rsidR="00A92422" w:rsidRPr="00D87B79" w:rsidRDefault="00A92422" w:rsidP="00A92422">
      <w:pPr>
        <w:rPr>
          <w:rFonts w:cs="Tahoma"/>
        </w:rPr>
      </w:pPr>
    </w:p>
    <w:p w:rsidR="00A92422" w:rsidRPr="00D87B79" w:rsidRDefault="00A92422" w:rsidP="00A92422">
      <w:pPr>
        <w:rPr>
          <w:rFonts w:cs="Tahoma"/>
        </w:rPr>
      </w:pPr>
      <w:r w:rsidRPr="00D87B79">
        <w:rPr>
          <w:rFonts w:cs="Tahoma"/>
          <w:b/>
          <w:lang w:val="it-IT"/>
        </w:rPr>
        <w:t>Prodotti Aggiunti</w:t>
      </w:r>
    </w:p>
    <w:p w:rsidR="00A92422" w:rsidRPr="00D87B79" w:rsidRDefault="00A92422" w:rsidP="00A92422">
      <w:pPr>
        <w:rPr>
          <w:rFonts w:cs="Tahoma"/>
        </w:rPr>
      </w:pPr>
      <w:r w:rsidRPr="00D87B79">
        <w:rPr>
          <w:rFonts w:cs="Tahoma"/>
          <w:lang w:val="it-IT"/>
        </w:rPr>
        <w:t>Non sono stati aggiunti prodotti.</w:t>
      </w:r>
    </w:p>
    <w:p w:rsidR="00A92422" w:rsidRPr="00D87B79" w:rsidRDefault="00A92422" w:rsidP="00A92422">
      <w:pPr>
        <w:rPr>
          <w:rFonts w:cs="Tahoma"/>
        </w:rPr>
      </w:pPr>
    </w:p>
    <w:p w:rsidR="00A92422" w:rsidRPr="00D87B79" w:rsidRDefault="00A92422" w:rsidP="00A92422">
      <w:pPr>
        <w:rPr>
          <w:rFonts w:cs="Tahoma"/>
        </w:rPr>
      </w:pPr>
      <w:r w:rsidRPr="00D87B79">
        <w:rPr>
          <w:rFonts w:cs="Tahoma"/>
          <w:b/>
          <w:color w:val="000000"/>
          <w:lang w:val="it-IT"/>
        </w:rPr>
        <w:t>Promozioni</w:t>
      </w:r>
    </w:p>
    <w:p w:rsidR="00A92422" w:rsidRPr="00D87B79" w:rsidRDefault="00A92422" w:rsidP="00A92422">
      <w:pPr>
        <w:rPr>
          <w:rFonts w:cs="Tahoma"/>
        </w:rPr>
      </w:pPr>
      <w:r w:rsidRPr="00D87B79">
        <w:rPr>
          <w:rFonts w:cs="Tahoma"/>
          <w:lang w:val="it-IT"/>
        </w:rPr>
        <w:t>SQL Server Parallel Data Warehouse</w:t>
      </w:r>
      <w:r w:rsidRPr="00D87B79">
        <w:rPr>
          <w:rFonts w:cs="Tahoma"/>
        </w:rPr>
        <w:t xml:space="preserve"> </w:t>
      </w:r>
    </w:p>
    <w:p w:rsidR="00A92422" w:rsidRPr="00D87B79" w:rsidRDefault="00A92422" w:rsidP="00A92422">
      <w:pPr>
        <w:rPr>
          <w:rFonts w:cs="Tahoma"/>
        </w:rPr>
      </w:pPr>
      <w:r w:rsidRPr="00D87B79">
        <w:rPr>
          <w:rFonts w:cs="Tahoma"/>
          <w:lang w:val="it-IT"/>
        </w:rPr>
        <w:t>Visual Studio Test Professional con MSDN al 20% di Sconto</w:t>
      </w:r>
    </w:p>
    <w:p w:rsidR="00A92422" w:rsidRPr="00D87B79" w:rsidRDefault="00A92422" w:rsidP="00A92422">
      <w:pPr>
        <w:rPr>
          <w:rFonts w:cs="Tahoma"/>
        </w:rPr>
      </w:pPr>
    </w:p>
    <w:p w:rsidR="00A92422" w:rsidRPr="00D87B79" w:rsidRDefault="00A92422" w:rsidP="00A92422">
      <w:pPr>
        <w:rPr>
          <w:rFonts w:cs="Tahoma"/>
        </w:rPr>
      </w:pPr>
      <w:r w:rsidRPr="00D87B79">
        <w:rPr>
          <w:rFonts w:cs="Tahoma"/>
          <w:b/>
          <w:color w:val="000000"/>
          <w:lang w:val="it-IT"/>
        </w:rPr>
        <w:t>Prodotti Eliminati</w:t>
      </w:r>
    </w:p>
    <w:p w:rsidR="00A92422" w:rsidRDefault="00A92422" w:rsidP="00A92422">
      <w:pPr>
        <w:spacing w:after="120"/>
        <w:rPr>
          <w:rFonts w:cs="Tahoma"/>
          <w:color w:val="000000"/>
          <w:lang w:val="it-IT"/>
        </w:rPr>
      </w:pPr>
      <w:r w:rsidRPr="00D87B79">
        <w:rPr>
          <w:rFonts w:cs="Tahoma"/>
          <w:color w:val="000000"/>
          <w:lang w:val="it-IT"/>
        </w:rPr>
        <w:t>Non sono stati eliminati prodotti.</w:t>
      </w:r>
    </w:p>
    <w:p w:rsidR="00A92422" w:rsidRDefault="00A92422" w:rsidP="00A92422">
      <w:pPr>
        <w:spacing w:after="120"/>
        <w:rPr>
          <w:rFonts w:cs="Tahoma"/>
        </w:rPr>
      </w:pPr>
      <w:r w:rsidRPr="00D87B79">
        <w:rPr>
          <w:rFonts w:cs="Tahoma"/>
        </w:rPr>
        <w:br w:type="page"/>
      </w:r>
      <w:bookmarkStart w:id="709" w:name="_Toc336338180"/>
      <w:bookmarkEnd w:id="709"/>
    </w:p>
    <w:p w:rsidR="00A92422" w:rsidRPr="007206AE" w:rsidRDefault="00A92422" w:rsidP="00A92422">
      <w:pPr>
        <w:rPr>
          <w:rFonts w:cs="Tahoma"/>
          <w:sz w:val="4"/>
          <w:szCs w:val="4"/>
        </w:rPr>
      </w:pPr>
    </w:p>
    <w:p w:rsidR="00A92422" w:rsidRPr="007206AE" w:rsidRDefault="00A92422" w:rsidP="00A92422">
      <w:pPr>
        <w:spacing w:after="120"/>
        <w:rPr>
          <w:rStyle w:val="Heading1Char"/>
        </w:rPr>
      </w:pPr>
      <w:bookmarkStart w:id="710" w:name="_Toc342900231"/>
      <w:r w:rsidRPr="007206AE">
        <w:rPr>
          <w:rStyle w:val="Heading1Char"/>
        </w:rPr>
        <w:t>ARTICOLO 2 – PROMOZIONI DI PRODOTTI</w:t>
      </w:r>
      <w:bookmarkEnd w:id="710"/>
    </w:p>
    <w:p w:rsidR="00A92422" w:rsidRPr="00D87B79" w:rsidRDefault="00A92422" w:rsidP="00A92422">
      <w:pPr>
        <w:ind w:right="720"/>
        <w:rPr>
          <w:rFonts w:cs="Tahoma"/>
        </w:rPr>
      </w:pPr>
    </w:p>
    <w:p w:rsidR="00A92422" w:rsidRPr="007206AE" w:rsidRDefault="00A92422" w:rsidP="00A92422">
      <w:pPr>
        <w:pStyle w:val="Heading2"/>
        <w:ind w:left="0"/>
        <w:rPr>
          <w:rFonts w:ascii="Tahoma" w:hAnsi="Tahoma" w:cs="Tahoma"/>
          <w:color w:val="FF9429"/>
        </w:rPr>
      </w:pPr>
      <w:bookmarkStart w:id="711" w:name="_Toc336338181"/>
      <w:bookmarkStart w:id="712" w:name="_Toc342900232"/>
      <w:bookmarkEnd w:id="711"/>
      <w:r w:rsidRPr="007206AE">
        <w:rPr>
          <w:rFonts w:ascii="Tahoma" w:hAnsi="Tahoma" w:cs="Tahoma"/>
          <w:color w:val="FF9429"/>
        </w:rPr>
        <w:t>Promozione Exchange Server Standard</w:t>
      </w:r>
      <w:bookmarkEnd w:id="712"/>
    </w:p>
    <w:p w:rsidR="00A92422" w:rsidRPr="00D87B79" w:rsidRDefault="00A92422" w:rsidP="00A92422">
      <w:pPr>
        <w:spacing w:line="276" w:lineRule="auto"/>
        <w:jc w:val="both"/>
        <w:rPr>
          <w:rFonts w:cs="Tahoma"/>
        </w:rPr>
      </w:pPr>
    </w:p>
    <w:p w:rsidR="00A92422" w:rsidRPr="00D87B79" w:rsidRDefault="00A92422" w:rsidP="00A92422">
      <w:pPr>
        <w:spacing w:after="200" w:line="276" w:lineRule="auto"/>
        <w:rPr>
          <w:rFonts w:cs="Tahoma"/>
        </w:rPr>
      </w:pPr>
      <w:r w:rsidRPr="00D87B79">
        <w:rPr>
          <w:rFonts w:cs="Tahoma"/>
          <w:color w:val="000000"/>
          <w:lang w:val="it-IT"/>
        </w:rPr>
        <w:t>Grazie a un’offerta di durata limitata, che va dal 1 maggio 2012 al 31 dicembre 2012, Microsoft offre fino al 20%</w:t>
      </w:r>
      <w:r>
        <w:rPr>
          <w:rFonts w:cs="Tahoma"/>
          <w:color w:val="000000"/>
          <w:lang w:val="it-IT"/>
        </w:rPr>
        <w:t> </w:t>
      </w:r>
      <w:r w:rsidRPr="00D87B79">
        <w:rPr>
          <w:rFonts w:cs="Tahoma"/>
          <w:color w:val="000000"/>
          <w:lang w:val="it-IT"/>
        </w:rPr>
        <w:t>di</w:t>
      </w:r>
      <w:r>
        <w:rPr>
          <w:rFonts w:cs="Tahoma"/>
          <w:color w:val="000000"/>
          <w:lang w:val="it-IT"/>
        </w:rPr>
        <w:t> </w:t>
      </w:r>
      <w:r w:rsidRPr="00D87B79">
        <w:rPr>
          <w:rFonts w:cs="Tahoma"/>
          <w:color w:val="000000"/>
          <w:lang w:val="it-IT"/>
        </w:rPr>
        <w:t>sconto sul prezzo della licenza e fino al 30% sul prezzo della L&amp;SA per Exchange Server 2010 Standard Edition. Questa promozione è disponibile ai sensi dei contratti Microsoft Open and Open Value per le società commerciali e</w:t>
      </w:r>
      <w:r>
        <w:t> </w:t>
      </w:r>
      <w:r w:rsidRPr="00D87B79">
        <w:rPr>
          <w:rFonts w:cs="Tahoma"/>
          <w:color w:val="000000"/>
          <w:lang w:val="it-IT"/>
        </w:rPr>
        <w:t>gli</w:t>
      </w:r>
      <w:r>
        <w:rPr>
          <w:rFonts w:cs="Tahoma"/>
          <w:color w:val="000000"/>
          <w:lang w:val="it-IT"/>
        </w:rPr>
        <w:t> </w:t>
      </w:r>
      <w:r w:rsidRPr="00D87B79">
        <w:rPr>
          <w:rFonts w:cs="Tahoma"/>
          <w:color w:val="000000"/>
          <w:lang w:val="it-IT"/>
        </w:rPr>
        <w:t>enti pubblici.</w:t>
      </w:r>
    </w:p>
    <w:p w:rsidR="00A92422" w:rsidRPr="007206AE" w:rsidRDefault="00A92422" w:rsidP="00A92422">
      <w:pPr>
        <w:pStyle w:val="Heading2"/>
        <w:ind w:left="0"/>
        <w:rPr>
          <w:rFonts w:ascii="Tahoma" w:hAnsi="Tahoma" w:cs="Tahoma"/>
          <w:color w:val="FF9429"/>
        </w:rPr>
      </w:pPr>
      <w:bookmarkStart w:id="713" w:name="_Toc336338182"/>
      <w:bookmarkStart w:id="714" w:name="_Toc342900233"/>
      <w:bookmarkEnd w:id="713"/>
      <w:r w:rsidRPr="007206AE">
        <w:rPr>
          <w:rFonts w:ascii="Tahoma" w:hAnsi="Tahoma" w:cs="Tahoma"/>
          <w:color w:val="FF9429"/>
        </w:rPr>
        <w:t>SQL Server Parallel Data Warehouse</w:t>
      </w:r>
      <w:bookmarkEnd w:id="714"/>
      <w:r w:rsidRPr="007206AE">
        <w:rPr>
          <w:rFonts w:ascii="Tahoma" w:hAnsi="Tahoma" w:cs="Tahoma"/>
          <w:color w:val="FF9429"/>
        </w:rPr>
        <w:t xml:space="preserve"> </w:t>
      </w:r>
    </w:p>
    <w:p w:rsidR="00A92422" w:rsidRPr="00D87B79" w:rsidRDefault="00A92422" w:rsidP="00A92422">
      <w:pPr>
        <w:rPr>
          <w:rFonts w:cs="Tahoma"/>
        </w:rPr>
      </w:pPr>
    </w:p>
    <w:p w:rsidR="00A92422" w:rsidRPr="00D87B79" w:rsidRDefault="00A92422" w:rsidP="00A92422">
      <w:pPr>
        <w:spacing w:after="200" w:line="276" w:lineRule="auto"/>
        <w:rPr>
          <w:rFonts w:cs="Tahoma"/>
        </w:rPr>
      </w:pPr>
      <w:r w:rsidRPr="00D87B79">
        <w:rPr>
          <w:rFonts w:cs="Tahoma"/>
          <w:color w:val="000000"/>
          <w:lang w:val="it-IT"/>
        </w:rPr>
        <w:t>Grazie a un’offerta di durata limitata, che va dal 1 febbraio 2012 al 31 dicembre 2012, Microsoft offre fino al 45%</w:t>
      </w:r>
      <w:r>
        <w:rPr>
          <w:rFonts w:cs="Tahoma"/>
          <w:color w:val="000000"/>
          <w:lang w:val="it-IT"/>
        </w:rPr>
        <w:t> </w:t>
      </w:r>
      <w:r w:rsidRPr="00D87B79">
        <w:rPr>
          <w:rFonts w:cs="Tahoma"/>
          <w:color w:val="000000"/>
          <w:lang w:val="it-IT"/>
        </w:rPr>
        <w:t>di</w:t>
      </w:r>
      <w:r>
        <w:rPr>
          <w:rFonts w:cs="Tahoma"/>
          <w:color w:val="000000"/>
          <w:lang w:val="it-IT"/>
        </w:rPr>
        <w:t> </w:t>
      </w:r>
      <w:r w:rsidRPr="00D87B79">
        <w:rPr>
          <w:rFonts w:cs="Tahoma"/>
          <w:color w:val="000000"/>
          <w:lang w:val="it-IT"/>
        </w:rPr>
        <w:t>sconto sul prezzo di Licenza e Software Assurance (L&amp;SA) per SQL Server Parallel Data Warehouse. Questa</w:t>
      </w:r>
      <w:r>
        <w:rPr>
          <w:rFonts w:cs="Tahoma"/>
          <w:color w:val="000000"/>
          <w:lang w:val="it-IT"/>
        </w:rPr>
        <w:t> </w:t>
      </w:r>
      <w:r w:rsidRPr="00D87B79">
        <w:rPr>
          <w:rFonts w:cs="Tahoma"/>
          <w:color w:val="000000"/>
          <w:lang w:val="it-IT"/>
        </w:rPr>
        <w:t>promozione è disponibile ai sensi dei Contratti Microsoft Select Plus e Microsoft Enterprise, del Programma Enrollment</w:t>
      </w:r>
      <w:r>
        <w:rPr>
          <w:rFonts w:cs="Tahoma"/>
          <w:color w:val="000000"/>
          <w:lang w:val="it-IT"/>
        </w:rPr>
        <w:t> </w:t>
      </w:r>
      <w:r w:rsidRPr="00D87B79">
        <w:rPr>
          <w:rFonts w:cs="Tahoma"/>
          <w:color w:val="000000"/>
          <w:lang w:val="it-IT"/>
        </w:rPr>
        <w:t>for Application Platform e dei Programmi Multilicenza per Government Partner a livello mondiale.</w:t>
      </w:r>
    </w:p>
    <w:p w:rsidR="00A92422" w:rsidRPr="00D87B79" w:rsidRDefault="00A92422" w:rsidP="00A92422">
      <w:pPr>
        <w:spacing w:after="200" w:line="276" w:lineRule="auto"/>
        <w:rPr>
          <w:rFonts w:cs="Tahoma"/>
        </w:rPr>
      </w:pPr>
      <w:r w:rsidRPr="00D87B79">
        <w:rPr>
          <w:rFonts w:cs="Tahoma"/>
          <w:lang w:val="it-IT"/>
        </w:rPr>
        <w:t>Qualora una società abbia già promosso un prodotto incluso in un’iscrizione Contratto Enterprise esistente, tale</w:t>
      </w:r>
      <w:r>
        <w:rPr>
          <w:rFonts w:cs="Tahoma"/>
          <w:lang w:val="it-IT"/>
        </w:rPr>
        <w:t> </w:t>
      </w:r>
      <w:r w:rsidRPr="00D87B79">
        <w:rPr>
          <w:rFonts w:cs="Tahoma"/>
          <w:lang w:val="it-IT"/>
        </w:rPr>
        <w:t>promozione non può essere utilizzata per quella stessa iscrizione.</w:t>
      </w:r>
    </w:p>
    <w:p w:rsidR="00A92422" w:rsidRPr="007206AE" w:rsidRDefault="00A92422" w:rsidP="00A92422">
      <w:pPr>
        <w:pStyle w:val="Heading2"/>
        <w:ind w:left="0"/>
        <w:rPr>
          <w:rFonts w:ascii="Tahoma" w:eastAsia="Times New Roman" w:hAnsi="Tahoma" w:cs="Tahoma"/>
          <w:color w:val="FF9429"/>
        </w:rPr>
      </w:pPr>
      <w:bookmarkStart w:id="715" w:name="_Toc336338183"/>
      <w:bookmarkStart w:id="716" w:name="_Toc342900234"/>
      <w:bookmarkEnd w:id="715"/>
      <w:r w:rsidRPr="007206AE">
        <w:rPr>
          <w:rFonts w:ascii="Tahoma" w:eastAsia="Times New Roman" w:hAnsi="Tahoma" w:cs="Tahoma"/>
          <w:color w:val="FF9429"/>
        </w:rPr>
        <w:t>Promozione Step-Up per Windows Server Datacenter</w:t>
      </w:r>
      <w:bookmarkEnd w:id="716"/>
    </w:p>
    <w:p w:rsidR="00A92422" w:rsidRPr="00D87B79" w:rsidRDefault="00A92422" w:rsidP="00A92422">
      <w:pPr>
        <w:spacing w:line="276" w:lineRule="auto"/>
        <w:rPr>
          <w:rFonts w:cs="Tahoma"/>
        </w:rPr>
      </w:pPr>
    </w:p>
    <w:p w:rsidR="00A92422" w:rsidRPr="00D87B79" w:rsidRDefault="00A92422" w:rsidP="00A92422">
      <w:pPr>
        <w:spacing w:after="200" w:line="276" w:lineRule="auto"/>
        <w:rPr>
          <w:rFonts w:cs="Tahoma"/>
        </w:rPr>
      </w:pPr>
      <w:r w:rsidRPr="00D87B79">
        <w:rPr>
          <w:rFonts w:cs="Tahoma"/>
          <w:color w:val="000000"/>
          <w:lang w:val="it-IT"/>
        </w:rPr>
        <w:t>Grazie a un’offerta di durata limitata, che va dal 1 settembre 2012 al 31 marzo 2013, Microsoft offre fino al 20%</w:t>
      </w:r>
      <w:r>
        <w:rPr>
          <w:rFonts w:cs="Tahoma"/>
          <w:color w:val="000000"/>
          <w:lang w:val="it-IT"/>
        </w:rPr>
        <w:t> </w:t>
      </w:r>
      <w:r w:rsidRPr="00D87B79">
        <w:rPr>
          <w:rFonts w:cs="Tahoma"/>
          <w:color w:val="000000"/>
          <w:lang w:val="it-IT"/>
        </w:rPr>
        <w:t>di</w:t>
      </w:r>
      <w:r>
        <w:rPr>
          <w:rFonts w:cs="Tahoma"/>
          <w:color w:val="000000"/>
          <w:lang w:val="it-IT"/>
        </w:rPr>
        <w:t> </w:t>
      </w:r>
      <w:r w:rsidRPr="00D87B79">
        <w:rPr>
          <w:rFonts w:cs="Tahoma"/>
          <w:color w:val="000000"/>
          <w:lang w:val="it-IT"/>
        </w:rPr>
        <w:t>sconto sul prezzo di Licenza e Software Assurance (L&amp;SA) per Windows Server DC Edition. Questa promozione è</w:t>
      </w:r>
      <w:r>
        <w:rPr>
          <w:rFonts w:cs="Tahoma"/>
          <w:color w:val="000000"/>
          <w:lang w:val="it-IT"/>
        </w:rPr>
        <w:t> </w:t>
      </w:r>
      <w:r w:rsidRPr="00D87B79">
        <w:rPr>
          <w:rFonts w:cs="Tahoma"/>
          <w:color w:val="000000"/>
          <w:lang w:val="it-IT"/>
        </w:rPr>
        <w:t>disponibile ai sensi dei Contratti Microsoft Enterprise, Enrollment for Application Platform, Enrollment</w:t>
      </w:r>
      <w:r>
        <w:rPr>
          <w:rFonts w:cs="Tahoma"/>
          <w:color w:val="000000"/>
          <w:lang w:val="it-IT"/>
        </w:rPr>
        <w:t> </w:t>
      </w:r>
      <w:r w:rsidRPr="00D87B79">
        <w:rPr>
          <w:rFonts w:cs="Tahoma"/>
          <w:color w:val="000000"/>
          <w:lang w:val="it-IT"/>
        </w:rPr>
        <w:t>for Core Infrastructure, Microsoft Select Plus e Microsoft Open Value (tutti verticali).</w:t>
      </w:r>
    </w:p>
    <w:p w:rsidR="00A92422" w:rsidRPr="007206AE" w:rsidRDefault="00A92422" w:rsidP="00A92422">
      <w:pPr>
        <w:pStyle w:val="Heading2"/>
        <w:ind w:left="0"/>
        <w:rPr>
          <w:rFonts w:ascii="Tahoma" w:eastAsia="Times New Roman" w:hAnsi="Tahoma" w:cs="Tahoma"/>
          <w:color w:val="FF9429"/>
        </w:rPr>
      </w:pPr>
      <w:bookmarkStart w:id="717" w:name="_Toc336338184"/>
      <w:bookmarkStart w:id="718" w:name="_Toc342900235"/>
      <w:bookmarkEnd w:id="717"/>
      <w:r w:rsidRPr="007206AE">
        <w:rPr>
          <w:rFonts w:ascii="Tahoma" w:eastAsia="Times New Roman" w:hAnsi="Tahoma" w:cs="Tahoma"/>
          <w:color w:val="FF9429"/>
        </w:rPr>
        <w:t>Forefront Online Protection for Exchange</w:t>
      </w:r>
      <w:bookmarkEnd w:id="718"/>
      <w:r w:rsidRPr="007206AE">
        <w:rPr>
          <w:rFonts w:ascii="Tahoma" w:eastAsia="Times New Roman" w:hAnsi="Tahoma" w:cs="Tahoma"/>
          <w:color w:val="FF9429"/>
        </w:rPr>
        <w:t xml:space="preserve"> </w:t>
      </w:r>
    </w:p>
    <w:p w:rsidR="00A92422" w:rsidRPr="00D87B79" w:rsidRDefault="00A92422" w:rsidP="00A92422">
      <w:pPr>
        <w:rPr>
          <w:rFonts w:cs="Tahoma"/>
        </w:rPr>
      </w:pPr>
    </w:p>
    <w:p w:rsidR="00A92422" w:rsidRPr="00D87B79" w:rsidRDefault="00A92422" w:rsidP="00A92422">
      <w:pPr>
        <w:spacing w:after="200" w:line="276" w:lineRule="auto"/>
        <w:rPr>
          <w:rFonts w:cs="Tahoma"/>
        </w:rPr>
      </w:pPr>
      <w:r w:rsidRPr="00D87B79">
        <w:rPr>
          <w:rFonts w:cs="Tahoma"/>
          <w:color w:val="000000"/>
          <w:lang w:val="it-IT"/>
        </w:rPr>
        <w:t>Grazie a un’offerta di durata limitata, che va dal 1 settembre 2011 al 31 dicembre 2012, Microsoft offre fino al 40%</w:t>
      </w:r>
      <w:r>
        <w:rPr>
          <w:rFonts w:cs="Tahoma"/>
          <w:color w:val="000000"/>
          <w:lang w:val="it-IT"/>
        </w:rPr>
        <w:t> </w:t>
      </w:r>
      <w:r w:rsidRPr="00D87B79">
        <w:rPr>
          <w:rFonts w:cs="Tahoma"/>
          <w:color w:val="000000"/>
          <w:lang w:val="it-IT"/>
        </w:rPr>
        <w:t>di sconto sul prezzo della “subscription” mensile per Forefront Online Protection for Exchange. Questa promozione è</w:t>
      </w:r>
      <w:r>
        <w:rPr>
          <w:rFonts w:cs="Tahoma"/>
          <w:color w:val="000000"/>
          <w:lang w:val="it-IT"/>
        </w:rPr>
        <w:t> </w:t>
      </w:r>
      <w:r w:rsidRPr="00D87B79">
        <w:rPr>
          <w:rFonts w:cs="Tahoma"/>
          <w:color w:val="000000"/>
          <w:lang w:val="it-IT"/>
        </w:rPr>
        <w:t>disponibile ai sensi dei Contratti Microsoft Select Plus, Open Value, Open Value Subscription e dei programmi Multilicenza per Government Partner a livello mondiale.</w:t>
      </w:r>
      <w:r w:rsidRPr="00D87B79">
        <w:rPr>
          <w:rFonts w:cs="Tahoma"/>
        </w:rPr>
        <w:t> </w:t>
      </w:r>
    </w:p>
    <w:p w:rsidR="00A92422" w:rsidRPr="007206AE" w:rsidRDefault="00A92422" w:rsidP="00A92422">
      <w:pPr>
        <w:pStyle w:val="Heading2"/>
        <w:ind w:left="0"/>
        <w:rPr>
          <w:rFonts w:ascii="Tahoma" w:eastAsia="Times New Roman" w:hAnsi="Tahoma" w:cs="Tahoma"/>
          <w:color w:val="FF9429"/>
        </w:rPr>
      </w:pPr>
      <w:bookmarkStart w:id="719" w:name="_SECTION_3_–"/>
      <w:bookmarkStart w:id="720" w:name="_Toc336338185"/>
      <w:bookmarkStart w:id="721" w:name="_Toc342900236"/>
      <w:bookmarkEnd w:id="719"/>
      <w:bookmarkEnd w:id="720"/>
      <w:r w:rsidRPr="007206AE">
        <w:rPr>
          <w:rFonts w:ascii="Tahoma" w:eastAsia="Times New Roman" w:hAnsi="Tahoma" w:cs="Tahoma"/>
          <w:color w:val="FF9429"/>
        </w:rPr>
        <w:t>Sconto del 30% per l’Aggiornamento a Visual Studio Premium con MSDN</w:t>
      </w:r>
      <w:bookmarkEnd w:id="721"/>
      <w:r w:rsidRPr="007206AE">
        <w:rPr>
          <w:rFonts w:ascii="Tahoma" w:eastAsia="Times New Roman" w:hAnsi="Tahoma" w:cs="Tahoma"/>
          <w:color w:val="FF9429"/>
        </w:rPr>
        <w:t xml:space="preserve"> </w:t>
      </w:r>
    </w:p>
    <w:p w:rsidR="00A92422" w:rsidRPr="00D87B79" w:rsidRDefault="00A92422" w:rsidP="00A92422">
      <w:pPr>
        <w:rPr>
          <w:rFonts w:cs="Tahoma"/>
        </w:rPr>
      </w:pPr>
    </w:p>
    <w:p w:rsidR="00A92422" w:rsidRPr="00D87B79" w:rsidRDefault="00A92422" w:rsidP="00A92422">
      <w:pPr>
        <w:spacing w:after="200" w:line="276" w:lineRule="auto"/>
        <w:rPr>
          <w:rFonts w:cs="Tahoma"/>
        </w:rPr>
      </w:pPr>
      <w:r w:rsidRPr="00D87B79">
        <w:rPr>
          <w:rFonts w:cs="Tahoma"/>
          <w:color w:val="000000"/>
          <w:lang w:val="it-IT"/>
        </w:rPr>
        <w:t>Grazie a un’offerta di durata limitata che va dal 1 ottobre 2012 al 31 marzo 2013, Microsoft offre un 30% di sconto sul prezzo di Visual Studio Premium con MSDN per le società che dispongono di una copertura Software Assurance attiva per Visual Studio Professional con MSDN.</w:t>
      </w:r>
      <w:r w:rsidRPr="00D87B79">
        <w:rPr>
          <w:rFonts w:cs="Tahoma"/>
        </w:rPr>
        <w:t xml:space="preserve"> </w:t>
      </w:r>
      <w:r w:rsidRPr="00D87B79">
        <w:rPr>
          <w:rFonts w:cs="Tahoma"/>
          <w:color w:val="000000"/>
          <w:lang w:val="it-IT"/>
        </w:rPr>
        <w:t>Questa promozione è disponibile ai sensi dei programmi Microsoft Enterprise, USG, EAP, Select Plus e Open Value.</w:t>
      </w:r>
      <w:r w:rsidRPr="00D87B79">
        <w:rPr>
          <w:rFonts w:cs="Tahoma"/>
        </w:rPr>
        <w:t> </w:t>
      </w:r>
    </w:p>
    <w:p w:rsidR="00A92422" w:rsidRPr="007206AE" w:rsidRDefault="00A92422" w:rsidP="00A92422">
      <w:pPr>
        <w:pStyle w:val="Heading2"/>
        <w:ind w:left="0"/>
        <w:rPr>
          <w:rFonts w:ascii="Tahoma" w:eastAsia="Times New Roman" w:hAnsi="Tahoma" w:cs="Tahoma"/>
          <w:color w:val="FF9429"/>
        </w:rPr>
      </w:pPr>
      <w:bookmarkStart w:id="722" w:name="_Toc336338186"/>
      <w:bookmarkStart w:id="723" w:name="_Toc342900237"/>
      <w:bookmarkEnd w:id="722"/>
      <w:r w:rsidRPr="007206AE">
        <w:rPr>
          <w:rFonts w:ascii="Tahoma" w:eastAsia="Times New Roman" w:hAnsi="Tahoma" w:cs="Tahoma"/>
          <w:color w:val="FF9429"/>
        </w:rPr>
        <w:t>Step-Up a Windows 8 con SA</w:t>
      </w:r>
      <w:bookmarkEnd w:id="723"/>
    </w:p>
    <w:p w:rsidR="00A92422" w:rsidRPr="00D87B79" w:rsidRDefault="00A92422" w:rsidP="00A92422">
      <w:pPr>
        <w:rPr>
          <w:rFonts w:cs="Tahoma"/>
        </w:rPr>
      </w:pPr>
    </w:p>
    <w:p w:rsidR="00A92422" w:rsidRPr="00D87B79" w:rsidRDefault="00A92422" w:rsidP="00A92422">
      <w:pPr>
        <w:spacing w:after="200" w:line="276" w:lineRule="auto"/>
        <w:rPr>
          <w:rFonts w:cs="Tahoma"/>
        </w:rPr>
      </w:pPr>
      <w:r w:rsidRPr="00D87B79">
        <w:rPr>
          <w:rFonts w:cs="Tahoma"/>
          <w:color w:val="000000"/>
          <w:lang w:val="it-IT"/>
        </w:rPr>
        <w:t>Tra il 1 novembre 2012 e il 31 gennaio 2013 Microsoft offre un 40% di sconto sulle licenze di aggiornamento Open con Software Assurance (Programmi Open License o Open Value) e un 15% di sconto sulle licenze di aggiornamento Open.</w:t>
      </w:r>
      <w:r w:rsidRPr="00D87B79">
        <w:rPr>
          <w:rFonts w:cs="Tahoma"/>
        </w:rPr>
        <w:t xml:space="preserve"> </w:t>
      </w:r>
      <w:r w:rsidRPr="00D87B79">
        <w:rPr>
          <w:rFonts w:cs="Tahoma"/>
          <w:color w:val="000000"/>
          <w:lang w:val="it-IT"/>
        </w:rPr>
        <w:t>I prezzi promozionali sono validi per acquisti di un massimo di 150 licenze.</w:t>
      </w:r>
    </w:p>
    <w:p w:rsidR="00A92422" w:rsidRDefault="00A92422" w:rsidP="00A92422">
      <w:pPr>
        <w:pStyle w:val="Heading2"/>
        <w:ind w:left="0"/>
        <w:rPr>
          <w:rFonts w:ascii="Tahoma" w:eastAsia="Times New Roman" w:hAnsi="Tahoma" w:cs="Tahoma"/>
          <w:color w:val="FF9429"/>
        </w:rPr>
      </w:pPr>
      <w:bookmarkStart w:id="724" w:name="_Toc342900238"/>
    </w:p>
    <w:p w:rsidR="00A92422" w:rsidRDefault="00A92422" w:rsidP="00A92422">
      <w:pPr>
        <w:pStyle w:val="Heading2"/>
        <w:ind w:left="0"/>
        <w:rPr>
          <w:rFonts w:ascii="Tahoma" w:eastAsia="Times New Roman" w:hAnsi="Tahoma" w:cs="Tahoma"/>
          <w:color w:val="FF9429"/>
        </w:rPr>
      </w:pPr>
    </w:p>
    <w:p w:rsidR="00A92422" w:rsidRDefault="00A92422" w:rsidP="00A92422">
      <w:pPr>
        <w:pStyle w:val="Heading2"/>
        <w:ind w:left="0"/>
        <w:rPr>
          <w:rFonts w:ascii="Tahoma" w:eastAsia="Times New Roman" w:hAnsi="Tahoma" w:cs="Tahoma"/>
          <w:color w:val="FF9429"/>
        </w:rPr>
      </w:pPr>
    </w:p>
    <w:p w:rsidR="00A92422" w:rsidRDefault="00A92422" w:rsidP="00A92422">
      <w:pPr>
        <w:pStyle w:val="Heading2"/>
        <w:ind w:left="0"/>
        <w:rPr>
          <w:rFonts w:ascii="Tahoma" w:eastAsia="Times New Roman" w:hAnsi="Tahoma" w:cs="Tahoma"/>
          <w:color w:val="FF9429"/>
        </w:rPr>
      </w:pPr>
    </w:p>
    <w:p w:rsidR="00A92422" w:rsidRPr="007206AE" w:rsidRDefault="00A92422" w:rsidP="00A92422">
      <w:pPr>
        <w:pStyle w:val="Heading2"/>
        <w:ind w:left="0"/>
        <w:rPr>
          <w:rFonts w:ascii="Tahoma" w:eastAsia="Times New Roman" w:hAnsi="Tahoma" w:cs="Tahoma"/>
          <w:color w:val="FF9429"/>
        </w:rPr>
      </w:pPr>
      <w:r w:rsidRPr="007206AE">
        <w:rPr>
          <w:rFonts w:ascii="Tahoma" w:eastAsia="Times New Roman" w:hAnsi="Tahoma" w:cs="Tahoma"/>
          <w:color w:val="FF9429"/>
        </w:rPr>
        <w:lastRenderedPageBreak/>
        <w:t>15% di sconto sulle Licenze Step-up per Project/Visio</w:t>
      </w:r>
      <w:bookmarkEnd w:id="724"/>
      <w:r w:rsidRPr="007206AE">
        <w:rPr>
          <w:rFonts w:ascii="Tahoma" w:eastAsia="Times New Roman" w:hAnsi="Tahoma" w:cs="Tahoma"/>
          <w:color w:val="FF9429"/>
        </w:rPr>
        <w:t xml:space="preserve"> </w:t>
      </w:r>
    </w:p>
    <w:p w:rsidR="00A92422" w:rsidRPr="00D87B79" w:rsidRDefault="00A92422" w:rsidP="00A92422">
      <w:pPr>
        <w:tabs>
          <w:tab w:val="left" w:pos="2385"/>
        </w:tabs>
        <w:rPr>
          <w:rFonts w:cs="Tahoma"/>
        </w:rPr>
      </w:pPr>
    </w:p>
    <w:p w:rsidR="00A92422" w:rsidRPr="00D87B79" w:rsidRDefault="00A92422" w:rsidP="00A92422">
      <w:pPr>
        <w:spacing w:after="200" w:line="276" w:lineRule="auto"/>
        <w:rPr>
          <w:rFonts w:cs="Tahoma"/>
        </w:rPr>
      </w:pPr>
      <w:r w:rsidRPr="00D87B79">
        <w:rPr>
          <w:rFonts w:cs="Tahoma"/>
          <w:color w:val="000000"/>
          <w:lang w:val="it-IT"/>
        </w:rPr>
        <w:t>Grazie a un’offerta di durata limitata che va dal 1 dicembre 2012 al 30 giugno 2013, Microsoft offre uno sconto del</w:t>
      </w:r>
      <w:r>
        <w:rPr>
          <w:rFonts w:cs="Tahoma"/>
          <w:color w:val="000000"/>
          <w:lang w:val="it-IT"/>
        </w:rPr>
        <w:t> </w:t>
      </w:r>
      <w:r w:rsidRPr="00D87B79">
        <w:rPr>
          <w:rFonts w:cs="Tahoma"/>
          <w:color w:val="000000"/>
          <w:lang w:val="it-IT"/>
        </w:rPr>
        <w:t>15% sul prezzo delle licenze Step-up per il passaggio da Project Standard a Project Professional ai sensi della copertura Software Assurance e uno sconto del 15% sul prezzo delle licenze Step-up per il passaggio da Visio Standard a Visio Professional ai sensi della copertura Software Assurance.</w:t>
      </w:r>
      <w:r w:rsidRPr="00D87B79">
        <w:rPr>
          <w:rFonts w:cs="Tahoma"/>
        </w:rPr>
        <w:t xml:space="preserve"> </w:t>
      </w:r>
      <w:r w:rsidRPr="00D87B79">
        <w:rPr>
          <w:rFonts w:cs="Tahoma"/>
          <w:color w:val="000000"/>
          <w:lang w:val="it-IT"/>
        </w:rPr>
        <w:t>Questa promozione è disponibile ai</w:t>
      </w:r>
      <w:r>
        <w:rPr>
          <w:rFonts w:cs="Tahoma"/>
          <w:color w:val="000000"/>
          <w:lang w:val="it-IT"/>
        </w:rPr>
        <w:t> </w:t>
      </w:r>
      <w:r w:rsidRPr="00D87B79">
        <w:rPr>
          <w:rFonts w:cs="Tahoma"/>
          <w:color w:val="000000"/>
          <w:lang w:val="it-IT"/>
        </w:rPr>
        <w:t>sensi</w:t>
      </w:r>
      <w:r>
        <w:rPr>
          <w:rFonts w:cs="Tahoma"/>
          <w:color w:val="000000"/>
          <w:lang w:val="it-IT"/>
        </w:rPr>
        <w:t> </w:t>
      </w:r>
      <w:r w:rsidRPr="00D87B79">
        <w:rPr>
          <w:rFonts w:cs="Tahoma"/>
          <w:color w:val="000000"/>
          <w:lang w:val="it-IT"/>
        </w:rPr>
        <w:t>dei programmi Microsoft Enterprise, Enterprise Subscription, Select Plus, EAP e Open Value.</w:t>
      </w:r>
    </w:p>
    <w:p w:rsidR="00A92422" w:rsidRPr="007206AE" w:rsidRDefault="00A92422" w:rsidP="00A92422">
      <w:pPr>
        <w:pStyle w:val="Heading2"/>
        <w:ind w:left="0"/>
        <w:rPr>
          <w:rFonts w:ascii="Tahoma" w:eastAsia="Times New Roman" w:hAnsi="Tahoma" w:cs="Tahoma"/>
          <w:color w:val="FF9429"/>
        </w:rPr>
      </w:pPr>
      <w:bookmarkStart w:id="725" w:name="_Toc342900239"/>
      <w:r w:rsidRPr="007206AE">
        <w:rPr>
          <w:rFonts w:ascii="Tahoma" w:eastAsia="Times New Roman" w:hAnsi="Tahoma" w:cs="Tahoma"/>
          <w:color w:val="FF9429"/>
        </w:rPr>
        <w:t>55% di sconto sulle CAL per Project Server Acquistate a Livello Aziendale</w:t>
      </w:r>
      <w:bookmarkEnd w:id="725"/>
    </w:p>
    <w:p w:rsidR="00A92422" w:rsidRPr="00D87B79" w:rsidRDefault="00A92422" w:rsidP="00A92422">
      <w:pPr>
        <w:rPr>
          <w:rFonts w:cs="Tahoma"/>
        </w:rPr>
      </w:pPr>
    </w:p>
    <w:p w:rsidR="00A92422" w:rsidRDefault="00A92422" w:rsidP="00A92422">
      <w:pPr>
        <w:spacing w:after="200" w:line="276" w:lineRule="auto"/>
        <w:rPr>
          <w:rFonts w:cs="Tahoma"/>
        </w:rPr>
      </w:pPr>
      <w:r w:rsidRPr="00D87B79">
        <w:rPr>
          <w:rFonts w:cs="Tahoma"/>
          <w:color w:val="000000"/>
          <w:lang w:val="it-IT"/>
        </w:rPr>
        <w:t>Grazie a un’offerta di durata limitata che va dal 1 dicembre 2012 al 30 giugno 2013, Microsoft offre uno sconto del 55% sul prezzo delle licenze CAL acquistate a livello aziendale.</w:t>
      </w:r>
      <w:r w:rsidRPr="00D87B79">
        <w:rPr>
          <w:rFonts w:cs="Tahoma"/>
        </w:rPr>
        <w:t xml:space="preserve"> </w:t>
      </w:r>
      <w:r w:rsidRPr="00D87B79">
        <w:rPr>
          <w:rFonts w:cs="Tahoma"/>
          <w:color w:val="000000"/>
          <w:lang w:val="it-IT"/>
        </w:rPr>
        <w:t>Questa promozione è disponibile ai sensi dei programmi Microsoft Enterprise, Enterprise Subscription e EAP.</w:t>
      </w:r>
    </w:p>
    <w:p w:rsidR="00A92422" w:rsidRDefault="00A92422" w:rsidP="00A92422">
      <w:pPr>
        <w:spacing w:after="200" w:line="276" w:lineRule="auto"/>
        <w:rPr>
          <w:rFonts w:cs="Tahoma"/>
        </w:rPr>
        <w:sectPr w:rsidR="00A92422" w:rsidSect="0073455A">
          <w:footerReference w:type="default" r:id="rId12"/>
          <w:headerReference w:type="first" r:id="rId13"/>
          <w:footerReference w:type="first" r:id="rId14"/>
          <w:endnotePr>
            <w:numFmt w:val="decimal"/>
          </w:endnotePr>
          <w:pgSz w:w="12240" w:h="15840" w:code="1"/>
          <w:pgMar w:top="1166" w:right="1440" w:bottom="720" w:left="1440" w:header="720" w:footer="720" w:gutter="0"/>
          <w:cols w:space="720"/>
          <w:docGrid w:linePitch="360"/>
        </w:sectPr>
      </w:pPr>
    </w:p>
    <w:p w:rsidR="00A92422" w:rsidRPr="00D87B79" w:rsidRDefault="00A92422" w:rsidP="00A92422">
      <w:pPr>
        <w:pStyle w:val="Heading1"/>
      </w:pPr>
      <w:bookmarkStart w:id="726" w:name="_ARTICOLO_3_–"/>
      <w:bookmarkStart w:id="727" w:name="_Toc336338188"/>
      <w:bookmarkStart w:id="728" w:name="_Toc342900240"/>
      <w:bookmarkEnd w:id="726"/>
      <w:bookmarkEnd w:id="727"/>
      <w:r w:rsidRPr="00D87B79">
        <w:lastRenderedPageBreak/>
        <w:t>ARTICOLO 3</w:t>
      </w:r>
      <w:r w:rsidRPr="00F81721">
        <w:rPr>
          <w:rFonts w:cs="Tahoma"/>
        </w:rPr>
        <w:t xml:space="preserve"> – </w:t>
      </w:r>
      <w:r w:rsidRPr="00D87B79">
        <w:t>CONDIZIONI Dei Programmi Multilicenza</w:t>
      </w:r>
      <w:bookmarkEnd w:id="728"/>
    </w:p>
    <w:p w:rsidR="00A92422" w:rsidRPr="00D87B79" w:rsidRDefault="00A92422" w:rsidP="00A92422">
      <w:pPr>
        <w:pStyle w:val="Heading3"/>
        <w:ind w:right="720"/>
        <w:rPr>
          <w:rFonts w:ascii="Tahoma" w:hAnsi="Tahoma" w:cs="Tahoma"/>
        </w:rPr>
      </w:pPr>
      <w:bookmarkStart w:id="729" w:name="_Toc323159724"/>
    </w:p>
    <w:p w:rsidR="00A92422" w:rsidRPr="00D87B79" w:rsidRDefault="00A92422" w:rsidP="00A92422">
      <w:pPr>
        <w:pStyle w:val="Heading3"/>
        <w:ind w:right="720"/>
        <w:rPr>
          <w:rFonts w:ascii="Tahoma" w:hAnsi="Tahoma" w:cs="Tahoma"/>
        </w:rPr>
      </w:pPr>
      <w:bookmarkStart w:id="730" w:name="_Toc336338189"/>
      <w:bookmarkStart w:id="731" w:name="_Toc342900241"/>
      <w:bookmarkEnd w:id="729"/>
      <w:bookmarkEnd w:id="730"/>
      <w:r w:rsidRPr="00D87B79">
        <w:rPr>
          <w:rFonts w:ascii="Tahoma" w:hAnsi="Tahoma" w:cs="Tahoma"/>
          <w:sz w:val="24"/>
          <w:lang w:val="it-IT"/>
        </w:rPr>
        <w:t>Programmi Multilicenza Applicabili</w:t>
      </w:r>
      <w:bookmarkEnd w:id="731"/>
      <w:r w:rsidRPr="00D87B79">
        <w:rPr>
          <w:rFonts w:ascii="Tahoma" w:hAnsi="Tahoma" w:cs="Tahoma"/>
        </w:rPr>
        <w:t xml:space="preserve"> </w:t>
      </w:r>
    </w:p>
    <w:p w:rsidR="00A92422" w:rsidRPr="00D87B79" w:rsidRDefault="00A92422" w:rsidP="00A92422">
      <w:pPr>
        <w:rPr>
          <w:rFonts w:cs="Tahoma"/>
        </w:rPr>
      </w:pPr>
    </w:p>
    <w:p w:rsidR="00A92422" w:rsidRPr="00D87B79" w:rsidRDefault="00A92422" w:rsidP="00A92422">
      <w:pPr>
        <w:rPr>
          <w:rFonts w:cs="Tahoma"/>
        </w:rPr>
      </w:pPr>
      <w:r w:rsidRPr="00D87B79">
        <w:rPr>
          <w:rFonts w:cs="Tahoma"/>
          <w:lang w:val="it-IT"/>
        </w:rPr>
        <w:t>Il presente Articolo si applica ai seguenti programmi Multilicenza, incluse le versioni Academic, Charity e Government, ove applicabile.</w:t>
      </w:r>
    </w:p>
    <w:p w:rsidR="00A92422" w:rsidRPr="00D87B79" w:rsidRDefault="00A92422" w:rsidP="00A92422">
      <w:pPr>
        <w:rPr>
          <w:rFonts w:cs="Tahoma"/>
        </w:rPr>
      </w:pPr>
    </w:p>
    <w:p w:rsidR="00A92422" w:rsidRPr="00D87B79" w:rsidRDefault="00A92422" w:rsidP="00A92422">
      <w:pPr>
        <w:numPr>
          <w:ilvl w:val="0"/>
          <w:numId w:val="2"/>
        </w:numPr>
        <w:spacing w:after="60"/>
        <w:rPr>
          <w:rFonts w:cs="Tahoma"/>
        </w:rPr>
      </w:pPr>
      <w:r w:rsidRPr="00D87B79">
        <w:rPr>
          <w:rFonts w:cs="Tahoma"/>
          <w:lang w:val="it-IT"/>
        </w:rPr>
        <w:t>Licenza Open</w:t>
      </w:r>
    </w:p>
    <w:p w:rsidR="00A92422" w:rsidRPr="00D87B79" w:rsidRDefault="00A92422" w:rsidP="00A92422">
      <w:pPr>
        <w:numPr>
          <w:ilvl w:val="0"/>
          <w:numId w:val="2"/>
        </w:numPr>
        <w:spacing w:after="60"/>
        <w:rPr>
          <w:rFonts w:cs="Tahoma"/>
        </w:rPr>
      </w:pPr>
      <w:r w:rsidRPr="00D87B79">
        <w:rPr>
          <w:rFonts w:cs="Tahoma"/>
          <w:lang w:val="it-IT"/>
        </w:rPr>
        <w:t>Open Value</w:t>
      </w:r>
      <w:r w:rsidRPr="00D87B79">
        <w:rPr>
          <w:rFonts w:cs="Tahoma"/>
        </w:rPr>
        <w:t xml:space="preserve"> </w:t>
      </w:r>
    </w:p>
    <w:p w:rsidR="00A92422" w:rsidRPr="00D87B79" w:rsidRDefault="00A92422" w:rsidP="00A92422">
      <w:pPr>
        <w:numPr>
          <w:ilvl w:val="0"/>
          <w:numId w:val="2"/>
        </w:numPr>
        <w:spacing w:after="60"/>
        <w:rPr>
          <w:rFonts w:cs="Tahoma"/>
        </w:rPr>
      </w:pPr>
      <w:r w:rsidRPr="00D87B79">
        <w:rPr>
          <w:rFonts w:cs="Tahoma"/>
          <w:lang w:val="it-IT"/>
        </w:rPr>
        <w:t>Open Value Subscription</w:t>
      </w:r>
      <w:r w:rsidRPr="00D87B79">
        <w:rPr>
          <w:rFonts w:cs="Tahoma"/>
        </w:rPr>
        <w:t xml:space="preserve"> </w:t>
      </w:r>
    </w:p>
    <w:p w:rsidR="00A92422" w:rsidRPr="00D87B79" w:rsidRDefault="00A92422" w:rsidP="00A92422">
      <w:pPr>
        <w:numPr>
          <w:ilvl w:val="0"/>
          <w:numId w:val="2"/>
        </w:numPr>
        <w:spacing w:after="60"/>
        <w:rPr>
          <w:rFonts w:cs="Tahoma"/>
        </w:rPr>
      </w:pPr>
      <w:r w:rsidRPr="00D87B79">
        <w:rPr>
          <w:rFonts w:cs="Tahoma"/>
          <w:lang w:val="it-IT"/>
        </w:rPr>
        <w:t>Select</w:t>
      </w:r>
      <w:r w:rsidRPr="00D87B79">
        <w:rPr>
          <w:rFonts w:cs="Tahoma"/>
        </w:rPr>
        <w:t xml:space="preserve"> </w:t>
      </w:r>
    </w:p>
    <w:p w:rsidR="00A92422" w:rsidRPr="00D87B79" w:rsidRDefault="00A92422" w:rsidP="00A92422">
      <w:pPr>
        <w:numPr>
          <w:ilvl w:val="0"/>
          <w:numId w:val="2"/>
        </w:numPr>
        <w:spacing w:after="60"/>
        <w:rPr>
          <w:rFonts w:cs="Tahoma"/>
        </w:rPr>
      </w:pPr>
      <w:r w:rsidRPr="00D87B79">
        <w:rPr>
          <w:rFonts w:cs="Tahoma"/>
          <w:lang w:val="it-IT"/>
        </w:rPr>
        <w:t>Select Plus</w:t>
      </w:r>
      <w:r w:rsidRPr="00D87B79">
        <w:rPr>
          <w:rFonts w:cs="Tahoma"/>
        </w:rPr>
        <w:t xml:space="preserve"> </w:t>
      </w:r>
    </w:p>
    <w:p w:rsidR="00A92422" w:rsidRPr="00D87B79" w:rsidRDefault="00A92422" w:rsidP="00A92422">
      <w:pPr>
        <w:numPr>
          <w:ilvl w:val="0"/>
          <w:numId w:val="2"/>
        </w:numPr>
        <w:spacing w:after="60"/>
        <w:rPr>
          <w:rFonts w:cs="Tahoma"/>
        </w:rPr>
      </w:pPr>
      <w:r w:rsidRPr="00D87B79">
        <w:rPr>
          <w:rFonts w:cs="Tahoma"/>
          <w:lang w:val="it-IT"/>
        </w:rPr>
        <w:t>Contratto Enterprise</w:t>
      </w:r>
      <w:r w:rsidRPr="00D87B79">
        <w:rPr>
          <w:rFonts w:cs="Tahoma"/>
        </w:rPr>
        <w:t xml:space="preserve"> </w:t>
      </w:r>
    </w:p>
    <w:p w:rsidR="00A92422" w:rsidRPr="00D87B79" w:rsidRDefault="00A92422" w:rsidP="00A92422">
      <w:pPr>
        <w:numPr>
          <w:ilvl w:val="0"/>
          <w:numId w:val="2"/>
        </w:numPr>
        <w:spacing w:after="60"/>
        <w:rPr>
          <w:rFonts w:cs="Tahoma"/>
        </w:rPr>
      </w:pPr>
      <w:r w:rsidRPr="00D87B79">
        <w:rPr>
          <w:rFonts w:cs="Tahoma"/>
          <w:lang w:val="it-IT"/>
        </w:rPr>
        <w:t>Contratto Enterprise Subscription</w:t>
      </w:r>
      <w:r w:rsidRPr="00D87B79">
        <w:rPr>
          <w:rFonts w:cs="Tahoma"/>
        </w:rPr>
        <w:t xml:space="preserve"> </w:t>
      </w:r>
    </w:p>
    <w:p w:rsidR="00A92422" w:rsidRPr="00450BF1" w:rsidRDefault="00A92422" w:rsidP="00A92422">
      <w:pPr>
        <w:rPr>
          <w:rFonts w:cs="Tahoma"/>
          <w:sz w:val="16"/>
          <w:szCs w:val="16"/>
        </w:rPr>
      </w:pPr>
    </w:p>
    <w:p w:rsidR="00A92422" w:rsidRPr="00450BF1" w:rsidRDefault="00A92422" w:rsidP="00A92422">
      <w:pPr>
        <w:pStyle w:val="Heading3"/>
        <w:ind w:right="720"/>
        <w:rPr>
          <w:rFonts w:ascii="Tahoma" w:hAnsi="Tahoma" w:cs="Tahoma"/>
          <w:sz w:val="16"/>
          <w:szCs w:val="16"/>
        </w:rPr>
      </w:pPr>
    </w:p>
    <w:p w:rsidR="00A92422" w:rsidRPr="00D87B79" w:rsidRDefault="00A92422" w:rsidP="00A92422">
      <w:pPr>
        <w:pStyle w:val="Heading3"/>
        <w:ind w:right="720"/>
        <w:rPr>
          <w:rFonts w:ascii="Tahoma" w:hAnsi="Tahoma" w:cs="Tahoma"/>
        </w:rPr>
      </w:pPr>
      <w:bookmarkStart w:id="732" w:name="_Toc336338190"/>
      <w:bookmarkStart w:id="733" w:name="_Toc342900242"/>
      <w:bookmarkEnd w:id="732"/>
      <w:r w:rsidRPr="00D87B79">
        <w:rPr>
          <w:rFonts w:ascii="Tahoma" w:hAnsi="Tahoma" w:cs="Tahoma"/>
          <w:sz w:val="24"/>
          <w:lang w:val="it-IT"/>
        </w:rPr>
        <w:t>Punti e Requisiti Minimi per gli Ordini</w:t>
      </w:r>
      <w:bookmarkEnd w:id="733"/>
    </w:p>
    <w:p w:rsidR="00A92422" w:rsidRPr="00D87B79" w:rsidRDefault="00A92422" w:rsidP="00A92422">
      <w:pPr>
        <w:rPr>
          <w:rFonts w:cs="Tahoma"/>
        </w:rPr>
      </w:pPr>
    </w:p>
    <w:p w:rsidR="00A92422" w:rsidRPr="00D87B79" w:rsidRDefault="00A92422" w:rsidP="00A92422">
      <w:pPr>
        <w:pStyle w:val="AppendixBodyText"/>
        <w:ind w:right="720"/>
        <w:rPr>
          <w:rFonts w:ascii="Tahoma" w:hAnsi="Tahoma" w:cs="Tahoma"/>
        </w:rPr>
      </w:pPr>
      <w:r w:rsidRPr="00D87B79">
        <w:rPr>
          <w:rFonts w:ascii="Tahoma" w:hAnsi="Tahoma" w:cs="Tahoma"/>
          <w:sz w:val="18"/>
          <w:lang w:val="it-IT"/>
        </w:rPr>
        <w:t>Select, Select Plus e Open License sono accompagnati da un numero o “Punto” che indica il valore di punti assegnato da Microsoft per ogni licenza.</w:t>
      </w:r>
      <w:r w:rsidRPr="00D87B79">
        <w:rPr>
          <w:rFonts w:ascii="Tahoma" w:hAnsi="Tahoma" w:cs="Tahoma"/>
        </w:rPr>
        <w:t xml:space="preserve"> </w:t>
      </w:r>
      <w:r w:rsidRPr="00D87B79">
        <w:rPr>
          <w:rFonts w:ascii="Tahoma" w:hAnsi="Tahoma" w:cs="Tahoma"/>
          <w:sz w:val="18"/>
          <w:lang w:val="it-IT"/>
        </w:rPr>
        <w:t>I punti consentono di calcolare il livello di prezzo per volume applicabile al contratto di una società.</w:t>
      </w:r>
      <w:r w:rsidRPr="00D87B79">
        <w:rPr>
          <w:rFonts w:ascii="Tahoma" w:hAnsi="Tahoma" w:cs="Tahoma"/>
        </w:rPr>
        <w:t xml:space="preserve"> </w:t>
      </w:r>
      <w:r w:rsidRPr="00D87B79">
        <w:rPr>
          <w:rFonts w:ascii="Tahoma" w:hAnsi="Tahoma" w:cs="Tahoma"/>
          <w:sz w:val="18"/>
          <w:lang w:val="it-IT"/>
        </w:rPr>
        <w:t>Quando a un determinato prodotto viene assegnato un punto “0”, ciò significa che il prodotto è offerto nel programma specificato, ma ha un valore di punti pari a zero.</w:t>
      </w:r>
      <w:r w:rsidRPr="00D87B79">
        <w:rPr>
          <w:rFonts w:ascii="Tahoma" w:hAnsi="Tahoma" w:cs="Tahoma"/>
        </w:rPr>
        <w:t xml:space="preserve"> </w:t>
      </w:r>
      <w:r w:rsidRPr="00D87B79">
        <w:rPr>
          <w:rFonts w:ascii="Tahoma" w:hAnsi="Tahoma" w:cs="Tahoma"/>
          <w:sz w:val="18"/>
          <w:lang w:val="it-IT"/>
        </w:rPr>
        <w:t>Di seguito è riportata l’assegnazione delle unità alle licenze:</w:t>
      </w:r>
    </w:p>
    <w:p w:rsidR="00A92422" w:rsidRPr="00C07A3D" w:rsidRDefault="00A92422" w:rsidP="00A92422">
      <w:pPr>
        <w:pStyle w:val="AppendixBodyText"/>
        <w:spacing w:after="0"/>
        <w:ind w:right="720"/>
        <w:rPr>
          <w:rFonts w:ascii="Tahoma" w:hAnsi="Tahoma" w:cs="Tahoma"/>
          <w:sz w:val="18"/>
          <w:szCs w:val="18"/>
          <w:highlight w:val="yellow"/>
        </w:rPr>
      </w:pPr>
    </w:p>
    <w:p w:rsidR="00A92422" w:rsidRPr="00D87B79" w:rsidRDefault="00A92422" w:rsidP="00A92422">
      <w:pPr>
        <w:numPr>
          <w:ilvl w:val="0"/>
          <w:numId w:val="2"/>
        </w:numPr>
        <w:spacing w:after="60"/>
        <w:rPr>
          <w:rFonts w:cs="Tahoma"/>
        </w:rPr>
      </w:pPr>
      <w:r w:rsidRPr="00D87B79">
        <w:rPr>
          <w:rFonts w:cs="Tahoma"/>
          <w:lang w:val="it-IT"/>
        </w:rPr>
        <w:t>Licenza Standard:</w:t>
      </w:r>
      <w:r w:rsidRPr="00D87B79">
        <w:rPr>
          <w:rFonts w:cs="Tahoma"/>
        </w:rPr>
        <w:t xml:space="preserve"> </w:t>
      </w:r>
      <w:r w:rsidRPr="00D87B79">
        <w:rPr>
          <w:rFonts w:cs="Tahoma"/>
          <w:lang w:val="it-IT"/>
        </w:rPr>
        <w:t>1 licenza</w:t>
      </w:r>
      <w:r w:rsidRPr="00D87B79">
        <w:rPr>
          <w:rFonts w:cs="Tahoma"/>
        </w:rPr>
        <w:t xml:space="preserve"> </w:t>
      </w:r>
    </w:p>
    <w:p w:rsidR="00A92422" w:rsidRPr="00D87B79" w:rsidRDefault="00A92422" w:rsidP="00A92422">
      <w:pPr>
        <w:numPr>
          <w:ilvl w:val="0"/>
          <w:numId w:val="2"/>
        </w:numPr>
        <w:spacing w:after="60"/>
        <w:rPr>
          <w:rFonts w:cs="Tahoma"/>
        </w:rPr>
      </w:pPr>
      <w:r w:rsidRPr="00D87B79">
        <w:rPr>
          <w:rFonts w:cs="Tahoma"/>
          <w:lang w:val="it-IT"/>
        </w:rPr>
        <w:t>Aggiornamento:</w:t>
      </w:r>
      <w:r w:rsidRPr="00D87B79">
        <w:rPr>
          <w:rFonts w:cs="Tahoma"/>
        </w:rPr>
        <w:t xml:space="preserve"> </w:t>
      </w:r>
      <w:r w:rsidRPr="00D87B79">
        <w:rPr>
          <w:rFonts w:cs="Tahoma"/>
          <w:lang w:val="it-IT"/>
        </w:rPr>
        <w:t>1 licenza</w:t>
      </w:r>
      <w:r w:rsidRPr="00D87B79">
        <w:rPr>
          <w:rFonts w:cs="Tahoma"/>
        </w:rPr>
        <w:t xml:space="preserve"> </w:t>
      </w:r>
    </w:p>
    <w:p w:rsidR="00A92422" w:rsidRPr="00D87B79" w:rsidRDefault="00A92422" w:rsidP="00A92422">
      <w:pPr>
        <w:numPr>
          <w:ilvl w:val="0"/>
          <w:numId w:val="2"/>
        </w:numPr>
        <w:spacing w:after="60"/>
        <w:rPr>
          <w:rFonts w:cs="Tahoma"/>
        </w:rPr>
      </w:pPr>
      <w:r w:rsidRPr="00D87B79">
        <w:rPr>
          <w:rFonts w:cs="Tahoma"/>
          <w:lang w:val="it-IT"/>
        </w:rPr>
        <w:t>Software Assurance:</w:t>
      </w:r>
      <w:r w:rsidRPr="00D87B79">
        <w:rPr>
          <w:rFonts w:cs="Tahoma"/>
        </w:rPr>
        <w:t xml:space="preserve"> </w:t>
      </w:r>
      <w:r w:rsidRPr="00D87B79">
        <w:rPr>
          <w:rFonts w:cs="Tahoma"/>
          <w:lang w:val="it-IT"/>
        </w:rPr>
        <w:t>1 licenza</w:t>
      </w:r>
      <w:r w:rsidRPr="00D87B79">
        <w:rPr>
          <w:rFonts w:cs="Tahoma"/>
        </w:rPr>
        <w:t xml:space="preserve"> </w:t>
      </w:r>
    </w:p>
    <w:p w:rsidR="00A92422" w:rsidRPr="00D87B79" w:rsidRDefault="00A92422" w:rsidP="00A92422">
      <w:pPr>
        <w:numPr>
          <w:ilvl w:val="0"/>
          <w:numId w:val="2"/>
        </w:numPr>
        <w:spacing w:after="60"/>
        <w:rPr>
          <w:rFonts w:cs="Tahoma"/>
        </w:rPr>
      </w:pPr>
      <w:r w:rsidRPr="00D87B79">
        <w:rPr>
          <w:rFonts w:cs="Tahoma"/>
          <w:lang w:val="it-IT"/>
        </w:rPr>
        <w:t>Licenza e Software Assurance:</w:t>
      </w:r>
      <w:r w:rsidRPr="00D87B79">
        <w:rPr>
          <w:rFonts w:cs="Tahoma"/>
        </w:rPr>
        <w:t xml:space="preserve"> </w:t>
      </w:r>
      <w:r w:rsidRPr="00D87B79">
        <w:rPr>
          <w:rFonts w:cs="Tahoma"/>
          <w:lang w:val="it-IT"/>
        </w:rPr>
        <w:t>2 licenze</w:t>
      </w:r>
      <w:r w:rsidRPr="00D87B79">
        <w:rPr>
          <w:rFonts w:cs="Tahoma"/>
        </w:rPr>
        <w:t xml:space="preserve"> </w:t>
      </w:r>
    </w:p>
    <w:p w:rsidR="00A92422" w:rsidRPr="00D87B79" w:rsidRDefault="00A92422" w:rsidP="00A92422">
      <w:pPr>
        <w:numPr>
          <w:ilvl w:val="0"/>
          <w:numId w:val="2"/>
        </w:numPr>
        <w:spacing w:after="60"/>
        <w:rPr>
          <w:rFonts w:cs="Tahoma"/>
        </w:rPr>
      </w:pPr>
      <w:r w:rsidRPr="00D87B79">
        <w:rPr>
          <w:rFonts w:cs="Tahoma"/>
          <w:lang w:val="it-IT"/>
        </w:rPr>
        <w:t>Aggiornamento e Software Assurance:</w:t>
      </w:r>
      <w:r w:rsidRPr="00D87B79">
        <w:rPr>
          <w:rFonts w:cs="Tahoma"/>
        </w:rPr>
        <w:t xml:space="preserve"> </w:t>
      </w:r>
      <w:r w:rsidRPr="00D87B79">
        <w:rPr>
          <w:rFonts w:cs="Tahoma"/>
          <w:lang w:val="it-IT"/>
        </w:rPr>
        <w:t>2 licenze</w:t>
      </w:r>
    </w:p>
    <w:p w:rsidR="00A92422" w:rsidRPr="00D87B79" w:rsidRDefault="00A92422" w:rsidP="00A92422">
      <w:pPr>
        <w:numPr>
          <w:ilvl w:val="0"/>
          <w:numId w:val="2"/>
        </w:numPr>
        <w:spacing w:after="60"/>
        <w:rPr>
          <w:rFonts w:cs="Tahoma"/>
        </w:rPr>
      </w:pPr>
      <w:r w:rsidRPr="00D87B79">
        <w:rPr>
          <w:rFonts w:cs="Tahoma"/>
          <w:lang w:val="it-IT"/>
        </w:rPr>
        <w:t>Licenza Work at Home:</w:t>
      </w:r>
      <w:r w:rsidRPr="00D87B79">
        <w:rPr>
          <w:rFonts w:cs="Tahoma"/>
        </w:rPr>
        <w:t xml:space="preserve"> </w:t>
      </w:r>
      <w:r w:rsidRPr="00D87B79">
        <w:rPr>
          <w:rFonts w:cs="Tahoma"/>
          <w:lang w:val="it-IT"/>
        </w:rPr>
        <w:t>1 licenza</w:t>
      </w:r>
      <w:r w:rsidRPr="00D87B79">
        <w:rPr>
          <w:rFonts w:cs="Tahoma"/>
        </w:rPr>
        <w:t xml:space="preserve"> </w:t>
      </w:r>
    </w:p>
    <w:p w:rsidR="00A92422" w:rsidRPr="00D87B79" w:rsidRDefault="00A92422" w:rsidP="00A92422">
      <w:pPr>
        <w:numPr>
          <w:ilvl w:val="0"/>
          <w:numId w:val="2"/>
        </w:numPr>
        <w:spacing w:after="60"/>
        <w:rPr>
          <w:rFonts w:cs="Tahoma"/>
        </w:rPr>
      </w:pPr>
      <w:r w:rsidRPr="00D87B79">
        <w:rPr>
          <w:rFonts w:cs="Tahoma"/>
          <w:lang w:val="it-IT"/>
        </w:rPr>
        <w:t>Licenza Step-Up:</w:t>
      </w:r>
      <w:r w:rsidRPr="00D87B79">
        <w:rPr>
          <w:rFonts w:cs="Tahoma"/>
        </w:rPr>
        <w:t xml:space="preserve"> </w:t>
      </w:r>
      <w:r w:rsidRPr="00D87B79">
        <w:rPr>
          <w:rFonts w:cs="Tahoma"/>
          <w:lang w:val="it-IT"/>
        </w:rPr>
        <w:t>1 licenza</w:t>
      </w:r>
    </w:p>
    <w:p w:rsidR="00A92422" w:rsidRPr="00D87B79" w:rsidRDefault="00A92422" w:rsidP="00A92422">
      <w:pPr>
        <w:numPr>
          <w:ilvl w:val="0"/>
          <w:numId w:val="2"/>
        </w:numPr>
        <w:spacing w:after="60"/>
        <w:rPr>
          <w:rFonts w:cs="Tahoma"/>
        </w:rPr>
      </w:pPr>
      <w:r w:rsidRPr="00D87B79">
        <w:rPr>
          <w:rFonts w:cs="Tahoma"/>
          <w:lang w:val="it-IT"/>
        </w:rPr>
        <w:t>Licenza:</w:t>
      </w:r>
      <w:r w:rsidRPr="00D87B79">
        <w:rPr>
          <w:rFonts w:cs="Tahoma"/>
        </w:rPr>
        <w:t xml:space="preserve"> </w:t>
      </w:r>
      <w:r w:rsidRPr="00D87B79">
        <w:rPr>
          <w:rFonts w:cs="Tahoma"/>
          <w:lang w:val="it-IT"/>
        </w:rPr>
        <w:t>1 licenza</w:t>
      </w:r>
      <w:r w:rsidRPr="00D87B79">
        <w:rPr>
          <w:rFonts w:cs="Tahoma"/>
        </w:rPr>
        <w:t xml:space="preserve"> </w:t>
      </w:r>
    </w:p>
    <w:p w:rsidR="00A92422" w:rsidRPr="00D87B79" w:rsidRDefault="00A92422" w:rsidP="00A92422">
      <w:pPr>
        <w:numPr>
          <w:ilvl w:val="0"/>
          <w:numId w:val="2"/>
        </w:numPr>
        <w:spacing w:after="60"/>
        <w:rPr>
          <w:rFonts w:cs="Tahoma"/>
        </w:rPr>
      </w:pPr>
      <w:r w:rsidRPr="00D87B79">
        <w:rPr>
          <w:rFonts w:cs="Tahoma"/>
          <w:lang w:val="it-IT"/>
        </w:rPr>
        <w:t>Licenza “Subscription”:</w:t>
      </w:r>
      <w:r w:rsidRPr="00D87B79">
        <w:rPr>
          <w:rFonts w:cs="Tahoma"/>
        </w:rPr>
        <w:t xml:space="preserve"> </w:t>
      </w:r>
      <w:r w:rsidRPr="00D87B79">
        <w:rPr>
          <w:rFonts w:cs="Tahoma"/>
          <w:lang w:val="it-IT"/>
        </w:rPr>
        <w:t>1 licenza</w:t>
      </w:r>
    </w:p>
    <w:p w:rsidR="00A92422" w:rsidRPr="00C07A3D" w:rsidRDefault="00A92422" w:rsidP="00A92422">
      <w:pPr>
        <w:pStyle w:val="Heading2"/>
        <w:ind w:left="0"/>
        <w:rPr>
          <w:rFonts w:ascii="Tahoma" w:hAnsi="Tahoma" w:cs="Tahoma"/>
          <w:sz w:val="18"/>
          <w:szCs w:val="18"/>
        </w:rPr>
      </w:pPr>
    </w:p>
    <w:p w:rsidR="00A92422" w:rsidRPr="00D87B79" w:rsidRDefault="00A92422" w:rsidP="00A92422">
      <w:pPr>
        <w:pStyle w:val="Heading2"/>
        <w:ind w:left="0"/>
        <w:rPr>
          <w:rFonts w:ascii="Tahoma" w:hAnsi="Tahoma" w:cs="Tahoma"/>
        </w:rPr>
      </w:pPr>
      <w:bookmarkStart w:id="734" w:name="_Toc336338191"/>
      <w:bookmarkStart w:id="735" w:name="_Toc342900243"/>
      <w:bookmarkStart w:id="736" w:name="_Toc323159726"/>
      <w:bookmarkEnd w:id="734"/>
      <w:r w:rsidRPr="00D87B79">
        <w:rPr>
          <w:rFonts w:ascii="Tahoma" w:hAnsi="Tahoma" w:cs="Tahoma"/>
          <w:lang w:val="it-IT"/>
        </w:rPr>
        <w:t>Requisiti Minimi dell’Ordine</w:t>
      </w:r>
      <w:bookmarkEnd w:id="735"/>
    </w:p>
    <w:bookmarkEnd w:id="736"/>
    <w:p w:rsidR="00A92422" w:rsidRPr="00D87B79" w:rsidRDefault="00A92422" w:rsidP="00A92422">
      <w:pPr>
        <w:rPr>
          <w:rFonts w:cs="Tahoma"/>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38"/>
        <w:gridCol w:w="6678"/>
      </w:tblGrid>
      <w:tr w:rsidR="00A92422" w:rsidRPr="00D87B79" w:rsidTr="00EA30FC">
        <w:trPr>
          <w:tblHeader/>
        </w:trPr>
        <w:tc>
          <w:tcPr>
            <w:tcW w:w="2538" w:type="dxa"/>
            <w:shd w:val="clear" w:color="auto" w:fill="FABF8F"/>
          </w:tcPr>
          <w:p w:rsidR="00A92422" w:rsidRPr="00D87B79" w:rsidRDefault="00A92422" w:rsidP="00EA30FC">
            <w:pPr>
              <w:pStyle w:val="AppendixBodyText"/>
              <w:ind w:right="720"/>
              <w:jc w:val="center"/>
              <w:rPr>
                <w:rFonts w:ascii="Tahoma" w:hAnsi="Tahoma" w:cs="Tahoma"/>
                <w:b/>
                <w:color w:val="000000"/>
                <w:sz w:val="22"/>
                <w:szCs w:val="18"/>
                <w:lang w:eastAsia="ja-JP"/>
              </w:rPr>
            </w:pPr>
            <w:r w:rsidRPr="00D87B79">
              <w:rPr>
                <w:rFonts w:ascii="Tahoma" w:hAnsi="Tahoma" w:cs="Tahoma"/>
                <w:b/>
                <w:color w:val="000000"/>
                <w:sz w:val="22"/>
                <w:szCs w:val="18"/>
                <w:lang w:val="it-IT" w:eastAsia="ja-JP"/>
              </w:rPr>
              <w:t>Programmi</w:t>
            </w:r>
          </w:p>
        </w:tc>
        <w:tc>
          <w:tcPr>
            <w:tcW w:w="6678" w:type="dxa"/>
            <w:shd w:val="clear" w:color="auto" w:fill="FABF8F"/>
          </w:tcPr>
          <w:p w:rsidR="00A92422" w:rsidRPr="00D87B79" w:rsidRDefault="00A92422" w:rsidP="00EA30FC">
            <w:pPr>
              <w:pStyle w:val="AppendixBodyText"/>
              <w:ind w:right="720"/>
              <w:jc w:val="center"/>
              <w:rPr>
                <w:rFonts w:ascii="Tahoma" w:hAnsi="Tahoma" w:cs="Tahoma"/>
                <w:b/>
                <w:color w:val="000000"/>
                <w:sz w:val="22"/>
                <w:szCs w:val="18"/>
                <w:lang w:eastAsia="ja-JP"/>
              </w:rPr>
            </w:pPr>
            <w:r w:rsidRPr="00D87B79">
              <w:rPr>
                <w:rFonts w:ascii="Tahoma" w:hAnsi="Tahoma" w:cs="Tahoma"/>
                <w:b/>
                <w:color w:val="000000"/>
                <w:sz w:val="22"/>
                <w:szCs w:val="18"/>
                <w:lang w:val="it-IT" w:eastAsia="ja-JP"/>
              </w:rPr>
              <w:t>Requisiti Minimi dell’Ordine</w:t>
            </w:r>
          </w:p>
        </w:tc>
      </w:tr>
      <w:tr w:rsidR="00A92422" w:rsidRPr="00D87B79" w:rsidTr="00EA30FC">
        <w:tc>
          <w:tcPr>
            <w:tcW w:w="2538" w:type="dxa"/>
          </w:tcPr>
          <w:p w:rsidR="00A92422" w:rsidRPr="00D87B79" w:rsidRDefault="00A92422" w:rsidP="00EA30FC">
            <w:pPr>
              <w:pStyle w:val="AppendixBodyText"/>
              <w:ind w:right="720"/>
              <w:rPr>
                <w:rFonts w:ascii="Tahoma" w:hAnsi="Tahoma" w:cs="Tahoma"/>
                <w:b/>
                <w:color w:val="000000"/>
                <w:sz w:val="18"/>
                <w:szCs w:val="18"/>
                <w:lang w:eastAsia="ja-JP"/>
              </w:rPr>
            </w:pPr>
            <w:r w:rsidRPr="00D87B79">
              <w:rPr>
                <w:rFonts w:ascii="Tahoma" w:hAnsi="Tahoma" w:cs="Tahoma"/>
                <w:b/>
                <w:color w:val="000000"/>
                <w:lang w:val="it-IT"/>
              </w:rPr>
              <w:t>Open License, Open Value, e</w:t>
            </w:r>
            <w:r>
              <w:rPr>
                <w:rFonts w:ascii="Tahoma" w:hAnsi="Tahoma" w:cs="Tahoma"/>
                <w:b/>
                <w:color w:val="000000"/>
                <w:lang w:val="it-IT"/>
              </w:rPr>
              <w:t> </w:t>
            </w:r>
            <w:r w:rsidRPr="00D87B79">
              <w:rPr>
                <w:rFonts w:ascii="Tahoma" w:hAnsi="Tahoma" w:cs="Tahoma"/>
                <w:b/>
                <w:color w:val="000000"/>
                <w:lang w:val="it-IT"/>
              </w:rPr>
              <w:t>Open Value Subscription (per Società Commerciali ed Enti Pubblici)</w:t>
            </w:r>
          </w:p>
        </w:tc>
        <w:tc>
          <w:tcPr>
            <w:tcW w:w="6678" w:type="dxa"/>
          </w:tcPr>
          <w:p w:rsidR="00A92422" w:rsidRPr="00D87B79" w:rsidRDefault="00A92422" w:rsidP="00EA30FC">
            <w:pPr>
              <w:pStyle w:val="AppendixBodyText"/>
              <w:ind w:right="720"/>
              <w:rPr>
                <w:rFonts w:ascii="Tahoma" w:hAnsi="Tahoma" w:cs="Tahoma"/>
              </w:rPr>
            </w:pPr>
            <w:r w:rsidRPr="00D87B79">
              <w:rPr>
                <w:rFonts w:ascii="Tahoma" w:hAnsi="Tahoma" w:cs="Tahoma"/>
                <w:b/>
                <w:sz w:val="18"/>
                <w:lang w:val="it-IT"/>
              </w:rPr>
              <w:t>Licenza Open:</w:t>
            </w:r>
          </w:p>
          <w:p w:rsidR="00A92422" w:rsidRPr="00C07A3D" w:rsidRDefault="00A92422" w:rsidP="00EA30FC">
            <w:pPr>
              <w:pStyle w:val="AppendixBodyText"/>
              <w:ind w:right="90"/>
              <w:rPr>
                <w:rFonts w:ascii="Tahoma" w:hAnsi="Tahoma" w:cs="Tahoma"/>
                <w:sz w:val="18"/>
                <w:szCs w:val="18"/>
              </w:rPr>
            </w:pPr>
            <w:r w:rsidRPr="00C07A3D">
              <w:rPr>
                <w:rFonts w:ascii="Tahoma" w:hAnsi="Tahoma" w:cs="Tahoma"/>
                <w:sz w:val="18"/>
                <w:szCs w:val="18"/>
                <w:lang w:val="it-IT"/>
              </w:rPr>
              <w:t>Open License richiede un ordine minimo di 5 licenze, 5 SA o di qualsiasi combinazione per stabilire un Numero di Autorizzazione.</w:t>
            </w:r>
            <w:r w:rsidRPr="00C07A3D">
              <w:rPr>
                <w:rFonts w:ascii="Tahoma" w:hAnsi="Tahoma" w:cs="Tahoma"/>
                <w:sz w:val="18"/>
                <w:szCs w:val="18"/>
              </w:rPr>
              <w:t xml:space="preserve"> </w:t>
            </w:r>
            <w:r w:rsidRPr="00C07A3D">
              <w:rPr>
                <w:rFonts w:ascii="Tahoma" w:hAnsi="Tahoma" w:cs="Tahoma"/>
                <w:sz w:val="18"/>
                <w:szCs w:val="18"/>
                <w:lang w:val="it-IT"/>
              </w:rPr>
              <w:t>Ad esempio, 2</w:t>
            </w:r>
            <w:r>
              <w:rPr>
                <w:rFonts w:ascii="Tahoma" w:hAnsi="Tahoma" w:cs="Tahoma"/>
                <w:sz w:val="18"/>
                <w:szCs w:val="18"/>
                <w:lang w:val="it-IT"/>
              </w:rPr>
              <w:t xml:space="preserve"> </w:t>
            </w:r>
            <w:r w:rsidRPr="00C07A3D">
              <w:rPr>
                <w:rFonts w:ascii="Tahoma" w:hAnsi="Tahoma" w:cs="Tahoma"/>
                <w:sz w:val="18"/>
                <w:szCs w:val="18"/>
                <w:lang w:val="it-IT"/>
              </w:rPr>
              <w:t>Licenza e Software Assurance e 1 Licenza Standard soddisferebbero l’acquisto minimo di 5 licenze richiesto per partecipare a uno o all’altro programma.</w:t>
            </w:r>
            <w:r w:rsidRPr="00C07A3D">
              <w:rPr>
                <w:rFonts w:ascii="Tahoma" w:hAnsi="Tahoma" w:cs="Tahoma"/>
                <w:sz w:val="18"/>
                <w:szCs w:val="18"/>
              </w:rPr>
              <w:t xml:space="preserve"> </w:t>
            </w:r>
          </w:p>
          <w:p w:rsidR="00A92422" w:rsidRPr="00C07A3D" w:rsidRDefault="00A92422" w:rsidP="00EA30FC">
            <w:pPr>
              <w:pStyle w:val="AppendixBodyText"/>
              <w:spacing w:after="0"/>
              <w:ind w:right="720"/>
              <w:rPr>
                <w:rFonts w:ascii="Tahoma" w:hAnsi="Tahoma" w:cs="Tahoma"/>
                <w:sz w:val="18"/>
                <w:szCs w:val="18"/>
              </w:rPr>
            </w:pPr>
          </w:p>
          <w:p w:rsidR="00A92422" w:rsidRPr="00C07A3D" w:rsidRDefault="00A92422" w:rsidP="00EA30FC">
            <w:pPr>
              <w:pStyle w:val="AppendixBodyText"/>
              <w:ind w:right="720"/>
              <w:rPr>
                <w:rFonts w:ascii="Tahoma" w:hAnsi="Tahoma" w:cs="Tahoma"/>
                <w:sz w:val="18"/>
                <w:szCs w:val="18"/>
              </w:rPr>
            </w:pPr>
            <w:r w:rsidRPr="00C07A3D">
              <w:rPr>
                <w:rFonts w:ascii="Tahoma" w:hAnsi="Tahoma" w:cs="Tahoma"/>
                <w:b/>
                <w:sz w:val="18"/>
                <w:szCs w:val="18"/>
                <w:lang w:val="it-IT"/>
              </w:rPr>
              <w:t>Open Value e Open Value Subscription:</w:t>
            </w:r>
          </w:p>
          <w:p w:rsidR="00A92422" w:rsidRPr="00D87B79" w:rsidRDefault="00A92422" w:rsidP="00EA30FC">
            <w:pPr>
              <w:pStyle w:val="AppendixBodyText"/>
              <w:ind w:right="360"/>
              <w:rPr>
                <w:rFonts w:ascii="Tahoma" w:hAnsi="Tahoma" w:cs="Tahoma"/>
              </w:rPr>
            </w:pPr>
            <w:r w:rsidRPr="00D87B79">
              <w:rPr>
                <w:rFonts w:ascii="Tahoma" w:hAnsi="Tahoma" w:cs="Tahoma"/>
                <w:sz w:val="18"/>
                <w:lang w:val="it-IT" w:eastAsia="ja-JP"/>
              </w:rPr>
              <w:t>Open Value richiede un ordine minimo di 5 U&amp;SA, 5 L&amp;SA, 5 SA, 5 Licenze “Subscription” o di qualsiasi combinazione per stipulare un</w:t>
            </w:r>
            <w:r>
              <w:rPr>
                <w:rFonts w:ascii="Tahoma" w:hAnsi="Tahoma" w:cs="Tahoma"/>
                <w:sz w:val="18"/>
                <w:lang w:val="it-IT" w:eastAsia="ja-JP"/>
              </w:rPr>
              <w:t> </w:t>
            </w:r>
            <w:r w:rsidRPr="00D87B79">
              <w:rPr>
                <w:rFonts w:ascii="Tahoma" w:hAnsi="Tahoma" w:cs="Tahoma"/>
                <w:sz w:val="18"/>
                <w:lang w:val="it-IT" w:eastAsia="ja-JP"/>
              </w:rPr>
              <w:t>contratto.</w:t>
            </w:r>
            <w:r w:rsidRPr="00D87B79">
              <w:rPr>
                <w:rFonts w:ascii="Tahoma" w:hAnsi="Tahoma" w:cs="Tahoma"/>
                <w:sz w:val="18"/>
                <w:lang w:eastAsia="ja-JP"/>
              </w:rPr>
              <w:t xml:space="preserve"> </w:t>
            </w:r>
          </w:p>
          <w:p w:rsidR="00A92422" w:rsidRPr="00B41B37" w:rsidRDefault="00A92422" w:rsidP="00EA30FC">
            <w:pPr>
              <w:pStyle w:val="AppendixBodyText"/>
              <w:ind w:right="720"/>
              <w:rPr>
                <w:rFonts w:ascii="Tahoma" w:hAnsi="Tahoma" w:cs="Tahoma"/>
                <w:sz w:val="18"/>
                <w:szCs w:val="18"/>
              </w:rPr>
            </w:pPr>
          </w:p>
          <w:p w:rsidR="00A92422" w:rsidRPr="00D87B79" w:rsidRDefault="00A92422" w:rsidP="00EA30FC">
            <w:pPr>
              <w:pStyle w:val="AppendixBodyText"/>
              <w:ind w:right="720"/>
              <w:rPr>
                <w:rFonts w:ascii="Tahoma" w:hAnsi="Tahoma" w:cs="Tahoma"/>
                <w:sz w:val="18"/>
                <w:lang w:eastAsia="ja-JP"/>
              </w:rPr>
            </w:pPr>
            <w:r w:rsidRPr="00D87B79">
              <w:rPr>
                <w:rFonts w:ascii="Tahoma" w:hAnsi="Tahoma" w:cs="Tahoma"/>
                <w:b/>
                <w:sz w:val="18"/>
                <w:lang w:val="it-IT"/>
              </w:rPr>
              <w:lastRenderedPageBreak/>
              <w:t>Nota:</w:t>
            </w:r>
            <w:r w:rsidRPr="00D87B79">
              <w:rPr>
                <w:rFonts w:ascii="Tahoma" w:hAnsi="Tahoma" w:cs="Tahoma"/>
                <w:sz w:val="18"/>
                <w:lang w:eastAsia="ja-JP"/>
              </w:rPr>
              <w:t xml:space="preserve"> </w:t>
            </w:r>
            <w:r w:rsidRPr="00D87B79">
              <w:rPr>
                <w:rFonts w:ascii="Tahoma" w:hAnsi="Tahoma" w:cs="Tahoma"/>
                <w:sz w:val="18"/>
                <w:lang w:val="it-IT" w:eastAsia="ja-JP"/>
              </w:rPr>
              <w:t>una licenza singola per alcuni prodotti dei programmi Open e</w:t>
            </w:r>
            <w:r>
              <w:rPr>
                <w:rFonts w:ascii="Tahoma" w:hAnsi="Tahoma" w:cs="Tahoma"/>
                <w:sz w:val="18"/>
                <w:lang w:val="it-IT" w:eastAsia="ja-JP"/>
              </w:rPr>
              <w:t> </w:t>
            </w:r>
            <w:r w:rsidRPr="00D87B79">
              <w:rPr>
                <w:rFonts w:ascii="Tahoma" w:hAnsi="Tahoma" w:cs="Tahoma"/>
                <w:sz w:val="18"/>
                <w:lang w:val="it-IT" w:eastAsia="ja-JP"/>
              </w:rPr>
              <w:t>Open Value soddisfa il requisito minimo di 5 licenze.</w:t>
            </w:r>
            <w:r w:rsidRPr="00D87B79">
              <w:rPr>
                <w:rFonts w:ascii="Tahoma" w:hAnsi="Tahoma" w:cs="Tahoma"/>
              </w:rPr>
              <w:t xml:space="preserve"> </w:t>
            </w:r>
            <w:r w:rsidRPr="00D87B79">
              <w:rPr>
                <w:rFonts w:ascii="Tahoma" w:hAnsi="Tahoma" w:cs="Tahoma"/>
                <w:sz w:val="18"/>
                <w:lang w:val="it-IT"/>
              </w:rPr>
              <w:t>Fare riferimento alle singole note del prodotto per determinare quali prodotti si</w:t>
            </w:r>
            <w:r>
              <w:rPr>
                <w:rFonts w:ascii="Tahoma" w:hAnsi="Tahoma" w:cs="Tahoma"/>
                <w:sz w:val="18"/>
                <w:lang w:val="it-IT"/>
              </w:rPr>
              <w:t> </w:t>
            </w:r>
            <w:r w:rsidRPr="00D87B79">
              <w:rPr>
                <w:rFonts w:ascii="Tahoma" w:hAnsi="Tahoma" w:cs="Tahoma"/>
                <w:sz w:val="18"/>
                <w:lang w:val="it-IT"/>
              </w:rPr>
              <w:t>qualificano per questa eccezione.</w:t>
            </w:r>
          </w:p>
        </w:tc>
      </w:tr>
      <w:tr w:rsidR="00A92422" w:rsidRPr="00D87B79" w:rsidTr="00EA30FC">
        <w:tc>
          <w:tcPr>
            <w:tcW w:w="2538" w:type="dxa"/>
          </w:tcPr>
          <w:p w:rsidR="00A92422" w:rsidRPr="00D87B79" w:rsidRDefault="00A92422" w:rsidP="00EA30FC">
            <w:pPr>
              <w:pStyle w:val="AppendixBodyText"/>
              <w:ind w:right="342"/>
              <w:rPr>
                <w:rFonts w:ascii="Tahoma" w:hAnsi="Tahoma" w:cs="Tahoma"/>
                <w:b/>
                <w:color w:val="000000"/>
                <w:szCs w:val="18"/>
                <w:lang w:eastAsia="ja-JP"/>
              </w:rPr>
            </w:pPr>
            <w:r w:rsidRPr="00D87B79">
              <w:rPr>
                <w:rFonts w:ascii="Tahoma" w:hAnsi="Tahoma" w:cs="Tahoma"/>
                <w:b/>
                <w:color w:val="000000"/>
                <w:lang w:val="it-IT"/>
              </w:rPr>
              <w:lastRenderedPageBreak/>
              <w:t>Open Value Subscription - ES</w:t>
            </w:r>
          </w:p>
        </w:tc>
        <w:tc>
          <w:tcPr>
            <w:tcW w:w="6678" w:type="dxa"/>
          </w:tcPr>
          <w:p w:rsidR="00A92422" w:rsidRPr="00D87B79" w:rsidRDefault="00A92422" w:rsidP="00EA30FC">
            <w:pPr>
              <w:rPr>
                <w:rFonts w:cs="Tahoma"/>
                <w:szCs w:val="18"/>
              </w:rPr>
            </w:pPr>
            <w:r w:rsidRPr="00D87B79">
              <w:rPr>
                <w:rFonts w:cs="Tahoma"/>
                <w:lang w:val="it-IT"/>
              </w:rPr>
              <w:t>Open Value Subscription – ES richiede un minimo di un Prodotto della Piattaforma Desktop per un Numero dell’intera organizzazione minimo di 5</w:t>
            </w:r>
            <w:r>
              <w:rPr>
                <w:rFonts w:cs="Tahoma"/>
                <w:lang w:val="it-IT"/>
              </w:rPr>
              <w:t> </w:t>
            </w:r>
            <w:r w:rsidRPr="00D87B79">
              <w:rPr>
                <w:rFonts w:cs="Tahoma"/>
                <w:lang w:val="it-IT"/>
              </w:rPr>
              <w:t>OPPURE un minimo di un Prodotto della Piattaforma Desktop per un Numero</w:t>
            </w:r>
            <w:r>
              <w:rPr>
                <w:rFonts w:cs="Tahoma"/>
                <w:lang w:val="it-IT"/>
              </w:rPr>
              <w:t> </w:t>
            </w:r>
            <w:r w:rsidRPr="00D87B79">
              <w:rPr>
                <w:rFonts w:cs="Tahoma"/>
                <w:lang w:val="it-IT"/>
              </w:rPr>
              <w:t>degli Studenti minimo di 5.</w:t>
            </w:r>
          </w:p>
        </w:tc>
      </w:tr>
      <w:tr w:rsidR="00A92422" w:rsidRPr="00D87B79" w:rsidTr="00EA30FC">
        <w:tc>
          <w:tcPr>
            <w:tcW w:w="2538" w:type="dxa"/>
          </w:tcPr>
          <w:p w:rsidR="00A92422" w:rsidRPr="00D87B79" w:rsidRDefault="00A92422" w:rsidP="00EA30FC">
            <w:pPr>
              <w:pStyle w:val="AppendixBodyText"/>
              <w:ind w:right="720"/>
              <w:rPr>
                <w:rFonts w:ascii="Tahoma" w:hAnsi="Tahoma" w:cs="Tahoma"/>
                <w:b/>
                <w:color w:val="000000"/>
                <w:szCs w:val="18"/>
                <w:lang w:eastAsia="ja-JP"/>
              </w:rPr>
            </w:pPr>
            <w:r w:rsidRPr="00D87B79">
              <w:rPr>
                <w:rFonts w:ascii="Tahoma" w:hAnsi="Tahoma" w:cs="Tahoma"/>
                <w:b/>
                <w:color w:val="000000"/>
                <w:lang w:val="it-IT"/>
              </w:rPr>
              <w:t>Select</w:t>
            </w:r>
          </w:p>
        </w:tc>
        <w:tc>
          <w:tcPr>
            <w:tcW w:w="6678" w:type="dxa"/>
          </w:tcPr>
          <w:p w:rsidR="00A92422" w:rsidRPr="00D87B79" w:rsidRDefault="00A92422" w:rsidP="00EA30FC">
            <w:pPr>
              <w:pStyle w:val="AppendixBodyText"/>
              <w:ind w:right="180"/>
              <w:rPr>
                <w:rFonts w:ascii="Tahoma" w:hAnsi="Tahoma" w:cs="Tahoma"/>
                <w:color w:val="000000"/>
                <w:sz w:val="18"/>
                <w:szCs w:val="18"/>
                <w:lang w:eastAsia="ja-JP"/>
              </w:rPr>
            </w:pPr>
            <w:r w:rsidRPr="00D87B79">
              <w:rPr>
                <w:rFonts w:ascii="Tahoma" w:hAnsi="Tahoma" w:cs="Tahoma"/>
                <w:color w:val="000000"/>
                <w:sz w:val="18"/>
                <w:szCs w:val="18"/>
                <w:lang w:val="it-IT"/>
              </w:rPr>
              <w:t>Select richiede un ordine minimo di 1.500 punti per gruppo per il periodo di</w:t>
            </w:r>
            <w:r>
              <w:rPr>
                <w:rFonts w:ascii="Tahoma" w:hAnsi="Tahoma" w:cs="Tahoma"/>
                <w:color w:val="000000"/>
                <w:sz w:val="18"/>
                <w:szCs w:val="18"/>
                <w:lang w:val="it-IT"/>
              </w:rPr>
              <w:t> </w:t>
            </w:r>
            <w:r w:rsidRPr="00D87B79">
              <w:rPr>
                <w:rFonts w:ascii="Tahoma" w:hAnsi="Tahoma" w:cs="Tahoma"/>
                <w:color w:val="000000"/>
                <w:sz w:val="18"/>
                <w:szCs w:val="18"/>
                <w:lang w:val="it-IT"/>
              </w:rPr>
              <w:t>validità del contratto.</w:t>
            </w:r>
            <w:r w:rsidRPr="00D87B79">
              <w:rPr>
                <w:rFonts w:ascii="Tahoma" w:hAnsi="Tahoma" w:cs="Tahoma"/>
              </w:rPr>
              <w:t xml:space="preserve"> </w:t>
            </w:r>
            <w:r w:rsidRPr="00D87B79">
              <w:rPr>
                <w:rFonts w:ascii="Tahoma" w:hAnsi="Tahoma" w:cs="Tahoma"/>
                <w:color w:val="000000"/>
                <w:sz w:val="18"/>
                <w:lang w:val="it-IT"/>
              </w:rPr>
              <w:t>È possibile ignorare i requisiti di quantità minima per</w:t>
            </w:r>
            <w:r>
              <w:rPr>
                <w:rFonts w:ascii="Tahoma" w:hAnsi="Tahoma" w:cs="Tahoma"/>
                <w:color w:val="000000"/>
                <w:sz w:val="18"/>
                <w:lang w:val="it-IT"/>
              </w:rPr>
              <w:t> </w:t>
            </w:r>
            <w:r w:rsidRPr="00D87B79">
              <w:rPr>
                <w:rFonts w:ascii="Tahoma" w:hAnsi="Tahoma" w:cs="Tahoma"/>
                <w:color w:val="000000"/>
                <w:sz w:val="18"/>
                <w:lang w:val="it-IT"/>
              </w:rPr>
              <w:t>l’ordine nel caso in cui venga fornito un contratto</w:t>
            </w:r>
            <w:r>
              <w:rPr>
                <w:rFonts w:ascii="Tahoma" w:hAnsi="Tahoma" w:cs="Tahoma"/>
                <w:color w:val="000000"/>
                <w:sz w:val="18"/>
                <w:lang w:val="it-IT"/>
              </w:rPr>
              <w:t> </w:t>
            </w:r>
            <w:r w:rsidRPr="00D87B79">
              <w:rPr>
                <w:rFonts w:ascii="Tahoma" w:hAnsi="Tahoma" w:cs="Tahoma"/>
                <w:color w:val="000000"/>
                <w:sz w:val="18"/>
                <w:lang w:val="it-IT"/>
              </w:rPr>
              <w:t>qualificante.</w:t>
            </w:r>
          </w:p>
        </w:tc>
      </w:tr>
      <w:tr w:rsidR="00A92422" w:rsidRPr="00D87B79" w:rsidTr="00EA30FC">
        <w:tc>
          <w:tcPr>
            <w:tcW w:w="2538" w:type="dxa"/>
          </w:tcPr>
          <w:p w:rsidR="00A92422" w:rsidRPr="00D87B79" w:rsidRDefault="00A92422" w:rsidP="00EA30FC">
            <w:pPr>
              <w:pStyle w:val="AppendixBodyText"/>
              <w:ind w:right="720"/>
              <w:rPr>
                <w:rFonts w:ascii="Tahoma" w:hAnsi="Tahoma" w:cs="Tahoma"/>
                <w:b/>
                <w:color w:val="000000"/>
                <w:szCs w:val="18"/>
                <w:lang w:eastAsia="ja-JP"/>
              </w:rPr>
            </w:pPr>
            <w:r w:rsidRPr="00D87B79">
              <w:rPr>
                <w:rFonts w:ascii="Tahoma" w:hAnsi="Tahoma" w:cs="Tahoma"/>
                <w:b/>
                <w:color w:val="000000"/>
                <w:lang w:val="it-IT"/>
              </w:rPr>
              <w:t>Select Plus</w:t>
            </w:r>
          </w:p>
        </w:tc>
        <w:tc>
          <w:tcPr>
            <w:tcW w:w="6678" w:type="dxa"/>
          </w:tcPr>
          <w:p w:rsidR="00A92422" w:rsidRPr="00D87B79" w:rsidRDefault="00A92422" w:rsidP="00EA30FC">
            <w:pPr>
              <w:pStyle w:val="AppendixBodyText"/>
              <w:ind w:right="720"/>
              <w:rPr>
                <w:rFonts w:ascii="Tahoma" w:hAnsi="Tahoma" w:cs="Tahoma"/>
              </w:rPr>
            </w:pPr>
            <w:r w:rsidRPr="00D87B79">
              <w:rPr>
                <w:rFonts w:ascii="Tahoma" w:hAnsi="Tahoma" w:cs="Tahoma"/>
                <w:color w:val="000000"/>
                <w:sz w:val="18"/>
                <w:szCs w:val="18"/>
                <w:lang w:val="it-IT"/>
              </w:rPr>
              <w:t>Select Plus richiede un ordine minimo di 500 punti per gruppo nel corso del primo anno.</w:t>
            </w:r>
            <w:r w:rsidRPr="00D87B79">
              <w:rPr>
                <w:rFonts w:ascii="Tahoma" w:hAnsi="Tahoma" w:cs="Tahoma"/>
              </w:rPr>
              <w:t xml:space="preserve"> </w:t>
            </w:r>
            <w:r w:rsidRPr="00D87B79">
              <w:rPr>
                <w:rFonts w:ascii="Tahoma" w:hAnsi="Tahoma" w:cs="Tahoma"/>
                <w:color w:val="000000"/>
                <w:sz w:val="18"/>
                <w:lang w:val="it-IT"/>
              </w:rPr>
              <w:t>È possibile ignorare il requisito di quantità per</w:t>
            </w:r>
            <w:r>
              <w:rPr>
                <w:rFonts w:ascii="Tahoma" w:hAnsi="Tahoma" w:cs="Tahoma"/>
                <w:color w:val="000000"/>
                <w:sz w:val="18"/>
                <w:lang w:val="it-IT"/>
              </w:rPr>
              <w:t> </w:t>
            </w:r>
            <w:r w:rsidRPr="00D87B79">
              <w:rPr>
                <w:rFonts w:ascii="Tahoma" w:hAnsi="Tahoma" w:cs="Tahoma"/>
                <w:color w:val="000000"/>
                <w:sz w:val="18"/>
                <w:lang w:val="it-IT"/>
              </w:rPr>
              <w:t>l’ordine nel caso in cui venga fornito un contratto qualificante.</w:t>
            </w:r>
          </w:p>
          <w:p w:rsidR="00A92422" w:rsidRPr="00B41B37" w:rsidRDefault="00A92422" w:rsidP="00EA30FC">
            <w:pPr>
              <w:pStyle w:val="AppendixBodyText"/>
              <w:ind w:right="720"/>
              <w:rPr>
                <w:rFonts w:ascii="Tahoma" w:hAnsi="Tahoma" w:cs="Tahoma"/>
                <w:sz w:val="18"/>
                <w:szCs w:val="18"/>
              </w:rPr>
            </w:pPr>
          </w:p>
          <w:p w:rsidR="00A92422" w:rsidRPr="00D87B79" w:rsidRDefault="00A92422" w:rsidP="00EA30FC">
            <w:pPr>
              <w:rPr>
                <w:rFonts w:cs="Tahoma"/>
              </w:rPr>
            </w:pPr>
            <w:bookmarkStart w:id="737" w:name="_Toc323159727"/>
            <w:bookmarkEnd w:id="737"/>
            <w:r w:rsidRPr="00D87B79">
              <w:rPr>
                <w:rFonts w:cs="Tahoma"/>
                <w:b/>
                <w:lang w:val="it-IT"/>
              </w:rPr>
              <w:t>Livelli di Prezzo in Select Plus</w:t>
            </w:r>
          </w:p>
          <w:p w:rsidR="00A92422" w:rsidRPr="00D87B79" w:rsidRDefault="00A92422" w:rsidP="00EA30FC">
            <w:pPr>
              <w:tabs>
                <w:tab w:val="num" w:pos="0"/>
              </w:tabs>
              <w:rPr>
                <w:rFonts w:cs="Tahoma"/>
              </w:rPr>
            </w:pPr>
          </w:p>
          <w:p w:rsidR="00A92422" w:rsidRPr="00D87B79" w:rsidRDefault="00A92422" w:rsidP="00EA30FC">
            <w:pPr>
              <w:rPr>
                <w:rFonts w:cs="Tahoma"/>
              </w:rPr>
            </w:pPr>
            <w:r w:rsidRPr="00D87B79">
              <w:rPr>
                <w:rFonts w:cs="Tahoma"/>
                <w:lang w:val="it-IT"/>
              </w:rPr>
              <w:t>La società si qualifica per il Programma Select Plus se soddisfa uno dei tre</w:t>
            </w:r>
            <w:r>
              <w:rPr>
                <w:rFonts w:cs="Tahoma"/>
                <w:lang w:val="it-IT"/>
              </w:rPr>
              <w:t> </w:t>
            </w:r>
            <w:r w:rsidRPr="00D87B79">
              <w:rPr>
                <w:rFonts w:cs="Tahoma"/>
                <w:lang w:val="it-IT"/>
              </w:rPr>
              <w:t>seguenti criteri:</w:t>
            </w:r>
            <w:r w:rsidRPr="00D87B79">
              <w:rPr>
                <w:rFonts w:cs="Tahoma"/>
                <w:szCs w:val="18"/>
              </w:rPr>
              <w:t xml:space="preserve"> </w:t>
            </w:r>
          </w:p>
          <w:p w:rsidR="00A92422" w:rsidRPr="00D87B79" w:rsidRDefault="00A92422" w:rsidP="00EA30FC">
            <w:pPr>
              <w:rPr>
                <w:rFonts w:cs="Tahoma"/>
              </w:rPr>
            </w:pPr>
          </w:p>
          <w:p w:rsidR="00A92422" w:rsidRPr="00D87B79" w:rsidRDefault="00A92422" w:rsidP="00EA30FC">
            <w:pPr>
              <w:pStyle w:val="ListParagraph"/>
              <w:numPr>
                <w:ilvl w:val="0"/>
                <w:numId w:val="4"/>
              </w:numPr>
              <w:spacing w:after="60"/>
              <w:contextualSpacing w:val="0"/>
              <w:rPr>
                <w:rFonts w:ascii="Tahoma" w:hAnsi="Tahoma" w:cs="Tahoma"/>
                <w:szCs w:val="24"/>
              </w:rPr>
            </w:pPr>
            <w:r w:rsidRPr="00D87B79">
              <w:rPr>
                <w:rFonts w:ascii="Tahoma" w:hAnsi="Tahoma" w:cs="Tahoma"/>
                <w:sz w:val="18"/>
                <w:szCs w:val="24"/>
                <w:lang w:val="it-IT"/>
              </w:rPr>
              <w:t>Dispone di un’Iscrizione Enterprise attiva ai sensi di un Contratto Enterprise separato o di un’Iscrizione Enterprise Subscription ai sensi di un contratto Enterprise Subscription (gli istituti didattici possono utilizzare un Contratto Campus o School attivo oppure un</w:t>
            </w:r>
            <w:r>
              <w:rPr>
                <w:rFonts w:ascii="Tahoma" w:hAnsi="Tahoma" w:cs="Tahoma"/>
                <w:sz w:val="18"/>
                <w:szCs w:val="24"/>
                <w:lang w:val="it-IT"/>
              </w:rPr>
              <w:t> </w:t>
            </w:r>
            <w:r w:rsidRPr="00D87B79">
              <w:rPr>
                <w:rFonts w:ascii="Tahoma" w:hAnsi="Tahoma" w:cs="Tahoma"/>
                <w:sz w:val="18"/>
                <w:szCs w:val="24"/>
                <w:lang w:val="it-IT"/>
              </w:rPr>
              <w:t>Enrollment for Education Solutions attivo quale contratto qualificante);</w:t>
            </w:r>
          </w:p>
          <w:p w:rsidR="00A92422" w:rsidRPr="00D87B79" w:rsidRDefault="00A92422" w:rsidP="00EA30FC">
            <w:pPr>
              <w:numPr>
                <w:ilvl w:val="0"/>
                <w:numId w:val="4"/>
              </w:numPr>
              <w:spacing w:after="60"/>
              <w:rPr>
                <w:rFonts w:cs="Tahoma"/>
              </w:rPr>
            </w:pPr>
            <w:r w:rsidRPr="00D87B79">
              <w:rPr>
                <w:rFonts w:cs="Tahoma"/>
                <w:lang w:val="it-IT"/>
              </w:rPr>
              <w:t>Effettua un ordine iniziale che raggiunge un minimo di 500 punti</w:t>
            </w:r>
            <w:r>
              <w:rPr>
                <w:rFonts w:cs="Tahoma"/>
                <w:lang w:val="it-IT"/>
              </w:rPr>
              <w:t> </w:t>
            </w:r>
            <w:r w:rsidRPr="00D87B79">
              <w:rPr>
                <w:rFonts w:cs="Tahoma"/>
                <w:lang w:val="it-IT"/>
              </w:rPr>
              <w:t>per ogni pool di prodotti che la Società seleziona durante il</w:t>
            </w:r>
            <w:r>
              <w:rPr>
                <w:rFonts w:cs="Tahoma"/>
                <w:lang w:val="it-IT"/>
              </w:rPr>
              <w:t> </w:t>
            </w:r>
            <w:r w:rsidRPr="00D87B79">
              <w:rPr>
                <w:rFonts w:cs="Tahoma"/>
                <w:lang w:val="it-IT"/>
              </w:rPr>
              <w:t>primo anno;</w:t>
            </w:r>
            <w:r w:rsidRPr="00D87B79">
              <w:rPr>
                <w:rFonts w:cs="Tahoma"/>
              </w:rPr>
              <w:t xml:space="preserve"> </w:t>
            </w:r>
          </w:p>
          <w:p w:rsidR="00A92422" w:rsidRPr="00D87B79" w:rsidRDefault="00A92422" w:rsidP="00EA30FC">
            <w:pPr>
              <w:pStyle w:val="ListParagraph"/>
              <w:numPr>
                <w:ilvl w:val="0"/>
                <w:numId w:val="4"/>
              </w:numPr>
              <w:spacing w:after="60"/>
              <w:contextualSpacing w:val="0"/>
              <w:rPr>
                <w:rFonts w:ascii="Tahoma" w:hAnsi="Tahoma" w:cs="Tahoma"/>
                <w:szCs w:val="24"/>
              </w:rPr>
            </w:pPr>
            <w:r w:rsidRPr="00D87B79">
              <w:rPr>
                <w:rFonts w:ascii="Tahoma" w:hAnsi="Tahoma" w:cs="Tahoma"/>
                <w:sz w:val="18"/>
                <w:szCs w:val="24"/>
                <w:lang w:val="it-IT"/>
              </w:rPr>
              <w:t>Identifica un contratto in cui l’ordine minimo è stato acquistato nei</w:t>
            </w:r>
            <w:r>
              <w:rPr>
                <w:rFonts w:ascii="Tahoma" w:hAnsi="Tahoma" w:cs="Tahoma"/>
                <w:sz w:val="18"/>
                <w:szCs w:val="24"/>
                <w:lang w:val="it-IT"/>
              </w:rPr>
              <w:t> </w:t>
            </w:r>
            <w:r w:rsidRPr="00D87B79">
              <w:rPr>
                <w:rFonts w:ascii="Tahoma" w:hAnsi="Tahoma" w:cs="Tahoma"/>
                <w:sz w:val="18"/>
                <w:szCs w:val="24"/>
                <w:lang w:val="it-IT"/>
              </w:rPr>
              <w:t>12 mesi precedenti alla data di entrata in vigore del Contratto Select Plus della Società e</w:t>
            </w:r>
            <w:r w:rsidRPr="00D87B79">
              <w:rPr>
                <w:rFonts w:ascii="Tahoma" w:hAnsi="Tahoma" w:cs="Tahoma"/>
                <w:szCs w:val="24"/>
              </w:rPr>
              <w:t xml:space="preserve"> </w:t>
            </w:r>
          </w:p>
          <w:p w:rsidR="00A92422" w:rsidRPr="00D87B79" w:rsidRDefault="00A92422" w:rsidP="00EA30FC">
            <w:pPr>
              <w:rPr>
                <w:rFonts w:cs="Tahoma"/>
              </w:rPr>
            </w:pPr>
          </w:p>
          <w:p w:rsidR="00A92422" w:rsidRPr="00D87B79" w:rsidRDefault="00A92422" w:rsidP="00EA30FC">
            <w:pPr>
              <w:rPr>
                <w:rFonts w:cs="Tahoma"/>
              </w:rPr>
            </w:pPr>
            <w:r w:rsidRPr="00D87B79">
              <w:rPr>
                <w:rFonts w:cs="Tahoma"/>
                <w:szCs w:val="18"/>
                <w:lang w:val="it-IT"/>
              </w:rPr>
              <w:t>Per le precedenti opzioni 2 e 3, la Società deve mantenere un minimo di 500 punti in ciascun pool di prodotti scelto dalla Società all’epoca della revisione.</w:t>
            </w:r>
            <w:r w:rsidRPr="00D87B79">
              <w:rPr>
                <w:rFonts w:cs="Tahoma"/>
                <w:szCs w:val="18"/>
              </w:rPr>
              <w:t xml:space="preserve"> </w:t>
            </w:r>
          </w:p>
          <w:p w:rsidR="00A92422" w:rsidRPr="00D87B79" w:rsidRDefault="00A92422" w:rsidP="00EA30FC">
            <w:pPr>
              <w:rPr>
                <w:rFonts w:cs="Tahoma"/>
              </w:rPr>
            </w:pPr>
          </w:p>
          <w:p w:rsidR="00A92422" w:rsidRPr="00D87B79" w:rsidRDefault="00A92422" w:rsidP="00EA30FC">
            <w:pPr>
              <w:rPr>
                <w:rFonts w:cs="Tahoma"/>
              </w:rPr>
            </w:pPr>
            <w:r w:rsidRPr="00D87B79">
              <w:rPr>
                <w:rFonts w:cs="Tahoma"/>
                <w:lang w:val="it-IT"/>
              </w:rPr>
              <w:t>I prezzi della Società sono basati su un contratto concluso tra la Società e il suo rivenditore. Tuttavia Microsoft fornisce al rivenditore i seguenti criteri relativi ai prezzi e ai punti per aiutarlo a definire i prezzi per il cliente finale:</w:t>
            </w:r>
            <w:r w:rsidRPr="00D87B79">
              <w:rPr>
                <w:rFonts w:cs="Tahoma"/>
              </w:rPr>
              <w:t xml:space="preserve"> </w:t>
            </w:r>
          </w:p>
          <w:p w:rsidR="00A92422" w:rsidRPr="00517A92" w:rsidRDefault="00A92422" w:rsidP="00EA30FC">
            <w:pPr>
              <w:rPr>
                <w:rFonts w:cs="Tahoma"/>
                <w:sz w:val="12"/>
                <w:szCs w:val="12"/>
              </w:rPr>
            </w:pPr>
          </w:p>
          <w:tbl>
            <w:tblPr>
              <w:tblW w:w="0" w:type="auto"/>
              <w:jc w:val="center"/>
              <w:tblCellMar>
                <w:left w:w="0" w:type="dxa"/>
                <w:right w:w="0" w:type="dxa"/>
              </w:tblCellMar>
              <w:tblLook w:val="04A0" w:firstRow="1" w:lastRow="0" w:firstColumn="1" w:lastColumn="0" w:noHBand="0" w:noVBand="1"/>
            </w:tblPr>
            <w:tblGrid>
              <w:gridCol w:w="2845"/>
              <w:gridCol w:w="2682"/>
            </w:tblGrid>
            <w:tr w:rsidR="00A92422" w:rsidRPr="00D87B79" w:rsidTr="00EA30FC">
              <w:trPr>
                <w:trHeight w:hRule="exact" w:val="622"/>
                <w:tblHeader/>
                <w:jc w:val="center"/>
              </w:trPr>
              <w:tc>
                <w:tcPr>
                  <w:tcW w:w="2845"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A92422" w:rsidRPr="00D87B79" w:rsidRDefault="00A92422" w:rsidP="00EA30FC">
                  <w:pPr>
                    <w:jc w:val="center"/>
                    <w:rPr>
                      <w:rFonts w:cs="Tahoma"/>
                      <w:b/>
                      <w:sz w:val="20"/>
                      <w:szCs w:val="18"/>
                    </w:rPr>
                  </w:pPr>
                  <w:r w:rsidRPr="00D87B79">
                    <w:rPr>
                      <w:rFonts w:cs="Tahoma"/>
                      <w:b/>
                      <w:sz w:val="20"/>
                      <w:szCs w:val="18"/>
                      <w:lang w:val="it-IT"/>
                    </w:rPr>
                    <w:t>Livello di Prezzo in Select Plus - Commerciale</w:t>
                  </w:r>
                </w:p>
              </w:tc>
              <w:tc>
                <w:tcPr>
                  <w:tcW w:w="268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A92422" w:rsidRPr="00D87B79" w:rsidRDefault="00A92422" w:rsidP="00EA30FC">
                  <w:pPr>
                    <w:jc w:val="center"/>
                    <w:rPr>
                      <w:rFonts w:cs="Tahoma"/>
                      <w:b/>
                      <w:sz w:val="20"/>
                      <w:szCs w:val="18"/>
                    </w:rPr>
                  </w:pPr>
                  <w:r w:rsidRPr="00D87B79">
                    <w:rPr>
                      <w:rFonts w:cs="Tahoma"/>
                      <w:b/>
                      <w:sz w:val="20"/>
                      <w:szCs w:val="18"/>
                      <w:lang w:val="it-IT"/>
                    </w:rPr>
                    <w:t>Minimo Punti Annuali per</w:t>
                  </w:r>
                  <w:r>
                    <w:rPr>
                      <w:rFonts w:cs="Tahoma"/>
                      <w:b/>
                      <w:sz w:val="20"/>
                      <w:szCs w:val="18"/>
                      <w:lang w:val="it-IT"/>
                    </w:rPr>
                    <w:t> </w:t>
                  </w:r>
                  <w:r w:rsidRPr="00D87B79">
                    <w:rPr>
                      <w:rFonts w:cs="Tahoma"/>
                      <w:b/>
                      <w:sz w:val="20"/>
                      <w:szCs w:val="18"/>
                      <w:lang w:val="it-IT"/>
                    </w:rPr>
                    <w:t>Pool</w:t>
                  </w:r>
                </w:p>
              </w:tc>
            </w:tr>
            <w:tr w:rsidR="00A92422" w:rsidRPr="00D87B79" w:rsidTr="00EA30FC">
              <w:trPr>
                <w:trHeight w:hRule="exact" w:val="389"/>
                <w:jc w:val="center"/>
              </w:trPr>
              <w:tc>
                <w:tcPr>
                  <w:tcW w:w="284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A92422" w:rsidRPr="00D87B79" w:rsidRDefault="00A92422" w:rsidP="00EA30FC">
                  <w:pPr>
                    <w:jc w:val="center"/>
                    <w:rPr>
                      <w:rFonts w:cs="Tahoma"/>
                      <w:szCs w:val="18"/>
                    </w:rPr>
                  </w:pPr>
                  <w:r w:rsidRPr="00D87B79">
                    <w:rPr>
                      <w:rFonts w:cs="Tahoma"/>
                      <w:szCs w:val="18"/>
                      <w:lang w:val="it-IT"/>
                    </w:rPr>
                    <w:t>A</w:t>
                  </w:r>
                </w:p>
              </w:tc>
              <w:tc>
                <w:tcPr>
                  <w:tcW w:w="268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A92422" w:rsidRPr="00D87B79" w:rsidRDefault="00A92422" w:rsidP="00EA30FC">
                  <w:pPr>
                    <w:jc w:val="center"/>
                    <w:rPr>
                      <w:rFonts w:cs="Tahoma"/>
                      <w:szCs w:val="18"/>
                    </w:rPr>
                  </w:pPr>
                  <w:r w:rsidRPr="00D87B79">
                    <w:rPr>
                      <w:rFonts w:cs="Tahoma"/>
                      <w:szCs w:val="18"/>
                    </w:rPr>
                    <w:t>500</w:t>
                  </w:r>
                </w:p>
              </w:tc>
            </w:tr>
            <w:tr w:rsidR="00A92422" w:rsidRPr="00D87B79" w:rsidTr="00EA30FC">
              <w:trPr>
                <w:trHeight w:hRule="exact" w:val="389"/>
                <w:jc w:val="center"/>
              </w:trPr>
              <w:tc>
                <w:tcPr>
                  <w:tcW w:w="284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A92422" w:rsidRPr="00D87B79" w:rsidRDefault="00A92422" w:rsidP="00EA30FC">
                  <w:pPr>
                    <w:jc w:val="center"/>
                    <w:rPr>
                      <w:rFonts w:cs="Tahoma"/>
                      <w:szCs w:val="18"/>
                    </w:rPr>
                  </w:pPr>
                  <w:r w:rsidRPr="00D87B79">
                    <w:rPr>
                      <w:rFonts w:cs="Tahoma"/>
                      <w:szCs w:val="18"/>
                      <w:lang w:val="it-IT"/>
                    </w:rPr>
                    <w:t>B</w:t>
                  </w:r>
                </w:p>
              </w:tc>
              <w:tc>
                <w:tcPr>
                  <w:tcW w:w="268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A92422" w:rsidRPr="00D87B79" w:rsidRDefault="00A92422" w:rsidP="00EA30FC">
                  <w:pPr>
                    <w:jc w:val="center"/>
                    <w:rPr>
                      <w:rFonts w:cs="Tahoma"/>
                      <w:szCs w:val="18"/>
                    </w:rPr>
                  </w:pPr>
                  <w:r>
                    <w:rPr>
                      <w:rFonts w:cs="Tahoma"/>
                      <w:szCs w:val="18"/>
                    </w:rPr>
                    <w:t>4.</w:t>
                  </w:r>
                  <w:r w:rsidRPr="00D87B79">
                    <w:rPr>
                      <w:rFonts w:cs="Tahoma"/>
                      <w:szCs w:val="18"/>
                    </w:rPr>
                    <w:t>000</w:t>
                  </w:r>
                </w:p>
              </w:tc>
            </w:tr>
            <w:tr w:rsidR="00A92422" w:rsidRPr="00D87B79" w:rsidTr="00EA30FC">
              <w:trPr>
                <w:trHeight w:hRule="exact" w:val="389"/>
                <w:jc w:val="center"/>
              </w:trPr>
              <w:tc>
                <w:tcPr>
                  <w:tcW w:w="284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A92422" w:rsidRPr="00D87B79" w:rsidRDefault="00A92422" w:rsidP="00EA30FC">
                  <w:pPr>
                    <w:jc w:val="center"/>
                    <w:rPr>
                      <w:rFonts w:cs="Tahoma"/>
                      <w:szCs w:val="18"/>
                    </w:rPr>
                  </w:pPr>
                  <w:r w:rsidRPr="00D87B79">
                    <w:rPr>
                      <w:rFonts w:cs="Tahoma"/>
                      <w:szCs w:val="18"/>
                      <w:lang w:val="it-IT"/>
                    </w:rPr>
                    <w:t>C</w:t>
                  </w:r>
                </w:p>
              </w:tc>
              <w:tc>
                <w:tcPr>
                  <w:tcW w:w="268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A92422" w:rsidRPr="00D87B79" w:rsidRDefault="00A92422" w:rsidP="00EA30FC">
                  <w:pPr>
                    <w:jc w:val="center"/>
                    <w:rPr>
                      <w:rFonts w:cs="Tahoma"/>
                      <w:szCs w:val="18"/>
                    </w:rPr>
                  </w:pPr>
                  <w:r>
                    <w:rPr>
                      <w:rFonts w:cs="Tahoma"/>
                      <w:szCs w:val="18"/>
                    </w:rPr>
                    <w:t>10.</w:t>
                  </w:r>
                  <w:r w:rsidRPr="00D87B79">
                    <w:rPr>
                      <w:rFonts w:cs="Tahoma"/>
                      <w:szCs w:val="18"/>
                    </w:rPr>
                    <w:t>000</w:t>
                  </w:r>
                </w:p>
              </w:tc>
            </w:tr>
            <w:tr w:rsidR="00A92422" w:rsidRPr="00D87B79" w:rsidTr="00EA30FC">
              <w:trPr>
                <w:trHeight w:hRule="exact" w:val="389"/>
                <w:jc w:val="center"/>
              </w:trPr>
              <w:tc>
                <w:tcPr>
                  <w:tcW w:w="284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A92422" w:rsidRPr="00D87B79" w:rsidRDefault="00A92422" w:rsidP="00EA30FC">
                  <w:pPr>
                    <w:jc w:val="center"/>
                    <w:rPr>
                      <w:rFonts w:cs="Tahoma"/>
                      <w:szCs w:val="18"/>
                    </w:rPr>
                  </w:pPr>
                  <w:r w:rsidRPr="00D87B79">
                    <w:rPr>
                      <w:rFonts w:cs="Tahoma"/>
                      <w:szCs w:val="18"/>
                      <w:lang w:val="it-IT"/>
                    </w:rPr>
                    <w:t>D</w:t>
                  </w:r>
                </w:p>
              </w:tc>
              <w:tc>
                <w:tcPr>
                  <w:tcW w:w="268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A92422" w:rsidRPr="00D87B79" w:rsidRDefault="00A92422" w:rsidP="00EA30FC">
                  <w:pPr>
                    <w:jc w:val="center"/>
                    <w:rPr>
                      <w:rFonts w:cs="Tahoma"/>
                      <w:szCs w:val="18"/>
                    </w:rPr>
                  </w:pPr>
                  <w:r>
                    <w:rPr>
                      <w:rFonts w:cs="Tahoma"/>
                      <w:szCs w:val="18"/>
                    </w:rPr>
                    <w:t>25.</w:t>
                  </w:r>
                  <w:r w:rsidRPr="00D87B79">
                    <w:rPr>
                      <w:rFonts w:cs="Tahoma"/>
                      <w:szCs w:val="18"/>
                    </w:rPr>
                    <w:t>000</w:t>
                  </w:r>
                </w:p>
              </w:tc>
            </w:tr>
          </w:tbl>
          <w:p w:rsidR="00A92422" w:rsidRPr="00D87B79" w:rsidRDefault="00A92422" w:rsidP="00EA30FC">
            <w:pPr>
              <w:pStyle w:val="AppendixBodyText"/>
              <w:keepNext/>
              <w:keepLines/>
              <w:ind w:right="720"/>
              <w:rPr>
                <w:rFonts w:ascii="Tahoma" w:hAnsi="Tahoma" w:cs="Tahoma"/>
              </w:rPr>
            </w:pPr>
            <w:r w:rsidRPr="00D87B79">
              <w:rPr>
                <w:rFonts w:ascii="Tahoma" w:hAnsi="Tahoma" w:cs="Tahoma"/>
                <w:i/>
                <w:sz w:val="16"/>
                <w:lang w:val="it-IT"/>
              </w:rPr>
              <w:t>Nota:</w:t>
            </w:r>
            <w:r w:rsidRPr="00D87B79">
              <w:rPr>
                <w:rFonts w:ascii="Tahoma" w:hAnsi="Tahoma" w:cs="Tahoma"/>
                <w:i/>
                <w:sz w:val="16"/>
              </w:rPr>
              <w:t xml:space="preserve"> </w:t>
            </w:r>
            <w:r w:rsidRPr="00D87B79">
              <w:rPr>
                <w:rFonts w:ascii="Tahoma" w:hAnsi="Tahoma" w:cs="Tahoma"/>
                <w:i/>
                <w:sz w:val="16"/>
                <w:lang w:val="it-IT"/>
              </w:rPr>
              <w:t>qualsiasi punto che la società ha in eccesso rispetto al livello minimo di prezzo verrà riportato all’anno successivo per il controllo della conformità di tale anno.</w:t>
            </w:r>
            <w:r w:rsidRPr="00D87B79">
              <w:rPr>
                <w:rFonts w:ascii="Tahoma" w:hAnsi="Tahoma" w:cs="Tahoma"/>
              </w:rPr>
              <w:t xml:space="preserve"> </w:t>
            </w:r>
            <w:r w:rsidRPr="00D87B79">
              <w:rPr>
                <w:rFonts w:ascii="Tahoma" w:hAnsi="Tahoma" w:cs="Tahoma"/>
                <w:i/>
                <w:sz w:val="16"/>
                <w:lang w:val="it-IT"/>
              </w:rPr>
              <w:t>Ad esempio, qualora la società abbia 4.500 punti al momento del controllo annuale della conformità, 500 punti verranno riportati all’anno successivo per essere utilizzati per la conformità di quell’anno.</w:t>
            </w:r>
          </w:p>
          <w:p w:rsidR="00A92422" w:rsidRPr="00D87B79" w:rsidRDefault="00A92422" w:rsidP="00EA30FC">
            <w:pPr>
              <w:pStyle w:val="AppendixBodyText"/>
              <w:ind w:right="720"/>
              <w:rPr>
                <w:rFonts w:ascii="Tahoma" w:hAnsi="Tahoma" w:cs="Tahoma"/>
                <w:sz w:val="12"/>
                <w:lang w:eastAsia="ja-JP"/>
              </w:rPr>
            </w:pPr>
          </w:p>
        </w:tc>
      </w:tr>
      <w:tr w:rsidR="00A92422" w:rsidRPr="00D87B79" w:rsidTr="00EA30FC">
        <w:tc>
          <w:tcPr>
            <w:tcW w:w="2538" w:type="dxa"/>
          </w:tcPr>
          <w:p w:rsidR="00A92422" w:rsidRPr="00D87B79" w:rsidRDefault="00A92422" w:rsidP="00EA30FC">
            <w:pPr>
              <w:pStyle w:val="AppendixBodyText"/>
              <w:ind w:right="720"/>
              <w:rPr>
                <w:rFonts w:ascii="Tahoma" w:hAnsi="Tahoma" w:cs="Tahoma"/>
                <w:b/>
                <w:color w:val="000000"/>
                <w:szCs w:val="18"/>
                <w:lang w:eastAsia="ja-JP"/>
              </w:rPr>
            </w:pPr>
            <w:r w:rsidRPr="00D87B79">
              <w:rPr>
                <w:rFonts w:ascii="Tahoma" w:hAnsi="Tahoma" w:cs="Tahoma"/>
                <w:b/>
                <w:color w:val="000000"/>
                <w:lang w:val="it-IT"/>
              </w:rPr>
              <w:lastRenderedPageBreak/>
              <w:t>School</w:t>
            </w:r>
          </w:p>
        </w:tc>
        <w:tc>
          <w:tcPr>
            <w:tcW w:w="6678" w:type="dxa"/>
          </w:tcPr>
          <w:p w:rsidR="00A92422" w:rsidRPr="00D87B79" w:rsidRDefault="00A92422" w:rsidP="00EA30FC">
            <w:pPr>
              <w:pStyle w:val="AppendixBodyText"/>
              <w:ind w:right="720"/>
              <w:rPr>
                <w:rFonts w:ascii="Tahoma" w:hAnsi="Tahoma" w:cs="Tahoma"/>
              </w:rPr>
            </w:pPr>
            <w:r w:rsidRPr="00D87B79">
              <w:rPr>
                <w:rFonts w:ascii="Tahoma" w:hAnsi="Tahoma" w:cs="Tahoma"/>
                <w:sz w:val="18"/>
                <w:lang w:val="it-IT"/>
              </w:rPr>
              <w:t>Il Contratto School richiede un ordine minimo di 300 unità.</w:t>
            </w:r>
            <w:r w:rsidRPr="00D87B79">
              <w:rPr>
                <w:rFonts w:ascii="Tahoma" w:hAnsi="Tahoma" w:cs="Tahoma"/>
              </w:rPr>
              <w:t xml:space="preserve"> </w:t>
            </w:r>
            <w:r w:rsidRPr="00D87B79">
              <w:rPr>
                <w:rFonts w:ascii="Tahoma" w:hAnsi="Tahoma" w:cs="Tahoma"/>
                <w:sz w:val="18"/>
                <w:lang w:val="it-IT"/>
              </w:rPr>
              <w:t>Le unità sono determinate moltiplicando il numero totale di applicazioni, sistemi e CAL selezionati per il numero totale di PC idonei o di Personale non docente/FTE idoneo.</w:t>
            </w:r>
            <w:r w:rsidRPr="00D87B79">
              <w:rPr>
                <w:rFonts w:ascii="Tahoma" w:hAnsi="Tahoma" w:cs="Tahoma"/>
              </w:rPr>
              <w:t xml:space="preserve"> </w:t>
            </w:r>
            <w:r w:rsidRPr="00D87B79">
              <w:rPr>
                <w:rFonts w:ascii="Tahoma" w:hAnsi="Tahoma" w:cs="Tahoma"/>
                <w:sz w:val="18"/>
                <w:lang w:val="it-IT"/>
              </w:rPr>
              <w:t>Il requisito minimo di ordine potrà variare in base all’area geografica.</w:t>
            </w:r>
          </w:p>
          <w:p w:rsidR="00A92422" w:rsidRPr="00FF730D" w:rsidRDefault="00A92422" w:rsidP="00EA30FC">
            <w:pPr>
              <w:pStyle w:val="AppendixBodyText"/>
              <w:ind w:right="720"/>
              <w:rPr>
                <w:rFonts w:ascii="Tahoma" w:hAnsi="Tahoma" w:cs="Tahoma"/>
                <w:sz w:val="18"/>
                <w:szCs w:val="18"/>
              </w:rPr>
            </w:pPr>
          </w:p>
          <w:p w:rsidR="00A92422" w:rsidRPr="00D87B79" w:rsidRDefault="00A92422" w:rsidP="00EA30FC">
            <w:pPr>
              <w:tabs>
                <w:tab w:val="left" w:pos="8640"/>
              </w:tabs>
              <w:ind w:right="720"/>
              <w:rPr>
                <w:rFonts w:cs="Tahoma"/>
                <w:color w:val="000000"/>
                <w:szCs w:val="20"/>
                <w:lang w:eastAsia="ja-JP"/>
              </w:rPr>
            </w:pPr>
            <w:r w:rsidRPr="00D87B79">
              <w:rPr>
                <w:rFonts w:cs="Tahoma"/>
                <w:b/>
                <w:color w:val="000000"/>
                <w:lang w:val="it-IT"/>
              </w:rPr>
              <w:t>Nota:</w:t>
            </w:r>
            <w:r w:rsidRPr="00D87B79">
              <w:rPr>
                <w:rFonts w:cs="Tahoma"/>
                <w:color w:val="000000"/>
                <w:szCs w:val="20"/>
              </w:rPr>
              <w:t xml:space="preserve"> </w:t>
            </w:r>
            <w:r w:rsidRPr="00D87B79">
              <w:rPr>
                <w:rFonts w:cs="Tahoma"/>
                <w:color w:val="000000"/>
                <w:lang w:val="it-IT"/>
              </w:rPr>
              <w:t>le società in possesso del Contratto School non sono idonee a</w:t>
            </w:r>
            <w:r>
              <w:rPr>
                <w:rFonts w:cs="Tahoma"/>
                <w:color w:val="000000"/>
                <w:lang w:val="it-IT"/>
              </w:rPr>
              <w:t> </w:t>
            </w:r>
            <w:r w:rsidRPr="00D87B79">
              <w:rPr>
                <w:rFonts w:cs="Tahoma"/>
                <w:color w:val="000000"/>
                <w:lang w:val="it-IT"/>
              </w:rPr>
              <w:t>scegliere prodotti applicativi, di sistema, con Licenza “Subscription” (utente/dispositivo) e CAL solo per una parte dei PC inclusi nell’abbonamento, se non dichiarato espressamente nelle Note relative alle Condizioni del Prodotto contenute nella Lista dei Prodotti.</w:t>
            </w:r>
            <w:r w:rsidRPr="00D87B79">
              <w:rPr>
                <w:rFonts w:cs="Tahoma"/>
              </w:rPr>
              <w:t xml:space="preserve"> </w:t>
            </w:r>
            <w:r w:rsidRPr="00D87B79">
              <w:rPr>
                <w:rFonts w:cs="Tahoma"/>
                <w:color w:val="000000"/>
                <w:lang w:val="it-IT"/>
              </w:rPr>
              <w:t>Ad esempio, qualora l’abbonamento comprenda la totalità dei PC, i prodotti applicativi, di sistema, con Licenza “Subscription” (utente/dispositivo) e</w:t>
            </w:r>
            <w:r>
              <w:rPr>
                <w:rFonts w:cs="Tahoma"/>
                <w:color w:val="000000"/>
                <w:lang w:val="it-IT"/>
              </w:rPr>
              <w:t> </w:t>
            </w:r>
            <w:r w:rsidRPr="00D87B79">
              <w:rPr>
                <w:rFonts w:cs="Tahoma"/>
                <w:color w:val="000000"/>
                <w:lang w:val="it-IT"/>
              </w:rPr>
              <w:t>CAL selezionati riguarderanno tutti i PC, anche nel caso in cui un particolare prodotto venga eseguito su un solo componente di tali PC.</w:t>
            </w:r>
          </w:p>
        </w:tc>
      </w:tr>
      <w:tr w:rsidR="00A92422" w:rsidRPr="00D87B79" w:rsidTr="00EA30FC">
        <w:tc>
          <w:tcPr>
            <w:tcW w:w="2538" w:type="dxa"/>
          </w:tcPr>
          <w:p w:rsidR="00A92422" w:rsidRPr="00D87B79" w:rsidRDefault="00A92422" w:rsidP="00EA30FC">
            <w:pPr>
              <w:pStyle w:val="AppendixBodyText"/>
              <w:ind w:right="720"/>
              <w:rPr>
                <w:rFonts w:ascii="Tahoma" w:hAnsi="Tahoma" w:cs="Tahoma"/>
                <w:b/>
                <w:color w:val="000000"/>
                <w:sz w:val="18"/>
                <w:szCs w:val="18"/>
                <w:lang w:eastAsia="ja-JP"/>
              </w:rPr>
            </w:pPr>
            <w:r w:rsidRPr="00D87B79">
              <w:rPr>
                <w:rFonts w:ascii="Tahoma" w:hAnsi="Tahoma" w:cs="Tahoma"/>
                <w:b/>
                <w:lang w:val="it-IT"/>
              </w:rPr>
              <w:t>Contratto Enterprise e</w:t>
            </w:r>
            <w:r>
              <w:rPr>
                <w:rFonts w:ascii="Tahoma" w:hAnsi="Tahoma" w:cs="Tahoma"/>
                <w:b/>
                <w:lang w:val="it-IT"/>
              </w:rPr>
              <w:t> </w:t>
            </w:r>
            <w:r w:rsidRPr="00D87B79">
              <w:rPr>
                <w:rFonts w:ascii="Tahoma" w:hAnsi="Tahoma" w:cs="Tahoma"/>
                <w:b/>
                <w:lang w:val="it-IT"/>
              </w:rPr>
              <w:t>Contratto Enterprise Subscription</w:t>
            </w:r>
          </w:p>
        </w:tc>
        <w:tc>
          <w:tcPr>
            <w:tcW w:w="6678" w:type="dxa"/>
          </w:tcPr>
          <w:p w:rsidR="00A92422" w:rsidRPr="00D87B79" w:rsidRDefault="00A92422" w:rsidP="00EA30FC">
            <w:pPr>
              <w:rPr>
                <w:rFonts w:cs="Tahoma"/>
              </w:rPr>
            </w:pPr>
            <w:r w:rsidRPr="00D87B79">
              <w:rPr>
                <w:rFonts w:cs="Tahoma"/>
                <w:lang w:val="it-IT"/>
              </w:rPr>
              <w:t>Il Contratto Enterprise (EA) e il Contratto Enterprise Subscription (ESA) richiedono almeno 250 Dispositivi/Desktop Qualificati o Utenti Qualificati.</w:t>
            </w:r>
          </w:p>
          <w:p w:rsidR="00A92422" w:rsidRPr="00D87B79" w:rsidRDefault="00A92422" w:rsidP="00EA30FC">
            <w:pPr>
              <w:rPr>
                <w:rFonts w:cs="Tahoma"/>
              </w:rPr>
            </w:pPr>
          </w:p>
          <w:p w:rsidR="00A92422" w:rsidRPr="00D87B79" w:rsidRDefault="00A92422" w:rsidP="00EA30FC">
            <w:pPr>
              <w:rPr>
                <w:rFonts w:cs="Tahoma"/>
              </w:rPr>
            </w:pPr>
            <w:r w:rsidRPr="00D87B79">
              <w:rPr>
                <w:rFonts w:cs="Tahoma"/>
                <w:b/>
                <w:lang w:val="it-IT"/>
              </w:rPr>
              <w:t>Dispositivi/Desktop Qualificati</w:t>
            </w:r>
            <w:r w:rsidRPr="00D87B79">
              <w:rPr>
                <w:rFonts w:cs="Tahoma"/>
              </w:rPr>
              <w:t xml:space="preserve"> </w:t>
            </w:r>
          </w:p>
          <w:p w:rsidR="00A92422" w:rsidRPr="00D87B79" w:rsidRDefault="00A92422" w:rsidP="00EA30FC">
            <w:pPr>
              <w:rPr>
                <w:rFonts w:cs="Tahoma"/>
              </w:rPr>
            </w:pPr>
            <w:bookmarkStart w:id="738" w:name="_Toc323159729"/>
            <w:bookmarkStart w:id="739" w:name="_Toc325313134"/>
            <w:bookmarkStart w:id="740" w:name="_Toc325609169"/>
            <w:bookmarkEnd w:id="738"/>
            <w:bookmarkEnd w:id="739"/>
            <w:bookmarkEnd w:id="740"/>
            <w:r w:rsidRPr="00D87B79">
              <w:rPr>
                <w:rFonts w:cs="Tahoma"/>
                <w:lang w:val="it-IT"/>
              </w:rPr>
              <w:t>Nonostante quanto diversamente stabilito nel Contratto Multilicenza, i</w:t>
            </w:r>
            <w:r>
              <w:rPr>
                <w:rFonts w:cs="Tahoma"/>
                <w:lang w:val="it-IT"/>
              </w:rPr>
              <w:t> </w:t>
            </w:r>
            <w:r w:rsidRPr="00D87B79">
              <w:rPr>
                <w:rFonts w:cs="Tahoma"/>
                <w:lang w:val="it-IT"/>
              </w:rPr>
              <w:t>Dispositivi/Desktop Qualificati non includono dispositivi di terzi qualificanti dai</w:t>
            </w:r>
            <w:r>
              <w:rPr>
                <w:rFonts w:cs="Tahoma"/>
                <w:lang w:val="it-IT"/>
              </w:rPr>
              <w:t> </w:t>
            </w:r>
            <w:r w:rsidRPr="00D87B79">
              <w:rPr>
                <w:rFonts w:cs="Tahoma"/>
                <w:lang w:val="it-IT"/>
              </w:rPr>
              <w:t>quali gli utenti possono esclusivamente accedere e utilizzare il software ai</w:t>
            </w:r>
            <w:r>
              <w:rPr>
                <w:rFonts w:cs="Tahoma"/>
                <w:lang w:val="it-IT"/>
              </w:rPr>
              <w:t> </w:t>
            </w:r>
            <w:r w:rsidRPr="00D87B79">
              <w:rPr>
                <w:rFonts w:cs="Tahoma"/>
                <w:lang w:val="it-IT"/>
              </w:rPr>
              <w:t>sensi dei Diritti di Utilizzo del Roaming applicabili a:</w:t>
            </w:r>
          </w:p>
          <w:p w:rsidR="00A92422" w:rsidRPr="00D87B79" w:rsidRDefault="00A92422" w:rsidP="00EA30FC">
            <w:pPr>
              <w:rPr>
                <w:rFonts w:cs="Tahoma"/>
              </w:rPr>
            </w:pPr>
          </w:p>
          <w:p w:rsidR="00A92422" w:rsidRPr="00D87B79" w:rsidRDefault="00A92422" w:rsidP="00EA30FC">
            <w:pPr>
              <w:rPr>
                <w:rFonts w:cs="Tahoma"/>
              </w:rPr>
            </w:pPr>
            <w:r w:rsidRPr="00D87B79">
              <w:rPr>
                <w:rFonts w:cs="Tahoma"/>
                <w:lang w:val="it-IT"/>
              </w:rPr>
              <w:t>Windows Software Assurance,</w:t>
            </w:r>
            <w:r w:rsidRPr="00D87B79">
              <w:rPr>
                <w:rFonts w:cs="Tahoma"/>
              </w:rPr>
              <w:t xml:space="preserve"> </w:t>
            </w:r>
          </w:p>
          <w:p w:rsidR="00A92422" w:rsidRPr="00D87B79" w:rsidRDefault="00A92422" w:rsidP="00EA30FC">
            <w:pPr>
              <w:rPr>
                <w:rFonts w:cs="Tahoma"/>
              </w:rPr>
            </w:pPr>
          </w:p>
          <w:p w:rsidR="00A92422" w:rsidRPr="00D87B79" w:rsidRDefault="00A92422" w:rsidP="00EA30FC">
            <w:pPr>
              <w:numPr>
                <w:ilvl w:val="0"/>
                <w:numId w:val="10"/>
              </w:numPr>
              <w:spacing w:after="60"/>
              <w:rPr>
                <w:rFonts w:cs="Tahoma"/>
              </w:rPr>
            </w:pPr>
            <w:r w:rsidRPr="00D87B79">
              <w:rPr>
                <w:rFonts w:cs="Tahoma"/>
                <w:lang w:val="it-IT"/>
              </w:rPr>
              <w:t>Windows Virtual Desktop Access,</w:t>
            </w:r>
            <w:r w:rsidRPr="00D87B79">
              <w:rPr>
                <w:rFonts w:cs="Tahoma"/>
              </w:rPr>
              <w:t xml:space="preserve"> </w:t>
            </w:r>
          </w:p>
          <w:p w:rsidR="00A92422" w:rsidRPr="00D87B79" w:rsidRDefault="00A92422" w:rsidP="00EA30FC">
            <w:pPr>
              <w:numPr>
                <w:ilvl w:val="0"/>
                <w:numId w:val="10"/>
              </w:numPr>
              <w:spacing w:after="60"/>
              <w:rPr>
                <w:rFonts w:cs="Tahoma"/>
              </w:rPr>
            </w:pPr>
            <w:r w:rsidRPr="00D87B79">
              <w:rPr>
                <w:rFonts w:cs="Tahoma"/>
                <w:lang w:val="it-IT"/>
              </w:rPr>
              <w:t>Virtual Desktop Infrastructure Suite,</w:t>
            </w:r>
            <w:r w:rsidRPr="00D87B79">
              <w:rPr>
                <w:rFonts w:cs="Tahoma"/>
              </w:rPr>
              <w:t xml:space="preserve"> </w:t>
            </w:r>
          </w:p>
          <w:p w:rsidR="00A92422" w:rsidRPr="00D87B79" w:rsidRDefault="00A92422" w:rsidP="00EA30FC">
            <w:pPr>
              <w:numPr>
                <w:ilvl w:val="0"/>
                <w:numId w:val="10"/>
              </w:numPr>
              <w:spacing w:after="60"/>
              <w:rPr>
                <w:rFonts w:cs="Tahoma"/>
              </w:rPr>
            </w:pPr>
            <w:r w:rsidRPr="00D87B79">
              <w:rPr>
                <w:rFonts w:cs="Tahoma"/>
                <w:lang w:val="it-IT"/>
              </w:rPr>
              <w:t>MDOP per Software Assurance e</w:t>
            </w:r>
            <w:r w:rsidRPr="00D87B79">
              <w:rPr>
                <w:rFonts w:cs="Tahoma"/>
              </w:rPr>
              <w:t xml:space="preserve"> </w:t>
            </w:r>
          </w:p>
          <w:p w:rsidR="00A92422" w:rsidRPr="00D87B79" w:rsidRDefault="00A92422" w:rsidP="00EA30FC">
            <w:pPr>
              <w:numPr>
                <w:ilvl w:val="0"/>
                <w:numId w:val="10"/>
              </w:numPr>
              <w:spacing w:after="60"/>
              <w:rPr>
                <w:rFonts w:cs="Tahoma"/>
              </w:rPr>
            </w:pPr>
            <w:r w:rsidRPr="00D87B79">
              <w:rPr>
                <w:rFonts w:cs="Tahoma"/>
                <w:lang w:val="it-IT"/>
              </w:rPr>
              <w:t>Software Assurance per tutte le versioni di Office, Project e Visio che includono i Diritti di Utilizzo Roaming.</w:t>
            </w:r>
            <w:r w:rsidRPr="00D87B79">
              <w:rPr>
                <w:rFonts w:cs="Tahoma"/>
              </w:rPr>
              <w:t xml:space="preserve"> </w:t>
            </w:r>
          </w:p>
          <w:p w:rsidR="00A92422" w:rsidRPr="00D87B79" w:rsidRDefault="00A92422" w:rsidP="00EA30FC">
            <w:pPr>
              <w:rPr>
                <w:rFonts w:cs="Tahoma"/>
              </w:rPr>
            </w:pPr>
          </w:p>
          <w:p w:rsidR="00A92422" w:rsidRPr="00D87B79" w:rsidRDefault="00A92422" w:rsidP="00EA30FC">
            <w:pPr>
              <w:rPr>
                <w:rFonts w:cs="Tahoma"/>
              </w:rPr>
            </w:pPr>
            <w:bookmarkStart w:id="741" w:name="_Toc323159730"/>
            <w:bookmarkStart w:id="742" w:name="_Toc325313135"/>
            <w:bookmarkStart w:id="743" w:name="_Toc325609170"/>
            <w:r w:rsidRPr="00D87B79">
              <w:rPr>
                <w:rFonts w:cs="Tahoma"/>
                <w:lang w:val="it-IT"/>
              </w:rPr>
              <w:t>Un “dispositivo di terzi qualificante” è un dispositivo non controllato, direttamente o indirettamente, dal licenziatario o dalle sue consociate (ad</w:t>
            </w:r>
            <w:r>
              <w:rPr>
                <w:rFonts w:cs="Tahoma"/>
                <w:lang w:val="it-IT"/>
              </w:rPr>
              <w:t> </w:t>
            </w:r>
            <w:r w:rsidRPr="00D87B79">
              <w:rPr>
                <w:rFonts w:cs="Tahoma"/>
                <w:lang w:val="it-IT"/>
              </w:rPr>
              <w:t>esempio un chiosco pubblico di terzi).</w:t>
            </w:r>
            <w:r w:rsidRPr="00D87B79">
              <w:rPr>
                <w:rFonts w:cs="Tahoma"/>
              </w:rPr>
              <w:t xml:space="preserve"> </w:t>
            </w:r>
            <w:bookmarkEnd w:id="741"/>
            <w:bookmarkEnd w:id="742"/>
            <w:bookmarkEnd w:id="743"/>
            <w:r w:rsidRPr="00D87B79">
              <w:rPr>
                <w:rFonts w:cs="Tahoma"/>
                <w:lang w:val="it-IT"/>
              </w:rPr>
              <w:t>Per ulteriori informazioni, vedere i</w:t>
            </w:r>
            <w:r>
              <w:rPr>
                <w:rFonts w:cs="Tahoma"/>
                <w:lang w:val="it-IT"/>
              </w:rPr>
              <w:t> </w:t>
            </w:r>
            <w:r w:rsidRPr="00D87B79">
              <w:rPr>
                <w:rFonts w:cs="Tahoma"/>
                <w:lang w:val="it-IT"/>
              </w:rPr>
              <w:t>Diritti di Utilizzo del Prodotto.</w:t>
            </w:r>
          </w:p>
          <w:p w:rsidR="00A92422" w:rsidRPr="00FF730D" w:rsidRDefault="00A92422" w:rsidP="00EA30FC">
            <w:pPr>
              <w:pStyle w:val="Heading3"/>
              <w:ind w:left="70"/>
              <w:rPr>
                <w:rFonts w:ascii="Tahoma" w:hAnsi="Tahoma" w:cs="Tahoma"/>
                <w:sz w:val="18"/>
                <w:szCs w:val="18"/>
              </w:rPr>
            </w:pPr>
          </w:p>
          <w:p w:rsidR="00A92422" w:rsidRPr="00D87B79" w:rsidRDefault="00A92422" w:rsidP="00EA30FC">
            <w:pPr>
              <w:rPr>
                <w:rFonts w:cs="Tahoma"/>
              </w:rPr>
            </w:pPr>
            <w:r w:rsidRPr="00D87B79">
              <w:rPr>
                <w:rFonts w:cs="Tahoma"/>
                <w:b/>
                <w:lang w:val="it-IT"/>
              </w:rPr>
              <w:t>Esenzioni degli Utenti Qualificati</w:t>
            </w:r>
            <w:r w:rsidRPr="00D87B79">
              <w:rPr>
                <w:rFonts w:cs="Tahoma"/>
              </w:rPr>
              <w:t xml:space="preserve"> </w:t>
            </w:r>
          </w:p>
          <w:p w:rsidR="00A92422" w:rsidRPr="00D87B79" w:rsidRDefault="00A92422" w:rsidP="00EA30FC">
            <w:pPr>
              <w:pStyle w:val="AppendixBodyText"/>
              <w:ind w:left="70" w:right="720"/>
              <w:rPr>
                <w:rFonts w:ascii="Tahoma" w:hAnsi="Tahoma" w:cs="Tahoma"/>
              </w:rPr>
            </w:pPr>
            <w:r w:rsidRPr="00D87B79">
              <w:rPr>
                <w:rFonts w:ascii="Tahoma" w:hAnsi="Tahoma" w:cs="Tahoma"/>
                <w:sz w:val="18"/>
                <w:lang w:val="it-IT"/>
              </w:rPr>
              <w:t>Una persona che accede al software server o ai servizi online unicamente con le licenze identificate nel seguente elenco viene esentata dall’essere conteggiata come Utente Qualificato:</w:t>
            </w:r>
          </w:p>
          <w:p w:rsidR="00A92422" w:rsidRPr="00FF730D" w:rsidRDefault="00A92422" w:rsidP="00EA30FC">
            <w:pPr>
              <w:pStyle w:val="AppendixBodyText"/>
              <w:ind w:right="720"/>
              <w:rPr>
                <w:rFonts w:ascii="Tahoma" w:hAnsi="Tahoma" w:cs="Tahoma"/>
                <w:sz w:val="18"/>
                <w:szCs w:val="18"/>
              </w:rPr>
            </w:pPr>
          </w:p>
          <w:p w:rsidR="00A92422" w:rsidRPr="00D87B79" w:rsidRDefault="00A92422" w:rsidP="00EA30FC">
            <w:pPr>
              <w:pStyle w:val="AppendixFlushBulletedList"/>
              <w:numPr>
                <w:ilvl w:val="0"/>
                <w:numId w:val="5"/>
              </w:numPr>
              <w:spacing w:after="60"/>
              <w:ind w:left="1627" w:right="720"/>
              <w:rPr>
                <w:rFonts w:ascii="Tahoma" w:hAnsi="Tahoma" w:cs="Tahoma"/>
              </w:rPr>
            </w:pPr>
            <w:r w:rsidRPr="00D87B79">
              <w:rPr>
                <w:rFonts w:ascii="Tahoma" w:hAnsi="Tahoma" w:cs="Tahoma"/>
                <w:sz w:val="18"/>
                <w:lang w:val="it-IT"/>
              </w:rPr>
              <w:t>Licenza “Subscription” Utente (USL) per Office 365 Piano K1 o K2</w:t>
            </w:r>
          </w:p>
          <w:p w:rsidR="00A92422" w:rsidRPr="00D87B79" w:rsidRDefault="00A92422" w:rsidP="00EA30FC">
            <w:pPr>
              <w:pStyle w:val="AppendixFlushBulletedList"/>
              <w:numPr>
                <w:ilvl w:val="0"/>
                <w:numId w:val="5"/>
              </w:numPr>
              <w:spacing w:after="60"/>
              <w:ind w:left="1627" w:right="720"/>
              <w:rPr>
                <w:rFonts w:ascii="Tahoma" w:hAnsi="Tahoma" w:cs="Tahoma"/>
              </w:rPr>
            </w:pPr>
            <w:r w:rsidRPr="00D87B79">
              <w:rPr>
                <w:rFonts w:ascii="Tahoma" w:hAnsi="Tahoma" w:cs="Tahoma"/>
                <w:sz w:val="18"/>
                <w:lang w:val="it-IT"/>
              </w:rPr>
              <w:t>USL Chiosco SharePoint</w:t>
            </w:r>
          </w:p>
          <w:p w:rsidR="00A92422" w:rsidRPr="00FF730D" w:rsidRDefault="00A92422" w:rsidP="00EA30FC">
            <w:pPr>
              <w:pStyle w:val="AppendixFlushBulletedList"/>
              <w:numPr>
                <w:ilvl w:val="0"/>
                <w:numId w:val="5"/>
              </w:numPr>
              <w:spacing w:after="60"/>
              <w:ind w:left="1627" w:right="720"/>
              <w:rPr>
                <w:rFonts w:ascii="Tahoma" w:hAnsi="Tahoma" w:cs="Tahoma"/>
              </w:rPr>
            </w:pPr>
            <w:r w:rsidRPr="00D87B79">
              <w:rPr>
                <w:rFonts w:ascii="Tahoma" w:hAnsi="Tahoma" w:cs="Tahoma"/>
                <w:sz w:val="18"/>
                <w:lang w:val="it-IT"/>
              </w:rPr>
              <w:t>USL Chiosco Exchange Online</w:t>
            </w:r>
          </w:p>
          <w:p w:rsidR="00A92422" w:rsidRPr="00D87B79" w:rsidRDefault="00A92422" w:rsidP="00EA30FC">
            <w:pPr>
              <w:pStyle w:val="AppendixFlushBulletedList"/>
              <w:keepNext/>
              <w:keepLines/>
              <w:numPr>
                <w:ilvl w:val="0"/>
                <w:numId w:val="5"/>
              </w:numPr>
              <w:spacing w:after="60"/>
              <w:ind w:left="1627" w:right="270"/>
              <w:rPr>
                <w:rFonts w:ascii="Tahoma" w:hAnsi="Tahoma" w:cs="Tahoma"/>
              </w:rPr>
            </w:pPr>
            <w:r w:rsidRPr="00D87B79">
              <w:rPr>
                <w:rFonts w:ascii="Tahoma" w:hAnsi="Tahoma" w:cs="Tahoma"/>
                <w:sz w:val="18"/>
                <w:lang w:val="it-IT"/>
              </w:rPr>
              <w:t>Le licenze per i prodotti software server o i servizi online che non richiedono licenze individuali per gli</w:t>
            </w:r>
            <w:r>
              <w:rPr>
                <w:rFonts w:ascii="Tahoma" w:hAnsi="Tahoma" w:cs="Tahoma"/>
                <w:sz w:val="18"/>
                <w:lang w:val="it-IT"/>
              </w:rPr>
              <w:t> </w:t>
            </w:r>
            <w:r w:rsidRPr="00D87B79">
              <w:rPr>
                <w:rFonts w:ascii="Tahoma" w:hAnsi="Tahoma" w:cs="Tahoma"/>
                <w:sz w:val="18"/>
                <w:lang w:val="it-IT"/>
              </w:rPr>
              <w:t>utenti o i</w:t>
            </w:r>
            <w:r>
              <w:rPr>
                <w:rFonts w:ascii="Tahoma" w:hAnsi="Tahoma" w:cs="Tahoma"/>
                <w:sz w:val="18"/>
                <w:lang w:val="it-IT"/>
              </w:rPr>
              <w:t> </w:t>
            </w:r>
            <w:r w:rsidRPr="00D87B79">
              <w:rPr>
                <w:rFonts w:ascii="Tahoma" w:hAnsi="Tahoma" w:cs="Tahoma"/>
                <w:sz w:val="18"/>
                <w:lang w:val="it-IT"/>
              </w:rPr>
              <w:t>dispositivi che accedono a tali prodotti o servizi online (come le Client Access License, le Licenze di Gestione Client, nonché le licenze USL e</w:t>
            </w:r>
            <w:r>
              <w:rPr>
                <w:rFonts w:ascii="Tahoma" w:hAnsi="Tahoma" w:cs="Tahoma"/>
                <w:sz w:val="18"/>
                <w:lang w:val="it-IT"/>
              </w:rPr>
              <w:t> </w:t>
            </w:r>
            <w:r w:rsidRPr="00D87B79">
              <w:rPr>
                <w:rFonts w:ascii="Tahoma" w:hAnsi="Tahoma" w:cs="Tahoma"/>
                <w:sz w:val="18"/>
                <w:lang w:val="it-IT"/>
              </w:rPr>
              <w:t>DSL).</w:t>
            </w:r>
          </w:p>
          <w:p w:rsidR="00A92422" w:rsidRPr="00D87B79" w:rsidRDefault="00A92422" w:rsidP="00EA30FC">
            <w:pPr>
              <w:pStyle w:val="AppendixFlushBulletedList"/>
              <w:numPr>
                <w:ilvl w:val="0"/>
                <w:numId w:val="5"/>
              </w:numPr>
              <w:spacing w:after="60"/>
              <w:ind w:left="1627" w:right="720"/>
              <w:rPr>
                <w:rFonts w:ascii="Tahoma" w:hAnsi="Tahoma" w:cs="Tahoma"/>
              </w:rPr>
            </w:pPr>
            <w:r w:rsidRPr="00D87B79">
              <w:rPr>
                <w:rFonts w:ascii="Tahoma" w:hAnsi="Tahoma" w:cs="Tahoma"/>
                <w:sz w:val="18"/>
                <w:lang w:val="it-IT"/>
              </w:rPr>
              <w:t>Qualunque Licenza External Connector</w:t>
            </w:r>
          </w:p>
          <w:p w:rsidR="00A92422" w:rsidRPr="00D87B79" w:rsidRDefault="00A92422" w:rsidP="00EA30FC">
            <w:pPr>
              <w:pStyle w:val="AppendixBodyText"/>
              <w:ind w:left="1080" w:right="720"/>
              <w:rPr>
                <w:rFonts w:ascii="Tahoma" w:hAnsi="Tahoma" w:cs="Tahoma"/>
              </w:rPr>
            </w:pPr>
          </w:p>
          <w:p w:rsidR="00A92422" w:rsidRPr="00D87B79" w:rsidRDefault="00A92422" w:rsidP="00EA30FC">
            <w:pPr>
              <w:pStyle w:val="AppendixBodyText"/>
              <w:ind w:right="720"/>
              <w:rPr>
                <w:rFonts w:ascii="Tahoma" w:hAnsi="Tahoma" w:cs="Tahoma"/>
                <w:sz w:val="18"/>
                <w:lang w:eastAsia="ja-JP"/>
              </w:rPr>
            </w:pPr>
            <w:r w:rsidRPr="00D87B79">
              <w:rPr>
                <w:rFonts w:ascii="Tahoma" w:hAnsi="Tahoma" w:cs="Tahoma"/>
                <w:sz w:val="18"/>
                <w:lang w:val="it-IT"/>
              </w:rPr>
              <w:lastRenderedPageBreak/>
              <w:t>Queste esenzioni per gli Utenti Qualificati si applicano a tutte le società che abbiano stipulato contratti EA ed ESA, indipendentemente dal fatto che le esenzioni per gli Utenti Qualificati siano contemplate o meno nelle condizioni dei contratti delle società.</w:t>
            </w:r>
          </w:p>
        </w:tc>
      </w:tr>
      <w:tr w:rsidR="00A92422" w:rsidRPr="00D87B79" w:rsidTr="00EA30FC">
        <w:tc>
          <w:tcPr>
            <w:tcW w:w="2538" w:type="dxa"/>
          </w:tcPr>
          <w:p w:rsidR="00A92422" w:rsidRPr="00D87B79" w:rsidRDefault="00A92422" w:rsidP="00EA30FC">
            <w:pPr>
              <w:pStyle w:val="AppendixBodyText"/>
              <w:ind w:right="720"/>
              <w:rPr>
                <w:rFonts w:ascii="Tahoma" w:hAnsi="Tahoma" w:cs="Tahoma"/>
                <w:b/>
                <w:lang w:eastAsia="ja-JP"/>
              </w:rPr>
            </w:pPr>
            <w:r w:rsidRPr="00D87B79">
              <w:rPr>
                <w:rFonts w:ascii="Tahoma" w:hAnsi="Tahoma" w:cs="Tahoma"/>
                <w:b/>
                <w:color w:val="000000"/>
                <w:lang w:val="it-IT"/>
              </w:rPr>
              <w:lastRenderedPageBreak/>
              <w:t>EES</w:t>
            </w:r>
          </w:p>
        </w:tc>
        <w:tc>
          <w:tcPr>
            <w:tcW w:w="6678" w:type="dxa"/>
          </w:tcPr>
          <w:p w:rsidR="00A92422" w:rsidRPr="00D87B79" w:rsidRDefault="00A92422" w:rsidP="00EA30FC">
            <w:pPr>
              <w:pStyle w:val="ListParagraph"/>
              <w:ind w:left="0"/>
              <w:contextualSpacing w:val="0"/>
              <w:rPr>
                <w:rFonts w:ascii="Tahoma" w:hAnsi="Tahoma" w:cs="Tahoma"/>
                <w:szCs w:val="24"/>
              </w:rPr>
            </w:pPr>
            <w:r w:rsidRPr="00D87B79">
              <w:rPr>
                <w:rFonts w:ascii="Tahoma" w:hAnsi="Tahoma" w:cs="Tahoma"/>
                <w:sz w:val="18"/>
                <w:szCs w:val="24"/>
                <w:lang w:val="it-IT"/>
              </w:rPr>
              <w:t>EES richiede un ordine minimo, come specificato di seguito:</w:t>
            </w:r>
            <w:r w:rsidRPr="00D87B79">
              <w:rPr>
                <w:rFonts w:ascii="Tahoma" w:hAnsi="Tahoma" w:cs="Tahoma"/>
                <w:sz w:val="18"/>
                <w:szCs w:val="18"/>
                <w:lang w:eastAsia="ja-JP"/>
              </w:rPr>
              <w:t xml:space="preserve"> </w:t>
            </w:r>
          </w:p>
          <w:p w:rsidR="00A92422" w:rsidRPr="000C2911" w:rsidRDefault="00A92422" w:rsidP="00EA30FC">
            <w:pPr>
              <w:pStyle w:val="ListParagraph"/>
              <w:ind w:left="0"/>
              <w:contextualSpacing w:val="0"/>
              <w:rPr>
                <w:rFonts w:ascii="Tahoma" w:hAnsi="Tahoma" w:cs="Tahoma"/>
                <w:sz w:val="16"/>
                <w:szCs w:val="16"/>
              </w:rPr>
            </w:pPr>
          </w:p>
          <w:p w:rsidR="00A92422" w:rsidRPr="00D87B79" w:rsidRDefault="00A92422" w:rsidP="00EA30FC">
            <w:pPr>
              <w:pStyle w:val="AppendixFlushBulletedList"/>
              <w:numPr>
                <w:ilvl w:val="0"/>
                <w:numId w:val="5"/>
              </w:numPr>
              <w:spacing w:after="60"/>
              <w:ind w:right="270"/>
              <w:rPr>
                <w:rFonts w:ascii="Tahoma" w:hAnsi="Tahoma" w:cs="Tahoma"/>
              </w:rPr>
            </w:pPr>
            <w:r w:rsidRPr="00D87B79">
              <w:rPr>
                <w:rFonts w:ascii="Tahoma" w:hAnsi="Tahoma" w:cs="Tahoma"/>
                <w:sz w:val="18"/>
                <w:lang w:val="it-IT"/>
              </w:rPr>
              <w:t>almeno un Prodotto della Piattaforma Desktop per un Numero dell’intera organizzazione di almeno 1000 O</w:t>
            </w:r>
          </w:p>
          <w:p w:rsidR="00A92422" w:rsidRPr="00D87B79" w:rsidRDefault="00A92422" w:rsidP="00EA30FC">
            <w:pPr>
              <w:pStyle w:val="AppendixFlushBulletedList"/>
              <w:numPr>
                <w:ilvl w:val="0"/>
                <w:numId w:val="5"/>
              </w:numPr>
              <w:spacing w:after="60"/>
              <w:ind w:right="90"/>
              <w:rPr>
                <w:rFonts w:ascii="Tahoma" w:hAnsi="Tahoma" w:cs="Tahoma"/>
              </w:rPr>
            </w:pPr>
            <w:r w:rsidRPr="00D87B79">
              <w:rPr>
                <w:rFonts w:ascii="Tahoma" w:hAnsi="Tahoma" w:cs="Tahoma"/>
                <w:sz w:val="18"/>
                <w:lang w:val="it-IT"/>
              </w:rPr>
              <w:t>almeno un Servizio Online della Piattaforma per il Personale Docente/Non Docente su una quantità di 1000 O</w:t>
            </w:r>
          </w:p>
          <w:p w:rsidR="00A92422" w:rsidRPr="00D87B79" w:rsidRDefault="00A92422" w:rsidP="00EA30FC">
            <w:pPr>
              <w:pStyle w:val="AppendixFlushBulletedList"/>
              <w:numPr>
                <w:ilvl w:val="0"/>
                <w:numId w:val="5"/>
              </w:numPr>
              <w:spacing w:after="60"/>
              <w:ind w:right="720"/>
              <w:rPr>
                <w:rFonts w:ascii="Tahoma" w:hAnsi="Tahoma" w:cs="Tahoma"/>
              </w:rPr>
            </w:pPr>
            <w:r w:rsidRPr="00D87B79">
              <w:rPr>
                <w:rFonts w:ascii="Tahoma" w:hAnsi="Tahoma" w:cs="Tahoma"/>
                <w:sz w:val="18"/>
                <w:lang w:val="it-IT"/>
              </w:rPr>
              <w:t>almeno un Prodotto della Piattaforma Desktop per un Numero degli Studenti di almeno 1000 O</w:t>
            </w:r>
          </w:p>
          <w:p w:rsidR="00A92422" w:rsidRPr="00D87B79" w:rsidRDefault="00A92422" w:rsidP="00EA30FC">
            <w:pPr>
              <w:pStyle w:val="AppendixFlushBulletedList"/>
              <w:numPr>
                <w:ilvl w:val="0"/>
                <w:numId w:val="5"/>
              </w:numPr>
              <w:spacing w:after="60"/>
              <w:ind w:right="720"/>
              <w:rPr>
                <w:rFonts w:ascii="Tahoma" w:hAnsi="Tahoma" w:cs="Tahoma"/>
              </w:rPr>
            </w:pPr>
            <w:r w:rsidRPr="00D87B79">
              <w:rPr>
                <w:rFonts w:ascii="Tahoma" w:hAnsi="Tahoma" w:cs="Tahoma"/>
                <w:sz w:val="18"/>
                <w:lang w:val="it-IT"/>
              </w:rPr>
              <w:t>almeno un Servizio Online della Piattaforma per gli Studenti su una quantità di 1000 O</w:t>
            </w:r>
            <w:r w:rsidRPr="00D87B79">
              <w:rPr>
                <w:rFonts w:ascii="Tahoma" w:hAnsi="Tahoma" w:cs="Tahoma"/>
              </w:rPr>
              <w:t xml:space="preserve"> </w:t>
            </w:r>
          </w:p>
          <w:p w:rsidR="00A92422" w:rsidRPr="000C2911" w:rsidRDefault="00A92422" w:rsidP="00EA30FC">
            <w:pPr>
              <w:rPr>
                <w:rFonts w:cs="Tahoma"/>
                <w:sz w:val="16"/>
                <w:szCs w:val="16"/>
              </w:rPr>
            </w:pPr>
          </w:p>
          <w:p w:rsidR="00A92422" w:rsidRPr="00D87B79" w:rsidRDefault="00A92422" w:rsidP="00EA30FC">
            <w:pPr>
              <w:rPr>
                <w:rFonts w:cs="Tahoma"/>
              </w:rPr>
            </w:pPr>
            <w:r w:rsidRPr="00D87B79">
              <w:rPr>
                <w:rFonts w:cs="Tahoma"/>
                <w:b/>
                <w:color w:val="000000"/>
                <w:lang w:val="it-IT"/>
              </w:rPr>
              <w:t>Nota:</w:t>
            </w:r>
            <w:r w:rsidRPr="00D87B79">
              <w:rPr>
                <w:rFonts w:cs="Tahoma"/>
                <w:color w:val="000000"/>
                <w:szCs w:val="18"/>
              </w:rPr>
              <w:t xml:space="preserve"> </w:t>
            </w:r>
            <w:r w:rsidRPr="00D87B79">
              <w:rPr>
                <w:rFonts w:cs="Tahoma"/>
                <w:color w:val="000000"/>
                <w:lang w:val="it-IT"/>
              </w:rPr>
              <w:t>è possibile ignorare il requisito di quantità per l’ordine nel caso in cui venga fornita un’iscrizione qualificante.</w:t>
            </w:r>
          </w:p>
          <w:p w:rsidR="00A92422" w:rsidRPr="000C2911" w:rsidRDefault="00A92422" w:rsidP="00EA30FC">
            <w:pPr>
              <w:rPr>
                <w:rFonts w:cs="Tahoma"/>
                <w:sz w:val="16"/>
                <w:szCs w:val="16"/>
              </w:rPr>
            </w:pPr>
          </w:p>
          <w:p w:rsidR="00A92422" w:rsidRPr="00D87B79" w:rsidRDefault="00A92422" w:rsidP="00EA30FC">
            <w:pPr>
              <w:rPr>
                <w:rFonts w:cs="Tahoma"/>
              </w:rPr>
            </w:pPr>
            <w:r w:rsidRPr="00D87B79">
              <w:rPr>
                <w:rFonts w:cs="Tahoma"/>
                <w:b/>
                <w:color w:val="000000"/>
                <w:szCs w:val="18"/>
                <w:lang w:val="it-IT"/>
              </w:rPr>
              <w:t>Nota:</w:t>
            </w:r>
            <w:r w:rsidRPr="00D87B79">
              <w:rPr>
                <w:rFonts w:cs="Tahoma"/>
                <w:b/>
                <w:color w:val="000000"/>
                <w:szCs w:val="18"/>
              </w:rPr>
              <w:t xml:space="preserve"> </w:t>
            </w:r>
            <w:r w:rsidRPr="00D87B79">
              <w:rPr>
                <w:rFonts w:cs="Tahoma"/>
                <w:color w:val="000000"/>
                <w:lang w:val="it-IT"/>
              </w:rPr>
              <w:t>le licenze CAL (Client Access License) acquistate ai sensi del contratto Enrollment for Education Solutions (EES) nell'opzione non per l'intera Organizzazione potranno essere cedute e utilizzate come licenze CAL per dispositivo o user CAL, a discrezione dell'Istituto. Le user CAL non potranno essere cedute di nuovo come licenze CAL per dispositivo e le licenze CAL per dispositivo non potranno essere cedute di nuovo come user CAL, tranne nel caso di seguito indicato. Qualsiasi licenza CAL ordinata in base all'opzione non per l'intera Organizzazione potrà essere ceduta di nuovo e utilizzata come licenza CAL per dispositivo o user CAL in fase di rinnovo della sottoscrizione attraverso un nuovo Contratto.</w:t>
            </w:r>
          </w:p>
          <w:p w:rsidR="00A92422" w:rsidRPr="00D87B79" w:rsidRDefault="00A92422" w:rsidP="00EA30FC">
            <w:pPr>
              <w:rPr>
                <w:rFonts w:cs="Tahoma"/>
                <w:lang w:eastAsia="ja-JP"/>
              </w:rPr>
            </w:pPr>
          </w:p>
        </w:tc>
      </w:tr>
    </w:tbl>
    <w:p w:rsidR="00A92422" w:rsidRPr="000C2911" w:rsidRDefault="00A92422" w:rsidP="00A92422">
      <w:pPr>
        <w:pStyle w:val="Heading3"/>
        <w:ind w:right="720"/>
        <w:rPr>
          <w:rFonts w:ascii="Tahoma" w:hAnsi="Tahoma" w:cs="Tahoma"/>
          <w:sz w:val="16"/>
          <w:szCs w:val="16"/>
        </w:rPr>
      </w:pPr>
      <w:bookmarkStart w:id="744" w:name="_Toc323159731"/>
      <w:bookmarkStart w:id="745" w:name="_Toc325609171"/>
      <w:bookmarkStart w:id="746" w:name="_Toc336338192"/>
    </w:p>
    <w:p w:rsidR="00A92422" w:rsidRPr="000C2911" w:rsidRDefault="00A92422" w:rsidP="00A92422">
      <w:pPr>
        <w:pStyle w:val="Heading3"/>
        <w:ind w:right="720"/>
        <w:rPr>
          <w:rFonts w:ascii="Tahoma" w:hAnsi="Tahoma" w:cs="Tahoma"/>
          <w:sz w:val="16"/>
          <w:szCs w:val="16"/>
        </w:rPr>
      </w:pPr>
    </w:p>
    <w:p w:rsidR="00A92422" w:rsidRPr="00D87B79" w:rsidRDefault="00A92422" w:rsidP="00A92422">
      <w:pPr>
        <w:pStyle w:val="Heading3"/>
        <w:ind w:right="720"/>
        <w:rPr>
          <w:rFonts w:ascii="Tahoma" w:hAnsi="Tahoma" w:cs="Tahoma"/>
        </w:rPr>
      </w:pPr>
      <w:bookmarkStart w:id="747" w:name="_Toc342900244"/>
      <w:bookmarkEnd w:id="744"/>
      <w:bookmarkEnd w:id="745"/>
      <w:bookmarkEnd w:id="746"/>
      <w:r w:rsidRPr="00D87B79">
        <w:rPr>
          <w:rFonts w:ascii="Tahoma" w:hAnsi="Tahoma" w:cs="Tahoma"/>
          <w:sz w:val="24"/>
          <w:lang w:val="it-IT"/>
        </w:rPr>
        <w:t>Piattaforme</w:t>
      </w:r>
      <w:bookmarkEnd w:id="747"/>
    </w:p>
    <w:p w:rsidR="00A92422" w:rsidRPr="00D87B79" w:rsidRDefault="00A92422" w:rsidP="00A92422">
      <w:pPr>
        <w:rPr>
          <w:rFonts w:cs="Tahoma"/>
        </w:rPr>
      </w:pPr>
    </w:p>
    <w:tbl>
      <w:tblPr>
        <w:tblW w:w="0" w:type="auto"/>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A92422" w:rsidRPr="00D87B79" w:rsidTr="00EA30FC">
        <w:tc>
          <w:tcPr>
            <w:tcW w:w="1890" w:type="dxa"/>
            <w:shd w:val="clear" w:color="auto" w:fill="FABF8F"/>
          </w:tcPr>
          <w:p w:rsidR="00A92422" w:rsidRPr="00D87B79" w:rsidRDefault="00A92422" w:rsidP="00EA30FC">
            <w:pPr>
              <w:rPr>
                <w:rFonts w:cs="Tahoma"/>
                <w:b/>
                <w:sz w:val="22"/>
                <w:lang w:eastAsia="ja-JP"/>
              </w:rPr>
            </w:pPr>
            <w:r w:rsidRPr="00D87B79">
              <w:rPr>
                <w:rFonts w:cs="Tahoma"/>
                <w:b/>
                <w:sz w:val="22"/>
                <w:lang w:val="it-IT"/>
              </w:rPr>
              <w:t>Programmi</w:t>
            </w:r>
          </w:p>
        </w:tc>
        <w:tc>
          <w:tcPr>
            <w:tcW w:w="7308" w:type="dxa"/>
            <w:shd w:val="clear" w:color="auto" w:fill="FABF8F"/>
          </w:tcPr>
          <w:p w:rsidR="00A92422" w:rsidRPr="00D87B79" w:rsidRDefault="00A92422" w:rsidP="00EA30FC">
            <w:pPr>
              <w:jc w:val="center"/>
              <w:rPr>
                <w:rFonts w:cs="Tahoma"/>
                <w:b/>
                <w:sz w:val="22"/>
                <w:lang w:eastAsia="ja-JP"/>
              </w:rPr>
            </w:pPr>
            <w:r w:rsidRPr="00D87B79">
              <w:rPr>
                <w:rFonts w:cs="Tahoma"/>
                <w:b/>
                <w:sz w:val="22"/>
                <w:lang w:val="it-IT" w:eastAsia="ja-JP"/>
              </w:rPr>
              <w:t>Piattaforme</w:t>
            </w:r>
          </w:p>
        </w:tc>
      </w:tr>
      <w:tr w:rsidR="00A92422" w:rsidRPr="00D87B79" w:rsidTr="00EA30FC">
        <w:tc>
          <w:tcPr>
            <w:tcW w:w="1890" w:type="dxa"/>
          </w:tcPr>
          <w:p w:rsidR="00A92422" w:rsidRPr="00D87B79" w:rsidRDefault="00A92422" w:rsidP="00EA30FC">
            <w:pPr>
              <w:rPr>
                <w:rFonts w:cs="Tahoma"/>
                <w:b/>
                <w:lang w:eastAsia="ja-JP"/>
              </w:rPr>
            </w:pPr>
            <w:r w:rsidRPr="00D87B79">
              <w:rPr>
                <w:rFonts w:cs="Tahoma"/>
                <w:b/>
                <w:lang w:val="it-IT"/>
              </w:rPr>
              <w:t>Contratto Enterprise e</w:t>
            </w:r>
            <w:r>
              <w:rPr>
                <w:rFonts w:cs="Tahoma"/>
                <w:b/>
                <w:lang w:val="it-IT"/>
              </w:rPr>
              <w:t> </w:t>
            </w:r>
            <w:r w:rsidRPr="00D87B79">
              <w:rPr>
                <w:rFonts w:cs="Tahoma"/>
                <w:b/>
                <w:lang w:val="it-IT"/>
              </w:rPr>
              <w:t>Contratto Enterprise Subscription</w:t>
            </w:r>
          </w:p>
        </w:tc>
        <w:tc>
          <w:tcPr>
            <w:tcW w:w="7308" w:type="dxa"/>
          </w:tcPr>
          <w:p w:rsidR="00A92422" w:rsidRPr="00D87B79" w:rsidRDefault="00A92422" w:rsidP="00EA30FC">
            <w:pPr>
              <w:numPr>
                <w:ilvl w:val="0"/>
                <w:numId w:val="3"/>
              </w:numPr>
              <w:ind w:left="720"/>
              <w:rPr>
                <w:rFonts w:cs="Tahoma"/>
              </w:rPr>
            </w:pPr>
            <w:r w:rsidRPr="00D87B79">
              <w:rPr>
                <w:rFonts w:cs="Tahoma"/>
                <w:color w:val="000000"/>
                <w:lang w:val="it-IT"/>
              </w:rPr>
              <w:t>Prodotti della Piattaforma Enterprise Desktop</w:t>
            </w:r>
          </w:p>
          <w:p w:rsidR="00A92422" w:rsidRPr="000C2911" w:rsidRDefault="00A92422" w:rsidP="00EA30FC">
            <w:pPr>
              <w:rPr>
                <w:rFonts w:cs="Tahoma"/>
                <w:sz w:val="16"/>
                <w:szCs w:val="16"/>
              </w:rPr>
            </w:pPr>
          </w:p>
          <w:p w:rsidR="00A92422" w:rsidRDefault="00A92422" w:rsidP="00EA30FC">
            <w:pPr>
              <w:ind w:left="360"/>
              <w:rPr>
                <w:rFonts w:cs="Tahoma"/>
                <w:color w:val="000000"/>
                <w:lang w:val="it-IT"/>
              </w:rPr>
            </w:pPr>
            <w:r w:rsidRPr="00D87B79">
              <w:rPr>
                <w:rFonts w:cs="Tahoma"/>
                <w:lang w:val="it-IT"/>
              </w:rPr>
              <w:t xml:space="preserve">I prodotti della piattaforma Enterprise Desktop sono disponibili per le società con un Contratto Enterprise. La Piattaforma Enterprise Desktop include la versione più aggiornata di Office Professional Plus, dell’Aggiornamento per il Sistema Operativo Windows 8 </w:t>
            </w:r>
            <w:r w:rsidRPr="00D87B79">
              <w:rPr>
                <w:rFonts w:cs="Tahoma"/>
                <w:color w:val="000000"/>
                <w:lang w:val="it-IT"/>
              </w:rPr>
              <w:t>Pro</w:t>
            </w:r>
            <w:r w:rsidRPr="00D87B79">
              <w:rPr>
                <w:rFonts w:cs="Tahoma"/>
                <w:lang w:val="it-IT"/>
              </w:rPr>
              <w:t xml:space="preserve"> o Windows Virtual Desktop Access (VDA) e la licenza Enterprise CAL Suite.</w:t>
            </w:r>
            <w:r w:rsidRPr="00D87B79">
              <w:rPr>
                <w:rFonts w:cs="Tahoma"/>
              </w:rPr>
              <w:t xml:space="preserve"> </w:t>
            </w:r>
            <w:r w:rsidRPr="00D87B79">
              <w:rPr>
                <w:rFonts w:cs="Tahoma"/>
                <w:color w:val="000000"/>
                <w:lang w:val="it-IT"/>
              </w:rPr>
              <w:t>I Prodotti della Piattaforma Enterprise Desktop sono indicati da una “E” nelle colonne del Contratto Enterprise.</w:t>
            </w:r>
            <w:r w:rsidRPr="00D87B79">
              <w:rPr>
                <w:rFonts w:cs="Tahoma"/>
              </w:rPr>
              <w:t xml:space="preserve"> </w:t>
            </w:r>
            <w:r w:rsidRPr="00D87B79">
              <w:rPr>
                <w:rFonts w:cs="Tahoma"/>
                <w:color w:val="000000"/>
                <w:lang w:val="it-IT"/>
              </w:rPr>
              <w:t>Le società che hanno sottoscritto un Contratto Enterprise ed Enterprise Subscription possono anch’esse acquistare la piattaforma Enterprise Desktop con MDOP.</w:t>
            </w:r>
          </w:p>
          <w:p w:rsidR="00A92422" w:rsidRPr="000C2911" w:rsidRDefault="00A92422" w:rsidP="00EA30FC">
            <w:pPr>
              <w:ind w:left="360"/>
              <w:rPr>
                <w:rFonts w:cs="Tahoma"/>
                <w:sz w:val="16"/>
                <w:szCs w:val="16"/>
              </w:rPr>
            </w:pPr>
          </w:p>
          <w:p w:rsidR="00A92422" w:rsidRPr="00D87B79" w:rsidRDefault="00A92422" w:rsidP="00EA30FC">
            <w:pPr>
              <w:numPr>
                <w:ilvl w:val="0"/>
                <w:numId w:val="3"/>
              </w:numPr>
              <w:ind w:left="720"/>
              <w:rPr>
                <w:rFonts w:cs="Tahoma"/>
              </w:rPr>
            </w:pPr>
            <w:r w:rsidRPr="00D87B79">
              <w:rPr>
                <w:rFonts w:cs="Tahoma"/>
                <w:color w:val="000000"/>
                <w:lang w:val="it-IT"/>
              </w:rPr>
              <w:t>Prodotti della Piattaforma Professional Desktop</w:t>
            </w:r>
          </w:p>
          <w:p w:rsidR="00A92422" w:rsidRPr="000C2911" w:rsidRDefault="00A92422" w:rsidP="00EA30FC">
            <w:pPr>
              <w:rPr>
                <w:rFonts w:cs="Tahoma"/>
                <w:sz w:val="16"/>
                <w:szCs w:val="16"/>
              </w:rPr>
            </w:pPr>
          </w:p>
          <w:p w:rsidR="00A92422" w:rsidRPr="000C2911" w:rsidRDefault="00A92422" w:rsidP="00EA30FC">
            <w:pPr>
              <w:ind w:left="360"/>
              <w:rPr>
                <w:rFonts w:cs="Tahoma"/>
              </w:rPr>
            </w:pPr>
            <w:r w:rsidRPr="00D87B79">
              <w:rPr>
                <w:rFonts w:cs="Tahoma"/>
                <w:color w:val="000000"/>
                <w:szCs w:val="18"/>
                <w:lang w:val="it-IT"/>
              </w:rPr>
              <w:t>I prodotti della piattaforma Professional Desktop sono disponibili per le società che</w:t>
            </w:r>
            <w:r>
              <w:rPr>
                <w:rFonts w:cs="Tahoma"/>
                <w:color w:val="000000"/>
                <w:szCs w:val="18"/>
                <w:lang w:val="it-IT"/>
              </w:rPr>
              <w:t> </w:t>
            </w:r>
            <w:r w:rsidRPr="00D87B79">
              <w:rPr>
                <w:rFonts w:cs="Tahoma"/>
                <w:color w:val="000000"/>
                <w:szCs w:val="18"/>
                <w:lang w:val="it-IT"/>
              </w:rPr>
              <w:t>hanno sottoscritto un Contratto Enterprise.</w:t>
            </w:r>
            <w:r w:rsidRPr="00D87B79">
              <w:rPr>
                <w:rFonts w:cs="Tahoma"/>
              </w:rPr>
              <w:t xml:space="preserve"> </w:t>
            </w:r>
            <w:r w:rsidRPr="00D87B79">
              <w:rPr>
                <w:rFonts w:cs="Tahoma"/>
                <w:color w:val="000000"/>
                <w:lang w:val="it-IT"/>
              </w:rPr>
              <w:t>La Piattaforma Professional Desktop include la versione più aggiornata di Office Professional Plus, l’Aggiornamento per il</w:t>
            </w:r>
            <w:r>
              <w:rPr>
                <w:rFonts w:cs="Tahoma"/>
                <w:color w:val="000000"/>
                <w:lang w:val="it-IT"/>
              </w:rPr>
              <w:t> </w:t>
            </w:r>
            <w:r w:rsidRPr="00D87B79">
              <w:rPr>
                <w:rFonts w:cs="Tahoma"/>
                <w:color w:val="000000"/>
                <w:lang w:val="it-IT"/>
              </w:rPr>
              <w:t>Sistema Operativo Windows 8 Pro o Windows Virtual Enterprise Desktop Access (VDA) (solo per i Contratti EA) e la licenza Core CAL Suite.</w:t>
            </w:r>
            <w:r w:rsidRPr="00D87B79">
              <w:rPr>
                <w:rFonts w:cs="Tahoma"/>
              </w:rPr>
              <w:t xml:space="preserve"> </w:t>
            </w:r>
            <w:r w:rsidRPr="00D87B79">
              <w:rPr>
                <w:rFonts w:cs="Tahoma"/>
                <w:color w:val="000000"/>
                <w:lang w:val="it-IT"/>
              </w:rPr>
              <w:t>I prodotti della piattaforma Professional Desktop sono indicati da una “E” nelle colonne del Contratto Enterprise.</w:t>
            </w:r>
            <w:r w:rsidRPr="00D87B79">
              <w:rPr>
                <w:rFonts w:cs="Tahoma"/>
              </w:rPr>
              <w:t xml:space="preserve"> </w:t>
            </w:r>
            <w:r w:rsidRPr="00D87B79">
              <w:rPr>
                <w:rFonts w:cs="Tahoma"/>
                <w:color w:val="000000"/>
                <w:lang w:val="it-IT"/>
              </w:rPr>
              <w:t>Le società che hanno sottoscritto un Contratto Enterprise ed</w:t>
            </w:r>
            <w:r>
              <w:rPr>
                <w:rFonts w:cs="Tahoma"/>
                <w:color w:val="000000"/>
                <w:lang w:val="it-IT"/>
              </w:rPr>
              <w:t> </w:t>
            </w:r>
            <w:r w:rsidRPr="00D87B79">
              <w:rPr>
                <w:rFonts w:cs="Tahoma"/>
                <w:color w:val="000000"/>
                <w:lang w:val="it-IT"/>
              </w:rPr>
              <w:t>Enterprise Subscription possono anch’esse acquistare la piattaforma Professional Desktop con MDOP.</w:t>
            </w:r>
          </w:p>
        </w:tc>
      </w:tr>
      <w:tr w:rsidR="00A92422" w:rsidRPr="00D87B79" w:rsidTr="00EA30FC">
        <w:trPr>
          <w:trHeight w:val="278"/>
        </w:trPr>
        <w:tc>
          <w:tcPr>
            <w:tcW w:w="1890" w:type="dxa"/>
          </w:tcPr>
          <w:p w:rsidR="00A92422" w:rsidRPr="00D87B79" w:rsidRDefault="00A92422" w:rsidP="00EA30FC">
            <w:pPr>
              <w:rPr>
                <w:rFonts w:cs="Tahoma"/>
                <w:b/>
                <w:lang w:eastAsia="ja-JP"/>
              </w:rPr>
            </w:pPr>
            <w:r w:rsidRPr="00D87B79">
              <w:rPr>
                <w:rFonts w:cs="Tahoma"/>
                <w:b/>
                <w:sz w:val="20"/>
                <w:lang w:val="it-IT"/>
              </w:rPr>
              <w:lastRenderedPageBreak/>
              <w:t>Open Value e</w:t>
            </w:r>
            <w:r>
              <w:rPr>
                <w:rFonts w:cs="Tahoma"/>
                <w:b/>
                <w:sz w:val="20"/>
                <w:lang w:val="it-IT"/>
              </w:rPr>
              <w:t> </w:t>
            </w:r>
            <w:r w:rsidRPr="00D87B79">
              <w:rPr>
                <w:rFonts w:cs="Tahoma"/>
                <w:b/>
                <w:sz w:val="20"/>
                <w:lang w:val="it-IT"/>
              </w:rPr>
              <w:t>Open Value Subscription (per Società Commerciali ed Enti Pubblici)</w:t>
            </w:r>
          </w:p>
        </w:tc>
        <w:tc>
          <w:tcPr>
            <w:tcW w:w="7308" w:type="dxa"/>
          </w:tcPr>
          <w:p w:rsidR="00A92422" w:rsidRPr="00D87B79" w:rsidRDefault="00A92422" w:rsidP="00EA30FC">
            <w:pPr>
              <w:numPr>
                <w:ilvl w:val="0"/>
                <w:numId w:val="3"/>
              </w:numPr>
              <w:ind w:left="720"/>
              <w:rPr>
                <w:rFonts w:cs="Tahoma"/>
              </w:rPr>
            </w:pPr>
            <w:r w:rsidRPr="00D87B79">
              <w:rPr>
                <w:rFonts w:cs="Tahoma"/>
                <w:lang w:val="it-IT"/>
              </w:rPr>
              <w:t>Prodotti della Piattaforma Desktop Personalizzati</w:t>
            </w:r>
          </w:p>
          <w:p w:rsidR="00A92422" w:rsidRPr="00D87B79" w:rsidRDefault="00A92422" w:rsidP="00EA30FC">
            <w:pPr>
              <w:rPr>
                <w:rFonts w:cs="Tahoma"/>
              </w:rPr>
            </w:pPr>
          </w:p>
          <w:p w:rsidR="00A92422" w:rsidRPr="00D87B79" w:rsidRDefault="00A92422" w:rsidP="00EA30FC">
            <w:pPr>
              <w:ind w:left="360"/>
              <w:rPr>
                <w:rFonts w:cs="Tahoma"/>
              </w:rPr>
            </w:pPr>
            <w:r w:rsidRPr="00D87B79">
              <w:rPr>
                <w:rFonts w:cs="Tahoma"/>
                <w:lang w:val="it-IT"/>
              </w:rPr>
              <w:t>I Prodotti della Piattaforma Desktop Personalizzati sono disponibili per le società Open Value e Open Value Subscription quando scelgono l’opzione per l’intera organizzazione/a livello aziendale.</w:t>
            </w:r>
            <w:r w:rsidRPr="00D87B79">
              <w:rPr>
                <w:rFonts w:cs="Tahoma"/>
              </w:rPr>
              <w:t xml:space="preserve"> </w:t>
            </w:r>
            <w:r w:rsidRPr="00D87B79">
              <w:rPr>
                <w:rFonts w:cs="Tahoma"/>
                <w:color w:val="000000"/>
                <w:lang w:val="it-IT"/>
              </w:rPr>
              <w:t>La Piattaforma Desktop Personalizzata include le</w:t>
            </w:r>
            <w:r>
              <w:rPr>
                <w:rFonts w:cs="Tahoma"/>
                <w:color w:val="000000"/>
                <w:lang w:val="it-IT"/>
              </w:rPr>
              <w:t> </w:t>
            </w:r>
            <w:r w:rsidRPr="00D87B79">
              <w:rPr>
                <w:rFonts w:cs="Tahoma"/>
                <w:color w:val="000000"/>
                <w:lang w:val="it-IT"/>
              </w:rPr>
              <w:t>versioni correnti di Office Professional Plus, l’Aggiornamento per il Sistema Operativo Windows 8 Pro*, la licenza di accesso client per Enterprise CAL Suite, Core CAL Suite, Essential Business Server CAL Suite o Small Business Server CAL Suite.</w:t>
            </w:r>
            <w:r w:rsidRPr="00D87B79">
              <w:rPr>
                <w:rFonts w:cs="Tahoma"/>
              </w:rPr>
              <w:t xml:space="preserve"> </w:t>
            </w:r>
            <w:r w:rsidRPr="00D87B79">
              <w:rPr>
                <w:rFonts w:cs="Tahoma"/>
                <w:color w:val="000000"/>
                <w:lang w:val="it-IT"/>
              </w:rPr>
              <w:t>I Prodotti della Piattaforma Desktop Personalizzati sono indicati da una “E” nelle colonne Open Value.</w:t>
            </w:r>
            <w:r w:rsidRPr="00D87B79">
              <w:rPr>
                <w:rFonts w:cs="Tahoma"/>
              </w:rPr>
              <w:t xml:space="preserve"> </w:t>
            </w:r>
          </w:p>
          <w:p w:rsidR="00A92422" w:rsidRPr="00D87B79" w:rsidRDefault="00A92422" w:rsidP="00EA30FC">
            <w:pPr>
              <w:rPr>
                <w:rFonts w:cs="Tahoma"/>
                <w:szCs w:val="18"/>
                <w:lang w:eastAsia="ja-JP"/>
              </w:rPr>
            </w:pPr>
          </w:p>
        </w:tc>
      </w:tr>
      <w:tr w:rsidR="00A92422" w:rsidRPr="00D87B79" w:rsidTr="00EA30FC">
        <w:trPr>
          <w:trHeight w:val="278"/>
        </w:trPr>
        <w:tc>
          <w:tcPr>
            <w:tcW w:w="1890" w:type="dxa"/>
          </w:tcPr>
          <w:p w:rsidR="00A92422" w:rsidRPr="00D87B79" w:rsidRDefault="00A92422" w:rsidP="00EA30FC">
            <w:pPr>
              <w:rPr>
                <w:rFonts w:cs="Tahoma"/>
                <w:b/>
                <w:lang w:eastAsia="ja-JP"/>
              </w:rPr>
            </w:pPr>
            <w:r w:rsidRPr="00D87B79">
              <w:rPr>
                <w:rFonts w:cs="Tahoma"/>
                <w:b/>
                <w:sz w:val="20"/>
                <w:lang w:val="it-IT"/>
              </w:rPr>
              <w:t>Piattaforme Academic (EES, OVS-ES e Contratto School)</w:t>
            </w:r>
          </w:p>
        </w:tc>
        <w:tc>
          <w:tcPr>
            <w:tcW w:w="7308" w:type="dxa"/>
          </w:tcPr>
          <w:p w:rsidR="00A92422" w:rsidRPr="00D87B79" w:rsidRDefault="00A92422" w:rsidP="00EA30FC">
            <w:pPr>
              <w:numPr>
                <w:ilvl w:val="0"/>
                <w:numId w:val="3"/>
              </w:numPr>
              <w:spacing w:after="60"/>
              <w:ind w:left="720"/>
              <w:rPr>
                <w:rFonts w:cs="Tahoma"/>
              </w:rPr>
            </w:pPr>
            <w:r w:rsidRPr="00D87B79">
              <w:rPr>
                <w:rFonts w:cs="Tahoma"/>
                <w:lang w:val="it-IT"/>
              </w:rPr>
              <w:t>Prodotti della Piattaforma Desktop Education e Piattaforma Desktop School con</w:t>
            </w:r>
            <w:r>
              <w:rPr>
                <w:rFonts w:cs="Tahoma"/>
                <w:lang w:val="it-IT"/>
              </w:rPr>
              <w:t> </w:t>
            </w:r>
            <w:r w:rsidRPr="00D87B79">
              <w:rPr>
                <w:rFonts w:cs="Tahoma"/>
                <w:lang w:val="it-IT"/>
              </w:rPr>
              <w:t>Enterprise CAL Suite</w:t>
            </w:r>
          </w:p>
          <w:p w:rsidR="00A92422" w:rsidRPr="00D87B79" w:rsidRDefault="00A92422" w:rsidP="00EA30FC">
            <w:pPr>
              <w:numPr>
                <w:ilvl w:val="0"/>
                <w:numId w:val="3"/>
              </w:numPr>
              <w:spacing w:after="60"/>
              <w:ind w:left="720"/>
              <w:rPr>
                <w:rFonts w:cs="Tahoma"/>
              </w:rPr>
            </w:pPr>
            <w:r w:rsidRPr="00D87B79">
              <w:rPr>
                <w:rFonts w:cs="Tahoma"/>
                <w:lang w:val="it-IT"/>
              </w:rPr>
              <w:t>Prodotti della Piattaforma Desktop Education e Piattaforma Desktop School con</w:t>
            </w:r>
            <w:r>
              <w:rPr>
                <w:rFonts w:cs="Tahoma"/>
                <w:lang w:val="it-IT"/>
              </w:rPr>
              <w:t> </w:t>
            </w:r>
            <w:r w:rsidRPr="00D87B79">
              <w:rPr>
                <w:rFonts w:cs="Tahoma"/>
                <w:lang w:val="it-IT"/>
              </w:rPr>
              <w:t>Core CAL Suite</w:t>
            </w:r>
          </w:p>
          <w:p w:rsidR="00A92422" w:rsidRPr="00D87B79" w:rsidRDefault="00A92422" w:rsidP="00EA30FC">
            <w:pPr>
              <w:rPr>
                <w:rFonts w:cs="Tahoma"/>
              </w:rPr>
            </w:pPr>
          </w:p>
          <w:p w:rsidR="00A92422" w:rsidRPr="00D87B79" w:rsidRDefault="00A92422" w:rsidP="00EA30FC">
            <w:pPr>
              <w:ind w:left="360"/>
              <w:rPr>
                <w:rFonts w:cs="Tahoma"/>
              </w:rPr>
            </w:pPr>
            <w:r w:rsidRPr="00D87B79">
              <w:rPr>
                <w:rFonts w:cs="Tahoma"/>
                <w:lang w:val="it-IT"/>
              </w:rPr>
              <w:t>I Prodotti della Piattaforma Desktop Education sono disponibili per le società Enrollment for Education Solutions (EES) e Open Value Subscription - Education Solutions (OVS-ES).</w:t>
            </w:r>
            <w:r w:rsidRPr="00D87B79">
              <w:rPr>
                <w:rFonts w:cs="Tahoma"/>
              </w:rPr>
              <w:t xml:space="preserve"> </w:t>
            </w:r>
            <w:r w:rsidRPr="00D87B79">
              <w:rPr>
                <w:rFonts w:cs="Tahoma"/>
                <w:lang w:val="it-IT"/>
              </w:rPr>
              <w:t>I Prodotti della Piattaforma Desktop School sono disponibili per</w:t>
            </w:r>
            <w:r>
              <w:rPr>
                <w:rFonts w:cs="Tahoma"/>
                <w:lang w:val="it-IT"/>
              </w:rPr>
              <w:t> </w:t>
            </w:r>
            <w:r w:rsidRPr="00D87B79">
              <w:rPr>
                <w:rFonts w:cs="Tahoma"/>
                <w:lang w:val="it-IT"/>
              </w:rPr>
              <w:t>le società che hanno sottoscritto un Contratto School.</w:t>
            </w:r>
            <w:r w:rsidRPr="00D87B79">
              <w:rPr>
                <w:rFonts w:cs="Tahoma"/>
              </w:rPr>
              <w:t xml:space="preserve"> </w:t>
            </w:r>
            <w:r w:rsidRPr="00D87B79">
              <w:rPr>
                <w:rFonts w:cs="Tahoma"/>
                <w:lang w:val="it-IT"/>
              </w:rPr>
              <w:t>La Piattaforma Desktop Education con Enterprise CAL Suite e la Piattaforma Desktop School con Enterprise CAL Suite includono la versione più aggiornata di Office Professional Plus o Office per Mac, l’Aggiornamento per il Sistema Operativo Windows 8 Pro e la licenza Enterprise CAL Suite.</w:t>
            </w:r>
            <w:r w:rsidRPr="00D87B79">
              <w:rPr>
                <w:rFonts w:cs="Tahoma"/>
              </w:rPr>
              <w:t xml:space="preserve"> </w:t>
            </w:r>
          </w:p>
          <w:p w:rsidR="00A92422" w:rsidRPr="00D87B79" w:rsidRDefault="00A92422" w:rsidP="00EA30FC">
            <w:pPr>
              <w:ind w:left="360"/>
              <w:rPr>
                <w:rFonts w:cs="Tahoma"/>
              </w:rPr>
            </w:pPr>
          </w:p>
          <w:p w:rsidR="00A92422" w:rsidRPr="00D87B79" w:rsidRDefault="00A92422" w:rsidP="00EA30FC">
            <w:pPr>
              <w:ind w:left="360"/>
              <w:rPr>
                <w:rFonts w:cs="Tahoma"/>
              </w:rPr>
            </w:pPr>
            <w:r w:rsidRPr="00D87B79">
              <w:rPr>
                <w:rFonts w:cs="Tahoma"/>
                <w:lang w:val="it-IT"/>
              </w:rPr>
              <w:t>Il Prodotto della Piattaforma Desktop School nel listino prezzi conta come 3 unità.</w:t>
            </w:r>
          </w:p>
          <w:p w:rsidR="00A92422" w:rsidRPr="00D87B79" w:rsidRDefault="00A92422" w:rsidP="00EA30FC">
            <w:pPr>
              <w:rPr>
                <w:rFonts w:cs="Tahoma"/>
              </w:rPr>
            </w:pPr>
          </w:p>
          <w:p w:rsidR="00A92422" w:rsidRPr="00D87B79" w:rsidRDefault="00A92422" w:rsidP="00EA30FC">
            <w:pPr>
              <w:tabs>
                <w:tab w:val="left" w:pos="8640"/>
              </w:tabs>
              <w:ind w:left="360" w:right="720"/>
              <w:rPr>
                <w:rFonts w:cs="Tahoma"/>
              </w:rPr>
            </w:pPr>
            <w:r w:rsidRPr="00D87B79">
              <w:rPr>
                <w:rFonts w:cs="Tahoma"/>
                <w:b/>
                <w:bCs/>
                <w:color w:val="000000"/>
                <w:szCs w:val="18"/>
                <w:lang w:val="it-IT"/>
              </w:rPr>
              <w:t>Nota:</w:t>
            </w:r>
            <w:r w:rsidRPr="00D87B79">
              <w:rPr>
                <w:rFonts w:cs="Tahoma"/>
                <w:b/>
                <w:bCs/>
                <w:color w:val="000000"/>
                <w:szCs w:val="18"/>
              </w:rPr>
              <w:t xml:space="preserve"> </w:t>
            </w:r>
            <w:r w:rsidRPr="00D87B79">
              <w:rPr>
                <w:rFonts w:cs="Tahoma"/>
                <w:bCs/>
                <w:color w:val="000000"/>
                <w:szCs w:val="18"/>
                <w:lang w:val="it-IT"/>
              </w:rPr>
              <w:t>le società con contratti EES e OVS-ES non sono idonee a scegliere Prodotti della Piattaforma Desktop e singoli prodotti con CAL inclusi nella Core CAL Suite o nell’Enterprise CAL Suite per un solo componente del Numero dell’intera organizzazione e/o degli Studenti.</w:t>
            </w:r>
            <w:r w:rsidRPr="00D87B79">
              <w:rPr>
                <w:rFonts w:cs="Tahoma"/>
              </w:rPr>
              <w:t xml:space="preserve"> </w:t>
            </w:r>
            <w:r w:rsidRPr="00D87B79">
              <w:rPr>
                <w:rFonts w:cs="Tahoma"/>
                <w:color w:val="000000"/>
                <w:lang w:val="it-IT"/>
              </w:rPr>
              <w:t>Ad esempio, qualora l’abbonamento sia per un Numero di 1.200 Dipendenti Full Time dell’intera Organizzazione, i Prodotti della Piattaforma Desktop e i prodotti dei componenti di CAL Suite selezionati saranno per un Numero di 1.000 dell’intera Organizzazione, anche nel caso in cui su una parte di tali PC venga eseguito un particolare prodotto della Piattaforma Desktop o un prodotto con CAL del componente.</w:t>
            </w:r>
          </w:p>
          <w:p w:rsidR="00A92422" w:rsidRPr="00D87B79" w:rsidRDefault="00A92422" w:rsidP="00EA30FC">
            <w:pPr>
              <w:rPr>
                <w:rFonts w:cs="Tahoma"/>
                <w:szCs w:val="18"/>
                <w:lang w:eastAsia="ja-JP"/>
              </w:rPr>
            </w:pPr>
          </w:p>
        </w:tc>
      </w:tr>
    </w:tbl>
    <w:p w:rsidR="00A92422" w:rsidRPr="00AD19B1" w:rsidRDefault="00A92422" w:rsidP="00A92422">
      <w:pPr>
        <w:pStyle w:val="Heading3"/>
        <w:ind w:right="720"/>
        <w:rPr>
          <w:rFonts w:ascii="Tahoma" w:hAnsi="Tahoma" w:cs="Tahoma"/>
          <w:b w:val="0"/>
          <w:sz w:val="18"/>
          <w:szCs w:val="22"/>
        </w:rPr>
      </w:pPr>
      <w:bookmarkStart w:id="748" w:name="_Toc336338193"/>
    </w:p>
    <w:p w:rsidR="00A92422" w:rsidRPr="00D87B79" w:rsidRDefault="00A92422" w:rsidP="00A92422">
      <w:pPr>
        <w:rPr>
          <w:rFonts w:cs="Tahoma"/>
        </w:rPr>
      </w:pPr>
    </w:p>
    <w:p w:rsidR="00A92422" w:rsidRPr="00D87B79" w:rsidRDefault="00A92422" w:rsidP="00A92422">
      <w:pPr>
        <w:pStyle w:val="Heading3"/>
        <w:ind w:right="720"/>
        <w:rPr>
          <w:rFonts w:ascii="Tahoma" w:hAnsi="Tahoma" w:cs="Tahoma"/>
        </w:rPr>
      </w:pPr>
      <w:bookmarkStart w:id="749" w:name="_Toc342900245"/>
      <w:bookmarkEnd w:id="748"/>
      <w:r w:rsidRPr="00D87B79">
        <w:rPr>
          <w:rFonts w:ascii="Tahoma" w:hAnsi="Tahoma" w:cs="Tahoma"/>
          <w:sz w:val="24"/>
          <w:lang w:val="it-IT"/>
        </w:rPr>
        <w:t>Definizione di Gestione per i Dispositivi Qualificanti</w:t>
      </w:r>
      <w:bookmarkEnd w:id="749"/>
    </w:p>
    <w:p w:rsidR="00A92422" w:rsidRPr="00D87B79" w:rsidRDefault="00A92422" w:rsidP="00A92422">
      <w:pPr>
        <w:rPr>
          <w:rFonts w:cs="Tahoma"/>
        </w:rPr>
      </w:pPr>
    </w:p>
    <w:p w:rsidR="00A92422" w:rsidRPr="00D87B79" w:rsidRDefault="00A92422" w:rsidP="00A92422">
      <w:pPr>
        <w:rPr>
          <w:rFonts w:cs="Tahoma"/>
        </w:rPr>
      </w:pPr>
      <w:r w:rsidRPr="00D87B79">
        <w:rPr>
          <w:rFonts w:cs="Tahoma"/>
          <w:lang w:val="it-IT" w:eastAsia="ja-JP"/>
        </w:rPr>
        <w:t>Una società titolare di Contratti Multilicenza “gestisce” qualsiasi dispositivo su cui controlla direttamente o</w:t>
      </w:r>
      <w:r>
        <w:rPr>
          <w:rFonts w:cs="Tahoma"/>
          <w:lang w:val="it-IT" w:eastAsia="ja-JP"/>
        </w:rPr>
        <w:t> </w:t>
      </w:r>
      <w:r w:rsidRPr="00D87B79">
        <w:rPr>
          <w:rFonts w:cs="Tahoma"/>
          <w:lang w:val="it-IT" w:eastAsia="ja-JP"/>
        </w:rPr>
        <w:t>indirettamente uno o più ambienti del sistema operativo.</w:t>
      </w:r>
      <w:r w:rsidRPr="00D87B79">
        <w:rPr>
          <w:rFonts w:cs="Tahoma"/>
        </w:rPr>
        <w:t xml:space="preserve"> </w:t>
      </w:r>
      <w:r w:rsidRPr="00D87B79">
        <w:rPr>
          <w:rFonts w:cs="Tahoma"/>
          <w:lang w:val="it-IT"/>
        </w:rPr>
        <w:t>Ad esempio, una società titolare di Contratti Multilicenza</w:t>
      </w:r>
      <w:r>
        <w:rPr>
          <w:rFonts w:cs="Tahoma"/>
          <w:lang w:val="it-IT"/>
        </w:rPr>
        <w:t> </w:t>
      </w:r>
      <w:r w:rsidRPr="00D87B79">
        <w:rPr>
          <w:rFonts w:cs="Tahoma"/>
          <w:lang w:val="it-IT"/>
        </w:rPr>
        <w:t>gestisce qualsiasi dispositivo</w:t>
      </w:r>
    </w:p>
    <w:p w:rsidR="00A92422" w:rsidRPr="00D87B79" w:rsidRDefault="00A92422" w:rsidP="00A92422">
      <w:pPr>
        <w:spacing w:after="60"/>
        <w:rPr>
          <w:rFonts w:cs="Tahoma"/>
        </w:rPr>
      </w:pPr>
    </w:p>
    <w:p w:rsidR="00A92422" w:rsidRPr="00D87B79" w:rsidRDefault="00A92422" w:rsidP="00A92422">
      <w:pPr>
        <w:numPr>
          <w:ilvl w:val="0"/>
          <w:numId w:val="2"/>
        </w:numPr>
        <w:spacing w:after="60"/>
        <w:rPr>
          <w:rFonts w:cs="Tahoma"/>
        </w:rPr>
      </w:pPr>
      <w:r w:rsidRPr="00D87B79">
        <w:rPr>
          <w:rFonts w:cs="Tahoma"/>
          <w:lang w:val="it-IT"/>
        </w:rPr>
        <w:t>che autorizza a unirsi al suo dominio OPPURE</w:t>
      </w:r>
    </w:p>
    <w:p w:rsidR="00A92422" w:rsidRPr="00D87B79" w:rsidRDefault="00A92422" w:rsidP="00A92422">
      <w:pPr>
        <w:numPr>
          <w:ilvl w:val="0"/>
          <w:numId w:val="2"/>
        </w:numPr>
        <w:spacing w:after="60"/>
        <w:rPr>
          <w:rFonts w:cs="Tahoma"/>
        </w:rPr>
      </w:pPr>
      <w:r w:rsidRPr="00D87B79">
        <w:rPr>
          <w:rFonts w:cs="Tahoma"/>
          <w:lang w:val="it-IT"/>
        </w:rPr>
        <w:t>che autentica come requisito per utilizzare le applicazioni mentre si trova in sede OPPURE</w:t>
      </w:r>
    </w:p>
    <w:p w:rsidR="00A92422" w:rsidRPr="00D87B79" w:rsidRDefault="00A92422" w:rsidP="00A92422">
      <w:pPr>
        <w:numPr>
          <w:ilvl w:val="0"/>
          <w:numId w:val="2"/>
        </w:numPr>
        <w:spacing w:after="60"/>
        <w:rPr>
          <w:rFonts w:cs="Tahoma"/>
        </w:rPr>
      </w:pPr>
      <w:r w:rsidRPr="00D87B79">
        <w:rPr>
          <w:rFonts w:cs="Tahoma"/>
          <w:lang w:val="it-IT"/>
        </w:rPr>
        <w:t>su cui installa agenti (ad esempio, antivirus, antimalware o altri agenti imposti dai criteri della società) OPPURE</w:t>
      </w:r>
    </w:p>
    <w:p w:rsidR="00A92422" w:rsidRPr="00FE43EF" w:rsidRDefault="00A92422" w:rsidP="00A92422">
      <w:pPr>
        <w:numPr>
          <w:ilvl w:val="0"/>
          <w:numId w:val="2"/>
        </w:numPr>
        <w:spacing w:after="60"/>
        <w:rPr>
          <w:rFonts w:cs="Tahoma"/>
        </w:rPr>
      </w:pPr>
      <w:r w:rsidRPr="00D87B79">
        <w:rPr>
          <w:rFonts w:cs="Tahoma"/>
          <w:lang w:val="it-IT"/>
        </w:rPr>
        <w:t>al quale applica e per il quale rende attuabili* direttamente o indirettamente i criteri di gruppo OPPURE</w:t>
      </w:r>
    </w:p>
    <w:p w:rsidR="00A92422" w:rsidRPr="00D87B79" w:rsidRDefault="00A92422" w:rsidP="00A92422">
      <w:pPr>
        <w:numPr>
          <w:ilvl w:val="0"/>
          <w:numId w:val="2"/>
        </w:numPr>
        <w:spacing w:after="60"/>
        <w:rPr>
          <w:rFonts w:cs="Tahoma"/>
        </w:rPr>
      </w:pPr>
      <w:r w:rsidRPr="00D87B79">
        <w:rPr>
          <w:rFonts w:cs="Tahoma"/>
          <w:lang w:val="it-IT"/>
        </w:rPr>
        <w:t>tramite il quale richiede o riceve dati e configura o fornisce istruzioni all’hardware o al software associato direttamente o indirettamente a un ambiente del sistema operativo OPPURE</w:t>
      </w:r>
    </w:p>
    <w:p w:rsidR="00A92422" w:rsidRPr="00D87B79" w:rsidRDefault="00A92422" w:rsidP="00A92422">
      <w:pPr>
        <w:numPr>
          <w:ilvl w:val="0"/>
          <w:numId w:val="2"/>
        </w:numPr>
        <w:spacing w:after="60"/>
        <w:rPr>
          <w:rFonts w:cs="Tahoma"/>
        </w:rPr>
      </w:pPr>
      <w:r w:rsidRPr="00D87B79">
        <w:rPr>
          <w:rFonts w:cs="Tahoma"/>
          <w:lang w:val="it-IT"/>
        </w:rPr>
        <w:lastRenderedPageBreak/>
        <w:t>che autorizza ad accedere a un’infrastruttura desktop virtuale (Virtual Desktop Infrastructure o</w:t>
      </w:r>
      <w:r>
        <w:rPr>
          <w:rFonts w:cs="Tahoma"/>
          <w:lang w:val="it-IT"/>
        </w:rPr>
        <w:t> </w:t>
      </w:r>
      <w:r w:rsidRPr="00D87B79">
        <w:rPr>
          <w:rFonts w:cs="Tahoma"/>
          <w:lang w:val="it-IT"/>
        </w:rPr>
        <w:t>VDI) esterna a Windows Software Assurance, Windows Intune (Per Dispositivo) o ai Diritti di</w:t>
      </w:r>
      <w:r>
        <w:rPr>
          <w:rFonts w:cs="Tahoma"/>
          <w:lang w:val="it-IT"/>
        </w:rPr>
        <w:t> </w:t>
      </w:r>
      <w:r w:rsidRPr="00D87B79">
        <w:rPr>
          <w:rFonts w:cs="Tahoma"/>
          <w:lang w:val="it-IT"/>
        </w:rPr>
        <w:t>Roaming per Windows Virtual Desktop Access.</w:t>
      </w:r>
    </w:p>
    <w:p w:rsidR="00A92422" w:rsidRPr="00D87B79" w:rsidRDefault="00A92422" w:rsidP="00A92422">
      <w:pPr>
        <w:ind w:left="1440"/>
        <w:rPr>
          <w:rFonts w:cs="Tahoma"/>
        </w:rPr>
      </w:pPr>
    </w:p>
    <w:p w:rsidR="00A92422" w:rsidRPr="00D87B79" w:rsidRDefault="00A92422" w:rsidP="00A92422">
      <w:pPr>
        <w:rPr>
          <w:rFonts w:cs="Tahoma"/>
        </w:rPr>
      </w:pPr>
      <w:r w:rsidRPr="00D87B79">
        <w:rPr>
          <w:rFonts w:cs="Tahoma"/>
          <w:lang w:val="it-IT"/>
        </w:rPr>
        <w:t>Un dispositivo che accede solo a un’infrastruttura VDI ai sensi dei Diritti di Roaming o utilizza Windows To Go su un</w:t>
      </w:r>
      <w:r>
        <w:rPr>
          <w:rFonts w:cs="Tahoma"/>
          <w:lang w:val="it-IT"/>
        </w:rPr>
        <w:t> </w:t>
      </w:r>
      <w:r w:rsidRPr="00D87B79">
        <w:rPr>
          <w:rFonts w:cs="Tahoma"/>
          <w:lang w:val="it-IT"/>
        </w:rPr>
        <w:t>Dispositivo di Terzi Qualificante solo all’esterno dei locali della società, e non viene gestito per altri scopi nella modalità ivi descritta, non è considerato “gestito” ai fini dell’interpretazione della presente definizione.</w:t>
      </w:r>
    </w:p>
    <w:p w:rsidR="00A92422" w:rsidRPr="00D87B79" w:rsidRDefault="00A92422" w:rsidP="00A92422">
      <w:pPr>
        <w:rPr>
          <w:rFonts w:cs="Tahoma"/>
        </w:rPr>
      </w:pPr>
    </w:p>
    <w:p w:rsidR="00A92422" w:rsidRPr="00D87B79" w:rsidRDefault="00A92422" w:rsidP="00A92422">
      <w:pPr>
        <w:rPr>
          <w:rFonts w:cs="Tahoma"/>
        </w:rPr>
      </w:pPr>
      <w:r w:rsidRPr="00D87B79">
        <w:rPr>
          <w:rFonts w:cs="Tahoma"/>
          <w:lang w:val="it-IT"/>
        </w:rPr>
        <w:t>*Una società titolare di Contratti Multilicenza che controlla la disponibilità di nuovi aggiornamenti per il software del</w:t>
      </w:r>
      <w:r>
        <w:rPr>
          <w:rFonts w:cs="Tahoma"/>
          <w:lang w:val="it-IT"/>
        </w:rPr>
        <w:t> </w:t>
      </w:r>
      <w:r w:rsidRPr="00D87B79">
        <w:rPr>
          <w:rFonts w:cs="Tahoma"/>
          <w:lang w:val="it-IT"/>
        </w:rPr>
        <w:t>sistema operativo o la protezione/i virus, e che informa l’utente solo nel caso in cui non siano aggiornati, non sta</w:t>
      </w:r>
      <w:r>
        <w:rPr>
          <w:rFonts w:cs="Tahoma"/>
          <w:lang w:val="it-IT"/>
        </w:rPr>
        <w:t> </w:t>
      </w:r>
      <w:r w:rsidRPr="00D87B79">
        <w:rPr>
          <w:rFonts w:cs="Tahoma"/>
          <w:lang w:val="it-IT"/>
        </w:rPr>
        <w:t>“attuando i criteri di gruppo” per gli scopi previsti dal presente esempio.</w:t>
      </w:r>
      <w:r w:rsidRPr="00D87B79">
        <w:rPr>
          <w:rFonts w:cs="Tahoma"/>
        </w:rPr>
        <w:t xml:space="preserve"> </w:t>
      </w:r>
    </w:p>
    <w:p w:rsidR="00A92422" w:rsidRPr="00D87B79" w:rsidRDefault="00A92422" w:rsidP="00A92422">
      <w:pPr>
        <w:rPr>
          <w:rFonts w:cs="Tahoma"/>
        </w:rPr>
      </w:pPr>
    </w:p>
    <w:p w:rsidR="00A92422" w:rsidRPr="00D87B79" w:rsidRDefault="00A92422" w:rsidP="00A92422">
      <w:pPr>
        <w:rPr>
          <w:rFonts w:cs="Tahoma"/>
        </w:rPr>
      </w:pPr>
    </w:p>
    <w:p w:rsidR="00A92422" w:rsidRPr="00D87B79" w:rsidRDefault="00A92422" w:rsidP="00A92422">
      <w:pPr>
        <w:pStyle w:val="Heading3"/>
        <w:rPr>
          <w:rFonts w:ascii="Tahoma" w:hAnsi="Tahoma" w:cs="Tahoma"/>
        </w:rPr>
      </w:pPr>
      <w:bookmarkStart w:id="750" w:name="_Toc243157227"/>
      <w:bookmarkStart w:id="751" w:name="_Toc336338194"/>
      <w:bookmarkStart w:id="752" w:name="_Toc342900246"/>
      <w:bookmarkEnd w:id="750"/>
      <w:bookmarkEnd w:id="751"/>
      <w:r w:rsidRPr="00D87B79">
        <w:rPr>
          <w:rFonts w:ascii="Tahoma" w:hAnsi="Tahoma" w:cs="Tahoma"/>
          <w:sz w:val="24"/>
          <w:lang w:val="it-IT"/>
        </w:rPr>
        <w:t>Prodotti Qualificati per lo Sconto Up-to-Date (UTD)</w:t>
      </w:r>
      <w:bookmarkEnd w:id="752"/>
    </w:p>
    <w:p w:rsidR="00A92422" w:rsidRPr="00B15BCD" w:rsidRDefault="00A92422" w:rsidP="00A92422">
      <w:pPr>
        <w:pStyle w:val="Heading3"/>
        <w:rPr>
          <w:rFonts w:ascii="Tahoma" w:hAnsi="Tahoma" w:cs="Tahoma"/>
          <w:sz w:val="18"/>
          <w:szCs w:val="18"/>
        </w:rPr>
      </w:pPr>
    </w:p>
    <w:p w:rsidR="00A92422" w:rsidRPr="00276455" w:rsidRDefault="00A92422" w:rsidP="00A92422">
      <w:pPr>
        <w:rPr>
          <w:rFonts w:cs="Tahoma"/>
          <w:lang w:val="it-IT"/>
        </w:rPr>
      </w:pPr>
      <w:r w:rsidRPr="00276455">
        <w:rPr>
          <w:rFonts w:cs="Tahoma"/>
          <w:lang w:val="it-IT"/>
        </w:rPr>
        <w:t>Le società Open Value Subscription sono idonee allo Sconto UTD durante il primo anno del contratto “subscription”. Le società qualificanti potranno acquistare le Licenze UTD indicate di seguito, qualora siano in possesso della licenza per una delle versioni qualificanti corrispondenti precedenti o correnti tramite OEM, FPP o Contratti Multilicenza (Volume Licensing). A livello generale, lo sconto viene concesso solo alla versione corrente del prodotto o alla versione immediatamente precedente. Lo Sconto UTD è indipendente dalla piattaforma, pertanto anche Mac avrà diritto allo sconto.</w:t>
      </w:r>
    </w:p>
    <w:p w:rsidR="00A92422" w:rsidRPr="00D87B79" w:rsidRDefault="00A92422" w:rsidP="00A92422">
      <w:pPr>
        <w:pStyle w:val="FootnoteBulletLevel1"/>
        <w:ind w:left="360" w:right="720" w:firstLine="0"/>
        <w:rPr>
          <w:rFonts w:ascii="Tahoma" w:hAnsi="Tahoma" w:cs="Tahoma"/>
        </w:rPr>
      </w:pPr>
    </w:p>
    <w:tbl>
      <w:tblPr>
        <w:tblW w:w="0" w:type="auto"/>
        <w:tblInd w:w="723" w:type="dxa"/>
        <w:tblCellMar>
          <w:left w:w="0" w:type="dxa"/>
          <w:right w:w="0" w:type="dxa"/>
        </w:tblCellMar>
        <w:tblLook w:val="04A0" w:firstRow="1" w:lastRow="0" w:firstColumn="1" w:lastColumn="0" w:noHBand="0" w:noVBand="1"/>
      </w:tblPr>
      <w:tblGrid>
        <w:gridCol w:w="3809"/>
        <w:gridCol w:w="4298"/>
      </w:tblGrid>
      <w:tr w:rsidR="00A92422" w:rsidRPr="00D87B79" w:rsidTr="00EA30FC">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A92422" w:rsidRPr="00D87B79" w:rsidRDefault="00A92422" w:rsidP="00EA30FC">
            <w:pPr>
              <w:ind w:right="720"/>
              <w:jc w:val="center"/>
              <w:rPr>
                <w:rFonts w:eastAsia="Times New Roman" w:cs="Tahoma"/>
                <w:b/>
                <w:bCs/>
                <w:color w:val="404040"/>
              </w:rPr>
            </w:pPr>
            <w:r w:rsidRPr="00D87B79">
              <w:rPr>
                <w:rFonts w:cs="Tahoma"/>
                <w:b/>
                <w:lang w:val="it-IT"/>
              </w:rPr>
              <w:t>Licenza UTD</w:t>
            </w:r>
          </w:p>
        </w:tc>
        <w:tc>
          <w:tcPr>
            <w:tcW w:w="4298" w:type="dxa"/>
            <w:tcBorders>
              <w:top w:val="single" w:sz="8" w:space="0" w:color="auto"/>
              <w:left w:val="nil"/>
              <w:bottom w:val="single" w:sz="8" w:space="0" w:color="auto"/>
              <w:right w:val="single" w:sz="8" w:space="0" w:color="auto"/>
            </w:tcBorders>
            <w:shd w:val="clear" w:color="auto" w:fill="FFCC99"/>
          </w:tcPr>
          <w:p w:rsidR="00A92422" w:rsidRPr="00D87B79" w:rsidRDefault="00A92422" w:rsidP="00EA30FC">
            <w:pPr>
              <w:ind w:right="720"/>
              <w:jc w:val="center"/>
              <w:rPr>
                <w:rFonts w:eastAsia="Times New Roman" w:cs="Tahoma"/>
                <w:b/>
                <w:bCs/>
                <w:color w:val="404040"/>
              </w:rPr>
            </w:pPr>
            <w:r w:rsidRPr="00D87B79">
              <w:rPr>
                <w:rFonts w:cs="Tahoma"/>
                <w:b/>
                <w:lang w:val="it-IT"/>
              </w:rPr>
              <w:t>Versione Qualificante</w:t>
            </w:r>
          </w:p>
        </w:tc>
      </w:tr>
      <w:tr w:rsidR="00A92422" w:rsidRPr="00D87B79" w:rsidTr="00EA30FC">
        <w:trPr>
          <w:trHeight w:val="576"/>
        </w:trPr>
        <w:tc>
          <w:tcPr>
            <w:tcW w:w="3809" w:type="dxa"/>
            <w:tcBorders>
              <w:top w:val="nil"/>
              <w:left w:val="single" w:sz="8" w:space="0" w:color="auto"/>
              <w:bottom w:val="single" w:sz="8" w:space="0" w:color="auto"/>
              <w:right w:val="single" w:sz="8" w:space="0" w:color="auto"/>
            </w:tcBorders>
          </w:tcPr>
          <w:p w:rsidR="00A92422" w:rsidRPr="00D87B79" w:rsidRDefault="00A92422" w:rsidP="00EA30FC">
            <w:pPr>
              <w:ind w:left="360" w:right="720"/>
              <w:jc w:val="center"/>
              <w:rPr>
                <w:rFonts w:eastAsia="Times New Roman" w:cs="Tahoma"/>
                <w:szCs w:val="18"/>
              </w:rPr>
            </w:pPr>
            <w:r w:rsidRPr="00D87B79">
              <w:rPr>
                <w:rFonts w:cs="Tahoma"/>
                <w:lang w:val="it-IT"/>
              </w:rPr>
              <w:t>Core CAL (Dispositivo o Utente)</w:t>
            </w:r>
          </w:p>
        </w:tc>
        <w:tc>
          <w:tcPr>
            <w:tcW w:w="4298" w:type="dxa"/>
            <w:tcBorders>
              <w:top w:val="nil"/>
              <w:left w:val="nil"/>
              <w:bottom w:val="single" w:sz="8" w:space="0" w:color="auto"/>
              <w:right w:val="single" w:sz="8" w:space="0" w:color="auto"/>
            </w:tcBorders>
          </w:tcPr>
          <w:p w:rsidR="00A92422" w:rsidRPr="00D87B79" w:rsidRDefault="00A92422" w:rsidP="00EA30FC">
            <w:pPr>
              <w:pStyle w:val="Bulletedlistflush"/>
              <w:ind w:left="576" w:right="720" w:firstLine="0"/>
              <w:jc w:val="center"/>
              <w:rPr>
                <w:rFonts w:ascii="Tahoma" w:hAnsi="Tahoma" w:cs="Tahoma"/>
              </w:rPr>
            </w:pPr>
            <w:r w:rsidRPr="00D87B79">
              <w:rPr>
                <w:rFonts w:ascii="Tahoma" w:hAnsi="Tahoma" w:cs="Tahoma"/>
                <w:sz w:val="18"/>
                <w:lang w:val="it-IT"/>
              </w:rPr>
              <w:t>Qualsiasi Core CAL</w:t>
            </w:r>
          </w:p>
          <w:p w:rsidR="00A92422" w:rsidRPr="00D87B79" w:rsidRDefault="00A92422" w:rsidP="00EA30FC">
            <w:pPr>
              <w:pStyle w:val="Bulletedlistflush"/>
              <w:ind w:left="576" w:right="720" w:firstLine="0"/>
              <w:jc w:val="center"/>
              <w:rPr>
                <w:rFonts w:ascii="Tahoma" w:hAnsi="Tahoma" w:cs="Tahoma"/>
                <w:sz w:val="18"/>
                <w:szCs w:val="18"/>
              </w:rPr>
            </w:pPr>
          </w:p>
        </w:tc>
      </w:tr>
      <w:tr w:rsidR="00A92422" w:rsidRPr="00D87B79" w:rsidTr="00EA30FC">
        <w:trPr>
          <w:trHeight w:val="576"/>
        </w:trPr>
        <w:tc>
          <w:tcPr>
            <w:tcW w:w="3809" w:type="dxa"/>
            <w:tcBorders>
              <w:top w:val="nil"/>
              <w:left w:val="single" w:sz="8" w:space="0" w:color="auto"/>
              <w:bottom w:val="single" w:sz="8" w:space="0" w:color="auto"/>
              <w:right w:val="single" w:sz="8" w:space="0" w:color="auto"/>
            </w:tcBorders>
          </w:tcPr>
          <w:p w:rsidR="00A92422" w:rsidRPr="00D87B79" w:rsidRDefault="00A92422" w:rsidP="00EA30FC">
            <w:pPr>
              <w:ind w:left="360" w:right="720"/>
              <w:jc w:val="center"/>
              <w:rPr>
                <w:rFonts w:eastAsia="Times New Roman" w:cs="Tahoma"/>
                <w:szCs w:val="18"/>
              </w:rPr>
            </w:pPr>
            <w:r w:rsidRPr="00D87B79">
              <w:rPr>
                <w:rFonts w:cs="Tahoma"/>
                <w:lang w:val="it-IT"/>
              </w:rPr>
              <w:t>Enterprise CAL (Dispositivo o</w:t>
            </w:r>
            <w:r>
              <w:rPr>
                <w:rFonts w:cs="Tahoma"/>
                <w:lang w:val="it-IT"/>
              </w:rPr>
              <w:t> </w:t>
            </w:r>
            <w:r w:rsidRPr="00D87B79">
              <w:rPr>
                <w:rFonts w:cs="Tahoma"/>
                <w:lang w:val="it-IT"/>
              </w:rPr>
              <w:t>Utente)</w:t>
            </w:r>
          </w:p>
        </w:tc>
        <w:tc>
          <w:tcPr>
            <w:tcW w:w="4298" w:type="dxa"/>
            <w:tcBorders>
              <w:top w:val="nil"/>
              <w:left w:val="nil"/>
              <w:bottom w:val="single" w:sz="8" w:space="0" w:color="auto"/>
              <w:right w:val="single" w:sz="8" w:space="0" w:color="auto"/>
            </w:tcBorders>
          </w:tcPr>
          <w:p w:rsidR="00A92422" w:rsidRPr="00D87B79" w:rsidRDefault="00A92422" w:rsidP="00EA30FC">
            <w:pPr>
              <w:pStyle w:val="Bulletedlistflush"/>
              <w:ind w:left="576" w:right="720" w:firstLine="0"/>
              <w:jc w:val="center"/>
              <w:rPr>
                <w:rFonts w:ascii="Tahoma" w:hAnsi="Tahoma" w:cs="Tahoma"/>
                <w:sz w:val="18"/>
                <w:szCs w:val="18"/>
              </w:rPr>
            </w:pPr>
            <w:r w:rsidRPr="00D87B79">
              <w:rPr>
                <w:rFonts w:ascii="Tahoma" w:hAnsi="Tahoma" w:cs="Tahoma"/>
                <w:sz w:val="18"/>
                <w:szCs w:val="18"/>
                <w:lang w:val="it-IT"/>
              </w:rPr>
              <w:t>Qualsiasi Enterprise CAL</w:t>
            </w:r>
          </w:p>
        </w:tc>
      </w:tr>
      <w:tr w:rsidR="00A92422" w:rsidRPr="00D87B79" w:rsidTr="00EA30FC">
        <w:trPr>
          <w:trHeight w:val="576"/>
        </w:trPr>
        <w:tc>
          <w:tcPr>
            <w:tcW w:w="3809" w:type="dxa"/>
            <w:tcBorders>
              <w:top w:val="nil"/>
              <w:left w:val="single" w:sz="8" w:space="0" w:color="auto"/>
              <w:bottom w:val="single" w:sz="8" w:space="0" w:color="auto"/>
              <w:right w:val="single" w:sz="8" w:space="0" w:color="auto"/>
            </w:tcBorders>
          </w:tcPr>
          <w:p w:rsidR="00A92422" w:rsidRPr="00D87B79" w:rsidRDefault="00A92422" w:rsidP="00EA30FC">
            <w:pPr>
              <w:ind w:left="360" w:right="720"/>
              <w:jc w:val="center"/>
              <w:rPr>
                <w:rFonts w:eastAsia="Times New Roman" w:cs="Tahoma"/>
                <w:szCs w:val="18"/>
              </w:rPr>
            </w:pPr>
            <w:r w:rsidRPr="00D87B79">
              <w:rPr>
                <w:rFonts w:cs="Tahoma"/>
                <w:lang w:val="it-IT"/>
              </w:rPr>
              <w:t>Office Professional Plus 2013</w:t>
            </w:r>
          </w:p>
        </w:tc>
        <w:tc>
          <w:tcPr>
            <w:tcW w:w="4298" w:type="dxa"/>
            <w:tcBorders>
              <w:top w:val="nil"/>
              <w:left w:val="nil"/>
              <w:bottom w:val="single" w:sz="8" w:space="0" w:color="auto"/>
              <w:right w:val="single" w:sz="8" w:space="0" w:color="auto"/>
            </w:tcBorders>
          </w:tcPr>
          <w:p w:rsidR="00A92422" w:rsidRPr="00D87B79" w:rsidRDefault="00A92422" w:rsidP="00EA30FC">
            <w:pPr>
              <w:pStyle w:val="Bulletedlistflush"/>
              <w:ind w:left="576" w:right="720" w:firstLine="0"/>
              <w:jc w:val="center"/>
              <w:rPr>
                <w:rFonts w:ascii="Tahoma" w:hAnsi="Tahoma" w:cs="Tahoma"/>
              </w:rPr>
            </w:pPr>
            <w:r w:rsidRPr="00D87B79">
              <w:rPr>
                <w:rFonts w:ascii="Tahoma" w:hAnsi="Tahoma" w:cs="Tahoma"/>
                <w:sz w:val="18"/>
                <w:lang w:val="it-IT"/>
              </w:rPr>
              <w:t>Office Professional Plus 2013</w:t>
            </w:r>
          </w:p>
          <w:p w:rsidR="00A92422" w:rsidRPr="00D87B79" w:rsidRDefault="00A92422" w:rsidP="00EA30FC">
            <w:pPr>
              <w:pStyle w:val="Bulletedlistflush"/>
              <w:ind w:left="576" w:right="720" w:firstLine="0"/>
              <w:jc w:val="center"/>
              <w:rPr>
                <w:rFonts w:ascii="Tahoma" w:hAnsi="Tahoma" w:cs="Tahoma"/>
              </w:rPr>
            </w:pPr>
            <w:r w:rsidRPr="00D87B79">
              <w:rPr>
                <w:rFonts w:ascii="Tahoma" w:hAnsi="Tahoma" w:cs="Tahoma"/>
                <w:sz w:val="18"/>
                <w:lang w:val="it-IT"/>
              </w:rPr>
              <w:t>Office Professional Plus 2010</w:t>
            </w:r>
          </w:p>
          <w:p w:rsidR="00A92422" w:rsidRPr="00D87B79" w:rsidRDefault="00A92422" w:rsidP="00EA30FC">
            <w:pPr>
              <w:pStyle w:val="Bulletedlistflush"/>
              <w:ind w:left="576" w:right="720" w:firstLine="0"/>
              <w:jc w:val="center"/>
              <w:rPr>
                <w:rFonts w:ascii="Tahoma" w:hAnsi="Tahoma" w:cs="Tahoma"/>
              </w:rPr>
            </w:pPr>
            <w:r w:rsidRPr="00D87B79">
              <w:rPr>
                <w:rFonts w:ascii="Tahoma" w:hAnsi="Tahoma" w:cs="Tahoma"/>
                <w:sz w:val="18"/>
                <w:lang w:val="it-IT"/>
              </w:rPr>
              <w:t>Office 2013 Professional</w:t>
            </w:r>
          </w:p>
          <w:p w:rsidR="00A92422" w:rsidRPr="00D87B79" w:rsidRDefault="00A92422" w:rsidP="00EA30FC">
            <w:pPr>
              <w:pStyle w:val="Bulletedlistflush"/>
              <w:ind w:left="576" w:right="720" w:firstLine="0"/>
              <w:jc w:val="center"/>
              <w:rPr>
                <w:rFonts w:ascii="Tahoma" w:hAnsi="Tahoma" w:cs="Tahoma"/>
              </w:rPr>
            </w:pPr>
            <w:r w:rsidRPr="00D87B79">
              <w:rPr>
                <w:rFonts w:ascii="Tahoma" w:hAnsi="Tahoma" w:cs="Tahoma"/>
                <w:sz w:val="18"/>
                <w:lang w:val="it-IT"/>
              </w:rPr>
              <w:t>Office 2010 Professional</w:t>
            </w:r>
          </w:p>
          <w:p w:rsidR="00A92422" w:rsidRPr="00D87B79" w:rsidRDefault="00A92422" w:rsidP="00EA30FC">
            <w:pPr>
              <w:pStyle w:val="Bulletedlistflush"/>
              <w:ind w:left="576" w:right="720" w:firstLine="0"/>
              <w:jc w:val="center"/>
              <w:rPr>
                <w:rFonts w:ascii="Tahoma" w:hAnsi="Tahoma" w:cs="Tahoma"/>
                <w:sz w:val="18"/>
                <w:szCs w:val="18"/>
              </w:rPr>
            </w:pPr>
          </w:p>
        </w:tc>
      </w:tr>
      <w:tr w:rsidR="00A92422" w:rsidRPr="00D87B79" w:rsidTr="00EA30FC">
        <w:trPr>
          <w:trHeight w:val="576"/>
        </w:trPr>
        <w:tc>
          <w:tcPr>
            <w:tcW w:w="3809" w:type="dxa"/>
            <w:tcBorders>
              <w:top w:val="nil"/>
              <w:left w:val="single" w:sz="8" w:space="0" w:color="auto"/>
              <w:bottom w:val="single" w:sz="8" w:space="0" w:color="auto"/>
              <w:right w:val="single" w:sz="8" w:space="0" w:color="auto"/>
            </w:tcBorders>
          </w:tcPr>
          <w:p w:rsidR="00A92422" w:rsidRPr="00D87B79" w:rsidRDefault="00A92422" w:rsidP="00EA30FC">
            <w:pPr>
              <w:ind w:left="360" w:right="720"/>
              <w:jc w:val="center"/>
              <w:rPr>
                <w:rFonts w:eastAsia="Times New Roman" w:cs="Tahoma"/>
                <w:color w:val="000000"/>
                <w:szCs w:val="18"/>
              </w:rPr>
            </w:pPr>
            <w:r w:rsidRPr="00D87B79">
              <w:rPr>
                <w:rFonts w:cs="Tahoma"/>
                <w:color w:val="000000"/>
                <w:lang w:val="it-IT"/>
              </w:rPr>
              <w:t>CAL per Small Business Server Standard 2011 (Dispositivo o</w:t>
            </w:r>
            <w:r>
              <w:rPr>
                <w:rFonts w:cs="Tahoma"/>
                <w:color w:val="000000"/>
                <w:lang w:val="it-IT"/>
              </w:rPr>
              <w:t> </w:t>
            </w:r>
            <w:r w:rsidRPr="00D87B79">
              <w:rPr>
                <w:rFonts w:cs="Tahoma"/>
                <w:color w:val="000000"/>
                <w:lang w:val="it-IT"/>
              </w:rPr>
              <w:t>Utente)</w:t>
            </w:r>
          </w:p>
        </w:tc>
        <w:tc>
          <w:tcPr>
            <w:tcW w:w="4298" w:type="dxa"/>
            <w:tcBorders>
              <w:top w:val="nil"/>
              <w:left w:val="nil"/>
              <w:bottom w:val="single" w:sz="8" w:space="0" w:color="auto"/>
              <w:right w:val="single" w:sz="8" w:space="0" w:color="auto"/>
            </w:tcBorders>
          </w:tcPr>
          <w:p w:rsidR="00A92422" w:rsidRPr="00D87B79" w:rsidRDefault="00A92422" w:rsidP="00EA30FC">
            <w:pPr>
              <w:ind w:left="576" w:right="720"/>
              <w:jc w:val="center"/>
              <w:rPr>
                <w:rFonts w:cs="Tahoma"/>
              </w:rPr>
            </w:pPr>
            <w:r w:rsidRPr="00D87B79">
              <w:rPr>
                <w:rFonts w:cs="Tahoma"/>
                <w:color w:val="000000"/>
                <w:lang w:val="it-IT"/>
              </w:rPr>
              <w:t>CAL per Windows Small Business Server 2011</w:t>
            </w:r>
          </w:p>
          <w:p w:rsidR="00A92422" w:rsidRPr="00D87B79" w:rsidRDefault="00A92422" w:rsidP="00EA30FC">
            <w:pPr>
              <w:pStyle w:val="Bulletedlistflush"/>
              <w:ind w:left="576" w:right="720" w:firstLine="0"/>
              <w:jc w:val="center"/>
              <w:rPr>
                <w:rFonts w:ascii="Tahoma" w:hAnsi="Tahoma" w:cs="Tahoma"/>
              </w:rPr>
            </w:pPr>
            <w:r w:rsidRPr="00D87B79">
              <w:rPr>
                <w:rFonts w:ascii="Tahoma" w:hAnsi="Tahoma" w:cs="Tahoma"/>
                <w:color w:val="000000"/>
                <w:sz w:val="18"/>
                <w:lang w:val="it-IT"/>
              </w:rPr>
              <w:t>CAL per Windows Small Business Server Standard 2008</w:t>
            </w:r>
          </w:p>
          <w:p w:rsidR="00A92422" w:rsidRPr="00D87B79" w:rsidRDefault="00A92422" w:rsidP="00EA30FC">
            <w:pPr>
              <w:pStyle w:val="Bulletedlistflush"/>
              <w:ind w:left="576" w:right="720" w:firstLine="0"/>
              <w:jc w:val="center"/>
              <w:rPr>
                <w:rFonts w:ascii="Tahoma" w:hAnsi="Tahoma" w:cs="Tahoma"/>
                <w:color w:val="000000"/>
                <w:sz w:val="18"/>
                <w:szCs w:val="18"/>
              </w:rPr>
            </w:pPr>
          </w:p>
        </w:tc>
      </w:tr>
      <w:tr w:rsidR="00A92422" w:rsidRPr="00D87B79" w:rsidTr="00EA30FC">
        <w:trPr>
          <w:trHeight w:val="576"/>
        </w:trPr>
        <w:tc>
          <w:tcPr>
            <w:tcW w:w="3809" w:type="dxa"/>
            <w:tcBorders>
              <w:top w:val="nil"/>
              <w:left w:val="single" w:sz="8" w:space="0" w:color="auto"/>
              <w:bottom w:val="single" w:sz="8" w:space="0" w:color="auto"/>
              <w:right w:val="single" w:sz="8" w:space="0" w:color="auto"/>
            </w:tcBorders>
          </w:tcPr>
          <w:p w:rsidR="00A92422" w:rsidRPr="00D87B79" w:rsidRDefault="00A92422" w:rsidP="00EA30FC">
            <w:pPr>
              <w:ind w:left="360" w:right="720"/>
              <w:jc w:val="center"/>
              <w:rPr>
                <w:rFonts w:eastAsia="Times New Roman" w:cs="Tahoma"/>
                <w:szCs w:val="18"/>
              </w:rPr>
            </w:pPr>
            <w:r w:rsidRPr="00D87B79">
              <w:rPr>
                <w:rFonts w:cs="Tahoma"/>
                <w:lang w:val="it-IT"/>
              </w:rPr>
              <w:t>CAL per Small Business Server Premium 2011 (Dispositivo o</w:t>
            </w:r>
            <w:r>
              <w:rPr>
                <w:rFonts w:cs="Tahoma"/>
                <w:lang w:val="it-IT"/>
              </w:rPr>
              <w:t> </w:t>
            </w:r>
            <w:r w:rsidRPr="00D87B79">
              <w:rPr>
                <w:rFonts w:cs="Tahoma"/>
                <w:lang w:val="it-IT"/>
              </w:rPr>
              <w:t>Utente)</w:t>
            </w:r>
          </w:p>
        </w:tc>
        <w:tc>
          <w:tcPr>
            <w:tcW w:w="4298" w:type="dxa"/>
            <w:tcBorders>
              <w:top w:val="nil"/>
              <w:left w:val="nil"/>
              <w:bottom w:val="single" w:sz="8" w:space="0" w:color="auto"/>
              <w:right w:val="single" w:sz="8" w:space="0" w:color="auto"/>
            </w:tcBorders>
          </w:tcPr>
          <w:p w:rsidR="00A92422" w:rsidRPr="00D87B79" w:rsidRDefault="00A92422" w:rsidP="00EA30FC">
            <w:pPr>
              <w:ind w:left="576" w:right="720"/>
              <w:jc w:val="center"/>
              <w:rPr>
                <w:rFonts w:cs="Tahoma"/>
              </w:rPr>
            </w:pPr>
            <w:r w:rsidRPr="00D87B79">
              <w:rPr>
                <w:rFonts w:cs="Tahoma"/>
                <w:color w:val="000000"/>
                <w:lang w:val="it-IT"/>
              </w:rPr>
              <w:t>CAL per Windows Small Business Server Premium 2011</w:t>
            </w:r>
          </w:p>
          <w:p w:rsidR="00A92422" w:rsidRPr="00D87B79" w:rsidRDefault="00A92422" w:rsidP="00EA30FC">
            <w:pPr>
              <w:pStyle w:val="Bulletedlistflush"/>
              <w:ind w:left="576" w:right="720" w:firstLine="0"/>
              <w:jc w:val="center"/>
              <w:rPr>
                <w:rFonts w:ascii="Tahoma" w:hAnsi="Tahoma" w:cs="Tahoma"/>
              </w:rPr>
            </w:pPr>
            <w:r w:rsidRPr="00D87B79">
              <w:rPr>
                <w:rFonts w:ascii="Tahoma" w:hAnsi="Tahoma" w:cs="Tahoma"/>
                <w:color w:val="000000"/>
                <w:sz w:val="18"/>
                <w:lang w:val="it-IT"/>
              </w:rPr>
              <w:t>CAL per Windows Small Business Server Premium 2008</w:t>
            </w:r>
          </w:p>
          <w:p w:rsidR="00A92422" w:rsidRPr="00D87B79" w:rsidRDefault="00A92422" w:rsidP="00EA30FC">
            <w:pPr>
              <w:pStyle w:val="Bulletedlistflush"/>
              <w:ind w:left="576" w:right="720" w:firstLine="0"/>
              <w:jc w:val="center"/>
              <w:rPr>
                <w:rFonts w:ascii="Tahoma" w:hAnsi="Tahoma" w:cs="Tahoma"/>
                <w:sz w:val="18"/>
                <w:szCs w:val="18"/>
              </w:rPr>
            </w:pPr>
          </w:p>
        </w:tc>
      </w:tr>
      <w:tr w:rsidR="00A92422" w:rsidRPr="00D87B79" w:rsidTr="00EA30FC">
        <w:trPr>
          <w:trHeight w:val="576"/>
        </w:trPr>
        <w:tc>
          <w:tcPr>
            <w:tcW w:w="3809" w:type="dxa"/>
            <w:tcBorders>
              <w:top w:val="nil"/>
              <w:left w:val="single" w:sz="8" w:space="0" w:color="auto"/>
              <w:bottom w:val="single" w:sz="8" w:space="0" w:color="auto"/>
              <w:right w:val="single" w:sz="8" w:space="0" w:color="auto"/>
            </w:tcBorders>
          </w:tcPr>
          <w:p w:rsidR="00A92422" w:rsidRPr="00D87B79" w:rsidRDefault="00A92422" w:rsidP="00EA30FC">
            <w:pPr>
              <w:ind w:left="360" w:right="720"/>
              <w:jc w:val="center"/>
              <w:rPr>
                <w:rFonts w:eastAsia="Times New Roman" w:cs="Tahoma"/>
                <w:szCs w:val="18"/>
              </w:rPr>
            </w:pPr>
            <w:r w:rsidRPr="00D87B79">
              <w:rPr>
                <w:rFonts w:cs="Tahoma"/>
                <w:lang w:val="it-IT"/>
              </w:rPr>
              <w:t>CAL per Essential Business Server Standard 2008 (Dispositivo o</w:t>
            </w:r>
            <w:r>
              <w:rPr>
                <w:rFonts w:cs="Tahoma"/>
                <w:lang w:val="it-IT"/>
              </w:rPr>
              <w:t> </w:t>
            </w:r>
            <w:r w:rsidRPr="00D87B79">
              <w:rPr>
                <w:rFonts w:cs="Tahoma"/>
                <w:lang w:val="it-IT"/>
              </w:rPr>
              <w:t>Utente)</w:t>
            </w:r>
          </w:p>
        </w:tc>
        <w:tc>
          <w:tcPr>
            <w:tcW w:w="4298" w:type="dxa"/>
            <w:tcBorders>
              <w:top w:val="nil"/>
              <w:left w:val="nil"/>
              <w:bottom w:val="single" w:sz="8" w:space="0" w:color="auto"/>
              <w:right w:val="single" w:sz="8" w:space="0" w:color="auto"/>
            </w:tcBorders>
          </w:tcPr>
          <w:p w:rsidR="00A92422" w:rsidRPr="00D87B79" w:rsidRDefault="00A92422" w:rsidP="00EA30FC">
            <w:pPr>
              <w:pStyle w:val="Bulletedlistflush"/>
              <w:ind w:left="576" w:right="720" w:firstLine="0"/>
              <w:jc w:val="center"/>
              <w:rPr>
                <w:rFonts w:ascii="Tahoma" w:hAnsi="Tahoma" w:cs="Tahoma"/>
                <w:sz w:val="18"/>
                <w:szCs w:val="18"/>
              </w:rPr>
            </w:pPr>
            <w:r w:rsidRPr="00D87B79">
              <w:rPr>
                <w:rFonts w:ascii="Tahoma" w:hAnsi="Tahoma" w:cs="Tahoma"/>
                <w:sz w:val="18"/>
                <w:szCs w:val="18"/>
                <w:lang w:val="it-IT"/>
              </w:rPr>
              <w:t>CAL per Windows Essential Business Server Standard 2008</w:t>
            </w:r>
          </w:p>
        </w:tc>
      </w:tr>
      <w:tr w:rsidR="00A92422" w:rsidRPr="00D87B79" w:rsidTr="00EA30FC">
        <w:trPr>
          <w:trHeight w:val="576"/>
        </w:trPr>
        <w:tc>
          <w:tcPr>
            <w:tcW w:w="3809" w:type="dxa"/>
            <w:tcBorders>
              <w:top w:val="nil"/>
              <w:left w:val="single" w:sz="8" w:space="0" w:color="auto"/>
              <w:bottom w:val="single" w:sz="8" w:space="0" w:color="auto"/>
              <w:right w:val="single" w:sz="8" w:space="0" w:color="auto"/>
            </w:tcBorders>
          </w:tcPr>
          <w:p w:rsidR="00A92422" w:rsidRPr="00D87B79" w:rsidRDefault="00A92422" w:rsidP="00EA30FC">
            <w:pPr>
              <w:ind w:left="360" w:right="720"/>
              <w:jc w:val="center"/>
              <w:rPr>
                <w:rFonts w:eastAsia="Times New Roman" w:cs="Tahoma"/>
                <w:szCs w:val="18"/>
              </w:rPr>
            </w:pPr>
            <w:r w:rsidRPr="00D87B79">
              <w:rPr>
                <w:rFonts w:cs="Tahoma"/>
                <w:lang w:val="it-IT"/>
              </w:rPr>
              <w:t>CAL per Essential Business Server Premium 2008 (Dispositivo o</w:t>
            </w:r>
            <w:r>
              <w:rPr>
                <w:rFonts w:cs="Tahoma"/>
                <w:lang w:val="it-IT"/>
              </w:rPr>
              <w:t> </w:t>
            </w:r>
            <w:r w:rsidRPr="00D87B79">
              <w:rPr>
                <w:rFonts w:cs="Tahoma"/>
                <w:lang w:val="it-IT"/>
              </w:rPr>
              <w:t>Utente)</w:t>
            </w:r>
          </w:p>
        </w:tc>
        <w:tc>
          <w:tcPr>
            <w:tcW w:w="4298" w:type="dxa"/>
            <w:tcBorders>
              <w:top w:val="nil"/>
              <w:left w:val="nil"/>
              <w:bottom w:val="single" w:sz="8" w:space="0" w:color="auto"/>
              <w:right w:val="single" w:sz="8" w:space="0" w:color="auto"/>
            </w:tcBorders>
          </w:tcPr>
          <w:p w:rsidR="00A92422" w:rsidRPr="00D87B79" w:rsidRDefault="00A92422" w:rsidP="00EA30FC">
            <w:pPr>
              <w:pStyle w:val="Bulletedlistflush"/>
              <w:ind w:left="576" w:right="720" w:firstLine="0"/>
              <w:jc w:val="center"/>
              <w:rPr>
                <w:rFonts w:ascii="Tahoma" w:hAnsi="Tahoma" w:cs="Tahoma"/>
                <w:sz w:val="18"/>
                <w:szCs w:val="18"/>
              </w:rPr>
            </w:pPr>
            <w:r w:rsidRPr="00D87B79">
              <w:rPr>
                <w:rFonts w:ascii="Tahoma" w:hAnsi="Tahoma" w:cs="Tahoma"/>
                <w:sz w:val="18"/>
                <w:szCs w:val="18"/>
                <w:lang w:val="it-IT"/>
              </w:rPr>
              <w:t>CAL per Windows Essential Business Server Premium 2008</w:t>
            </w:r>
          </w:p>
        </w:tc>
      </w:tr>
      <w:tr w:rsidR="00A92422" w:rsidRPr="00D87B79" w:rsidTr="00EA30FC">
        <w:trPr>
          <w:trHeight w:val="576"/>
        </w:trPr>
        <w:tc>
          <w:tcPr>
            <w:tcW w:w="3809" w:type="dxa"/>
            <w:tcBorders>
              <w:top w:val="nil"/>
              <w:left w:val="single" w:sz="8" w:space="0" w:color="auto"/>
              <w:bottom w:val="single" w:sz="8" w:space="0" w:color="auto"/>
              <w:right w:val="single" w:sz="8" w:space="0" w:color="auto"/>
            </w:tcBorders>
          </w:tcPr>
          <w:p w:rsidR="00A92422" w:rsidRPr="00D87B79" w:rsidRDefault="00A92422" w:rsidP="00EA30FC">
            <w:pPr>
              <w:ind w:left="360" w:right="720"/>
              <w:jc w:val="center"/>
              <w:rPr>
                <w:rFonts w:eastAsia="Times New Roman" w:cs="Tahoma"/>
                <w:szCs w:val="18"/>
              </w:rPr>
            </w:pPr>
            <w:r w:rsidRPr="00D87B79">
              <w:rPr>
                <w:rFonts w:cs="Tahoma"/>
                <w:lang w:val="it-IT"/>
              </w:rPr>
              <w:t>Aggiornamento per Windows 8</w:t>
            </w:r>
            <w:r>
              <w:rPr>
                <w:rFonts w:cs="Tahoma"/>
                <w:lang w:val="it-IT"/>
              </w:rPr>
              <w:t> </w:t>
            </w:r>
            <w:r w:rsidRPr="00D87B79">
              <w:rPr>
                <w:rFonts w:cs="Tahoma"/>
                <w:lang w:val="it-IT"/>
              </w:rPr>
              <w:t>Pro</w:t>
            </w:r>
          </w:p>
        </w:tc>
        <w:tc>
          <w:tcPr>
            <w:tcW w:w="4298" w:type="dxa"/>
            <w:tcBorders>
              <w:top w:val="nil"/>
              <w:left w:val="nil"/>
              <w:bottom w:val="single" w:sz="8" w:space="0" w:color="auto"/>
              <w:right w:val="single" w:sz="8" w:space="0" w:color="auto"/>
            </w:tcBorders>
          </w:tcPr>
          <w:p w:rsidR="00A92422" w:rsidRPr="00D87B79" w:rsidRDefault="00A92422" w:rsidP="00EA30FC">
            <w:pPr>
              <w:pStyle w:val="Bulletedlistflush"/>
              <w:ind w:left="576" w:right="720" w:firstLine="0"/>
              <w:jc w:val="center"/>
              <w:rPr>
                <w:rFonts w:ascii="Tahoma" w:hAnsi="Tahoma" w:cs="Tahoma"/>
              </w:rPr>
            </w:pPr>
            <w:r w:rsidRPr="00D87B79">
              <w:rPr>
                <w:rFonts w:ascii="Tahoma" w:hAnsi="Tahoma" w:cs="Tahoma"/>
                <w:sz w:val="18"/>
                <w:lang w:val="it-IT"/>
              </w:rPr>
              <w:t>Windows 8 Pro</w:t>
            </w:r>
          </w:p>
          <w:p w:rsidR="00A92422" w:rsidRPr="00D87B79" w:rsidRDefault="00A92422" w:rsidP="00EA30FC">
            <w:pPr>
              <w:pStyle w:val="Bulletedlistflush"/>
              <w:ind w:left="576" w:right="720" w:firstLine="0"/>
              <w:jc w:val="center"/>
              <w:rPr>
                <w:rFonts w:ascii="Tahoma" w:hAnsi="Tahoma" w:cs="Tahoma"/>
                <w:sz w:val="18"/>
                <w:szCs w:val="18"/>
              </w:rPr>
            </w:pPr>
            <w:r w:rsidRPr="00D87B79">
              <w:rPr>
                <w:rFonts w:ascii="Tahoma" w:hAnsi="Tahoma" w:cs="Tahoma"/>
                <w:sz w:val="18"/>
                <w:lang w:val="it-IT"/>
              </w:rPr>
              <w:t>Windows 7 Professional</w:t>
            </w:r>
          </w:p>
        </w:tc>
      </w:tr>
    </w:tbl>
    <w:p w:rsidR="00A92422" w:rsidRPr="00D87B79" w:rsidRDefault="00A92422" w:rsidP="00A92422">
      <w:pPr>
        <w:rPr>
          <w:rFonts w:cs="Tahoma"/>
        </w:rPr>
      </w:pPr>
    </w:p>
    <w:p w:rsidR="00A92422" w:rsidRPr="00D87B79" w:rsidRDefault="00A92422" w:rsidP="00A92422">
      <w:pPr>
        <w:rPr>
          <w:rFonts w:cs="Tahoma"/>
        </w:rPr>
      </w:pPr>
    </w:p>
    <w:p w:rsidR="00A92422" w:rsidRDefault="00A92422" w:rsidP="00A92422">
      <w:pPr>
        <w:rPr>
          <w:rFonts w:cs="Tahoma"/>
          <w:b/>
          <w:sz w:val="24"/>
          <w:szCs w:val="24"/>
          <w:lang w:val="it-IT"/>
        </w:rPr>
      </w:pPr>
      <w:bookmarkStart w:id="753" w:name="_Toc336338195"/>
      <w:bookmarkStart w:id="754" w:name="_Toc342900247"/>
      <w:bookmarkEnd w:id="753"/>
      <w:r>
        <w:rPr>
          <w:rFonts w:cs="Tahoma"/>
          <w:lang w:val="it-IT"/>
        </w:rPr>
        <w:br w:type="page"/>
      </w:r>
    </w:p>
    <w:p w:rsidR="00A92422" w:rsidRPr="00D87B79" w:rsidRDefault="00A92422" w:rsidP="00A92422">
      <w:pPr>
        <w:pStyle w:val="Heading2"/>
        <w:ind w:left="0"/>
        <w:rPr>
          <w:rFonts w:ascii="Tahoma" w:hAnsi="Tahoma" w:cs="Tahoma"/>
        </w:rPr>
      </w:pPr>
      <w:r w:rsidRPr="00D87B79">
        <w:rPr>
          <w:rFonts w:ascii="Tahoma" w:hAnsi="Tahoma" w:cs="Tahoma"/>
          <w:lang w:val="it-IT"/>
        </w:rPr>
        <w:lastRenderedPageBreak/>
        <w:t>Condizioni Aggiornate per i Programmi Contratto Enterprise e Contratto</w:t>
      </w:r>
      <w:r>
        <w:rPr>
          <w:rFonts w:ascii="Tahoma" w:hAnsi="Tahoma" w:cs="Tahoma"/>
          <w:lang w:val="it-IT"/>
        </w:rPr>
        <w:t xml:space="preserve"> </w:t>
      </w:r>
      <w:r w:rsidRPr="00D87B79">
        <w:rPr>
          <w:rFonts w:ascii="Tahoma" w:hAnsi="Tahoma" w:cs="Tahoma"/>
          <w:lang w:val="it-IT"/>
        </w:rPr>
        <w:t>Subscription</w:t>
      </w:r>
      <w:bookmarkEnd w:id="754"/>
    </w:p>
    <w:p w:rsidR="00A92422" w:rsidRPr="00D87B79" w:rsidRDefault="00A92422" w:rsidP="00A92422">
      <w:pPr>
        <w:tabs>
          <w:tab w:val="left" w:pos="360"/>
        </w:tabs>
        <w:rPr>
          <w:rFonts w:cs="Tahoma"/>
        </w:rPr>
      </w:pPr>
    </w:p>
    <w:p w:rsidR="00A92422" w:rsidRPr="00D87B79" w:rsidRDefault="00A92422" w:rsidP="00A92422">
      <w:pPr>
        <w:keepNext/>
        <w:spacing w:before="60"/>
        <w:outlineLvl w:val="3"/>
        <w:rPr>
          <w:rFonts w:cs="Tahoma"/>
        </w:rPr>
      </w:pPr>
      <w:r w:rsidRPr="00D87B79">
        <w:rPr>
          <w:rFonts w:cs="Tahoma"/>
          <w:b/>
          <w:sz w:val="20"/>
          <w:lang w:val="it-IT"/>
        </w:rPr>
        <w:t>Servizi Online Enterprise che soddisfano i requisiti dei Prodotti Enterprise</w:t>
      </w:r>
    </w:p>
    <w:p w:rsidR="00A92422" w:rsidRPr="00D87B79" w:rsidRDefault="00A92422" w:rsidP="00A92422">
      <w:pPr>
        <w:tabs>
          <w:tab w:val="left" w:pos="360"/>
        </w:tabs>
        <w:rPr>
          <w:rFonts w:cs="Tahoma"/>
        </w:rPr>
      </w:pPr>
      <w:r w:rsidRPr="00D87B79">
        <w:rPr>
          <w:rFonts w:cs="Tahoma"/>
          <w:b/>
          <w:lang w:val="it-IT"/>
        </w:rPr>
        <w:t>Nota:</w:t>
      </w:r>
      <w:r w:rsidRPr="00D87B79">
        <w:rPr>
          <w:rFonts w:cs="Tahoma"/>
          <w:szCs w:val="20"/>
        </w:rPr>
        <w:t xml:space="preserve"> </w:t>
      </w:r>
      <w:r w:rsidRPr="00D87B79">
        <w:rPr>
          <w:rFonts w:cs="Tahoma"/>
          <w:lang w:val="it-IT"/>
        </w:rPr>
        <w:t>quanto segue si applica alle società in possesso delle Iscrizioni Enterprise ed Enterprise Subscription che sono</w:t>
      </w:r>
      <w:r>
        <w:rPr>
          <w:rFonts w:cs="Tahoma"/>
          <w:lang w:val="it-IT"/>
        </w:rPr>
        <w:t> </w:t>
      </w:r>
      <w:r w:rsidRPr="00D87B79">
        <w:rPr>
          <w:rFonts w:cs="Tahoma"/>
          <w:lang w:val="it-IT"/>
        </w:rPr>
        <w:t>idonee ad acquistare i Servizi Online Enterprise. Le società che non sono certe della loro idoneità ad acquistare i</w:t>
      </w:r>
      <w:r>
        <w:rPr>
          <w:rFonts w:cs="Tahoma"/>
          <w:lang w:val="it-IT"/>
        </w:rPr>
        <w:t> </w:t>
      </w:r>
      <w:r w:rsidRPr="00D87B79">
        <w:rPr>
          <w:rFonts w:cs="Tahoma"/>
          <w:lang w:val="it-IT"/>
        </w:rPr>
        <w:t>Servizi Online Enterprise dovranno contattare il loro Software Advisor, Rivenditore o Account Manager designato da</w:t>
      </w:r>
      <w:r>
        <w:rPr>
          <w:rFonts w:cs="Tahoma"/>
          <w:lang w:val="it-IT"/>
        </w:rPr>
        <w:t> </w:t>
      </w:r>
      <w:r w:rsidRPr="00D87B79">
        <w:rPr>
          <w:rFonts w:cs="Tahoma"/>
          <w:lang w:val="it-IT"/>
        </w:rPr>
        <w:t>Microsoft per ulteriori informazioni.</w:t>
      </w:r>
      <w:r w:rsidRPr="00D87B79">
        <w:rPr>
          <w:rFonts w:cs="Tahoma"/>
        </w:rPr>
        <w:t xml:space="preserve"> </w:t>
      </w:r>
    </w:p>
    <w:p w:rsidR="00A92422" w:rsidRPr="00D87B79" w:rsidRDefault="00A92422" w:rsidP="00A92422">
      <w:pPr>
        <w:tabs>
          <w:tab w:val="left" w:pos="360"/>
        </w:tabs>
        <w:rPr>
          <w:rFonts w:cs="Tahoma"/>
        </w:rPr>
      </w:pPr>
    </w:p>
    <w:p w:rsidR="00A92422" w:rsidRPr="00D87B79" w:rsidRDefault="00A92422" w:rsidP="00A92422">
      <w:pPr>
        <w:tabs>
          <w:tab w:val="left" w:pos="360"/>
        </w:tabs>
        <w:rPr>
          <w:rFonts w:cs="Tahoma"/>
        </w:rPr>
      </w:pPr>
      <w:r w:rsidRPr="00D87B79">
        <w:rPr>
          <w:rFonts w:cs="Tahoma"/>
          <w:lang w:val="it-IT"/>
        </w:rPr>
        <w:t>Una combinazione di Prodotti Enterprise e di Servizi Online Enterprise potrà essere utilizzata per soddisfare i requisiti dell’intera Organizzazione in un’Iscrizione Enterprise o Enterprise Subscription.</w:t>
      </w:r>
    </w:p>
    <w:p w:rsidR="00A92422" w:rsidRPr="00D87B79" w:rsidRDefault="00A92422" w:rsidP="00A92422">
      <w:pPr>
        <w:tabs>
          <w:tab w:val="left" w:pos="360"/>
        </w:tabs>
        <w:rPr>
          <w:rFonts w:cs="Tahoma"/>
        </w:rPr>
      </w:pPr>
    </w:p>
    <w:p w:rsidR="00A92422" w:rsidRPr="00D87B79" w:rsidRDefault="00A92422" w:rsidP="00A92422">
      <w:pPr>
        <w:tabs>
          <w:tab w:val="left" w:pos="360"/>
        </w:tabs>
        <w:rPr>
          <w:rFonts w:cs="Tahoma"/>
        </w:rPr>
      </w:pPr>
      <w:r w:rsidRPr="00D87B79">
        <w:rPr>
          <w:rFonts w:cs="Tahoma"/>
          <w:lang w:val="it-IT"/>
        </w:rPr>
        <w:t>Nella tabella che segue sono identificati i Servizi Online Enterprise e le eventuali CAL necessarie in grado di soddisfare il requisito per l’intera Organizzazione per i Prodotti Enterprise.</w:t>
      </w:r>
      <w:r w:rsidRPr="00D87B79">
        <w:rPr>
          <w:rFonts w:cs="Tahoma"/>
        </w:rPr>
        <w:t xml:space="preserve"> </w:t>
      </w:r>
    </w:p>
    <w:p w:rsidR="00A92422" w:rsidRPr="00D87B79" w:rsidRDefault="00A92422" w:rsidP="00A92422">
      <w:pPr>
        <w:spacing w:before="120"/>
        <w:ind w:left="720"/>
        <w:rPr>
          <w:rFonts w:cs="Tahoma"/>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A92422" w:rsidRPr="00D87B79" w:rsidTr="00EA30FC">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rsidR="00A92422" w:rsidRPr="00D87B79" w:rsidRDefault="00A92422" w:rsidP="00EA30FC">
            <w:pPr>
              <w:keepNext/>
              <w:jc w:val="center"/>
              <w:rPr>
                <w:rFonts w:cs="Tahoma"/>
                <w:b/>
              </w:rPr>
            </w:pPr>
            <w:r w:rsidRPr="00D87B79">
              <w:rPr>
                <w:rFonts w:cs="Tahoma"/>
                <w:b/>
                <w:lang w:val="it-IT"/>
              </w:rPr>
              <w:t>Prodotto Enterprise</w:t>
            </w:r>
          </w:p>
        </w:tc>
        <w:tc>
          <w:tcPr>
            <w:tcW w:w="4157" w:type="dxa"/>
            <w:tcBorders>
              <w:top w:val="single" w:sz="8" w:space="0" w:color="auto"/>
              <w:left w:val="nil"/>
              <w:bottom w:val="single" w:sz="8" w:space="0" w:color="auto"/>
              <w:right w:val="single" w:sz="8" w:space="0" w:color="auto"/>
            </w:tcBorders>
            <w:shd w:val="clear" w:color="auto" w:fill="FABF8F"/>
            <w:vAlign w:val="center"/>
          </w:tcPr>
          <w:p w:rsidR="00A92422" w:rsidRPr="00D87B79" w:rsidRDefault="00A92422" w:rsidP="00EA30FC">
            <w:pPr>
              <w:keepNext/>
              <w:jc w:val="center"/>
              <w:rPr>
                <w:rFonts w:cs="Tahoma"/>
                <w:b/>
              </w:rPr>
            </w:pPr>
            <w:r w:rsidRPr="00D87B79">
              <w:rPr>
                <w:rFonts w:cs="Tahoma"/>
                <w:b/>
                <w:lang w:val="it-IT"/>
              </w:rPr>
              <w:t>Servizi Online Enterprise***</w:t>
            </w:r>
          </w:p>
        </w:tc>
      </w:tr>
      <w:tr w:rsidR="00A92422" w:rsidRPr="00D87B79" w:rsidTr="00EA30FC">
        <w:trPr>
          <w:trHeight w:val="497"/>
          <w:jc w:val="center"/>
        </w:trPr>
        <w:tc>
          <w:tcPr>
            <w:tcW w:w="3892" w:type="dxa"/>
            <w:tcBorders>
              <w:top w:val="nil"/>
              <w:left w:val="single" w:sz="8" w:space="0" w:color="auto"/>
              <w:bottom w:val="single" w:sz="4" w:space="0" w:color="auto"/>
              <w:right w:val="single" w:sz="8" w:space="0" w:color="auto"/>
            </w:tcBorders>
            <w:vAlign w:val="center"/>
          </w:tcPr>
          <w:p w:rsidR="00A92422" w:rsidRPr="00D87B79" w:rsidRDefault="00A92422" w:rsidP="00EA30FC">
            <w:pPr>
              <w:ind w:left="144"/>
              <w:rPr>
                <w:rFonts w:cs="Tahoma"/>
                <w:szCs w:val="18"/>
              </w:rPr>
            </w:pPr>
            <w:r w:rsidRPr="00D87B79">
              <w:rPr>
                <w:rFonts w:cs="Tahoma"/>
                <w:lang w:val="it-IT"/>
              </w:rPr>
              <w:t>Office Professional Plus**</w:t>
            </w:r>
          </w:p>
        </w:tc>
        <w:tc>
          <w:tcPr>
            <w:tcW w:w="4157" w:type="dxa"/>
            <w:tcBorders>
              <w:top w:val="nil"/>
              <w:left w:val="nil"/>
              <w:bottom w:val="single" w:sz="4" w:space="0" w:color="auto"/>
              <w:right w:val="single" w:sz="8" w:space="0" w:color="auto"/>
            </w:tcBorders>
            <w:vAlign w:val="center"/>
          </w:tcPr>
          <w:p w:rsidR="00A92422" w:rsidRPr="00D87B79" w:rsidRDefault="00A92422" w:rsidP="00EA30FC">
            <w:pPr>
              <w:numPr>
                <w:ilvl w:val="0"/>
                <w:numId w:val="6"/>
              </w:numPr>
              <w:spacing w:after="60"/>
              <w:ind w:left="907"/>
              <w:rPr>
                <w:rFonts w:cs="Tahoma"/>
              </w:rPr>
            </w:pPr>
            <w:r w:rsidRPr="00D87B79">
              <w:rPr>
                <w:rFonts w:cs="Tahoma"/>
                <w:color w:val="000000"/>
                <w:lang w:val="it-IT"/>
              </w:rPr>
              <w:t>Office 365 (Piano E2)</w:t>
            </w:r>
          </w:p>
          <w:p w:rsidR="00A92422" w:rsidRPr="00D87B79" w:rsidRDefault="00A92422" w:rsidP="00EA30FC">
            <w:pPr>
              <w:numPr>
                <w:ilvl w:val="0"/>
                <w:numId w:val="6"/>
              </w:numPr>
              <w:spacing w:after="60"/>
              <w:ind w:left="907"/>
              <w:rPr>
                <w:rFonts w:cs="Tahoma"/>
              </w:rPr>
            </w:pPr>
            <w:r w:rsidRPr="00D87B79">
              <w:rPr>
                <w:rFonts w:cs="Tahoma"/>
                <w:color w:val="000000"/>
                <w:lang w:val="it-IT"/>
              </w:rPr>
              <w:t>Office 365 (Piano E3)</w:t>
            </w:r>
          </w:p>
          <w:p w:rsidR="00A92422" w:rsidRPr="00D87B79" w:rsidRDefault="00A92422" w:rsidP="00EA30FC">
            <w:pPr>
              <w:numPr>
                <w:ilvl w:val="0"/>
                <w:numId w:val="6"/>
              </w:numPr>
              <w:spacing w:after="60"/>
              <w:ind w:left="907"/>
              <w:rPr>
                <w:rFonts w:cs="Tahoma"/>
              </w:rPr>
            </w:pPr>
            <w:r w:rsidRPr="00D87B79">
              <w:rPr>
                <w:rFonts w:cs="Tahoma"/>
                <w:color w:val="000000"/>
                <w:lang w:val="it-IT"/>
              </w:rPr>
              <w:t>Office 365 (Piano E4)</w:t>
            </w:r>
            <w:r w:rsidRPr="00D87B79">
              <w:rPr>
                <w:rFonts w:cs="Tahoma"/>
              </w:rPr>
              <w:t xml:space="preserve"> </w:t>
            </w:r>
          </w:p>
          <w:p w:rsidR="00A92422" w:rsidRPr="00D87B79" w:rsidRDefault="00A92422" w:rsidP="00EA30FC">
            <w:pPr>
              <w:numPr>
                <w:ilvl w:val="0"/>
                <w:numId w:val="6"/>
              </w:numPr>
              <w:spacing w:after="60"/>
              <w:ind w:left="907"/>
              <w:rPr>
                <w:rFonts w:cs="Tahoma"/>
              </w:rPr>
            </w:pPr>
            <w:r w:rsidRPr="00D87B79">
              <w:rPr>
                <w:rFonts w:cs="Tahoma"/>
                <w:color w:val="000000"/>
                <w:lang w:val="it-IT"/>
              </w:rPr>
              <w:t>Office 365 (Piano G2)</w:t>
            </w:r>
          </w:p>
          <w:p w:rsidR="00A92422" w:rsidRPr="00D87B79" w:rsidRDefault="00A92422" w:rsidP="00EA30FC">
            <w:pPr>
              <w:numPr>
                <w:ilvl w:val="0"/>
                <w:numId w:val="6"/>
              </w:numPr>
              <w:spacing w:after="60"/>
              <w:ind w:left="907"/>
              <w:rPr>
                <w:rFonts w:cs="Tahoma"/>
              </w:rPr>
            </w:pPr>
            <w:r w:rsidRPr="00D87B79">
              <w:rPr>
                <w:rFonts w:cs="Tahoma"/>
                <w:color w:val="000000"/>
                <w:lang w:val="it-IT"/>
              </w:rPr>
              <w:t>Office 365 (Piano G3)</w:t>
            </w:r>
          </w:p>
          <w:p w:rsidR="00A92422" w:rsidRPr="00D87B79" w:rsidRDefault="00A92422" w:rsidP="00EA30FC">
            <w:pPr>
              <w:numPr>
                <w:ilvl w:val="0"/>
                <w:numId w:val="6"/>
              </w:numPr>
              <w:spacing w:after="60"/>
              <w:ind w:left="907"/>
              <w:rPr>
                <w:rFonts w:cs="Tahoma"/>
              </w:rPr>
            </w:pPr>
            <w:r w:rsidRPr="00D87B79">
              <w:rPr>
                <w:rFonts w:cs="Tahoma"/>
                <w:color w:val="000000"/>
                <w:lang w:val="it-IT"/>
              </w:rPr>
              <w:t>Office 365 (Piano G4)</w:t>
            </w:r>
          </w:p>
          <w:p w:rsidR="00A92422" w:rsidRPr="00D87B79" w:rsidRDefault="00A92422" w:rsidP="00EA30FC">
            <w:pPr>
              <w:spacing w:after="60"/>
              <w:ind w:left="907"/>
              <w:rPr>
                <w:rFonts w:cs="Tahoma"/>
                <w:color w:val="000000"/>
                <w:szCs w:val="18"/>
              </w:rPr>
            </w:pPr>
          </w:p>
        </w:tc>
      </w:tr>
      <w:tr w:rsidR="00A92422" w:rsidRPr="00D87B79" w:rsidTr="00EA30FC">
        <w:trPr>
          <w:trHeight w:val="497"/>
          <w:jc w:val="center"/>
        </w:trPr>
        <w:tc>
          <w:tcPr>
            <w:tcW w:w="3892" w:type="dxa"/>
            <w:tcBorders>
              <w:top w:val="nil"/>
              <w:left w:val="single" w:sz="8" w:space="0" w:color="auto"/>
              <w:bottom w:val="single" w:sz="4" w:space="0" w:color="auto"/>
              <w:right w:val="single" w:sz="8" w:space="0" w:color="auto"/>
            </w:tcBorders>
            <w:vAlign w:val="center"/>
          </w:tcPr>
          <w:p w:rsidR="00A92422" w:rsidRPr="00D87B79" w:rsidRDefault="00A92422" w:rsidP="00EA30FC">
            <w:pPr>
              <w:ind w:left="144"/>
              <w:rPr>
                <w:rFonts w:cs="Tahoma"/>
                <w:szCs w:val="18"/>
              </w:rPr>
            </w:pPr>
            <w:r w:rsidRPr="00D87B79">
              <w:rPr>
                <w:rFonts w:cs="Tahoma"/>
                <w:szCs w:val="18"/>
                <w:lang w:val="it-IT"/>
              </w:rPr>
              <w:t>Core CAL Suite</w:t>
            </w:r>
          </w:p>
        </w:tc>
        <w:tc>
          <w:tcPr>
            <w:tcW w:w="4157" w:type="dxa"/>
            <w:tcBorders>
              <w:top w:val="nil"/>
              <w:left w:val="nil"/>
              <w:bottom w:val="single" w:sz="4" w:space="0" w:color="auto"/>
              <w:right w:val="single" w:sz="8" w:space="0" w:color="auto"/>
            </w:tcBorders>
            <w:vAlign w:val="center"/>
          </w:tcPr>
          <w:p w:rsidR="00A92422" w:rsidRPr="00D87B79" w:rsidRDefault="00A92422" w:rsidP="00EA30FC">
            <w:pPr>
              <w:numPr>
                <w:ilvl w:val="0"/>
                <w:numId w:val="6"/>
              </w:numPr>
              <w:spacing w:after="60"/>
              <w:rPr>
                <w:rFonts w:cs="Tahoma"/>
              </w:rPr>
            </w:pPr>
            <w:r w:rsidRPr="00D87B79">
              <w:rPr>
                <w:rFonts w:cs="Tahoma"/>
                <w:color w:val="000000"/>
                <w:lang w:val="it-IT"/>
              </w:rPr>
              <w:t>Office 365 (Piano E1)*</w:t>
            </w:r>
          </w:p>
          <w:p w:rsidR="00A92422" w:rsidRPr="00D87B79" w:rsidRDefault="00A92422" w:rsidP="00EA30FC">
            <w:pPr>
              <w:numPr>
                <w:ilvl w:val="0"/>
                <w:numId w:val="6"/>
              </w:numPr>
              <w:spacing w:after="60"/>
              <w:rPr>
                <w:rFonts w:cs="Tahoma"/>
              </w:rPr>
            </w:pPr>
            <w:r w:rsidRPr="00D87B79">
              <w:rPr>
                <w:rFonts w:cs="Tahoma"/>
                <w:color w:val="000000"/>
                <w:lang w:val="it-IT"/>
              </w:rPr>
              <w:t>Office 365 (Piano E2)*</w:t>
            </w:r>
          </w:p>
          <w:p w:rsidR="00A92422" w:rsidRPr="00D87B79" w:rsidRDefault="00A92422" w:rsidP="00EA30FC">
            <w:pPr>
              <w:numPr>
                <w:ilvl w:val="0"/>
                <w:numId w:val="6"/>
              </w:numPr>
              <w:spacing w:after="60"/>
              <w:rPr>
                <w:rFonts w:cs="Tahoma"/>
              </w:rPr>
            </w:pPr>
            <w:r w:rsidRPr="00D87B79">
              <w:rPr>
                <w:rFonts w:cs="Tahoma"/>
                <w:color w:val="000000"/>
                <w:lang w:val="it-IT"/>
              </w:rPr>
              <w:t>Office 365 (Piano E3)*</w:t>
            </w:r>
          </w:p>
          <w:p w:rsidR="00A92422" w:rsidRPr="00D87B79" w:rsidRDefault="00A92422" w:rsidP="00EA30FC">
            <w:pPr>
              <w:numPr>
                <w:ilvl w:val="0"/>
                <w:numId w:val="6"/>
              </w:numPr>
              <w:spacing w:after="60"/>
              <w:rPr>
                <w:rFonts w:cs="Tahoma"/>
              </w:rPr>
            </w:pPr>
            <w:r w:rsidRPr="00D87B79">
              <w:rPr>
                <w:rFonts w:cs="Tahoma"/>
                <w:color w:val="000000"/>
                <w:lang w:val="it-IT"/>
              </w:rPr>
              <w:t>Office 365 (Piano E4)*</w:t>
            </w:r>
          </w:p>
          <w:p w:rsidR="00A92422" w:rsidRPr="00D87B79" w:rsidRDefault="00A92422" w:rsidP="00EA30FC">
            <w:pPr>
              <w:numPr>
                <w:ilvl w:val="0"/>
                <w:numId w:val="6"/>
              </w:numPr>
              <w:spacing w:after="60"/>
              <w:rPr>
                <w:rFonts w:cs="Tahoma"/>
              </w:rPr>
            </w:pPr>
            <w:r w:rsidRPr="00D87B79">
              <w:rPr>
                <w:rFonts w:cs="Tahoma"/>
                <w:color w:val="000000"/>
                <w:lang w:val="it-IT"/>
              </w:rPr>
              <w:t>Office 365 (Piano G1)*</w:t>
            </w:r>
          </w:p>
          <w:p w:rsidR="00A92422" w:rsidRPr="00D87B79" w:rsidRDefault="00A92422" w:rsidP="00EA30FC">
            <w:pPr>
              <w:numPr>
                <w:ilvl w:val="0"/>
                <w:numId w:val="6"/>
              </w:numPr>
              <w:spacing w:after="60"/>
              <w:rPr>
                <w:rFonts w:cs="Tahoma"/>
              </w:rPr>
            </w:pPr>
            <w:r w:rsidRPr="00D87B79">
              <w:rPr>
                <w:rFonts w:cs="Tahoma"/>
                <w:color w:val="000000"/>
                <w:lang w:val="it-IT"/>
              </w:rPr>
              <w:t>Office 365 (Piano G2)*</w:t>
            </w:r>
          </w:p>
          <w:p w:rsidR="00A92422" w:rsidRPr="00D87B79" w:rsidRDefault="00A92422" w:rsidP="00EA30FC">
            <w:pPr>
              <w:numPr>
                <w:ilvl w:val="0"/>
                <w:numId w:val="6"/>
              </w:numPr>
              <w:spacing w:after="60"/>
              <w:rPr>
                <w:rFonts w:cs="Tahoma"/>
              </w:rPr>
            </w:pPr>
            <w:r w:rsidRPr="00D87B79">
              <w:rPr>
                <w:rFonts w:cs="Tahoma"/>
                <w:color w:val="000000"/>
                <w:lang w:val="it-IT"/>
              </w:rPr>
              <w:t>Office 365 (Piano G3)*</w:t>
            </w:r>
          </w:p>
          <w:p w:rsidR="00A92422" w:rsidRPr="00D87B79" w:rsidRDefault="00A92422" w:rsidP="00EA30FC">
            <w:pPr>
              <w:numPr>
                <w:ilvl w:val="0"/>
                <w:numId w:val="6"/>
              </w:numPr>
              <w:spacing w:after="60"/>
              <w:rPr>
                <w:rFonts w:cs="Tahoma"/>
              </w:rPr>
            </w:pPr>
            <w:r w:rsidRPr="00D87B79">
              <w:rPr>
                <w:rFonts w:cs="Tahoma"/>
                <w:color w:val="000000"/>
                <w:lang w:val="it-IT"/>
              </w:rPr>
              <w:t>Office 365 (Piano G4)*</w:t>
            </w:r>
          </w:p>
          <w:p w:rsidR="00A92422" w:rsidRPr="00D87B79" w:rsidRDefault="00A92422" w:rsidP="00EA30FC">
            <w:pPr>
              <w:numPr>
                <w:ilvl w:val="0"/>
                <w:numId w:val="6"/>
              </w:numPr>
              <w:spacing w:after="60"/>
              <w:rPr>
                <w:rFonts w:cs="Tahoma"/>
              </w:rPr>
            </w:pPr>
            <w:r w:rsidRPr="00D87B79">
              <w:rPr>
                <w:rFonts w:cs="Tahoma"/>
                <w:color w:val="000000"/>
                <w:lang w:val="it-IT"/>
              </w:rPr>
              <w:t>Windows Intune*</w:t>
            </w:r>
            <w:r w:rsidRPr="00D87B79">
              <w:rPr>
                <w:rFonts w:cs="Tahoma"/>
              </w:rPr>
              <w:t xml:space="preserve"> </w:t>
            </w:r>
          </w:p>
          <w:p w:rsidR="00A92422" w:rsidRPr="00D87B79" w:rsidRDefault="00A92422" w:rsidP="00EA30FC">
            <w:pPr>
              <w:spacing w:after="60"/>
              <w:ind w:left="901"/>
              <w:rPr>
                <w:rFonts w:cs="Tahoma"/>
                <w:color w:val="000000"/>
                <w:szCs w:val="18"/>
              </w:rPr>
            </w:pPr>
          </w:p>
        </w:tc>
      </w:tr>
      <w:tr w:rsidR="00A92422" w:rsidRPr="00D87B79" w:rsidTr="00EA30FC">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A92422" w:rsidRPr="00D87B79" w:rsidRDefault="00A92422" w:rsidP="00EA30FC">
            <w:pPr>
              <w:ind w:left="144"/>
              <w:rPr>
                <w:rFonts w:cs="Tahoma"/>
                <w:szCs w:val="18"/>
              </w:rPr>
            </w:pPr>
            <w:r w:rsidRPr="00D87B79">
              <w:rPr>
                <w:rFonts w:cs="Tahoma"/>
                <w:szCs w:val="18"/>
                <w:lang w:val="it-IT"/>
              </w:rPr>
              <w:t>Enterprise CAL Suite</w:t>
            </w:r>
          </w:p>
        </w:tc>
        <w:tc>
          <w:tcPr>
            <w:tcW w:w="4157" w:type="dxa"/>
            <w:tcBorders>
              <w:top w:val="single" w:sz="4" w:space="0" w:color="auto"/>
              <w:left w:val="nil"/>
              <w:bottom w:val="single" w:sz="4" w:space="0" w:color="auto"/>
              <w:right w:val="single" w:sz="8" w:space="0" w:color="auto"/>
            </w:tcBorders>
            <w:vAlign w:val="center"/>
          </w:tcPr>
          <w:p w:rsidR="00A92422" w:rsidRPr="00D87B79" w:rsidRDefault="00A92422" w:rsidP="00EA30FC">
            <w:pPr>
              <w:numPr>
                <w:ilvl w:val="0"/>
                <w:numId w:val="7"/>
              </w:numPr>
              <w:spacing w:after="60"/>
              <w:rPr>
                <w:rFonts w:cs="Tahoma"/>
              </w:rPr>
            </w:pPr>
            <w:r w:rsidRPr="00D87B79">
              <w:rPr>
                <w:rFonts w:cs="Tahoma"/>
                <w:color w:val="000000"/>
                <w:lang w:val="it-IT"/>
              </w:rPr>
              <w:t>Office 365 (Piano E3)*</w:t>
            </w:r>
          </w:p>
          <w:p w:rsidR="00A92422" w:rsidRPr="00D87B79" w:rsidRDefault="00A92422" w:rsidP="00EA30FC">
            <w:pPr>
              <w:numPr>
                <w:ilvl w:val="0"/>
                <w:numId w:val="7"/>
              </w:numPr>
              <w:spacing w:after="60"/>
              <w:rPr>
                <w:rFonts w:cs="Tahoma"/>
              </w:rPr>
            </w:pPr>
            <w:r w:rsidRPr="00D87B79">
              <w:rPr>
                <w:rFonts w:cs="Tahoma"/>
                <w:color w:val="000000"/>
                <w:lang w:val="it-IT"/>
              </w:rPr>
              <w:t>Office 365 (Piano E4)*</w:t>
            </w:r>
          </w:p>
          <w:p w:rsidR="00A92422" w:rsidRPr="00D87B79" w:rsidRDefault="00A92422" w:rsidP="00EA30FC">
            <w:pPr>
              <w:numPr>
                <w:ilvl w:val="0"/>
                <w:numId w:val="7"/>
              </w:numPr>
              <w:spacing w:after="60"/>
              <w:rPr>
                <w:rFonts w:cs="Tahoma"/>
              </w:rPr>
            </w:pPr>
            <w:r w:rsidRPr="00D87B79">
              <w:rPr>
                <w:rFonts w:cs="Tahoma"/>
                <w:color w:val="000000"/>
                <w:lang w:val="it-IT"/>
              </w:rPr>
              <w:t>Office 365 (Piano G3)*</w:t>
            </w:r>
          </w:p>
          <w:p w:rsidR="00A92422" w:rsidRPr="00D87B79" w:rsidRDefault="00A92422" w:rsidP="00EA30FC">
            <w:pPr>
              <w:numPr>
                <w:ilvl w:val="0"/>
                <w:numId w:val="7"/>
              </w:numPr>
              <w:spacing w:after="60"/>
              <w:rPr>
                <w:rFonts w:cs="Tahoma"/>
              </w:rPr>
            </w:pPr>
            <w:r w:rsidRPr="00D87B79">
              <w:rPr>
                <w:rFonts w:cs="Tahoma"/>
                <w:color w:val="000000"/>
                <w:lang w:val="it-IT"/>
              </w:rPr>
              <w:t>Office 365 (Piano G4)*</w:t>
            </w:r>
          </w:p>
          <w:p w:rsidR="00A92422" w:rsidRPr="00D87B79" w:rsidRDefault="00A92422" w:rsidP="00EA30FC">
            <w:pPr>
              <w:numPr>
                <w:ilvl w:val="0"/>
                <w:numId w:val="7"/>
              </w:numPr>
              <w:spacing w:after="60"/>
              <w:rPr>
                <w:rFonts w:cs="Tahoma"/>
              </w:rPr>
            </w:pPr>
            <w:r w:rsidRPr="00D87B79">
              <w:rPr>
                <w:rFonts w:cs="Tahoma"/>
                <w:color w:val="000000"/>
                <w:lang w:val="it-IT"/>
              </w:rPr>
              <w:t>Windows Intune*</w:t>
            </w:r>
          </w:p>
          <w:p w:rsidR="00A92422" w:rsidRPr="00D87B79" w:rsidRDefault="00A92422" w:rsidP="00EA30FC">
            <w:pPr>
              <w:spacing w:after="60"/>
              <w:ind w:left="901"/>
              <w:rPr>
                <w:rFonts w:cs="Tahoma"/>
                <w:color w:val="000000"/>
                <w:szCs w:val="18"/>
              </w:rPr>
            </w:pPr>
            <w:r w:rsidRPr="00D87B79">
              <w:rPr>
                <w:rFonts w:cs="Tahoma"/>
                <w:color w:val="000000"/>
                <w:szCs w:val="18"/>
              </w:rPr>
              <w:t xml:space="preserve"> </w:t>
            </w:r>
          </w:p>
        </w:tc>
      </w:tr>
    </w:tbl>
    <w:p w:rsidR="00A92422" w:rsidRPr="00D87B79" w:rsidRDefault="00A92422" w:rsidP="00A92422">
      <w:pPr>
        <w:tabs>
          <w:tab w:val="left" w:pos="360"/>
        </w:tabs>
        <w:ind w:left="720"/>
        <w:rPr>
          <w:rFonts w:cs="Tahoma"/>
        </w:rPr>
      </w:pPr>
      <w:r w:rsidRPr="00D87B79">
        <w:rPr>
          <w:rFonts w:cs="Tahoma"/>
          <w:i/>
          <w:sz w:val="16"/>
          <w:szCs w:val="20"/>
          <w:lang w:val="it-IT"/>
        </w:rPr>
        <w:t>* Richiede la CAL Suite Bridge appropriata.</w:t>
      </w:r>
      <w:r w:rsidRPr="00D87B79">
        <w:rPr>
          <w:rFonts w:cs="Tahoma"/>
        </w:rPr>
        <w:t xml:space="preserve"> </w:t>
      </w:r>
      <w:r w:rsidRPr="00D87B79">
        <w:rPr>
          <w:rFonts w:cs="Tahoma"/>
          <w:i/>
          <w:sz w:val="16"/>
          <w:lang w:val="it-IT"/>
        </w:rPr>
        <w:t>Per ulteriori informazioni sulla CAL Suite Bridge, fare riferimento all’articolo relativo alle note del prodotto nel presente documento.</w:t>
      </w:r>
    </w:p>
    <w:p w:rsidR="00A92422" w:rsidRPr="00D87B79" w:rsidRDefault="00A92422" w:rsidP="00A92422">
      <w:pPr>
        <w:tabs>
          <w:tab w:val="left" w:pos="360"/>
        </w:tabs>
        <w:ind w:left="720"/>
        <w:rPr>
          <w:rFonts w:cs="Tahoma"/>
        </w:rPr>
      </w:pPr>
      <w:r w:rsidRPr="00D87B79">
        <w:rPr>
          <w:rFonts w:cs="Tahoma"/>
          <w:i/>
          <w:sz w:val="16"/>
          <w:lang w:val="it-IT"/>
        </w:rPr>
        <w:t>**</w:t>
      </w:r>
      <w:r>
        <w:rPr>
          <w:rFonts w:cs="Tahoma"/>
          <w:i/>
          <w:sz w:val="16"/>
          <w:lang w:val="it-IT"/>
        </w:rPr>
        <w:t xml:space="preserve"> </w:t>
      </w:r>
      <w:r w:rsidRPr="00D87B79">
        <w:rPr>
          <w:rFonts w:cs="Tahoma"/>
          <w:i/>
          <w:sz w:val="16"/>
          <w:lang w:val="it-IT"/>
        </w:rPr>
        <w:t>Office Professional Plus in Office 365 e Windows VDA sono Prodotti Enterprise e possono soddisfare i requisiti per</w:t>
      </w:r>
      <w:r>
        <w:rPr>
          <w:rFonts w:cs="Tahoma"/>
          <w:i/>
          <w:sz w:val="16"/>
          <w:lang w:val="it-IT"/>
        </w:rPr>
        <w:t> </w:t>
      </w:r>
      <w:r w:rsidRPr="00D87B79">
        <w:rPr>
          <w:rFonts w:cs="Tahoma"/>
          <w:i/>
          <w:sz w:val="16"/>
          <w:lang w:val="it-IT"/>
        </w:rPr>
        <w:t>l’intera Organizzazione di Prodotti Enterprise.</w:t>
      </w:r>
    </w:p>
    <w:p w:rsidR="00A92422" w:rsidRPr="00D87B79" w:rsidRDefault="00A92422" w:rsidP="00A92422">
      <w:pPr>
        <w:tabs>
          <w:tab w:val="left" w:pos="360"/>
        </w:tabs>
        <w:ind w:left="720"/>
        <w:rPr>
          <w:rFonts w:cs="Tahoma"/>
        </w:rPr>
      </w:pPr>
      <w:r w:rsidRPr="00D87B79">
        <w:rPr>
          <w:rFonts w:cs="Tahoma"/>
          <w:i/>
          <w:sz w:val="16"/>
          <w:szCs w:val="20"/>
          <w:lang w:val="it-IT"/>
        </w:rPr>
        <w:t>***</w:t>
      </w:r>
      <w:r>
        <w:rPr>
          <w:rFonts w:cs="Tahoma"/>
          <w:i/>
          <w:sz w:val="16"/>
          <w:szCs w:val="20"/>
          <w:lang w:val="it-IT"/>
        </w:rPr>
        <w:t xml:space="preserve"> </w:t>
      </w:r>
      <w:r w:rsidRPr="00D87B79">
        <w:rPr>
          <w:rFonts w:cs="Tahoma"/>
          <w:i/>
          <w:sz w:val="16"/>
          <w:szCs w:val="20"/>
          <w:lang w:val="it-IT"/>
        </w:rPr>
        <w:t>I Servizi Online Enterprise includono solo USL complete.</w:t>
      </w:r>
      <w:r w:rsidRPr="00D87B79">
        <w:rPr>
          <w:rFonts w:cs="Tahoma"/>
        </w:rPr>
        <w:t xml:space="preserve"> </w:t>
      </w:r>
      <w:r w:rsidRPr="00D87B79">
        <w:rPr>
          <w:rFonts w:cs="Tahoma"/>
          <w:i/>
          <w:sz w:val="16"/>
          <w:lang w:val="it-IT"/>
        </w:rPr>
        <w:t>Le USL per Software Assurance, il cui acquisto è subordinato a Core CAL o Enterprise CAL, non costituiscono Servizi Online Enterprise.</w:t>
      </w:r>
    </w:p>
    <w:p w:rsidR="00A92422" w:rsidRDefault="00A92422" w:rsidP="00A92422">
      <w:pPr>
        <w:tabs>
          <w:tab w:val="left" w:pos="360"/>
        </w:tabs>
        <w:ind w:left="720"/>
        <w:rPr>
          <w:rFonts w:cs="Tahoma"/>
        </w:rPr>
      </w:pPr>
    </w:p>
    <w:p w:rsidR="00A92422" w:rsidRDefault="00A92422" w:rsidP="00A92422">
      <w:pPr>
        <w:tabs>
          <w:tab w:val="left" w:pos="360"/>
        </w:tabs>
        <w:ind w:left="720"/>
        <w:rPr>
          <w:rFonts w:cs="Tahoma"/>
        </w:rPr>
      </w:pPr>
    </w:p>
    <w:p w:rsidR="00A92422" w:rsidRDefault="00A92422" w:rsidP="00A92422">
      <w:pPr>
        <w:tabs>
          <w:tab w:val="left" w:pos="360"/>
        </w:tabs>
        <w:ind w:left="720"/>
        <w:rPr>
          <w:rFonts w:cs="Tahoma"/>
        </w:rPr>
      </w:pPr>
    </w:p>
    <w:p w:rsidR="00A92422" w:rsidRDefault="00A92422" w:rsidP="00A92422">
      <w:pPr>
        <w:tabs>
          <w:tab w:val="left" w:pos="360"/>
        </w:tabs>
        <w:ind w:left="720"/>
        <w:rPr>
          <w:rFonts w:cs="Tahoma"/>
        </w:rPr>
      </w:pPr>
    </w:p>
    <w:p w:rsidR="00A92422" w:rsidRPr="00D87B79" w:rsidRDefault="00A92422" w:rsidP="00A92422">
      <w:pPr>
        <w:tabs>
          <w:tab w:val="left" w:pos="360"/>
        </w:tabs>
        <w:ind w:left="720"/>
        <w:rPr>
          <w:rFonts w:cs="Tahoma"/>
        </w:rPr>
      </w:pPr>
    </w:p>
    <w:p w:rsidR="00A92422" w:rsidRPr="00D87B79" w:rsidRDefault="00A92422" w:rsidP="00A92422">
      <w:pPr>
        <w:tabs>
          <w:tab w:val="left" w:pos="360"/>
        </w:tabs>
        <w:rPr>
          <w:rFonts w:cs="Tahoma"/>
        </w:rPr>
      </w:pPr>
      <w:r w:rsidRPr="00D87B79">
        <w:rPr>
          <w:rFonts w:cs="Tahoma"/>
          <w:b/>
          <w:sz w:val="20"/>
          <w:lang w:val="it-IT"/>
        </w:rPr>
        <w:lastRenderedPageBreak/>
        <w:t>Transizioni Autorizzate</w:t>
      </w:r>
    </w:p>
    <w:p w:rsidR="00A92422" w:rsidRPr="00D87B79" w:rsidRDefault="00A92422" w:rsidP="00A92422">
      <w:pPr>
        <w:tabs>
          <w:tab w:val="left" w:pos="360"/>
        </w:tabs>
        <w:rPr>
          <w:rFonts w:cs="Tahoma"/>
        </w:rPr>
      </w:pPr>
      <w:r w:rsidRPr="00D87B79">
        <w:rPr>
          <w:rFonts w:cs="Tahoma"/>
          <w:lang w:val="it-IT"/>
        </w:rPr>
        <w:t>Quanto segue si applica alle società in possesso delle Iscrizioni Enterprise ed Enterprise Subscription che hanno i</w:t>
      </w:r>
      <w:r>
        <w:rPr>
          <w:rFonts w:cs="Tahoma"/>
          <w:lang w:val="it-IT"/>
        </w:rPr>
        <w:t> </w:t>
      </w:r>
      <w:r w:rsidRPr="00D87B79">
        <w:rPr>
          <w:rFonts w:cs="Tahoma"/>
          <w:lang w:val="it-IT"/>
        </w:rPr>
        <w:t>diritti di Transizione. Le società, che non sono certe di disporre dei diritti di Transizione ai sensi della loro iscrizione,</w:t>
      </w:r>
      <w:r>
        <w:rPr>
          <w:rFonts w:cs="Tahoma"/>
          <w:lang w:val="it-IT"/>
        </w:rPr>
        <w:t> </w:t>
      </w:r>
      <w:r w:rsidRPr="00D87B79">
        <w:rPr>
          <w:rFonts w:cs="Tahoma"/>
          <w:lang w:val="it-IT"/>
        </w:rPr>
        <w:t>dovranno contattare il loro Software Advisor, Rivenditore o Account Manager designato da Microsoft per</w:t>
      </w:r>
      <w:r>
        <w:rPr>
          <w:rFonts w:cs="Tahoma"/>
          <w:lang w:val="it-IT"/>
        </w:rPr>
        <w:t> </w:t>
      </w:r>
      <w:r w:rsidRPr="00D87B79">
        <w:rPr>
          <w:rFonts w:cs="Tahoma"/>
          <w:lang w:val="it-IT"/>
        </w:rPr>
        <w:t>ulteriori informazioni.</w:t>
      </w:r>
      <w:r w:rsidRPr="00D87B79">
        <w:rPr>
          <w:rFonts w:cs="Tahoma"/>
        </w:rPr>
        <w:t xml:space="preserve"> </w:t>
      </w:r>
    </w:p>
    <w:p w:rsidR="00A92422" w:rsidRPr="00D87B79" w:rsidRDefault="00A92422" w:rsidP="00A92422">
      <w:pPr>
        <w:tabs>
          <w:tab w:val="left" w:pos="360"/>
        </w:tabs>
        <w:rPr>
          <w:rFonts w:cs="Tahoma"/>
        </w:rPr>
      </w:pPr>
    </w:p>
    <w:p w:rsidR="00A92422" w:rsidRPr="00D87B79" w:rsidRDefault="00A92422" w:rsidP="00A92422">
      <w:pPr>
        <w:tabs>
          <w:tab w:val="left" w:pos="360"/>
        </w:tabs>
        <w:rPr>
          <w:rFonts w:cs="Tahoma"/>
        </w:rPr>
      </w:pPr>
      <w:r w:rsidRPr="00D87B79">
        <w:rPr>
          <w:rFonts w:cs="Tahoma"/>
          <w:szCs w:val="20"/>
          <w:lang w:val="it-IT"/>
        </w:rPr>
        <w:t>Nella tabella che segue sono identificati i prodotti idonei per la Transizione e le Transizioni autorizzate.</w:t>
      </w:r>
      <w:r w:rsidRPr="00D87B79">
        <w:rPr>
          <w:rFonts w:cs="Tahoma"/>
        </w:rPr>
        <w:t xml:space="preserve"> </w:t>
      </w:r>
      <w:r w:rsidRPr="00D87B79">
        <w:rPr>
          <w:rFonts w:cs="Tahoma"/>
          <w:lang w:val="it-IT"/>
        </w:rPr>
        <w:t>Sono inclusi prodotti soggetti alla transizione al momento dell’acquisto come parte di una desktop platform.</w:t>
      </w:r>
    </w:p>
    <w:p w:rsidR="00A92422" w:rsidRPr="00D87B79" w:rsidRDefault="00A92422" w:rsidP="00A92422">
      <w:pPr>
        <w:tabs>
          <w:tab w:val="left" w:pos="360"/>
        </w:tabs>
        <w:ind w:left="720"/>
        <w:rPr>
          <w:rFonts w:cs="Tahoma"/>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A92422" w:rsidRPr="00D87B79" w:rsidTr="00EA30FC">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rsidR="00A92422" w:rsidRPr="00D87B79" w:rsidRDefault="00A92422" w:rsidP="00EA30FC">
            <w:pPr>
              <w:keepNext/>
              <w:jc w:val="center"/>
              <w:rPr>
                <w:rFonts w:cs="Tahoma"/>
                <w:b/>
              </w:rPr>
            </w:pPr>
            <w:r w:rsidRPr="00D87B79">
              <w:rPr>
                <w:rFonts w:cs="Tahoma"/>
                <w:b/>
                <w:lang w:val="it-IT"/>
              </w:rPr>
              <w:t>Prodotti Enterprise Soggetti alla</w:t>
            </w:r>
            <w:r>
              <w:rPr>
                <w:rFonts w:cs="Tahoma"/>
                <w:b/>
                <w:lang w:val="it-IT"/>
              </w:rPr>
              <w:t> </w:t>
            </w:r>
            <w:r w:rsidRPr="00D87B79">
              <w:rPr>
                <w:rFonts w:cs="Tahoma"/>
                <w:b/>
                <w:lang w:val="it-IT"/>
              </w:rPr>
              <w:t>Transizione</w:t>
            </w:r>
          </w:p>
        </w:tc>
        <w:tc>
          <w:tcPr>
            <w:tcW w:w="4334" w:type="dxa"/>
            <w:tcBorders>
              <w:top w:val="single" w:sz="8" w:space="0" w:color="auto"/>
              <w:left w:val="nil"/>
              <w:bottom w:val="single" w:sz="8" w:space="0" w:color="auto"/>
              <w:right w:val="single" w:sz="8" w:space="0" w:color="auto"/>
            </w:tcBorders>
            <w:shd w:val="clear" w:color="auto" w:fill="FABF8F"/>
            <w:vAlign w:val="center"/>
          </w:tcPr>
          <w:p w:rsidR="00A92422" w:rsidRPr="00D87B79" w:rsidRDefault="00A92422" w:rsidP="00EA30FC">
            <w:pPr>
              <w:keepNext/>
              <w:jc w:val="center"/>
              <w:rPr>
                <w:rFonts w:cs="Tahoma"/>
                <w:b/>
              </w:rPr>
            </w:pPr>
            <w:r w:rsidRPr="00D87B79">
              <w:rPr>
                <w:rFonts w:cs="Tahoma"/>
                <w:b/>
                <w:lang w:val="it-IT"/>
              </w:rPr>
              <w:t>Transizioni Autorizzate</w:t>
            </w:r>
          </w:p>
        </w:tc>
      </w:tr>
      <w:tr w:rsidR="00A92422" w:rsidRPr="00D87B79" w:rsidTr="00EA30FC">
        <w:trPr>
          <w:cantSplit/>
          <w:trHeight w:val="354"/>
        </w:trPr>
        <w:tc>
          <w:tcPr>
            <w:tcW w:w="3687" w:type="dxa"/>
            <w:tcBorders>
              <w:top w:val="nil"/>
              <w:left w:val="single" w:sz="8" w:space="0" w:color="auto"/>
              <w:bottom w:val="single" w:sz="8" w:space="0" w:color="auto"/>
              <w:right w:val="single" w:sz="8" w:space="0" w:color="auto"/>
            </w:tcBorders>
            <w:vAlign w:val="center"/>
          </w:tcPr>
          <w:p w:rsidR="00A92422" w:rsidRPr="00D87B79" w:rsidRDefault="00A92422" w:rsidP="00EA30FC">
            <w:pPr>
              <w:spacing w:before="60" w:after="60"/>
              <w:ind w:left="144"/>
              <w:rPr>
                <w:rFonts w:cs="Tahoma"/>
              </w:rPr>
            </w:pPr>
            <w:r w:rsidRPr="00D87B79">
              <w:rPr>
                <w:rFonts w:cs="Tahoma"/>
                <w:lang w:val="it-IT"/>
              </w:rPr>
              <w:t>Core CAL Suite</w:t>
            </w:r>
            <w:r w:rsidRPr="00D87B79">
              <w:rPr>
                <w:rFonts w:cs="Tahoma"/>
              </w:rPr>
              <w:t xml:space="preserve"> </w:t>
            </w:r>
          </w:p>
        </w:tc>
        <w:tc>
          <w:tcPr>
            <w:tcW w:w="4334" w:type="dxa"/>
            <w:tcBorders>
              <w:top w:val="nil"/>
              <w:left w:val="nil"/>
              <w:bottom w:val="single" w:sz="8" w:space="0" w:color="auto"/>
              <w:right w:val="single" w:sz="8" w:space="0" w:color="auto"/>
            </w:tcBorders>
            <w:vAlign w:val="center"/>
          </w:tcPr>
          <w:p w:rsidR="00A92422" w:rsidRPr="00D87B79" w:rsidRDefault="00A92422" w:rsidP="00EA30FC">
            <w:pPr>
              <w:numPr>
                <w:ilvl w:val="0"/>
                <w:numId w:val="8"/>
              </w:numPr>
              <w:spacing w:after="60"/>
              <w:rPr>
                <w:rFonts w:cs="Tahoma"/>
              </w:rPr>
            </w:pPr>
            <w:r w:rsidRPr="00D87B79">
              <w:rPr>
                <w:rFonts w:cs="Tahoma"/>
                <w:color w:val="000000"/>
                <w:lang w:val="it-IT"/>
              </w:rPr>
              <w:t>Office 365 (Piano E1)*</w:t>
            </w:r>
          </w:p>
          <w:p w:rsidR="00A92422" w:rsidRPr="00D87B79" w:rsidRDefault="00A92422" w:rsidP="00EA30FC">
            <w:pPr>
              <w:numPr>
                <w:ilvl w:val="0"/>
                <w:numId w:val="8"/>
              </w:numPr>
              <w:spacing w:after="60"/>
              <w:rPr>
                <w:rFonts w:cs="Tahoma"/>
              </w:rPr>
            </w:pPr>
            <w:r w:rsidRPr="00D87B79">
              <w:rPr>
                <w:rFonts w:cs="Tahoma"/>
                <w:color w:val="000000"/>
                <w:lang w:val="it-IT"/>
              </w:rPr>
              <w:t>Office 365 (Piano E2)*</w:t>
            </w:r>
          </w:p>
          <w:p w:rsidR="00A92422" w:rsidRPr="00D87B79" w:rsidRDefault="00A92422" w:rsidP="00EA30FC">
            <w:pPr>
              <w:numPr>
                <w:ilvl w:val="0"/>
                <w:numId w:val="8"/>
              </w:numPr>
              <w:spacing w:after="60"/>
              <w:rPr>
                <w:rFonts w:cs="Tahoma"/>
              </w:rPr>
            </w:pPr>
            <w:r w:rsidRPr="00D87B79">
              <w:rPr>
                <w:rFonts w:cs="Tahoma"/>
                <w:color w:val="000000"/>
                <w:lang w:val="it-IT"/>
              </w:rPr>
              <w:t>Office 365 (Piano E3)*</w:t>
            </w:r>
          </w:p>
          <w:p w:rsidR="00A92422" w:rsidRPr="00D87B79" w:rsidRDefault="00A92422" w:rsidP="00EA30FC">
            <w:pPr>
              <w:numPr>
                <w:ilvl w:val="0"/>
                <w:numId w:val="8"/>
              </w:numPr>
              <w:spacing w:after="60"/>
              <w:rPr>
                <w:rFonts w:cs="Tahoma"/>
              </w:rPr>
            </w:pPr>
            <w:r w:rsidRPr="00D87B79">
              <w:rPr>
                <w:rFonts w:cs="Tahoma"/>
                <w:color w:val="000000"/>
                <w:lang w:val="it-IT"/>
              </w:rPr>
              <w:t>Office 365 (Piano E4)*</w:t>
            </w:r>
          </w:p>
          <w:p w:rsidR="00A92422" w:rsidRPr="00D87B79" w:rsidRDefault="00A92422" w:rsidP="00EA30FC">
            <w:pPr>
              <w:numPr>
                <w:ilvl w:val="0"/>
                <w:numId w:val="8"/>
              </w:numPr>
              <w:spacing w:after="60"/>
              <w:rPr>
                <w:rFonts w:cs="Tahoma"/>
              </w:rPr>
            </w:pPr>
            <w:r w:rsidRPr="00D87B79">
              <w:rPr>
                <w:rFonts w:cs="Tahoma"/>
                <w:color w:val="000000"/>
                <w:lang w:val="it-IT"/>
              </w:rPr>
              <w:t>Office 365 (Piano G1)*</w:t>
            </w:r>
          </w:p>
          <w:p w:rsidR="00A92422" w:rsidRPr="00D87B79" w:rsidRDefault="00A92422" w:rsidP="00EA30FC">
            <w:pPr>
              <w:numPr>
                <w:ilvl w:val="0"/>
                <w:numId w:val="8"/>
              </w:numPr>
              <w:spacing w:after="60"/>
              <w:rPr>
                <w:rFonts w:cs="Tahoma"/>
              </w:rPr>
            </w:pPr>
            <w:r w:rsidRPr="00D87B79">
              <w:rPr>
                <w:rFonts w:cs="Tahoma"/>
                <w:color w:val="000000"/>
                <w:lang w:val="it-IT"/>
              </w:rPr>
              <w:t>Office 365 (Piano G2)*</w:t>
            </w:r>
          </w:p>
          <w:p w:rsidR="00A92422" w:rsidRPr="00D87B79" w:rsidRDefault="00A92422" w:rsidP="00EA30FC">
            <w:pPr>
              <w:numPr>
                <w:ilvl w:val="0"/>
                <w:numId w:val="8"/>
              </w:numPr>
              <w:spacing w:after="60"/>
              <w:rPr>
                <w:rFonts w:cs="Tahoma"/>
              </w:rPr>
            </w:pPr>
            <w:r w:rsidRPr="00D87B79">
              <w:rPr>
                <w:rFonts w:cs="Tahoma"/>
                <w:color w:val="000000"/>
                <w:lang w:val="it-IT"/>
              </w:rPr>
              <w:t>Office 365 (Piano G3)*</w:t>
            </w:r>
          </w:p>
          <w:p w:rsidR="00A92422" w:rsidRPr="00D87B79" w:rsidRDefault="00A92422" w:rsidP="00EA30FC">
            <w:pPr>
              <w:numPr>
                <w:ilvl w:val="0"/>
                <w:numId w:val="8"/>
              </w:numPr>
              <w:spacing w:after="60"/>
              <w:rPr>
                <w:rFonts w:cs="Tahoma"/>
              </w:rPr>
            </w:pPr>
            <w:r w:rsidRPr="00D87B79">
              <w:rPr>
                <w:rFonts w:cs="Tahoma"/>
                <w:color w:val="000000"/>
                <w:lang w:val="it-IT"/>
              </w:rPr>
              <w:t>Office 365 (Piano G4)*</w:t>
            </w:r>
          </w:p>
          <w:p w:rsidR="00A92422" w:rsidRPr="00D87B79" w:rsidRDefault="00A92422" w:rsidP="00EA30FC">
            <w:pPr>
              <w:numPr>
                <w:ilvl w:val="0"/>
                <w:numId w:val="8"/>
              </w:numPr>
              <w:ind w:right="144"/>
              <w:rPr>
                <w:rFonts w:cs="Tahoma"/>
              </w:rPr>
            </w:pPr>
            <w:r w:rsidRPr="00D87B79">
              <w:rPr>
                <w:rFonts w:cs="Tahoma"/>
                <w:color w:val="000000"/>
                <w:lang w:val="it-IT"/>
              </w:rPr>
              <w:t>Windows Intune*</w:t>
            </w:r>
          </w:p>
          <w:p w:rsidR="00A92422" w:rsidRPr="00AD19B1" w:rsidRDefault="00A92422" w:rsidP="00EA30FC">
            <w:pPr>
              <w:ind w:left="720" w:right="144"/>
              <w:rPr>
                <w:rFonts w:cs="Tahoma"/>
                <w:color w:val="000000"/>
                <w:sz w:val="16"/>
                <w:szCs w:val="16"/>
              </w:rPr>
            </w:pPr>
          </w:p>
        </w:tc>
      </w:tr>
      <w:tr w:rsidR="00A92422" w:rsidRPr="00D87B79" w:rsidTr="00EA30FC">
        <w:trPr>
          <w:cantSplit/>
          <w:trHeight w:val="354"/>
        </w:trPr>
        <w:tc>
          <w:tcPr>
            <w:tcW w:w="3687" w:type="dxa"/>
            <w:tcBorders>
              <w:top w:val="nil"/>
              <w:left w:val="single" w:sz="8" w:space="0" w:color="auto"/>
              <w:bottom w:val="single" w:sz="8" w:space="0" w:color="auto"/>
              <w:right w:val="single" w:sz="8" w:space="0" w:color="auto"/>
            </w:tcBorders>
            <w:vAlign w:val="center"/>
          </w:tcPr>
          <w:p w:rsidR="00A92422" w:rsidRPr="00D87B79" w:rsidRDefault="00A92422" w:rsidP="00EA30FC">
            <w:pPr>
              <w:spacing w:before="60" w:after="60"/>
              <w:ind w:left="144"/>
              <w:rPr>
                <w:rFonts w:cs="Tahoma"/>
              </w:rPr>
            </w:pPr>
            <w:r w:rsidRPr="00D87B79">
              <w:rPr>
                <w:rFonts w:cs="Tahoma"/>
                <w:lang w:val="it-IT"/>
              </w:rPr>
              <w:t>Enterprise CAL Suite</w:t>
            </w:r>
          </w:p>
        </w:tc>
        <w:tc>
          <w:tcPr>
            <w:tcW w:w="4334" w:type="dxa"/>
            <w:tcBorders>
              <w:top w:val="nil"/>
              <w:left w:val="nil"/>
              <w:bottom w:val="single" w:sz="8" w:space="0" w:color="auto"/>
              <w:right w:val="single" w:sz="8" w:space="0" w:color="auto"/>
            </w:tcBorders>
            <w:vAlign w:val="center"/>
          </w:tcPr>
          <w:p w:rsidR="00A92422" w:rsidRPr="00D87B79" w:rsidRDefault="00A92422" w:rsidP="00EA30FC">
            <w:pPr>
              <w:numPr>
                <w:ilvl w:val="0"/>
                <w:numId w:val="8"/>
              </w:numPr>
              <w:spacing w:after="60"/>
              <w:rPr>
                <w:rFonts w:cs="Tahoma"/>
              </w:rPr>
            </w:pPr>
            <w:r w:rsidRPr="00D87B79">
              <w:rPr>
                <w:rFonts w:cs="Tahoma"/>
                <w:color w:val="000000"/>
                <w:lang w:val="it-IT"/>
              </w:rPr>
              <w:t>Office 365 (Piano E3)*</w:t>
            </w:r>
          </w:p>
          <w:p w:rsidR="00A92422" w:rsidRPr="00D87B79" w:rsidRDefault="00A92422" w:rsidP="00EA30FC">
            <w:pPr>
              <w:numPr>
                <w:ilvl w:val="0"/>
                <w:numId w:val="8"/>
              </w:numPr>
              <w:spacing w:after="60"/>
              <w:rPr>
                <w:rFonts w:cs="Tahoma"/>
              </w:rPr>
            </w:pPr>
            <w:r w:rsidRPr="00D87B79">
              <w:rPr>
                <w:rFonts w:cs="Tahoma"/>
                <w:color w:val="000000"/>
                <w:lang w:val="it-IT"/>
              </w:rPr>
              <w:t>Office 365 (Piano E4)*</w:t>
            </w:r>
          </w:p>
          <w:p w:rsidR="00A92422" w:rsidRPr="00D87B79" w:rsidRDefault="00A92422" w:rsidP="00EA30FC">
            <w:pPr>
              <w:numPr>
                <w:ilvl w:val="0"/>
                <w:numId w:val="8"/>
              </w:numPr>
              <w:spacing w:after="60"/>
              <w:rPr>
                <w:rFonts w:cs="Tahoma"/>
              </w:rPr>
            </w:pPr>
            <w:r w:rsidRPr="00D87B79">
              <w:rPr>
                <w:rFonts w:cs="Tahoma"/>
                <w:color w:val="000000"/>
                <w:lang w:val="it-IT"/>
              </w:rPr>
              <w:t>Office 365 (Piano G3)*</w:t>
            </w:r>
          </w:p>
          <w:p w:rsidR="00A92422" w:rsidRPr="00D87B79" w:rsidRDefault="00A92422" w:rsidP="00EA30FC">
            <w:pPr>
              <w:numPr>
                <w:ilvl w:val="0"/>
                <w:numId w:val="8"/>
              </w:numPr>
              <w:spacing w:after="60"/>
              <w:rPr>
                <w:rFonts w:cs="Tahoma"/>
              </w:rPr>
            </w:pPr>
            <w:r w:rsidRPr="00D87B79">
              <w:rPr>
                <w:rFonts w:cs="Tahoma"/>
                <w:color w:val="000000"/>
                <w:lang w:val="it-IT"/>
              </w:rPr>
              <w:t>Office 365 (Piano G4)*</w:t>
            </w:r>
          </w:p>
          <w:p w:rsidR="00A92422" w:rsidRPr="00D87B79" w:rsidRDefault="00A92422" w:rsidP="00EA30FC">
            <w:pPr>
              <w:numPr>
                <w:ilvl w:val="0"/>
                <w:numId w:val="8"/>
              </w:numPr>
              <w:ind w:right="144"/>
              <w:rPr>
                <w:rFonts w:cs="Tahoma"/>
              </w:rPr>
            </w:pPr>
            <w:r w:rsidRPr="00D87B79">
              <w:rPr>
                <w:rFonts w:cs="Tahoma"/>
                <w:color w:val="000000"/>
                <w:lang w:val="it-IT"/>
              </w:rPr>
              <w:t>Windows</w:t>
            </w:r>
            <w:r w:rsidRPr="003A0F2F">
              <w:rPr>
                <w:rFonts w:cs="Tahoma"/>
                <w:color w:val="000000"/>
                <w:vertAlign w:val="superscript"/>
                <w:lang w:val="it-IT"/>
              </w:rPr>
              <w:t>®</w:t>
            </w:r>
            <w:r w:rsidRPr="00D87B79">
              <w:rPr>
                <w:rFonts w:cs="Tahoma"/>
                <w:color w:val="000000"/>
                <w:lang w:val="it-IT"/>
              </w:rPr>
              <w:t xml:space="preserve"> Intune*</w:t>
            </w:r>
          </w:p>
          <w:p w:rsidR="00A92422" w:rsidRPr="00AD19B1" w:rsidRDefault="00A92422" w:rsidP="00EA30FC">
            <w:pPr>
              <w:ind w:right="144"/>
              <w:rPr>
                <w:rFonts w:cs="Tahoma"/>
                <w:color w:val="000000"/>
                <w:sz w:val="16"/>
                <w:szCs w:val="16"/>
              </w:rPr>
            </w:pPr>
          </w:p>
        </w:tc>
      </w:tr>
      <w:tr w:rsidR="00A92422" w:rsidRPr="00D87B79" w:rsidTr="00EA30FC">
        <w:trPr>
          <w:cantSplit/>
          <w:trHeight w:val="354"/>
        </w:trPr>
        <w:tc>
          <w:tcPr>
            <w:tcW w:w="3687" w:type="dxa"/>
            <w:tcBorders>
              <w:top w:val="single" w:sz="8" w:space="0" w:color="auto"/>
              <w:left w:val="single" w:sz="8" w:space="0" w:color="auto"/>
              <w:bottom w:val="nil"/>
              <w:right w:val="single" w:sz="8" w:space="0" w:color="auto"/>
            </w:tcBorders>
            <w:vAlign w:val="center"/>
          </w:tcPr>
          <w:p w:rsidR="00A92422" w:rsidRPr="00D87B79" w:rsidRDefault="00A92422" w:rsidP="00EA30FC">
            <w:pPr>
              <w:spacing w:before="60" w:after="60"/>
              <w:ind w:left="144"/>
              <w:rPr>
                <w:rFonts w:cs="Tahoma"/>
              </w:rPr>
            </w:pPr>
            <w:r w:rsidRPr="00D87B79">
              <w:rPr>
                <w:rFonts w:cs="Tahoma"/>
                <w:lang w:val="it-IT"/>
              </w:rPr>
              <w:t>Office Professional Plus</w:t>
            </w:r>
          </w:p>
        </w:tc>
        <w:tc>
          <w:tcPr>
            <w:tcW w:w="4334" w:type="dxa"/>
            <w:tcBorders>
              <w:top w:val="single" w:sz="8" w:space="0" w:color="auto"/>
              <w:left w:val="nil"/>
              <w:bottom w:val="nil"/>
              <w:right w:val="single" w:sz="8" w:space="0" w:color="auto"/>
            </w:tcBorders>
            <w:vAlign w:val="center"/>
          </w:tcPr>
          <w:p w:rsidR="00A92422" w:rsidRPr="00D87B79" w:rsidRDefault="00A92422" w:rsidP="00EA30FC">
            <w:pPr>
              <w:numPr>
                <w:ilvl w:val="0"/>
                <w:numId w:val="8"/>
              </w:numPr>
              <w:spacing w:after="60"/>
              <w:rPr>
                <w:rFonts w:cs="Tahoma"/>
              </w:rPr>
            </w:pPr>
            <w:r w:rsidRPr="00D87B79">
              <w:rPr>
                <w:rFonts w:cs="Tahoma"/>
                <w:color w:val="000000"/>
                <w:lang w:val="it-IT"/>
              </w:rPr>
              <w:t>Office 365 (Piano E2)</w:t>
            </w:r>
          </w:p>
          <w:p w:rsidR="00A92422" w:rsidRPr="00D87B79" w:rsidRDefault="00A92422" w:rsidP="00EA30FC">
            <w:pPr>
              <w:numPr>
                <w:ilvl w:val="0"/>
                <w:numId w:val="8"/>
              </w:numPr>
              <w:spacing w:after="60"/>
              <w:rPr>
                <w:rFonts w:cs="Tahoma"/>
              </w:rPr>
            </w:pPr>
            <w:r w:rsidRPr="00D87B79">
              <w:rPr>
                <w:rFonts w:cs="Tahoma"/>
                <w:color w:val="000000"/>
                <w:lang w:val="it-IT"/>
              </w:rPr>
              <w:t>Office 365 (Piano E3)</w:t>
            </w:r>
          </w:p>
          <w:p w:rsidR="00A92422" w:rsidRPr="00D87B79" w:rsidRDefault="00A92422" w:rsidP="00EA30FC">
            <w:pPr>
              <w:numPr>
                <w:ilvl w:val="0"/>
                <w:numId w:val="8"/>
              </w:numPr>
              <w:spacing w:after="60"/>
              <w:rPr>
                <w:rFonts w:cs="Tahoma"/>
              </w:rPr>
            </w:pPr>
            <w:r w:rsidRPr="00D87B79">
              <w:rPr>
                <w:rFonts w:cs="Tahoma"/>
                <w:color w:val="000000"/>
                <w:lang w:val="it-IT"/>
              </w:rPr>
              <w:t>Office 365 (Piano E4)</w:t>
            </w:r>
          </w:p>
          <w:p w:rsidR="00A92422" w:rsidRPr="00D87B79" w:rsidRDefault="00A92422" w:rsidP="00EA30FC">
            <w:pPr>
              <w:numPr>
                <w:ilvl w:val="0"/>
                <w:numId w:val="8"/>
              </w:numPr>
              <w:spacing w:after="60"/>
              <w:rPr>
                <w:rFonts w:cs="Tahoma"/>
              </w:rPr>
            </w:pPr>
            <w:r w:rsidRPr="00D87B79">
              <w:rPr>
                <w:rFonts w:cs="Tahoma"/>
                <w:color w:val="000000"/>
                <w:lang w:val="it-IT"/>
              </w:rPr>
              <w:t>Office 365 (Piano G2)</w:t>
            </w:r>
          </w:p>
          <w:p w:rsidR="00A92422" w:rsidRPr="00D87B79" w:rsidRDefault="00A92422" w:rsidP="00EA30FC">
            <w:pPr>
              <w:numPr>
                <w:ilvl w:val="0"/>
                <w:numId w:val="8"/>
              </w:numPr>
              <w:spacing w:after="60"/>
              <w:rPr>
                <w:rFonts w:cs="Tahoma"/>
              </w:rPr>
            </w:pPr>
            <w:r w:rsidRPr="00D87B79">
              <w:rPr>
                <w:rFonts w:cs="Tahoma"/>
                <w:color w:val="000000"/>
                <w:lang w:val="it-IT"/>
              </w:rPr>
              <w:t>Office 365 (Piano G3)</w:t>
            </w:r>
          </w:p>
          <w:p w:rsidR="00A92422" w:rsidRPr="00D87B79" w:rsidRDefault="00A92422" w:rsidP="00EA30FC">
            <w:pPr>
              <w:numPr>
                <w:ilvl w:val="0"/>
                <w:numId w:val="8"/>
              </w:numPr>
              <w:spacing w:after="60"/>
              <w:rPr>
                <w:rFonts w:cs="Tahoma"/>
              </w:rPr>
            </w:pPr>
            <w:r w:rsidRPr="00D87B79">
              <w:rPr>
                <w:rFonts w:cs="Tahoma"/>
                <w:color w:val="000000"/>
                <w:lang w:val="it-IT"/>
              </w:rPr>
              <w:t>Office 365 (Piano G4)</w:t>
            </w:r>
          </w:p>
          <w:p w:rsidR="00A92422" w:rsidRPr="00D87B79" w:rsidRDefault="00A92422" w:rsidP="00EA30FC">
            <w:pPr>
              <w:numPr>
                <w:ilvl w:val="0"/>
                <w:numId w:val="8"/>
              </w:numPr>
              <w:spacing w:after="60"/>
              <w:rPr>
                <w:rFonts w:cs="Tahoma"/>
              </w:rPr>
            </w:pPr>
            <w:r w:rsidRPr="00D87B79">
              <w:rPr>
                <w:rFonts w:cs="Tahoma"/>
                <w:color w:val="000000"/>
                <w:lang w:val="it-IT"/>
              </w:rPr>
              <w:t>Office Professional Plus per Office 365</w:t>
            </w:r>
          </w:p>
          <w:p w:rsidR="00A92422" w:rsidRPr="00AD19B1" w:rsidRDefault="00A92422" w:rsidP="00EA30FC">
            <w:pPr>
              <w:spacing w:after="60"/>
              <w:ind w:left="720"/>
              <w:rPr>
                <w:rFonts w:cs="Tahoma"/>
                <w:color w:val="000000"/>
                <w:sz w:val="16"/>
                <w:szCs w:val="16"/>
              </w:rPr>
            </w:pPr>
          </w:p>
        </w:tc>
      </w:tr>
      <w:tr w:rsidR="00A92422" w:rsidRPr="00D87B79" w:rsidTr="00EA30FC">
        <w:trPr>
          <w:cantSplit/>
          <w:trHeight w:val="354"/>
        </w:trPr>
        <w:tc>
          <w:tcPr>
            <w:tcW w:w="3687" w:type="dxa"/>
            <w:tcBorders>
              <w:top w:val="single" w:sz="8" w:space="0" w:color="auto"/>
              <w:left w:val="single" w:sz="8" w:space="0" w:color="auto"/>
              <w:bottom w:val="nil"/>
              <w:right w:val="single" w:sz="8" w:space="0" w:color="auto"/>
            </w:tcBorders>
            <w:vAlign w:val="center"/>
          </w:tcPr>
          <w:p w:rsidR="00A92422" w:rsidRPr="00D87B79" w:rsidRDefault="00A92422" w:rsidP="00EA30FC">
            <w:pPr>
              <w:spacing w:before="60" w:after="60"/>
              <w:ind w:left="144"/>
              <w:rPr>
                <w:rFonts w:cs="Tahoma"/>
              </w:rPr>
            </w:pPr>
            <w:r w:rsidRPr="00D87B79">
              <w:rPr>
                <w:rFonts w:cs="Tahoma"/>
                <w:lang w:val="it-IT"/>
              </w:rPr>
              <w:t>Office Professional Plus e Core CAL Suite</w:t>
            </w:r>
          </w:p>
        </w:tc>
        <w:tc>
          <w:tcPr>
            <w:tcW w:w="4334" w:type="dxa"/>
            <w:tcBorders>
              <w:top w:val="single" w:sz="8" w:space="0" w:color="auto"/>
              <w:left w:val="nil"/>
              <w:bottom w:val="nil"/>
              <w:right w:val="single" w:sz="8" w:space="0" w:color="auto"/>
            </w:tcBorders>
            <w:vAlign w:val="center"/>
          </w:tcPr>
          <w:p w:rsidR="00A92422" w:rsidRPr="00D87B79" w:rsidRDefault="00A92422" w:rsidP="00EA30FC">
            <w:pPr>
              <w:numPr>
                <w:ilvl w:val="0"/>
                <w:numId w:val="8"/>
              </w:numPr>
              <w:spacing w:after="60"/>
              <w:rPr>
                <w:rFonts w:cs="Tahoma"/>
              </w:rPr>
            </w:pPr>
            <w:r w:rsidRPr="00D87B79">
              <w:rPr>
                <w:rFonts w:cs="Tahoma"/>
                <w:color w:val="000000"/>
                <w:lang w:val="it-IT"/>
              </w:rPr>
              <w:t>Office 365 (Piano E2)*</w:t>
            </w:r>
          </w:p>
          <w:p w:rsidR="00A92422" w:rsidRPr="00D87B79" w:rsidRDefault="00A92422" w:rsidP="00EA30FC">
            <w:pPr>
              <w:numPr>
                <w:ilvl w:val="0"/>
                <w:numId w:val="8"/>
              </w:numPr>
              <w:spacing w:after="60"/>
              <w:rPr>
                <w:rFonts w:cs="Tahoma"/>
              </w:rPr>
            </w:pPr>
            <w:r w:rsidRPr="00D87B79">
              <w:rPr>
                <w:rFonts w:cs="Tahoma"/>
                <w:color w:val="000000"/>
                <w:lang w:val="it-IT"/>
              </w:rPr>
              <w:t>Office 365 (Piano E3)*</w:t>
            </w:r>
          </w:p>
          <w:p w:rsidR="00A92422" w:rsidRPr="00D87B79" w:rsidRDefault="00A92422" w:rsidP="00EA30FC">
            <w:pPr>
              <w:numPr>
                <w:ilvl w:val="0"/>
                <w:numId w:val="8"/>
              </w:numPr>
              <w:spacing w:after="60"/>
              <w:rPr>
                <w:rFonts w:cs="Tahoma"/>
              </w:rPr>
            </w:pPr>
            <w:r w:rsidRPr="00D87B79">
              <w:rPr>
                <w:rFonts w:cs="Tahoma"/>
                <w:color w:val="000000"/>
                <w:lang w:val="it-IT"/>
              </w:rPr>
              <w:t>Office 365 (Piano E4)*</w:t>
            </w:r>
          </w:p>
          <w:p w:rsidR="00A92422" w:rsidRPr="00D87B79" w:rsidRDefault="00A92422" w:rsidP="00EA30FC">
            <w:pPr>
              <w:numPr>
                <w:ilvl w:val="0"/>
                <w:numId w:val="8"/>
              </w:numPr>
              <w:spacing w:after="60"/>
              <w:rPr>
                <w:rFonts w:cs="Tahoma"/>
              </w:rPr>
            </w:pPr>
            <w:r w:rsidRPr="00D87B79">
              <w:rPr>
                <w:rFonts w:cs="Tahoma"/>
                <w:color w:val="000000"/>
                <w:lang w:val="it-IT"/>
              </w:rPr>
              <w:t>Office 365 (Piano G2)*</w:t>
            </w:r>
          </w:p>
          <w:p w:rsidR="00A92422" w:rsidRPr="00D87B79" w:rsidRDefault="00A92422" w:rsidP="00EA30FC">
            <w:pPr>
              <w:numPr>
                <w:ilvl w:val="0"/>
                <w:numId w:val="8"/>
              </w:numPr>
              <w:spacing w:after="60"/>
              <w:rPr>
                <w:rFonts w:cs="Tahoma"/>
              </w:rPr>
            </w:pPr>
            <w:r w:rsidRPr="00D87B79">
              <w:rPr>
                <w:rFonts w:cs="Tahoma"/>
                <w:color w:val="000000"/>
                <w:lang w:val="it-IT"/>
              </w:rPr>
              <w:t>Office 365 (Piano G3)*</w:t>
            </w:r>
          </w:p>
          <w:p w:rsidR="00A92422" w:rsidRPr="00D87B79" w:rsidRDefault="00A92422" w:rsidP="00EA30FC">
            <w:pPr>
              <w:numPr>
                <w:ilvl w:val="0"/>
                <w:numId w:val="8"/>
              </w:numPr>
              <w:spacing w:after="60"/>
              <w:rPr>
                <w:rFonts w:cs="Tahoma"/>
              </w:rPr>
            </w:pPr>
            <w:r w:rsidRPr="00D87B79">
              <w:rPr>
                <w:rFonts w:cs="Tahoma"/>
                <w:color w:val="000000"/>
                <w:lang w:val="it-IT"/>
              </w:rPr>
              <w:t>Office 365 (Piano G4)*</w:t>
            </w:r>
          </w:p>
          <w:p w:rsidR="00A92422" w:rsidRPr="00AD19B1" w:rsidRDefault="00A92422" w:rsidP="00EA30FC">
            <w:pPr>
              <w:spacing w:after="60"/>
              <w:ind w:left="720"/>
              <w:rPr>
                <w:rFonts w:cs="Tahoma"/>
                <w:color w:val="000000"/>
                <w:sz w:val="16"/>
                <w:szCs w:val="16"/>
              </w:rPr>
            </w:pPr>
          </w:p>
        </w:tc>
      </w:tr>
      <w:tr w:rsidR="00A92422" w:rsidRPr="00D87B79" w:rsidTr="00EA30FC">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92422" w:rsidRPr="00D87B79" w:rsidRDefault="00A92422" w:rsidP="00EA30FC">
            <w:pPr>
              <w:spacing w:before="60" w:after="60"/>
              <w:ind w:left="144"/>
              <w:rPr>
                <w:rFonts w:cs="Tahoma"/>
              </w:rPr>
            </w:pPr>
            <w:r w:rsidRPr="00D87B79">
              <w:rPr>
                <w:rFonts w:cs="Tahoma"/>
                <w:lang w:val="it-IT"/>
              </w:rPr>
              <w:t>Office Professional Plus ed Enterprise CAL</w:t>
            </w:r>
            <w:r>
              <w:rPr>
                <w:rFonts w:cs="Tahoma"/>
                <w:lang w:val="it-IT"/>
              </w:rPr>
              <w:t> </w:t>
            </w:r>
            <w:r w:rsidRPr="00D87B79">
              <w:rPr>
                <w:rFonts w:cs="Tahoma"/>
                <w:lang w:val="it-IT"/>
              </w:rPr>
              <w:t>Suite</w:t>
            </w:r>
          </w:p>
        </w:tc>
        <w:tc>
          <w:tcPr>
            <w:tcW w:w="4334" w:type="dxa"/>
            <w:tcBorders>
              <w:top w:val="single" w:sz="8" w:space="0" w:color="auto"/>
              <w:left w:val="nil"/>
              <w:bottom w:val="single" w:sz="8" w:space="0" w:color="auto"/>
              <w:right w:val="single" w:sz="8" w:space="0" w:color="auto"/>
            </w:tcBorders>
            <w:vAlign w:val="center"/>
          </w:tcPr>
          <w:p w:rsidR="00A92422" w:rsidRPr="00D87B79" w:rsidRDefault="00A92422" w:rsidP="00EA30FC">
            <w:pPr>
              <w:numPr>
                <w:ilvl w:val="0"/>
                <w:numId w:val="8"/>
              </w:numPr>
              <w:spacing w:after="60"/>
              <w:rPr>
                <w:rFonts w:cs="Tahoma"/>
              </w:rPr>
            </w:pPr>
            <w:r w:rsidRPr="00D87B79">
              <w:rPr>
                <w:rFonts w:cs="Tahoma"/>
                <w:color w:val="000000"/>
                <w:lang w:val="it-IT"/>
              </w:rPr>
              <w:t>Office 365 (Piano E3)*</w:t>
            </w:r>
          </w:p>
          <w:p w:rsidR="00A92422" w:rsidRPr="00D87B79" w:rsidRDefault="00A92422" w:rsidP="00EA30FC">
            <w:pPr>
              <w:numPr>
                <w:ilvl w:val="0"/>
                <w:numId w:val="8"/>
              </w:numPr>
              <w:spacing w:after="60"/>
              <w:rPr>
                <w:rFonts w:cs="Tahoma"/>
              </w:rPr>
            </w:pPr>
            <w:r w:rsidRPr="00D87B79">
              <w:rPr>
                <w:rFonts w:cs="Tahoma"/>
                <w:color w:val="000000"/>
                <w:lang w:val="it-IT"/>
              </w:rPr>
              <w:t>Office 365 (Piano E4)*</w:t>
            </w:r>
          </w:p>
          <w:p w:rsidR="00A92422" w:rsidRPr="00D87B79" w:rsidRDefault="00A92422" w:rsidP="00EA30FC">
            <w:pPr>
              <w:numPr>
                <w:ilvl w:val="0"/>
                <w:numId w:val="8"/>
              </w:numPr>
              <w:spacing w:after="60"/>
              <w:rPr>
                <w:rFonts w:cs="Tahoma"/>
              </w:rPr>
            </w:pPr>
            <w:r w:rsidRPr="00D87B79">
              <w:rPr>
                <w:rFonts w:cs="Tahoma"/>
                <w:color w:val="000000"/>
                <w:lang w:val="it-IT"/>
              </w:rPr>
              <w:t>Office 365 (Piano G3)*</w:t>
            </w:r>
          </w:p>
          <w:p w:rsidR="00A92422" w:rsidRPr="00D87B79" w:rsidRDefault="00A92422" w:rsidP="00EA30FC">
            <w:pPr>
              <w:numPr>
                <w:ilvl w:val="0"/>
                <w:numId w:val="8"/>
              </w:numPr>
              <w:spacing w:after="60"/>
              <w:rPr>
                <w:rFonts w:cs="Tahoma"/>
              </w:rPr>
            </w:pPr>
            <w:r w:rsidRPr="00D87B79">
              <w:rPr>
                <w:rFonts w:cs="Tahoma"/>
                <w:color w:val="000000"/>
                <w:lang w:val="it-IT"/>
              </w:rPr>
              <w:t>Office 365 (Piano G4)*</w:t>
            </w:r>
          </w:p>
          <w:p w:rsidR="00A92422" w:rsidRPr="00AD19B1" w:rsidRDefault="00A92422" w:rsidP="00EA30FC">
            <w:pPr>
              <w:spacing w:after="60"/>
              <w:ind w:left="720"/>
              <w:rPr>
                <w:rFonts w:cs="Tahoma"/>
                <w:color w:val="000000"/>
                <w:sz w:val="16"/>
                <w:szCs w:val="16"/>
              </w:rPr>
            </w:pPr>
          </w:p>
        </w:tc>
      </w:tr>
    </w:tbl>
    <w:p w:rsidR="00A92422" w:rsidRPr="00D87B79" w:rsidRDefault="00A92422" w:rsidP="00A92422">
      <w:pPr>
        <w:tabs>
          <w:tab w:val="left" w:pos="360"/>
        </w:tabs>
        <w:ind w:left="720"/>
        <w:rPr>
          <w:rFonts w:cs="Tahoma"/>
        </w:rPr>
      </w:pPr>
      <w:r w:rsidRPr="00D87B79">
        <w:rPr>
          <w:rFonts w:cs="Tahoma"/>
          <w:i/>
          <w:sz w:val="16"/>
          <w:szCs w:val="20"/>
          <w:lang w:val="it-IT"/>
        </w:rPr>
        <w:t>* Richiede la CAL Suite Bridge appropriata.</w:t>
      </w:r>
      <w:r w:rsidRPr="00D87B79">
        <w:rPr>
          <w:rFonts w:cs="Tahoma"/>
        </w:rPr>
        <w:t xml:space="preserve"> </w:t>
      </w:r>
      <w:r w:rsidRPr="00D87B79">
        <w:rPr>
          <w:rFonts w:cs="Tahoma"/>
          <w:i/>
          <w:sz w:val="16"/>
          <w:lang w:val="it-IT"/>
        </w:rPr>
        <w:t>Per ulteriori informazioni sulla CAL Suite Bridge, fare riferimento all’articolo relativo alle note del prodotto nel presente documento.</w:t>
      </w:r>
    </w:p>
    <w:p w:rsidR="00A92422" w:rsidRPr="00D87B79" w:rsidRDefault="00A92422" w:rsidP="00A92422">
      <w:pPr>
        <w:rPr>
          <w:rFonts w:cs="Tahoma"/>
        </w:rPr>
      </w:pPr>
      <w:r w:rsidRPr="00D87B79">
        <w:rPr>
          <w:rFonts w:cs="Tahoma"/>
          <w:szCs w:val="20"/>
          <w:lang w:val="it-IT"/>
        </w:rPr>
        <w:lastRenderedPageBreak/>
        <w:t>Altre Transizioni potranno essere aggiunte a discrezione di Microsoft.</w:t>
      </w:r>
      <w:r w:rsidRPr="00D87B79">
        <w:rPr>
          <w:rFonts w:cs="Tahoma"/>
          <w:szCs w:val="20"/>
        </w:rPr>
        <w:t xml:space="preserve"> </w:t>
      </w:r>
      <w:r w:rsidRPr="00D87B79">
        <w:rPr>
          <w:rFonts w:cs="Tahoma"/>
          <w:szCs w:val="20"/>
          <w:lang w:val="it-IT"/>
        </w:rPr>
        <w:t>Potranno applicarsi requisiti relativi alla licenza e corrispettivi aggiuntivi.</w:t>
      </w:r>
      <w:r w:rsidRPr="00D87B79">
        <w:rPr>
          <w:rFonts w:cs="Tahoma"/>
          <w:szCs w:val="20"/>
        </w:rPr>
        <w:t xml:space="preserve"> </w:t>
      </w:r>
    </w:p>
    <w:p w:rsidR="00A92422" w:rsidRPr="00D87B79" w:rsidRDefault="00A92422" w:rsidP="00A92422">
      <w:pPr>
        <w:outlineLvl w:val="2"/>
        <w:rPr>
          <w:rFonts w:cs="Tahoma"/>
        </w:rPr>
      </w:pPr>
    </w:p>
    <w:p w:rsidR="00A92422" w:rsidRPr="00D87B79" w:rsidRDefault="00A92422" w:rsidP="00A92422">
      <w:pPr>
        <w:keepNext/>
        <w:tabs>
          <w:tab w:val="num" w:pos="720"/>
        </w:tabs>
        <w:spacing w:before="60"/>
        <w:outlineLvl w:val="3"/>
        <w:rPr>
          <w:rFonts w:cs="Tahoma"/>
        </w:rPr>
      </w:pPr>
      <w:r w:rsidRPr="00D87B79">
        <w:rPr>
          <w:rFonts w:cs="Tahoma"/>
          <w:b/>
          <w:sz w:val="20"/>
          <w:lang w:val="it-IT"/>
        </w:rPr>
        <w:t>Ordini annuali o true-up di Servizi Online</w:t>
      </w:r>
      <w:r w:rsidRPr="00D87B79">
        <w:rPr>
          <w:rFonts w:cs="Tahoma"/>
        </w:rPr>
        <w:t xml:space="preserve"> </w:t>
      </w:r>
    </w:p>
    <w:p w:rsidR="00A92422" w:rsidRPr="00D87B79" w:rsidRDefault="00A92422" w:rsidP="00A92422">
      <w:pPr>
        <w:rPr>
          <w:rFonts w:cs="Tahoma"/>
        </w:rPr>
      </w:pPr>
      <w:r w:rsidRPr="00D87B79">
        <w:rPr>
          <w:rFonts w:cs="Tahoma"/>
          <w:szCs w:val="20"/>
          <w:lang w:val="it-IT"/>
        </w:rPr>
        <w:t>Nota:</w:t>
      </w:r>
      <w:r w:rsidRPr="00D87B79">
        <w:rPr>
          <w:rFonts w:cs="Tahoma"/>
          <w:szCs w:val="20"/>
        </w:rPr>
        <w:t xml:space="preserve"> </w:t>
      </w:r>
      <w:r w:rsidRPr="00D87B79">
        <w:rPr>
          <w:rFonts w:cs="Tahoma"/>
          <w:lang w:val="it-IT"/>
        </w:rPr>
        <w:t>quanto segue si applica alle società in possesso delle Iscrizioni Enterprise ed Enterprise Subscription che sono</w:t>
      </w:r>
      <w:r>
        <w:rPr>
          <w:rFonts w:cs="Tahoma"/>
          <w:lang w:val="it-IT"/>
        </w:rPr>
        <w:t> </w:t>
      </w:r>
      <w:r w:rsidRPr="00D87B79">
        <w:rPr>
          <w:rFonts w:cs="Tahoma"/>
          <w:lang w:val="it-IT"/>
        </w:rPr>
        <w:t>idonee a effettuare ordini annuali o true-up di servizi online. Le società che non sono certe della loro idoneità a</w:t>
      </w:r>
      <w:r>
        <w:rPr>
          <w:rFonts w:cs="Tahoma"/>
          <w:lang w:val="it-IT"/>
        </w:rPr>
        <w:t> </w:t>
      </w:r>
      <w:r w:rsidRPr="00D87B79">
        <w:rPr>
          <w:rFonts w:cs="Tahoma"/>
          <w:lang w:val="it-IT"/>
        </w:rPr>
        <w:t>effettuare ordini annuali o true-up di servizi online dovranno contattare il loro Software Advisor, Rivenditore o</w:t>
      </w:r>
      <w:r>
        <w:rPr>
          <w:rFonts w:cs="Tahoma"/>
          <w:lang w:val="it-IT"/>
        </w:rPr>
        <w:t> </w:t>
      </w:r>
      <w:r w:rsidRPr="00D87B79">
        <w:rPr>
          <w:rFonts w:cs="Tahoma"/>
          <w:lang w:val="it-IT"/>
        </w:rPr>
        <w:t>Account Manager designato da Microsoft per ulteriori informazioni.</w:t>
      </w:r>
    </w:p>
    <w:p w:rsidR="00A92422" w:rsidRPr="00D87B79" w:rsidRDefault="00A92422" w:rsidP="00A92422">
      <w:pPr>
        <w:rPr>
          <w:rFonts w:cs="Tahoma"/>
        </w:rPr>
      </w:pPr>
    </w:p>
    <w:p w:rsidR="00A92422" w:rsidRPr="00D87B79" w:rsidRDefault="00A92422" w:rsidP="00A92422">
      <w:pPr>
        <w:rPr>
          <w:rFonts w:cs="Tahoma"/>
        </w:rPr>
      </w:pPr>
      <w:r w:rsidRPr="00D87B79">
        <w:rPr>
          <w:rFonts w:cs="Tahoma"/>
          <w:lang w:val="it-IT"/>
        </w:rPr>
        <w:t>I seguenti Servizi Online sono idonei per l’ordine annuale o true-up di Servizi Online:</w:t>
      </w:r>
      <w:r w:rsidRPr="00D87B79">
        <w:rPr>
          <w:rFonts w:cs="Tahoma"/>
          <w:szCs w:val="20"/>
        </w:rPr>
        <w:t xml:space="preserve"> </w:t>
      </w:r>
    </w:p>
    <w:p w:rsidR="00A92422" w:rsidRPr="00D87B79" w:rsidRDefault="00A92422" w:rsidP="00A92422">
      <w:pPr>
        <w:ind w:left="720"/>
        <w:rPr>
          <w:rFonts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A92422" w:rsidRPr="00D87B79" w:rsidTr="00EA30FC">
        <w:trPr>
          <w:trHeight w:val="80"/>
          <w:tblHeader/>
        </w:trPr>
        <w:tc>
          <w:tcPr>
            <w:tcW w:w="5000" w:type="pct"/>
            <w:gridSpan w:val="2"/>
            <w:shd w:val="clear" w:color="auto" w:fill="FABF8F"/>
          </w:tcPr>
          <w:p w:rsidR="00A92422" w:rsidRPr="00D87B79" w:rsidRDefault="00A92422" w:rsidP="00EA30FC">
            <w:pPr>
              <w:jc w:val="center"/>
              <w:rPr>
                <w:rFonts w:cs="Tahoma"/>
                <w:b/>
              </w:rPr>
            </w:pPr>
            <w:r w:rsidRPr="00D87B79">
              <w:rPr>
                <w:rFonts w:cs="Tahoma"/>
                <w:b/>
                <w:lang w:val="it-IT"/>
              </w:rPr>
              <w:t>Servizi Online</w:t>
            </w:r>
          </w:p>
        </w:tc>
      </w:tr>
      <w:tr w:rsidR="00A92422" w:rsidRPr="00D87B79" w:rsidTr="00EA30FC">
        <w:trPr>
          <w:trHeight w:val="219"/>
        </w:trPr>
        <w:tc>
          <w:tcPr>
            <w:tcW w:w="2603" w:type="pct"/>
          </w:tcPr>
          <w:p w:rsidR="00A92422" w:rsidRPr="00D87B79" w:rsidRDefault="00A92422" w:rsidP="00EA30FC">
            <w:pPr>
              <w:numPr>
                <w:ilvl w:val="0"/>
                <w:numId w:val="9"/>
              </w:numPr>
              <w:spacing w:before="80"/>
              <w:ind w:left="1265" w:hanging="985"/>
              <w:jc w:val="both"/>
              <w:rPr>
                <w:rFonts w:cs="Tahoma"/>
              </w:rPr>
            </w:pPr>
            <w:r w:rsidRPr="00D87B79">
              <w:rPr>
                <w:rFonts w:cs="Tahoma"/>
                <w:lang w:val="it-IT"/>
              </w:rPr>
              <w:t>Chiosco Exchange Online*</w:t>
            </w:r>
          </w:p>
          <w:p w:rsidR="00A92422" w:rsidRPr="00D87B79" w:rsidRDefault="00A92422" w:rsidP="00EA30FC">
            <w:pPr>
              <w:numPr>
                <w:ilvl w:val="0"/>
                <w:numId w:val="9"/>
              </w:numPr>
              <w:spacing w:before="80"/>
              <w:ind w:left="1265" w:hanging="985"/>
              <w:jc w:val="both"/>
              <w:rPr>
                <w:rFonts w:cs="Tahoma"/>
              </w:rPr>
            </w:pPr>
            <w:r w:rsidRPr="00D87B79">
              <w:rPr>
                <w:rFonts w:cs="Tahoma"/>
                <w:lang w:val="it-IT"/>
              </w:rPr>
              <w:t>Exchange Online Piano 1*</w:t>
            </w:r>
          </w:p>
          <w:p w:rsidR="00A92422" w:rsidRPr="00D87B79" w:rsidRDefault="00A92422" w:rsidP="00EA30FC">
            <w:pPr>
              <w:numPr>
                <w:ilvl w:val="0"/>
                <w:numId w:val="9"/>
              </w:numPr>
              <w:spacing w:before="80"/>
              <w:ind w:left="1265" w:hanging="985"/>
              <w:jc w:val="both"/>
              <w:rPr>
                <w:rFonts w:cs="Tahoma"/>
              </w:rPr>
            </w:pPr>
            <w:r w:rsidRPr="00D87B79">
              <w:rPr>
                <w:rFonts w:cs="Tahoma"/>
                <w:lang w:val="it-IT"/>
              </w:rPr>
              <w:t>Exchange Online Piano 2*</w:t>
            </w:r>
          </w:p>
          <w:p w:rsidR="00A92422" w:rsidRPr="00D87B79" w:rsidRDefault="00A92422" w:rsidP="00EA30FC">
            <w:pPr>
              <w:numPr>
                <w:ilvl w:val="0"/>
                <w:numId w:val="9"/>
              </w:numPr>
              <w:spacing w:before="80"/>
              <w:ind w:left="1265" w:hanging="985"/>
              <w:jc w:val="both"/>
              <w:rPr>
                <w:rFonts w:cs="Tahoma"/>
              </w:rPr>
            </w:pPr>
            <w:r w:rsidRPr="00D87B79">
              <w:rPr>
                <w:rFonts w:cs="Tahoma"/>
                <w:lang w:val="it-IT"/>
              </w:rPr>
              <w:t>Lync Online Piano 1*</w:t>
            </w:r>
          </w:p>
          <w:p w:rsidR="00A92422" w:rsidRPr="00D87B79" w:rsidRDefault="00A92422" w:rsidP="00EA30FC">
            <w:pPr>
              <w:numPr>
                <w:ilvl w:val="0"/>
                <w:numId w:val="9"/>
              </w:numPr>
              <w:spacing w:before="80"/>
              <w:ind w:left="1265" w:hanging="985"/>
              <w:jc w:val="both"/>
              <w:rPr>
                <w:rFonts w:cs="Tahoma"/>
              </w:rPr>
            </w:pPr>
            <w:r w:rsidRPr="00D87B79">
              <w:rPr>
                <w:rFonts w:cs="Tahoma"/>
                <w:lang w:val="it-IT"/>
              </w:rPr>
              <w:t>Lync Online Piano 2*</w:t>
            </w:r>
          </w:p>
          <w:p w:rsidR="00A92422" w:rsidRPr="00D87B79" w:rsidRDefault="00A92422" w:rsidP="00EA30FC">
            <w:pPr>
              <w:numPr>
                <w:ilvl w:val="0"/>
                <w:numId w:val="9"/>
              </w:numPr>
              <w:spacing w:before="80"/>
              <w:ind w:left="1265" w:hanging="985"/>
              <w:jc w:val="both"/>
              <w:rPr>
                <w:rFonts w:cs="Tahoma"/>
              </w:rPr>
            </w:pPr>
            <w:r w:rsidRPr="00D87B79">
              <w:rPr>
                <w:rFonts w:cs="Tahoma"/>
                <w:lang w:val="it-IT"/>
              </w:rPr>
              <w:t>Lync Online Piano 3*</w:t>
            </w:r>
          </w:p>
          <w:p w:rsidR="00A92422" w:rsidRPr="00D87B79" w:rsidRDefault="00A92422" w:rsidP="00EA30FC">
            <w:pPr>
              <w:numPr>
                <w:ilvl w:val="0"/>
                <w:numId w:val="9"/>
              </w:numPr>
              <w:spacing w:before="80"/>
              <w:ind w:left="1265" w:hanging="985"/>
              <w:jc w:val="both"/>
              <w:rPr>
                <w:rFonts w:cs="Tahoma"/>
              </w:rPr>
            </w:pPr>
            <w:r w:rsidRPr="00D87B79">
              <w:rPr>
                <w:rFonts w:cs="Tahoma"/>
                <w:lang w:val="it-IT"/>
              </w:rPr>
              <w:t>Office 365 (Piano K1)*</w:t>
            </w:r>
          </w:p>
          <w:p w:rsidR="00A92422" w:rsidRPr="00D87B79" w:rsidRDefault="00A92422" w:rsidP="00EA30FC">
            <w:pPr>
              <w:numPr>
                <w:ilvl w:val="0"/>
                <w:numId w:val="9"/>
              </w:numPr>
              <w:spacing w:before="80"/>
              <w:ind w:left="1265" w:hanging="985"/>
              <w:jc w:val="both"/>
              <w:rPr>
                <w:rFonts w:cs="Tahoma"/>
              </w:rPr>
            </w:pPr>
            <w:r w:rsidRPr="00D87B79">
              <w:rPr>
                <w:rFonts w:cs="Tahoma"/>
                <w:lang w:val="it-IT"/>
              </w:rPr>
              <w:t>Office 365 (Piano K2)*</w:t>
            </w:r>
          </w:p>
          <w:p w:rsidR="00A92422" w:rsidRPr="00D87B79" w:rsidRDefault="00A92422" w:rsidP="00EA30FC">
            <w:pPr>
              <w:numPr>
                <w:ilvl w:val="0"/>
                <w:numId w:val="9"/>
              </w:numPr>
              <w:spacing w:before="80"/>
              <w:ind w:left="1265" w:hanging="985"/>
              <w:jc w:val="both"/>
              <w:rPr>
                <w:rFonts w:cs="Tahoma"/>
              </w:rPr>
            </w:pPr>
            <w:r w:rsidRPr="00D87B79">
              <w:rPr>
                <w:rFonts w:cs="Tahoma"/>
                <w:lang w:val="it-IT"/>
              </w:rPr>
              <w:t>Office 365 (Piano E1)</w:t>
            </w:r>
          </w:p>
          <w:p w:rsidR="00A92422" w:rsidRPr="00D87B79" w:rsidRDefault="00A92422" w:rsidP="00EA30FC">
            <w:pPr>
              <w:numPr>
                <w:ilvl w:val="0"/>
                <w:numId w:val="9"/>
              </w:numPr>
              <w:spacing w:before="80"/>
              <w:ind w:left="1265" w:hanging="985"/>
              <w:jc w:val="both"/>
              <w:rPr>
                <w:rFonts w:cs="Tahoma"/>
              </w:rPr>
            </w:pPr>
            <w:r w:rsidRPr="00D87B79">
              <w:rPr>
                <w:rFonts w:cs="Tahoma"/>
                <w:lang w:val="it-IT"/>
              </w:rPr>
              <w:t>Office 365 (Piano E2)</w:t>
            </w:r>
          </w:p>
          <w:p w:rsidR="00A92422" w:rsidRPr="00D87B79" w:rsidRDefault="00A92422" w:rsidP="00EA30FC">
            <w:pPr>
              <w:numPr>
                <w:ilvl w:val="0"/>
                <w:numId w:val="9"/>
              </w:numPr>
              <w:spacing w:before="80"/>
              <w:ind w:left="1265" w:hanging="985"/>
              <w:jc w:val="both"/>
              <w:rPr>
                <w:rFonts w:cs="Tahoma"/>
              </w:rPr>
            </w:pPr>
            <w:r w:rsidRPr="00D87B79">
              <w:rPr>
                <w:rFonts w:cs="Tahoma"/>
                <w:lang w:val="it-IT"/>
              </w:rPr>
              <w:t>Office 365 (Piano E3)</w:t>
            </w:r>
          </w:p>
          <w:p w:rsidR="00A92422" w:rsidRPr="00D87B79" w:rsidRDefault="00A92422" w:rsidP="00EA30FC">
            <w:pPr>
              <w:numPr>
                <w:ilvl w:val="0"/>
                <w:numId w:val="9"/>
              </w:numPr>
              <w:spacing w:before="80"/>
              <w:ind w:left="1265" w:hanging="985"/>
              <w:jc w:val="both"/>
              <w:rPr>
                <w:rFonts w:cs="Tahoma"/>
              </w:rPr>
            </w:pPr>
            <w:r w:rsidRPr="00D87B79">
              <w:rPr>
                <w:rFonts w:cs="Tahoma"/>
                <w:lang w:val="it-IT"/>
              </w:rPr>
              <w:t>Office 365 (Piano E4)</w:t>
            </w:r>
          </w:p>
        </w:tc>
        <w:tc>
          <w:tcPr>
            <w:tcW w:w="2397" w:type="pct"/>
          </w:tcPr>
          <w:p w:rsidR="00A92422" w:rsidRPr="00D87B79" w:rsidRDefault="00A92422" w:rsidP="00EA30FC">
            <w:pPr>
              <w:numPr>
                <w:ilvl w:val="0"/>
                <w:numId w:val="9"/>
              </w:numPr>
              <w:spacing w:before="80"/>
              <w:ind w:left="692"/>
              <w:jc w:val="both"/>
              <w:rPr>
                <w:rFonts w:cs="Tahoma"/>
              </w:rPr>
            </w:pPr>
            <w:r w:rsidRPr="00D87B79">
              <w:rPr>
                <w:rFonts w:cs="Tahoma"/>
                <w:color w:val="000000"/>
                <w:lang w:val="it-IT"/>
              </w:rPr>
              <w:t>Office 365 (Piano G1)</w:t>
            </w:r>
          </w:p>
          <w:p w:rsidR="00A92422" w:rsidRPr="00D87B79" w:rsidRDefault="00A92422" w:rsidP="00EA30FC">
            <w:pPr>
              <w:numPr>
                <w:ilvl w:val="0"/>
                <w:numId w:val="9"/>
              </w:numPr>
              <w:spacing w:before="80"/>
              <w:ind w:left="692"/>
              <w:jc w:val="both"/>
              <w:rPr>
                <w:rFonts w:cs="Tahoma"/>
              </w:rPr>
            </w:pPr>
            <w:r w:rsidRPr="00D87B79">
              <w:rPr>
                <w:rFonts w:cs="Tahoma"/>
                <w:color w:val="000000"/>
                <w:lang w:val="it-IT"/>
              </w:rPr>
              <w:t>Office 365 (Piano G2)</w:t>
            </w:r>
          </w:p>
          <w:p w:rsidR="00A92422" w:rsidRPr="00D87B79" w:rsidRDefault="00A92422" w:rsidP="00EA30FC">
            <w:pPr>
              <w:numPr>
                <w:ilvl w:val="0"/>
                <w:numId w:val="9"/>
              </w:numPr>
              <w:spacing w:before="80"/>
              <w:ind w:left="692"/>
              <w:jc w:val="both"/>
              <w:rPr>
                <w:rFonts w:cs="Tahoma"/>
              </w:rPr>
            </w:pPr>
            <w:r w:rsidRPr="00D87B79">
              <w:rPr>
                <w:rFonts w:cs="Tahoma"/>
                <w:color w:val="000000"/>
                <w:lang w:val="it-IT"/>
              </w:rPr>
              <w:t>Office 365 (Piano G3)</w:t>
            </w:r>
          </w:p>
          <w:p w:rsidR="00A92422" w:rsidRPr="00D87B79" w:rsidRDefault="00A92422" w:rsidP="00EA30FC">
            <w:pPr>
              <w:numPr>
                <w:ilvl w:val="0"/>
                <w:numId w:val="9"/>
              </w:numPr>
              <w:spacing w:before="80"/>
              <w:ind w:left="692"/>
              <w:jc w:val="both"/>
              <w:rPr>
                <w:rFonts w:cs="Tahoma"/>
              </w:rPr>
            </w:pPr>
            <w:r w:rsidRPr="00D87B79">
              <w:rPr>
                <w:rFonts w:cs="Tahoma"/>
                <w:color w:val="000000"/>
                <w:lang w:val="it-IT"/>
              </w:rPr>
              <w:t>Office 365 (Piano G4)</w:t>
            </w:r>
          </w:p>
          <w:p w:rsidR="00A92422" w:rsidRPr="00D87B79" w:rsidRDefault="00A92422" w:rsidP="00EA30FC">
            <w:pPr>
              <w:numPr>
                <w:ilvl w:val="0"/>
                <w:numId w:val="9"/>
              </w:numPr>
              <w:spacing w:before="80"/>
              <w:ind w:left="692"/>
              <w:jc w:val="both"/>
              <w:rPr>
                <w:rFonts w:cs="Tahoma"/>
              </w:rPr>
            </w:pPr>
            <w:r w:rsidRPr="00D87B79">
              <w:rPr>
                <w:rFonts w:cs="Tahoma"/>
                <w:color w:val="000000"/>
                <w:lang w:val="it-IT"/>
              </w:rPr>
              <w:t>Office Web Applications*</w:t>
            </w:r>
          </w:p>
          <w:p w:rsidR="00A92422" w:rsidRPr="00D87B79" w:rsidRDefault="00A92422" w:rsidP="00EA30FC">
            <w:pPr>
              <w:numPr>
                <w:ilvl w:val="0"/>
                <w:numId w:val="9"/>
              </w:numPr>
              <w:spacing w:before="80"/>
              <w:ind w:left="692"/>
              <w:jc w:val="both"/>
              <w:rPr>
                <w:rFonts w:cs="Tahoma"/>
              </w:rPr>
            </w:pPr>
            <w:r w:rsidRPr="00D87B79">
              <w:rPr>
                <w:rFonts w:cs="Tahoma"/>
                <w:color w:val="000000"/>
                <w:lang w:val="it-IT"/>
              </w:rPr>
              <w:t>SharePoint Online Piano 1*</w:t>
            </w:r>
          </w:p>
          <w:p w:rsidR="00A92422" w:rsidRPr="00D87B79" w:rsidRDefault="00A92422" w:rsidP="00EA30FC">
            <w:pPr>
              <w:numPr>
                <w:ilvl w:val="0"/>
                <w:numId w:val="9"/>
              </w:numPr>
              <w:spacing w:before="80"/>
              <w:ind w:left="692"/>
              <w:jc w:val="both"/>
              <w:rPr>
                <w:rFonts w:cs="Tahoma"/>
              </w:rPr>
            </w:pPr>
            <w:r w:rsidRPr="00D87B79">
              <w:rPr>
                <w:rFonts w:cs="Tahoma"/>
                <w:color w:val="000000"/>
                <w:lang w:val="it-IT"/>
              </w:rPr>
              <w:t>SharePoint Online Piano 2*</w:t>
            </w:r>
          </w:p>
          <w:p w:rsidR="00A92422" w:rsidRPr="00D87B79" w:rsidRDefault="00A92422" w:rsidP="00EA30FC">
            <w:pPr>
              <w:numPr>
                <w:ilvl w:val="0"/>
                <w:numId w:val="9"/>
              </w:numPr>
              <w:spacing w:before="80"/>
              <w:ind w:left="692"/>
              <w:jc w:val="both"/>
              <w:rPr>
                <w:rFonts w:cs="Tahoma"/>
              </w:rPr>
            </w:pPr>
            <w:r w:rsidRPr="00D87B79">
              <w:rPr>
                <w:rFonts w:cs="Tahoma"/>
                <w:color w:val="000000"/>
                <w:lang w:val="it-IT"/>
              </w:rPr>
              <w:t>Accesso partner SharePoint Online*</w:t>
            </w:r>
          </w:p>
          <w:p w:rsidR="00A92422" w:rsidRPr="00D87B79" w:rsidRDefault="00A92422" w:rsidP="00EA30FC">
            <w:pPr>
              <w:numPr>
                <w:ilvl w:val="0"/>
                <w:numId w:val="9"/>
              </w:numPr>
              <w:spacing w:before="80"/>
              <w:ind w:left="692"/>
              <w:jc w:val="both"/>
              <w:rPr>
                <w:rFonts w:cs="Tahoma"/>
              </w:rPr>
            </w:pPr>
            <w:r w:rsidRPr="00D87B79">
              <w:rPr>
                <w:rFonts w:cs="Tahoma"/>
                <w:color w:val="000000"/>
                <w:lang w:val="it-IT"/>
              </w:rPr>
              <w:t>Windows Intune</w:t>
            </w:r>
          </w:p>
          <w:p w:rsidR="00A92422" w:rsidRPr="00D87B79" w:rsidRDefault="00A92422" w:rsidP="00EA30FC">
            <w:pPr>
              <w:numPr>
                <w:ilvl w:val="0"/>
                <w:numId w:val="9"/>
              </w:numPr>
              <w:spacing w:before="80"/>
              <w:ind w:left="692"/>
              <w:jc w:val="both"/>
              <w:rPr>
                <w:rFonts w:cs="Tahoma"/>
              </w:rPr>
            </w:pPr>
            <w:r w:rsidRPr="00D87B79">
              <w:rPr>
                <w:rFonts w:cs="Tahoma"/>
                <w:color w:val="000000"/>
                <w:lang w:val="it-IT"/>
              </w:rPr>
              <w:t>Componente Aggiuntivo di Windows Intune*, **</w:t>
            </w:r>
          </w:p>
        </w:tc>
      </w:tr>
    </w:tbl>
    <w:p w:rsidR="00A92422" w:rsidRPr="00D87B79" w:rsidRDefault="00A92422" w:rsidP="00A92422">
      <w:pPr>
        <w:tabs>
          <w:tab w:val="left" w:pos="360"/>
        </w:tabs>
        <w:ind w:left="720"/>
        <w:rPr>
          <w:rFonts w:cs="Tahoma"/>
        </w:rPr>
      </w:pPr>
      <w:r w:rsidRPr="00D87B79">
        <w:rPr>
          <w:rFonts w:cs="Tahoma"/>
          <w:i/>
          <w:sz w:val="16"/>
          <w:lang w:val="it-IT"/>
        </w:rPr>
        <w:t>* Prodotto aggiuntivo</w:t>
      </w:r>
    </w:p>
    <w:p w:rsidR="00A92422" w:rsidRPr="00D87B79" w:rsidRDefault="00A92422" w:rsidP="00A92422">
      <w:pPr>
        <w:tabs>
          <w:tab w:val="left" w:pos="360"/>
        </w:tabs>
        <w:ind w:left="720"/>
        <w:rPr>
          <w:rFonts w:cs="Tahoma"/>
        </w:rPr>
      </w:pPr>
      <w:r>
        <w:rPr>
          <w:rFonts w:cs="Tahoma"/>
          <w:i/>
          <w:sz w:val="16"/>
          <w:lang w:val="it-IT"/>
        </w:rPr>
        <w:t>** “</w:t>
      </w:r>
      <w:r w:rsidRPr="00D87B79">
        <w:rPr>
          <w:rFonts w:cs="Tahoma"/>
          <w:i/>
          <w:sz w:val="16"/>
          <w:lang w:val="it-IT"/>
        </w:rPr>
        <w:t>Componente Aggiuntivo per Windows Intune” è un’abbreviazione di Componente Aggiuntivo per Windows Intune per</w:t>
      </w:r>
      <w:r>
        <w:rPr>
          <w:rFonts w:cs="Tahoma"/>
          <w:i/>
          <w:sz w:val="16"/>
          <w:lang w:val="it-IT"/>
        </w:rPr>
        <w:t> </w:t>
      </w:r>
      <w:r w:rsidRPr="00D87B79">
        <w:rPr>
          <w:rFonts w:cs="Tahoma"/>
          <w:i/>
          <w:sz w:val="16"/>
          <w:lang w:val="it-IT"/>
        </w:rPr>
        <w:t>System Center Configuration Manager e System Center EndPoint Protection (Per Utente)</w:t>
      </w:r>
    </w:p>
    <w:p w:rsidR="00A92422" w:rsidRDefault="00A92422" w:rsidP="00A92422">
      <w:pPr>
        <w:tabs>
          <w:tab w:val="left" w:pos="360"/>
        </w:tabs>
        <w:rPr>
          <w:rFonts w:cs="Tahoma"/>
        </w:rPr>
      </w:pPr>
    </w:p>
    <w:p w:rsidR="00A92422" w:rsidRPr="00D87B79" w:rsidRDefault="00A92422" w:rsidP="00A92422">
      <w:pPr>
        <w:tabs>
          <w:tab w:val="left" w:pos="360"/>
        </w:tabs>
        <w:rPr>
          <w:rFonts w:cs="Tahoma"/>
        </w:rPr>
      </w:pPr>
      <w:r w:rsidRPr="00D87B79">
        <w:rPr>
          <w:rFonts w:cs="Tahoma"/>
          <w:b/>
          <w:sz w:val="20"/>
          <w:lang w:val="it-IT"/>
        </w:rPr>
        <w:t>Riduzioni delle Licenze “Subscription”</w:t>
      </w:r>
    </w:p>
    <w:p w:rsidR="00A92422" w:rsidRPr="0017554F" w:rsidRDefault="00A92422" w:rsidP="00A92422">
      <w:pPr>
        <w:tabs>
          <w:tab w:val="left" w:pos="360"/>
        </w:tabs>
        <w:rPr>
          <w:rFonts w:cs="Tahoma"/>
          <w:spacing w:val="-6"/>
        </w:rPr>
      </w:pPr>
      <w:r w:rsidRPr="0017554F">
        <w:rPr>
          <w:rFonts w:cs="Tahoma"/>
          <w:spacing w:val="-6"/>
          <w:szCs w:val="20"/>
          <w:lang w:val="it-IT"/>
        </w:rPr>
        <w:t>Nota:</w:t>
      </w:r>
      <w:r w:rsidRPr="0017554F">
        <w:rPr>
          <w:rFonts w:cs="Tahoma"/>
          <w:spacing w:val="-6"/>
          <w:szCs w:val="20"/>
        </w:rPr>
        <w:t xml:space="preserve"> </w:t>
      </w:r>
      <w:r w:rsidRPr="0017554F">
        <w:rPr>
          <w:rFonts w:cs="Tahoma"/>
          <w:spacing w:val="-6"/>
          <w:lang w:val="it-IT"/>
        </w:rPr>
        <w:t>quanto segue si applica alle società Enterprise che sono idonee a riportare riduzioni alle quantità di Licenze “Subscription”. Le società che non sono certe della loro idoneità a riportare riduzioni alle quantità di Licenze “Subscription” dovranno contattare il loro Software Advisor, Rivenditore o Account Manager designato da Microsoft per ulteriori informazioni.</w:t>
      </w:r>
      <w:r w:rsidRPr="0017554F">
        <w:rPr>
          <w:rFonts w:cs="Tahoma"/>
          <w:spacing w:val="-6"/>
        </w:rPr>
        <w:t xml:space="preserve"> </w:t>
      </w:r>
    </w:p>
    <w:p w:rsidR="00A92422" w:rsidRPr="00D87B79" w:rsidRDefault="00A92422" w:rsidP="00A92422">
      <w:pPr>
        <w:tabs>
          <w:tab w:val="left" w:pos="360"/>
        </w:tabs>
        <w:rPr>
          <w:rFonts w:cs="Tahoma"/>
        </w:rPr>
      </w:pPr>
    </w:p>
    <w:p w:rsidR="00A92422" w:rsidRPr="00D87B79" w:rsidRDefault="00A92422" w:rsidP="00A92422">
      <w:pPr>
        <w:tabs>
          <w:tab w:val="left" w:pos="360"/>
        </w:tabs>
        <w:rPr>
          <w:rFonts w:cs="Tahoma"/>
        </w:rPr>
      </w:pPr>
      <w:r w:rsidRPr="00D87B79">
        <w:rPr>
          <w:rFonts w:cs="Tahoma"/>
          <w:lang w:val="it-IT"/>
        </w:rPr>
        <w:t>Le seguenti Licenze “Subscription” sono idonee a essere soggette a modifiche relative alle quantità:</w:t>
      </w:r>
    </w:p>
    <w:p w:rsidR="00A92422" w:rsidRPr="00D87B79" w:rsidRDefault="00A92422" w:rsidP="00A92422">
      <w:pPr>
        <w:tabs>
          <w:tab w:val="left" w:pos="360"/>
        </w:tabs>
        <w:ind w:left="720"/>
        <w:rPr>
          <w:rFonts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A92422" w:rsidRPr="00D87B79" w:rsidTr="00EA30FC">
        <w:trPr>
          <w:trHeight w:val="80"/>
          <w:tblHeader/>
        </w:trPr>
        <w:tc>
          <w:tcPr>
            <w:tcW w:w="5000" w:type="pct"/>
            <w:gridSpan w:val="2"/>
            <w:shd w:val="clear" w:color="auto" w:fill="FABF8F"/>
          </w:tcPr>
          <w:p w:rsidR="00A92422" w:rsidRPr="00D87B79" w:rsidRDefault="00A92422" w:rsidP="00EA30FC">
            <w:pPr>
              <w:jc w:val="center"/>
              <w:rPr>
                <w:rFonts w:cs="Tahoma"/>
                <w:b/>
              </w:rPr>
            </w:pPr>
            <w:r w:rsidRPr="00D87B79">
              <w:rPr>
                <w:rFonts w:cs="Tahoma"/>
                <w:b/>
                <w:lang w:val="it-IT"/>
              </w:rPr>
              <w:t>Servizi Online</w:t>
            </w:r>
          </w:p>
        </w:tc>
      </w:tr>
      <w:tr w:rsidR="00A92422" w:rsidRPr="00D87B79" w:rsidTr="00EA30FC">
        <w:trPr>
          <w:trHeight w:val="219"/>
        </w:trPr>
        <w:tc>
          <w:tcPr>
            <w:tcW w:w="2603" w:type="pct"/>
          </w:tcPr>
          <w:p w:rsidR="00A92422" w:rsidRPr="00D87B79" w:rsidRDefault="00A92422" w:rsidP="00EA30FC">
            <w:pPr>
              <w:numPr>
                <w:ilvl w:val="0"/>
                <w:numId w:val="9"/>
              </w:numPr>
              <w:spacing w:before="80"/>
              <w:ind w:left="1265" w:hanging="540"/>
              <w:jc w:val="both"/>
              <w:rPr>
                <w:rFonts w:cs="Tahoma"/>
              </w:rPr>
            </w:pPr>
            <w:r w:rsidRPr="00D87B79">
              <w:rPr>
                <w:rFonts w:cs="Tahoma"/>
                <w:lang w:val="it-IT"/>
              </w:rPr>
              <w:t>Chiosco Exchange Online*</w:t>
            </w:r>
          </w:p>
          <w:p w:rsidR="00A92422" w:rsidRPr="00D87B79" w:rsidRDefault="00A92422" w:rsidP="00EA30FC">
            <w:pPr>
              <w:numPr>
                <w:ilvl w:val="0"/>
                <w:numId w:val="9"/>
              </w:numPr>
              <w:spacing w:before="80"/>
              <w:ind w:left="1265" w:hanging="540"/>
              <w:jc w:val="both"/>
              <w:rPr>
                <w:rFonts w:cs="Tahoma"/>
              </w:rPr>
            </w:pPr>
            <w:r w:rsidRPr="00D87B79">
              <w:rPr>
                <w:rFonts w:cs="Tahoma"/>
                <w:lang w:val="it-IT"/>
              </w:rPr>
              <w:t>Exchange Online Piano 1*</w:t>
            </w:r>
          </w:p>
          <w:p w:rsidR="00A92422" w:rsidRPr="00D87B79" w:rsidRDefault="00A92422" w:rsidP="00EA30FC">
            <w:pPr>
              <w:numPr>
                <w:ilvl w:val="0"/>
                <w:numId w:val="9"/>
              </w:numPr>
              <w:spacing w:before="80"/>
              <w:ind w:left="1265" w:hanging="540"/>
              <w:jc w:val="both"/>
              <w:rPr>
                <w:rFonts w:cs="Tahoma"/>
              </w:rPr>
            </w:pPr>
            <w:r w:rsidRPr="00D87B79">
              <w:rPr>
                <w:rFonts w:cs="Tahoma"/>
                <w:lang w:val="it-IT"/>
              </w:rPr>
              <w:t>Exchange Online Piano 2*</w:t>
            </w:r>
          </w:p>
          <w:p w:rsidR="00A92422" w:rsidRPr="00D87B79" w:rsidRDefault="00A92422" w:rsidP="00EA30FC">
            <w:pPr>
              <w:numPr>
                <w:ilvl w:val="0"/>
                <w:numId w:val="9"/>
              </w:numPr>
              <w:spacing w:before="80"/>
              <w:ind w:left="1265" w:hanging="540"/>
              <w:jc w:val="both"/>
              <w:rPr>
                <w:rFonts w:cs="Tahoma"/>
              </w:rPr>
            </w:pPr>
            <w:r w:rsidRPr="00D87B79">
              <w:rPr>
                <w:rFonts w:cs="Tahoma"/>
                <w:lang w:val="it-IT"/>
              </w:rPr>
              <w:t>Lync Online Piano 1*</w:t>
            </w:r>
          </w:p>
          <w:p w:rsidR="00A92422" w:rsidRPr="00D87B79" w:rsidRDefault="00A92422" w:rsidP="00EA30FC">
            <w:pPr>
              <w:numPr>
                <w:ilvl w:val="0"/>
                <w:numId w:val="9"/>
              </w:numPr>
              <w:spacing w:before="80"/>
              <w:ind w:left="1265" w:hanging="540"/>
              <w:jc w:val="both"/>
              <w:rPr>
                <w:rFonts w:cs="Tahoma"/>
              </w:rPr>
            </w:pPr>
            <w:r w:rsidRPr="00D87B79">
              <w:rPr>
                <w:rFonts w:cs="Tahoma"/>
                <w:lang w:val="it-IT"/>
              </w:rPr>
              <w:t>Lync Online Piano 2*</w:t>
            </w:r>
          </w:p>
          <w:p w:rsidR="00A92422" w:rsidRPr="00D87B79" w:rsidRDefault="00A92422" w:rsidP="00EA30FC">
            <w:pPr>
              <w:numPr>
                <w:ilvl w:val="0"/>
                <w:numId w:val="9"/>
              </w:numPr>
              <w:spacing w:before="80"/>
              <w:ind w:left="1265" w:hanging="540"/>
              <w:jc w:val="both"/>
              <w:rPr>
                <w:rFonts w:cs="Tahoma"/>
              </w:rPr>
            </w:pPr>
            <w:r w:rsidRPr="00D87B79">
              <w:rPr>
                <w:rFonts w:cs="Tahoma"/>
                <w:lang w:val="it-IT"/>
              </w:rPr>
              <w:t>Lync Online Piano 3*</w:t>
            </w:r>
          </w:p>
          <w:p w:rsidR="00A92422" w:rsidRPr="00D87B79" w:rsidRDefault="00A92422" w:rsidP="00EA30FC">
            <w:pPr>
              <w:numPr>
                <w:ilvl w:val="0"/>
                <w:numId w:val="9"/>
              </w:numPr>
              <w:spacing w:before="80"/>
              <w:ind w:left="1265" w:hanging="540"/>
              <w:jc w:val="both"/>
              <w:rPr>
                <w:rFonts w:cs="Tahoma"/>
              </w:rPr>
            </w:pPr>
            <w:r w:rsidRPr="00D87B79">
              <w:rPr>
                <w:rFonts w:cs="Tahoma"/>
                <w:lang w:val="it-IT"/>
              </w:rPr>
              <w:t>Office 365 (Piano K1)*</w:t>
            </w:r>
          </w:p>
          <w:p w:rsidR="00A92422" w:rsidRPr="00D87B79" w:rsidRDefault="00A92422" w:rsidP="00EA30FC">
            <w:pPr>
              <w:numPr>
                <w:ilvl w:val="0"/>
                <w:numId w:val="9"/>
              </w:numPr>
              <w:spacing w:before="80"/>
              <w:ind w:left="1265" w:hanging="540"/>
              <w:jc w:val="both"/>
              <w:rPr>
                <w:rFonts w:cs="Tahoma"/>
              </w:rPr>
            </w:pPr>
            <w:r w:rsidRPr="00D87B79">
              <w:rPr>
                <w:rFonts w:cs="Tahoma"/>
                <w:lang w:val="it-IT"/>
              </w:rPr>
              <w:t>Office 365 (Piano K2)*</w:t>
            </w:r>
          </w:p>
          <w:p w:rsidR="00A92422" w:rsidRPr="00D87B79" w:rsidRDefault="00A92422" w:rsidP="00EA30FC">
            <w:pPr>
              <w:numPr>
                <w:ilvl w:val="0"/>
                <w:numId w:val="9"/>
              </w:numPr>
              <w:spacing w:before="80"/>
              <w:ind w:left="1265" w:hanging="540"/>
              <w:jc w:val="both"/>
              <w:rPr>
                <w:rFonts w:cs="Tahoma"/>
              </w:rPr>
            </w:pPr>
            <w:r w:rsidRPr="00D87B79">
              <w:rPr>
                <w:rFonts w:cs="Tahoma"/>
                <w:lang w:val="it-IT"/>
              </w:rPr>
              <w:t>Office 365 (Piano E1)</w:t>
            </w:r>
          </w:p>
          <w:p w:rsidR="00A92422" w:rsidRPr="00D87B79" w:rsidRDefault="00A92422" w:rsidP="00EA30FC">
            <w:pPr>
              <w:numPr>
                <w:ilvl w:val="0"/>
                <w:numId w:val="9"/>
              </w:numPr>
              <w:spacing w:before="80"/>
              <w:ind w:left="1265" w:hanging="540"/>
              <w:jc w:val="both"/>
              <w:rPr>
                <w:rFonts w:cs="Tahoma"/>
              </w:rPr>
            </w:pPr>
            <w:r w:rsidRPr="00D87B79">
              <w:rPr>
                <w:rFonts w:cs="Tahoma"/>
                <w:lang w:val="it-IT"/>
              </w:rPr>
              <w:t>Office 365 (Piano E2)</w:t>
            </w:r>
          </w:p>
          <w:p w:rsidR="00A92422" w:rsidRPr="00D87B79" w:rsidRDefault="00A92422" w:rsidP="00EA30FC">
            <w:pPr>
              <w:numPr>
                <w:ilvl w:val="0"/>
                <w:numId w:val="9"/>
              </w:numPr>
              <w:spacing w:before="80"/>
              <w:ind w:left="1265" w:hanging="540"/>
              <w:jc w:val="both"/>
              <w:rPr>
                <w:rFonts w:cs="Tahoma"/>
              </w:rPr>
            </w:pPr>
            <w:r w:rsidRPr="00D87B79">
              <w:rPr>
                <w:rFonts w:cs="Tahoma"/>
                <w:lang w:val="it-IT"/>
              </w:rPr>
              <w:t>Office 365 (Piano E3)</w:t>
            </w:r>
          </w:p>
          <w:p w:rsidR="00A92422" w:rsidRPr="00D87B79" w:rsidRDefault="00A92422" w:rsidP="00EA30FC">
            <w:pPr>
              <w:numPr>
                <w:ilvl w:val="0"/>
                <w:numId w:val="9"/>
              </w:numPr>
              <w:spacing w:before="80"/>
              <w:ind w:left="1265" w:hanging="540"/>
              <w:jc w:val="both"/>
              <w:rPr>
                <w:rFonts w:cs="Tahoma"/>
              </w:rPr>
            </w:pPr>
            <w:r w:rsidRPr="00D87B79">
              <w:rPr>
                <w:rFonts w:cs="Tahoma"/>
                <w:lang w:val="it-IT"/>
              </w:rPr>
              <w:t>Office 365 (Piano E4)</w:t>
            </w:r>
          </w:p>
        </w:tc>
        <w:tc>
          <w:tcPr>
            <w:tcW w:w="2397" w:type="pct"/>
          </w:tcPr>
          <w:p w:rsidR="00A92422" w:rsidRPr="00D87B79" w:rsidRDefault="00A92422" w:rsidP="00EA30FC">
            <w:pPr>
              <w:numPr>
                <w:ilvl w:val="0"/>
                <w:numId w:val="9"/>
              </w:numPr>
              <w:spacing w:before="80"/>
              <w:ind w:left="1052" w:hanging="450"/>
              <w:jc w:val="both"/>
              <w:rPr>
                <w:rFonts w:cs="Tahoma"/>
              </w:rPr>
            </w:pPr>
            <w:r w:rsidRPr="00D87B79">
              <w:rPr>
                <w:rFonts w:cs="Tahoma"/>
                <w:color w:val="000000"/>
                <w:lang w:val="it-IT"/>
              </w:rPr>
              <w:t>Office 365 (Piano G1)</w:t>
            </w:r>
          </w:p>
          <w:p w:rsidR="00A92422" w:rsidRPr="00D87B79" w:rsidRDefault="00A92422" w:rsidP="00EA30FC">
            <w:pPr>
              <w:numPr>
                <w:ilvl w:val="0"/>
                <w:numId w:val="9"/>
              </w:numPr>
              <w:spacing w:before="80"/>
              <w:ind w:left="1052" w:hanging="450"/>
              <w:jc w:val="both"/>
              <w:rPr>
                <w:rFonts w:cs="Tahoma"/>
              </w:rPr>
            </w:pPr>
            <w:r w:rsidRPr="00D87B79">
              <w:rPr>
                <w:rFonts w:cs="Tahoma"/>
                <w:color w:val="000000"/>
                <w:lang w:val="it-IT"/>
              </w:rPr>
              <w:t>Office 365 (Piano G2)</w:t>
            </w:r>
          </w:p>
          <w:p w:rsidR="00A92422" w:rsidRPr="00D87B79" w:rsidRDefault="00A92422" w:rsidP="00EA30FC">
            <w:pPr>
              <w:numPr>
                <w:ilvl w:val="0"/>
                <w:numId w:val="9"/>
              </w:numPr>
              <w:spacing w:before="80"/>
              <w:ind w:left="1052" w:hanging="450"/>
              <w:jc w:val="both"/>
              <w:rPr>
                <w:rFonts w:cs="Tahoma"/>
              </w:rPr>
            </w:pPr>
            <w:r w:rsidRPr="00D87B79">
              <w:rPr>
                <w:rFonts w:cs="Tahoma"/>
                <w:color w:val="000000"/>
                <w:lang w:val="it-IT"/>
              </w:rPr>
              <w:t>Office 365 (Piano G3)</w:t>
            </w:r>
          </w:p>
          <w:p w:rsidR="00A92422" w:rsidRPr="00D87B79" w:rsidRDefault="00A92422" w:rsidP="00EA30FC">
            <w:pPr>
              <w:numPr>
                <w:ilvl w:val="0"/>
                <w:numId w:val="9"/>
              </w:numPr>
              <w:spacing w:before="80"/>
              <w:ind w:left="1052" w:hanging="450"/>
              <w:jc w:val="both"/>
              <w:rPr>
                <w:rFonts w:cs="Tahoma"/>
              </w:rPr>
            </w:pPr>
            <w:r w:rsidRPr="00D87B79">
              <w:rPr>
                <w:rFonts w:cs="Tahoma"/>
                <w:color w:val="000000"/>
                <w:lang w:val="it-IT"/>
              </w:rPr>
              <w:t>Office 365 (Piano G4)</w:t>
            </w:r>
          </w:p>
          <w:p w:rsidR="00A92422" w:rsidRPr="00D87B79" w:rsidRDefault="00A92422" w:rsidP="00EA30FC">
            <w:pPr>
              <w:numPr>
                <w:ilvl w:val="0"/>
                <w:numId w:val="9"/>
              </w:numPr>
              <w:spacing w:before="80"/>
              <w:ind w:left="1052" w:hanging="450"/>
              <w:jc w:val="both"/>
              <w:rPr>
                <w:rFonts w:cs="Tahoma"/>
              </w:rPr>
            </w:pPr>
            <w:r w:rsidRPr="00D87B79">
              <w:rPr>
                <w:rFonts w:cs="Tahoma"/>
                <w:color w:val="000000"/>
                <w:lang w:val="it-IT"/>
              </w:rPr>
              <w:t>Office Web Applications*</w:t>
            </w:r>
          </w:p>
          <w:p w:rsidR="00A92422" w:rsidRPr="00D87B79" w:rsidRDefault="00A92422" w:rsidP="00EA30FC">
            <w:pPr>
              <w:numPr>
                <w:ilvl w:val="0"/>
                <w:numId w:val="9"/>
              </w:numPr>
              <w:spacing w:before="80"/>
              <w:ind w:left="1052" w:hanging="450"/>
              <w:jc w:val="both"/>
              <w:rPr>
                <w:rFonts w:cs="Tahoma"/>
              </w:rPr>
            </w:pPr>
            <w:r w:rsidRPr="00D87B79">
              <w:rPr>
                <w:rFonts w:cs="Tahoma"/>
                <w:color w:val="000000"/>
                <w:lang w:val="it-IT"/>
              </w:rPr>
              <w:t>SharePoint Online Piano 1*</w:t>
            </w:r>
          </w:p>
          <w:p w:rsidR="00A92422" w:rsidRPr="00D87B79" w:rsidRDefault="00A92422" w:rsidP="00EA30FC">
            <w:pPr>
              <w:numPr>
                <w:ilvl w:val="0"/>
                <w:numId w:val="9"/>
              </w:numPr>
              <w:spacing w:before="80"/>
              <w:ind w:left="1052" w:hanging="450"/>
              <w:jc w:val="both"/>
              <w:rPr>
                <w:rFonts w:cs="Tahoma"/>
              </w:rPr>
            </w:pPr>
            <w:r w:rsidRPr="00D87B79">
              <w:rPr>
                <w:rFonts w:cs="Tahoma"/>
                <w:color w:val="000000"/>
                <w:lang w:val="it-IT"/>
              </w:rPr>
              <w:t>SharePoint Online Piano 2*</w:t>
            </w:r>
          </w:p>
          <w:p w:rsidR="00A92422" w:rsidRPr="00D87B79" w:rsidRDefault="00A92422" w:rsidP="00EA30FC">
            <w:pPr>
              <w:numPr>
                <w:ilvl w:val="0"/>
                <w:numId w:val="9"/>
              </w:numPr>
              <w:spacing w:before="80"/>
              <w:ind w:left="1052" w:right="270" w:hanging="450"/>
              <w:jc w:val="both"/>
              <w:rPr>
                <w:rFonts w:cs="Tahoma"/>
              </w:rPr>
            </w:pPr>
            <w:r w:rsidRPr="00D87B79">
              <w:rPr>
                <w:rFonts w:cs="Tahoma"/>
                <w:color w:val="000000"/>
                <w:lang w:val="it-IT"/>
              </w:rPr>
              <w:t>Accesso partner SharePoint Online*</w:t>
            </w:r>
          </w:p>
          <w:p w:rsidR="00A92422" w:rsidRPr="00D87B79" w:rsidRDefault="00A92422" w:rsidP="00EA30FC">
            <w:pPr>
              <w:numPr>
                <w:ilvl w:val="0"/>
                <w:numId w:val="9"/>
              </w:numPr>
              <w:spacing w:before="80"/>
              <w:ind w:left="1052" w:hanging="450"/>
              <w:jc w:val="both"/>
              <w:rPr>
                <w:rFonts w:cs="Tahoma"/>
              </w:rPr>
            </w:pPr>
            <w:r w:rsidRPr="00D87B79">
              <w:rPr>
                <w:rFonts w:cs="Tahoma"/>
                <w:color w:val="000000"/>
                <w:lang w:val="it-IT"/>
              </w:rPr>
              <w:t>Windows Intune</w:t>
            </w:r>
          </w:p>
          <w:p w:rsidR="00A92422" w:rsidRPr="00D87B79" w:rsidRDefault="00A92422" w:rsidP="00EA30FC">
            <w:pPr>
              <w:numPr>
                <w:ilvl w:val="0"/>
                <w:numId w:val="9"/>
              </w:numPr>
              <w:tabs>
                <w:tab w:val="left" w:pos="2582"/>
              </w:tabs>
              <w:spacing w:before="80"/>
              <w:ind w:left="1052" w:right="630" w:hanging="450"/>
              <w:jc w:val="both"/>
              <w:rPr>
                <w:rFonts w:cs="Tahoma"/>
              </w:rPr>
            </w:pPr>
            <w:r w:rsidRPr="002869F1">
              <w:rPr>
                <w:rFonts w:cs="Tahoma"/>
                <w:color w:val="000000"/>
              </w:rPr>
              <w:t>Componente</w:t>
            </w:r>
            <w:r>
              <w:rPr>
                <w:rFonts w:cs="Tahoma"/>
                <w:color w:val="000000"/>
              </w:rPr>
              <w:t xml:space="preserve"> </w:t>
            </w:r>
            <w:r w:rsidRPr="002869F1">
              <w:rPr>
                <w:rFonts w:cs="Tahoma"/>
                <w:color w:val="000000"/>
              </w:rPr>
              <w:t>aggiuntivo di</w:t>
            </w:r>
            <w:r>
              <w:rPr>
                <w:rFonts w:cs="Tahoma"/>
                <w:color w:val="000000"/>
              </w:rPr>
              <w:t> </w:t>
            </w:r>
            <w:r w:rsidRPr="002869F1">
              <w:rPr>
                <w:rFonts w:cs="Tahoma"/>
                <w:color w:val="000000"/>
              </w:rPr>
              <w:t>Windows Intune*</w:t>
            </w:r>
          </w:p>
        </w:tc>
      </w:tr>
    </w:tbl>
    <w:p w:rsidR="00A92422" w:rsidRPr="00D87B79" w:rsidRDefault="00A92422" w:rsidP="00A92422">
      <w:pPr>
        <w:tabs>
          <w:tab w:val="left" w:pos="360"/>
        </w:tabs>
        <w:ind w:left="720"/>
        <w:rPr>
          <w:rFonts w:cs="Tahoma"/>
        </w:rPr>
      </w:pPr>
      <w:r w:rsidRPr="00D87B79">
        <w:rPr>
          <w:rFonts w:cs="Tahoma"/>
          <w:i/>
          <w:sz w:val="16"/>
          <w:lang w:val="it-IT"/>
        </w:rPr>
        <w:t>* Prodotto aggiuntivo</w:t>
      </w:r>
    </w:p>
    <w:p w:rsidR="00A92422" w:rsidRPr="00D87B79" w:rsidRDefault="00A92422" w:rsidP="00A92422">
      <w:pPr>
        <w:pStyle w:val="Heading2"/>
        <w:ind w:left="0"/>
        <w:rPr>
          <w:rFonts w:ascii="Tahoma" w:hAnsi="Tahoma" w:cs="Tahoma"/>
        </w:rPr>
      </w:pPr>
      <w:bookmarkStart w:id="755" w:name="_Toc342900248"/>
      <w:r w:rsidRPr="00D87B79">
        <w:rPr>
          <w:rFonts w:ascii="Tahoma" w:hAnsi="Tahoma" w:cs="Tahoma"/>
          <w:lang w:val="it-IT"/>
        </w:rPr>
        <w:lastRenderedPageBreak/>
        <w:t>Continuità del Servizio per Proroga del Periodo di Validità</w:t>
      </w:r>
      <w:bookmarkEnd w:id="755"/>
      <w:r w:rsidRPr="00D87B79">
        <w:rPr>
          <w:rFonts w:ascii="Tahoma" w:hAnsi="Tahoma" w:cs="Tahoma"/>
        </w:rPr>
        <w:t xml:space="preserve"> </w:t>
      </w:r>
    </w:p>
    <w:p w:rsidR="00A92422" w:rsidRPr="0017554F" w:rsidRDefault="00A92422" w:rsidP="00A92422">
      <w:pPr>
        <w:tabs>
          <w:tab w:val="left" w:pos="360"/>
        </w:tabs>
        <w:rPr>
          <w:rFonts w:cs="Tahoma"/>
          <w:sz w:val="16"/>
          <w:szCs w:val="16"/>
        </w:rPr>
      </w:pPr>
    </w:p>
    <w:p w:rsidR="00A92422" w:rsidRPr="00D87B79" w:rsidRDefault="00A92422" w:rsidP="00A92422">
      <w:pPr>
        <w:tabs>
          <w:tab w:val="left" w:pos="360"/>
        </w:tabs>
        <w:rPr>
          <w:rFonts w:cs="Tahoma"/>
        </w:rPr>
      </w:pPr>
      <w:r w:rsidRPr="00D87B79">
        <w:rPr>
          <w:rFonts w:cs="Tahoma"/>
          <w:szCs w:val="20"/>
          <w:lang w:val="it-IT"/>
        </w:rPr>
        <w:t>Nota:</w:t>
      </w:r>
      <w:r w:rsidRPr="00D87B79">
        <w:rPr>
          <w:rFonts w:cs="Tahoma"/>
          <w:szCs w:val="20"/>
        </w:rPr>
        <w:t xml:space="preserve"> </w:t>
      </w:r>
      <w:r w:rsidRPr="00D87B79">
        <w:rPr>
          <w:rFonts w:cs="Tahoma"/>
          <w:lang w:val="it-IT"/>
        </w:rPr>
        <w:t>quanto segue si applica alle società in possesso delle Iscrizioni Enterprise ed Enterprise Subscription che sono idonee a continuare il servizio in seguito alla Proroga del Periodo di Validità. Le società che non sono certe della loro idoneità a continuare il servizio in seguito alla Proroga del Periodo di Validità dovranno contattare il loro Software Advisor, Rivenditore o Account Manager designato da Microsoft per ulteriori informazioni.</w:t>
      </w:r>
      <w:r w:rsidRPr="00D87B79">
        <w:rPr>
          <w:rFonts w:cs="Tahoma"/>
        </w:rPr>
        <w:t xml:space="preserve"> </w:t>
      </w:r>
    </w:p>
    <w:p w:rsidR="00A92422" w:rsidRPr="0017554F" w:rsidRDefault="00A92422" w:rsidP="00A92422">
      <w:pPr>
        <w:tabs>
          <w:tab w:val="left" w:pos="360"/>
        </w:tabs>
        <w:rPr>
          <w:rFonts w:cs="Tahoma"/>
          <w:sz w:val="16"/>
          <w:szCs w:val="16"/>
        </w:rPr>
      </w:pPr>
    </w:p>
    <w:p w:rsidR="00A92422" w:rsidRPr="00D87B79" w:rsidRDefault="00A92422" w:rsidP="00A92422">
      <w:pPr>
        <w:tabs>
          <w:tab w:val="left" w:pos="360"/>
        </w:tabs>
        <w:rPr>
          <w:rFonts w:cs="Tahoma"/>
        </w:rPr>
      </w:pPr>
      <w:r w:rsidRPr="00D87B79">
        <w:rPr>
          <w:rFonts w:cs="Tahoma"/>
          <w:lang w:val="it-IT"/>
        </w:rPr>
        <w:t>I servizi online che seguono sono idonei per la Proroga del Periodo di Validità dei Servizi Online in conformità alle condizioni dei Contratti Volume License delle società.</w:t>
      </w:r>
      <w:r w:rsidRPr="00D87B79">
        <w:rPr>
          <w:rFonts w:cs="Tahoma"/>
        </w:rPr>
        <w:t xml:space="preserve"> </w:t>
      </w:r>
      <w:r w:rsidRPr="00D87B79">
        <w:rPr>
          <w:rFonts w:cs="Tahoma"/>
          <w:lang w:val="it-IT"/>
        </w:rPr>
        <w:t>Il periodo di validità dell’abbonamento di una società ai servizi online dovrà terminare alla data di scadenza del contratto della società (“scadenza identica”) per potersi qualificare per Continuità del Servizio per Proroga del Periodo di Validità:</w:t>
      </w:r>
    </w:p>
    <w:p w:rsidR="00A92422" w:rsidRPr="00D87B79" w:rsidRDefault="00A92422" w:rsidP="00A92422">
      <w:pPr>
        <w:ind w:left="720"/>
        <w:rPr>
          <w:rFonts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560"/>
        <w:gridCol w:w="4455"/>
      </w:tblGrid>
      <w:tr w:rsidR="00A92422" w:rsidRPr="00D87B79" w:rsidTr="00EA30FC">
        <w:trPr>
          <w:trHeight w:val="80"/>
          <w:tblHeader/>
        </w:trPr>
        <w:tc>
          <w:tcPr>
            <w:tcW w:w="5000" w:type="pct"/>
            <w:gridSpan w:val="2"/>
            <w:shd w:val="clear" w:color="auto" w:fill="FABF8F"/>
          </w:tcPr>
          <w:p w:rsidR="00A92422" w:rsidRPr="00D87B79" w:rsidRDefault="00A92422" w:rsidP="00EA30FC">
            <w:pPr>
              <w:jc w:val="center"/>
              <w:rPr>
                <w:rFonts w:cs="Tahoma"/>
                <w:b/>
                <w:sz w:val="20"/>
              </w:rPr>
            </w:pPr>
            <w:r w:rsidRPr="00D87B79">
              <w:rPr>
                <w:rFonts w:cs="Tahoma"/>
                <w:b/>
                <w:sz w:val="20"/>
                <w:lang w:val="it-IT"/>
              </w:rPr>
              <w:t>Servizi Online</w:t>
            </w:r>
          </w:p>
        </w:tc>
      </w:tr>
      <w:tr w:rsidR="00A92422" w:rsidRPr="00D87B79" w:rsidTr="00EA30FC">
        <w:trPr>
          <w:trHeight w:val="219"/>
        </w:trPr>
        <w:tc>
          <w:tcPr>
            <w:tcW w:w="2221" w:type="pct"/>
          </w:tcPr>
          <w:p w:rsidR="00A92422" w:rsidRPr="00D87B79" w:rsidRDefault="00A92422" w:rsidP="00EA30FC">
            <w:pPr>
              <w:numPr>
                <w:ilvl w:val="0"/>
                <w:numId w:val="9"/>
              </w:numPr>
              <w:spacing w:before="80"/>
              <w:ind w:left="905" w:hanging="540"/>
              <w:jc w:val="both"/>
              <w:rPr>
                <w:rFonts w:cs="Tahoma"/>
              </w:rPr>
            </w:pPr>
            <w:r w:rsidRPr="00D87B79">
              <w:rPr>
                <w:rFonts w:cs="Tahoma"/>
                <w:lang w:val="it-IT"/>
              </w:rPr>
              <w:t>Chiosco Exchange Online*</w:t>
            </w:r>
          </w:p>
          <w:p w:rsidR="00A92422" w:rsidRPr="00D87B79" w:rsidRDefault="00A92422" w:rsidP="00EA30FC">
            <w:pPr>
              <w:numPr>
                <w:ilvl w:val="0"/>
                <w:numId w:val="9"/>
              </w:numPr>
              <w:spacing w:before="80"/>
              <w:ind w:left="905" w:hanging="540"/>
              <w:jc w:val="both"/>
              <w:rPr>
                <w:rFonts w:cs="Tahoma"/>
              </w:rPr>
            </w:pPr>
            <w:r w:rsidRPr="00D87B79">
              <w:rPr>
                <w:rFonts w:cs="Tahoma"/>
                <w:lang w:val="it-IT"/>
              </w:rPr>
              <w:t>Exchange Online Piano 1*</w:t>
            </w:r>
          </w:p>
          <w:p w:rsidR="00A92422" w:rsidRPr="00D87B79" w:rsidRDefault="00A92422" w:rsidP="00EA30FC">
            <w:pPr>
              <w:numPr>
                <w:ilvl w:val="0"/>
                <w:numId w:val="9"/>
              </w:numPr>
              <w:spacing w:before="80"/>
              <w:ind w:left="905" w:hanging="540"/>
              <w:jc w:val="both"/>
              <w:rPr>
                <w:rFonts w:cs="Tahoma"/>
              </w:rPr>
            </w:pPr>
            <w:r w:rsidRPr="00D87B79">
              <w:rPr>
                <w:rFonts w:cs="Tahoma"/>
                <w:lang w:val="it-IT"/>
              </w:rPr>
              <w:t>Exchange Online Piano 2*</w:t>
            </w:r>
          </w:p>
          <w:p w:rsidR="00A92422" w:rsidRPr="00D87B79" w:rsidRDefault="00A92422" w:rsidP="00EA30FC">
            <w:pPr>
              <w:numPr>
                <w:ilvl w:val="0"/>
                <w:numId w:val="9"/>
              </w:numPr>
              <w:spacing w:before="80"/>
              <w:ind w:left="905" w:hanging="540"/>
              <w:jc w:val="both"/>
              <w:rPr>
                <w:rFonts w:cs="Tahoma"/>
              </w:rPr>
            </w:pPr>
            <w:r w:rsidRPr="00D87B79">
              <w:rPr>
                <w:rFonts w:cs="Tahoma"/>
                <w:lang w:val="it-IT"/>
              </w:rPr>
              <w:t>Lync Online Piano 1*</w:t>
            </w:r>
          </w:p>
          <w:p w:rsidR="00A92422" w:rsidRPr="00D87B79" w:rsidRDefault="00A92422" w:rsidP="00EA30FC">
            <w:pPr>
              <w:numPr>
                <w:ilvl w:val="0"/>
                <w:numId w:val="9"/>
              </w:numPr>
              <w:spacing w:before="80"/>
              <w:ind w:left="905" w:hanging="540"/>
              <w:jc w:val="both"/>
              <w:rPr>
                <w:rFonts w:cs="Tahoma"/>
              </w:rPr>
            </w:pPr>
            <w:r w:rsidRPr="00D87B79">
              <w:rPr>
                <w:rFonts w:cs="Tahoma"/>
                <w:lang w:val="it-IT"/>
              </w:rPr>
              <w:t>Lync Online Piano 2*</w:t>
            </w:r>
          </w:p>
          <w:p w:rsidR="00A92422" w:rsidRPr="00D87B79" w:rsidRDefault="00A92422" w:rsidP="00EA30FC">
            <w:pPr>
              <w:numPr>
                <w:ilvl w:val="0"/>
                <w:numId w:val="9"/>
              </w:numPr>
              <w:spacing w:before="80"/>
              <w:ind w:left="905" w:hanging="540"/>
              <w:jc w:val="both"/>
              <w:rPr>
                <w:rFonts w:cs="Tahoma"/>
              </w:rPr>
            </w:pPr>
            <w:r w:rsidRPr="00D87B79">
              <w:rPr>
                <w:rFonts w:cs="Tahoma"/>
                <w:lang w:val="it-IT"/>
              </w:rPr>
              <w:t>Lync Online Piano 3*</w:t>
            </w:r>
          </w:p>
          <w:p w:rsidR="00A92422" w:rsidRPr="00D87B79" w:rsidRDefault="00A92422" w:rsidP="00EA30FC">
            <w:pPr>
              <w:numPr>
                <w:ilvl w:val="0"/>
                <w:numId w:val="9"/>
              </w:numPr>
              <w:spacing w:before="80"/>
              <w:ind w:left="905" w:hanging="540"/>
              <w:jc w:val="both"/>
              <w:rPr>
                <w:rFonts w:cs="Tahoma"/>
              </w:rPr>
            </w:pPr>
            <w:r w:rsidRPr="00D87B79">
              <w:rPr>
                <w:rFonts w:cs="Tahoma"/>
                <w:lang w:val="it-IT"/>
              </w:rPr>
              <w:t>Office 365 (Piano K1)*</w:t>
            </w:r>
          </w:p>
          <w:p w:rsidR="00A92422" w:rsidRPr="00D87B79" w:rsidRDefault="00A92422" w:rsidP="00EA30FC">
            <w:pPr>
              <w:numPr>
                <w:ilvl w:val="0"/>
                <w:numId w:val="9"/>
              </w:numPr>
              <w:spacing w:before="80"/>
              <w:ind w:left="905" w:hanging="540"/>
              <w:jc w:val="both"/>
              <w:rPr>
                <w:rFonts w:cs="Tahoma"/>
              </w:rPr>
            </w:pPr>
            <w:r w:rsidRPr="00D87B79">
              <w:rPr>
                <w:rFonts w:cs="Tahoma"/>
                <w:lang w:val="it-IT"/>
              </w:rPr>
              <w:t>Office 365 (Piano K2)*</w:t>
            </w:r>
          </w:p>
          <w:p w:rsidR="00A92422" w:rsidRPr="00D87B79" w:rsidRDefault="00A92422" w:rsidP="00EA30FC">
            <w:pPr>
              <w:numPr>
                <w:ilvl w:val="0"/>
                <w:numId w:val="9"/>
              </w:numPr>
              <w:spacing w:before="80"/>
              <w:ind w:left="905" w:hanging="540"/>
              <w:jc w:val="both"/>
              <w:rPr>
                <w:rFonts w:cs="Tahoma"/>
              </w:rPr>
            </w:pPr>
            <w:r w:rsidRPr="00D87B79">
              <w:rPr>
                <w:rFonts w:cs="Tahoma"/>
                <w:lang w:val="it-IT"/>
              </w:rPr>
              <w:t>Office 365 (Piano E1)</w:t>
            </w:r>
          </w:p>
          <w:p w:rsidR="00A92422" w:rsidRPr="00D87B79" w:rsidRDefault="00A92422" w:rsidP="00EA30FC">
            <w:pPr>
              <w:numPr>
                <w:ilvl w:val="0"/>
                <w:numId w:val="9"/>
              </w:numPr>
              <w:spacing w:before="80"/>
              <w:ind w:left="905" w:hanging="540"/>
              <w:jc w:val="both"/>
              <w:rPr>
                <w:rFonts w:cs="Tahoma"/>
              </w:rPr>
            </w:pPr>
            <w:r w:rsidRPr="00D87B79">
              <w:rPr>
                <w:rFonts w:cs="Tahoma"/>
                <w:lang w:val="it-IT"/>
              </w:rPr>
              <w:t>Office 365 (Piano E2)</w:t>
            </w:r>
          </w:p>
          <w:p w:rsidR="00A92422" w:rsidRPr="00D87B79" w:rsidRDefault="00A92422" w:rsidP="00EA30FC">
            <w:pPr>
              <w:numPr>
                <w:ilvl w:val="0"/>
                <w:numId w:val="9"/>
              </w:numPr>
              <w:spacing w:before="80"/>
              <w:ind w:left="725"/>
              <w:jc w:val="both"/>
              <w:rPr>
                <w:rFonts w:cs="Tahoma"/>
              </w:rPr>
            </w:pPr>
            <w:r w:rsidRPr="00D87B79">
              <w:rPr>
                <w:rFonts w:cs="Tahoma"/>
                <w:lang w:val="it-IT"/>
              </w:rPr>
              <w:t>Office 365 (Piano E3)</w:t>
            </w:r>
          </w:p>
          <w:p w:rsidR="00A92422" w:rsidRPr="00D87B79" w:rsidRDefault="00A92422" w:rsidP="00EA30FC">
            <w:pPr>
              <w:numPr>
                <w:ilvl w:val="0"/>
                <w:numId w:val="9"/>
              </w:numPr>
              <w:spacing w:before="80"/>
              <w:ind w:left="725"/>
              <w:jc w:val="both"/>
              <w:rPr>
                <w:rFonts w:cs="Tahoma"/>
              </w:rPr>
            </w:pPr>
            <w:r w:rsidRPr="00D87B79">
              <w:rPr>
                <w:rFonts w:cs="Tahoma"/>
                <w:lang w:val="it-IT"/>
              </w:rPr>
              <w:t>Office 365 (Piano E4)</w:t>
            </w:r>
          </w:p>
        </w:tc>
        <w:tc>
          <w:tcPr>
            <w:tcW w:w="2779" w:type="pct"/>
          </w:tcPr>
          <w:p w:rsidR="00A92422" w:rsidRPr="00D87B79" w:rsidRDefault="00A92422" w:rsidP="00EA30FC">
            <w:pPr>
              <w:numPr>
                <w:ilvl w:val="0"/>
                <w:numId w:val="9"/>
              </w:numPr>
              <w:spacing w:before="80"/>
              <w:ind w:left="725"/>
              <w:jc w:val="both"/>
              <w:rPr>
                <w:rFonts w:cs="Tahoma"/>
              </w:rPr>
            </w:pPr>
            <w:r w:rsidRPr="00D87B79">
              <w:rPr>
                <w:rFonts w:cs="Tahoma"/>
                <w:lang w:val="it-IT"/>
              </w:rPr>
              <w:t>Office 365 (Piano G1)</w:t>
            </w:r>
          </w:p>
          <w:p w:rsidR="00A92422" w:rsidRPr="00D87B79" w:rsidRDefault="00A92422" w:rsidP="00EA30FC">
            <w:pPr>
              <w:numPr>
                <w:ilvl w:val="0"/>
                <w:numId w:val="9"/>
              </w:numPr>
              <w:spacing w:before="80"/>
              <w:ind w:left="725"/>
              <w:jc w:val="both"/>
              <w:rPr>
                <w:rFonts w:cs="Tahoma"/>
              </w:rPr>
            </w:pPr>
            <w:r w:rsidRPr="00D87B79">
              <w:rPr>
                <w:rFonts w:cs="Tahoma"/>
                <w:lang w:val="it-IT"/>
              </w:rPr>
              <w:t>Office 365 (Piano G2)</w:t>
            </w:r>
          </w:p>
          <w:p w:rsidR="00A92422" w:rsidRPr="00D87B79" w:rsidRDefault="00A92422" w:rsidP="00EA30FC">
            <w:pPr>
              <w:numPr>
                <w:ilvl w:val="0"/>
                <w:numId w:val="9"/>
              </w:numPr>
              <w:spacing w:before="80"/>
              <w:ind w:left="725"/>
              <w:jc w:val="both"/>
              <w:rPr>
                <w:rFonts w:cs="Tahoma"/>
              </w:rPr>
            </w:pPr>
            <w:r w:rsidRPr="00D87B79">
              <w:rPr>
                <w:rFonts w:cs="Tahoma"/>
                <w:lang w:val="it-IT"/>
              </w:rPr>
              <w:t>Office 365 (Piano G3)</w:t>
            </w:r>
          </w:p>
          <w:p w:rsidR="00A92422" w:rsidRPr="00D87B79" w:rsidRDefault="00A92422" w:rsidP="00EA30FC">
            <w:pPr>
              <w:numPr>
                <w:ilvl w:val="0"/>
                <w:numId w:val="9"/>
              </w:numPr>
              <w:spacing w:before="80"/>
              <w:ind w:left="725"/>
              <w:jc w:val="both"/>
              <w:rPr>
                <w:rFonts w:cs="Tahoma"/>
              </w:rPr>
            </w:pPr>
            <w:r w:rsidRPr="00D87B79">
              <w:rPr>
                <w:rFonts w:cs="Tahoma"/>
                <w:lang w:val="it-IT"/>
              </w:rPr>
              <w:t>Office 365 (Piano G4)</w:t>
            </w:r>
          </w:p>
          <w:p w:rsidR="00A92422" w:rsidRPr="00D87B79" w:rsidRDefault="00A92422" w:rsidP="00EA30FC">
            <w:pPr>
              <w:numPr>
                <w:ilvl w:val="0"/>
                <w:numId w:val="9"/>
              </w:numPr>
              <w:spacing w:before="80"/>
              <w:ind w:left="725"/>
              <w:jc w:val="both"/>
              <w:rPr>
                <w:rFonts w:cs="Tahoma"/>
              </w:rPr>
            </w:pPr>
            <w:r w:rsidRPr="00D87B79">
              <w:rPr>
                <w:rFonts w:cs="Tahoma"/>
                <w:lang w:val="it-IT"/>
              </w:rPr>
              <w:t>Office Web Applications*</w:t>
            </w:r>
          </w:p>
          <w:p w:rsidR="00A92422" w:rsidRPr="00D87B79" w:rsidRDefault="00A92422" w:rsidP="00EA30FC">
            <w:pPr>
              <w:numPr>
                <w:ilvl w:val="0"/>
                <w:numId w:val="9"/>
              </w:numPr>
              <w:spacing w:before="80"/>
              <w:ind w:left="725"/>
              <w:jc w:val="both"/>
              <w:rPr>
                <w:rFonts w:cs="Tahoma"/>
              </w:rPr>
            </w:pPr>
            <w:r w:rsidRPr="00D87B79">
              <w:rPr>
                <w:rFonts w:cs="Tahoma"/>
                <w:lang w:val="it-IT"/>
              </w:rPr>
              <w:t>SharePoint Online Piano 1*</w:t>
            </w:r>
          </w:p>
          <w:p w:rsidR="00A92422" w:rsidRPr="00D87B79" w:rsidRDefault="00A92422" w:rsidP="00EA30FC">
            <w:pPr>
              <w:numPr>
                <w:ilvl w:val="0"/>
                <w:numId w:val="9"/>
              </w:numPr>
              <w:spacing w:before="80"/>
              <w:ind w:left="725"/>
              <w:jc w:val="both"/>
              <w:rPr>
                <w:rFonts w:cs="Tahoma"/>
              </w:rPr>
            </w:pPr>
            <w:r w:rsidRPr="00D87B79">
              <w:rPr>
                <w:rFonts w:cs="Tahoma"/>
                <w:lang w:val="it-IT"/>
              </w:rPr>
              <w:t>SharePoint Online Piano 2*</w:t>
            </w:r>
          </w:p>
          <w:p w:rsidR="00A92422" w:rsidRPr="00D87B79" w:rsidRDefault="00A92422" w:rsidP="00EA30FC">
            <w:pPr>
              <w:numPr>
                <w:ilvl w:val="0"/>
                <w:numId w:val="9"/>
              </w:numPr>
              <w:spacing w:before="80"/>
              <w:ind w:left="725"/>
              <w:jc w:val="both"/>
              <w:rPr>
                <w:rFonts w:cs="Tahoma"/>
              </w:rPr>
            </w:pPr>
            <w:r w:rsidRPr="00D87B79">
              <w:rPr>
                <w:rFonts w:cs="Tahoma"/>
                <w:lang w:val="it-IT"/>
              </w:rPr>
              <w:t>Accesso partner SharePoint Online*</w:t>
            </w:r>
          </w:p>
          <w:p w:rsidR="00A92422" w:rsidRPr="00D87B79" w:rsidRDefault="00A92422" w:rsidP="00EA30FC">
            <w:pPr>
              <w:numPr>
                <w:ilvl w:val="0"/>
                <w:numId w:val="9"/>
              </w:numPr>
              <w:spacing w:before="80"/>
              <w:ind w:left="725"/>
              <w:jc w:val="both"/>
              <w:rPr>
                <w:rFonts w:cs="Tahoma"/>
              </w:rPr>
            </w:pPr>
            <w:r w:rsidRPr="00D87B79">
              <w:rPr>
                <w:rFonts w:cs="Tahoma"/>
                <w:lang w:val="it-IT"/>
              </w:rPr>
              <w:t>Servizi di Windows Azure*</w:t>
            </w:r>
          </w:p>
          <w:p w:rsidR="00A92422" w:rsidRPr="00D87B79" w:rsidRDefault="00A92422" w:rsidP="00EA30FC">
            <w:pPr>
              <w:numPr>
                <w:ilvl w:val="0"/>
                <w:numId w:val="9"/>
              </w:numPr>
              <w:spacing w:before="80"/>
              <w:ind w:left="725"/>
              <w:jc w:val="both"/>
              <w:rPr>
                <w:rFonts w:cs="Tahoma"/>
              </w:rPr>
            </w:pPr>
            <w:r w:rsidRPr="00D87B79">
              <w:rPr>
                <w:rFonts w:cs="Tahoma"/>
                <w:lang w:val="it-IT"/>
              </w:rPr>
              <w:t>Windows Intune</w:t>
            </w:r>
          </w:p>
          <w:p w:rsidR="00A92422" w:rsidRPr="00D87B79" w:rsidRDefault="00A92422" w:rsidP="00EA30FC">
            <w:pPr>
              <w:numPr>
                <w:ilvl w:val="0"/>
                <w:numId w:val="9"/>
              </w:numPr>
              <w:spacing w:before="80"/>
              <w:ind w:left="725"/>
              <w:jc w:val="both"/>
              <w:rPr>
                <w:rFonts w:cs="Tahoma"/>
              </w:rPr>
            </w:pPr>
            <w:r w:rsidRPr="00D87B79">
              <w:rPr>
                <w:rFonts w:cs="Tahoma"/>
                <w:lang w:val="it-IT"/>
              </w:rPr>
              <w:t>Componente aggiuntivo di Windows Intune*</w:t>
            </w:r>
          </w:p>
        </w:tc>
      </w:tr>
    </w:tbl>
    <w:p w:rsidR="00A92422" w:rsidRDefault="00A92422" w:rsidP="00A92422">
      <w:pPr>
        <w:tabs>
          <w:tab w:val="left" w:pos="360"/>
        </w:tabs>
        <w:ind w:left="720"/>
        <w:rPr>
          <w:rFonts w:cs="Tahoma"/>
          <w:i/>
          <w:sz w:val="16"/>
          <w:lang w:val="it-IT"/>
        </w:rPr>
      </w:pPr>
      <w:r w:rsidRPr="00D87B79">
        <w:rPr>
          <w:rFonts w:cs="Tahoma"/>
          <w:i/>
          <w:sz w:val="16"/>
          <w:lang w:val="it-IT"/>
        </w:rPr>
        <w:t>* Prodotto aggiuntivo</w:t>
      </w:r>
    </w:p>
    <w:p w:rsidR="00A92422" w:rsidRDefault="00A92422" w:rsidP="00A92422">
      <w:pPr>
        <w:rPr>
          <w:b/>
          <w:bCs/>
          <w:caps/>
          <w:color w:val="000000"/>
          <w:sz w:val="36"/>
          <w:szCs w:val="36"/>
          <w:lang w:val="it-IT"/>
        </w:rPr>
      </w:pPr>
      <w:bookmarkStart w:id="756" w:name="_Toc336338197"/>
      <w:bookmarkStart w:id="757" w:name="_Toc342900249"/>
      <w:bookmarkEnd w:id="756"/>
      <w:r>
        <w:br w:type="page"/>
      </w:r>
    </w:p>
    <w:p w:rsidR="00A92422" w:rsidRPr="00D87B79" w:rsidRDefault="00A92422" w:rsidP="00A92422">
      <w:pPr>
        <w:pStyle w:val="Heading1"/>
        <w:keepNext w:val="0"/>
      </w:pPr>
      <w:r w:rsidRPr="00D87B79">
        <w:lastRenderedPageBreak/>
        <w:t>ARTICOLO 4</w:t>
      </w:r>
      <w:r w:rsidRPr="00F81721">
        <w:rPr>
          <w:rFonts w:cs="Tahoma"/>
        </w:rPr>
        <w:t xml:space="preserve"> – </w:t>
      </w:r>
      <w:r w:rsidRPr="00D87B79">
        <w:t>TIPI DI LIcenZe e CORRISPETTIVI</w:t>
      </w:r>
      <w:bookmarkEnd w:id="757"/>
      <w:r w:rsidRPr="00D87B79">
        <w:t xml:space="preserve"> </w:t>
      </w:r>
    </w:p>
    <w:p w:rsidR="00A92422" w:rsidRPr="00D87B79" w:rsidRDefault="00A92422" w:rsidP="00A92422">
      <w:pPr>
        <w:pStyle w:val="Heading2"/>
        <w:ind w:left="0" w:right="720"/>
        <w:rPr>
          <w:rFonts w:ascii="Tahoma" w:hAnsi="Tahoma" w:cs="Tahoma"/>
        </w:rPr>
      </w:pPr>
    </w:p>
    <w:p w:rsidR="00A92422" w:rsidRPr="00D87B79" w:rsidRDefault="00A92422" w:rsidP="00A92422">
      <w:pPr>
        <w:pStyle w:val="Heading2"/>
        <w:tabs>
          <w:tab w:val="left" w:pos="90"/>
        </w:tabs>
        <w:ind w:left="0" w:right="720"/>
        <w:rPr>
          <w:rFonts w:ascii="Tahoma" w:hAnsi="Tahoma" w:cs="Tahoma"/>
        </w:rPr>
      </w:pPr>
      <w:bookmarkStart w:id="758" w:name="_Toc336338198"/>
      <w:bookmarkStart w:id="759" w:name="_Toc342900250"/>
      <w:bookmarkEnd w:id="758"/>
      <w:r w:rsidRPr="00D87B79">
        <w:rPr>
          <w:rFonts w:ascii="Tahoma" w:hAnsi="Tahoma" w:cs="Tahoma"/>
          <w:lang w:val="it-IT"/>
        </w:rPr>
        <w:t>Corrispettivi</w:t>
      </w:r>
      <w:bookmarkEnd w:id="759"/>
      <w:r w:rsidRPr="00D87B79">
        <w:rPr>
          <w:rFonts w:ascii="Tahoma" w:hAnsi="Tahoma" w:cs="Tahoma"/>
        </w:rPr>
        <w:t> </w:t>
      </w:r>
    </w:p>
    <w:p w:rsidR="00A92422" w:rsidRPr="00D87B79" w:rsidRDefault="00A92422" w:rsidP="00A92422">
      <w:pPr>
        <w:ind w:right="720"/>
        <w:rPr>
          <w:rFonts w:cs="Tahoma"/>
        </w:rPr>
      </w:pPr>
    </w:p>
    <w:p w:rsidR="00A92422" w:rsidRPr="00D87B79" w:rsidRDefault="00A92422" w:rsidP="00A92422">
      <w:pPr>
        <w:pStyle w:val="AppendixBodyText"/>
        <w:ind w:right="720"/>
        <w:rPr>
          <w:rFonts w:ascii="Tahoma" w:hAnsi="Tahoma" w:cs="Tahoma"/>
        </w:rPr>
      </w:pPr>
      <w:r w:rsidRPr="00D87B79">
        <w:rPr>
          <w:rFonts w:ascii="Tahoma" w:hAnsi="Tahoma" w:cs="Tahoma"/>
          <w:sz w:val="18"/>
          <w:lang w:val="it-IT" w:eastAsia="ja-JP"/>
        </w:rPr>
        <w:t>Questo tipo di prodotto è disponibile per alcuni Servizi Online e prodotti software.</w:t>
      </w:r>
      <w:r w:rsidRPr="00D87B79">
        <w:rPr>
          <w:rFonts w:ascii="Tahoma" w:hAnsi="Tahoma" w:cs="Tahoma"/>
          <w:sz w:val="18"/>
          <w:lang w:eastAsia="ja-JP"/>
        </w:rPr>
        <w:t xml:space="preserve"> </w:t>
      </w:r>
      <w:r w:rsidRPr="00D87B79">
        <w:rPr>
          <w:rFonts w:ascii="Tahoma" w:hAnsi="Tahoma" w:cs="Tahoma"/>
          <w:sz w:val="18"/>
          <w:lang w:val="it-IT" w:eastAsia="ja-JP"/>
        </w:rPr>
        <w:t>Non dipende dalla versione, può essere associato a costi di configurazione o altre offerte, quali i pacchetti di attivazione.</w:t>
      </w:r>
      <w:r w:rsidRPr="00D87B79">
        <w:rPr>
          <w:rFonts w:ascii="Tahoma" w:hAnsi="Tahoma" w:cs="Tahoma"/>
          <w:sz w:val="18"/>
          <w:lang w:eastAsia="ja-JP"/>
        </w:rPr>
        <w:t xml:space="preserve"> </w:t>
      </w:r>
      <w:r w:rsidRPr="00D87B79">
        <w:rPr>
          <w:rFonts w:ascii="Tahoma" w:hAnsi="Tahoma" w:cs="Tahoma"/>
          <w:sz w:val="18"/>
          <w:lang w:val="it-IT" w:eastAsia="ja-JP"/>
        </w:rPr>
        <w:t>A</w:t>
      </w:r>
      <w:r>
        <w:rPr>
          <w:rFonts w:ascii="Tahoma" w:hAnsi="Tahoma" w:cs="Tahoma"/>
          <w:sz w:val="18"/>
          <w:lang w:val="it-IT" w:eastAsia="ja-JP"/>
        </w:rPr>
        <w:t> </w:t>
      </w:r>
      <w:r w:rsidRPr="00D87B79">
        <w:rPr>
          <w:rFonts w:ascii="Tahoma" w:hAnsi="Tahoma" w:cs="Tahoma"/>
          <w:sz w:val="18"/>
          <w:lang w:val="it-IT" w:eastAsia="ja-JP"/>
        </w:rPr>
        <w:t>livello generale non concede il diritto di utilizzare un prodotto o un servizio online.</w:t>
      </w:r>
      <w:r w:rsidRPr="00D87B79">
        <w:rPr>
          <w:rFonts w:ascii="Tahoma" w:hAnsi="Tahoma" w:cs="Tahoma"/>
        </w:rPr>
        <w:t xml:space="preserve"> </w:t>
      </w:r>
      <w:r w:rsidRPr="00D87B79">
        <w:rPr>
          <w:rFonts w:ascii="Tahoma" w:hAnsi="Tahoma" w:cs="Tahoma"/>
          <w:sz w:val="18"/>
          <w:lang w:val="it-IT"/>
        </w:rPr>
        <w:t>Analogamente, non</w:t>
      </w:r>
      <w:r>
        <w:rPr>
          <w:rFonts w:ascii="Tahoma" w:hAnsi="Tahoma" w:cs="Tahoma"/>
          <w:sz w:val="18"/>
          <w:lang w:val="it-IT"/>
        </w:rPr>
        <w:t> </w:t>
      </w:r>
      <w:r w:rsidRPr="00D87B79">
        <w:rPr>
          <w:rFonts w:ascii="Tahoma" w:hAnsi="Tahoma" w:cs="Tahoma"/>
          <w:sz w:val="18"/>
          <w:lang w:val="it-IT"/>
        </w:rPr>
        <w:t>offre alcun vantaggio o serve ad alcun scopo al di fuori del servizio o del software a cui corrisponde.</w:t>
      </w:r>
      <w:r w:rsidRPr="00D87B79">
        <w:rPr>
          <w:rFonts w:ascii="Tahoma" w:hAnsi="Tahoma" w:cs="Tahoma"/>
        </w:rPr>
        <w:t xml:space="preserve"> </w:t>
      </w:r>
      <w:r w:rsidRPr="00D87B79">
        <w:rPr>
          <w:rFonts w:ascii="Tahoma" w:hAnsi="Tahoma" w:cs="Tahoma"/>
          <w:sz w:val="18"/>
          <w:lang w:val="it-IT"/>
        </w:rPr>
        <w:t>Disponibile nei seguenti programmi:</w:t>
      </w:r>
      <w:r w:rsidRPr="00D87B79">
        <w:rPr>
          <w:rFonts w:ascii="Tahoma" w:hAnsi="Tahoma" w:cs="Tahoma"/>
          <w:sz w:val="18"/>
          <w:lang w:eastAsia="ja-JP"/>
        </w:rPr>
        <w:t xml:space="preserve"> </w:t>
      </w:r>
      <w:r w:rsidRPr="00D87B79">
        <w:rPr>
          <w:rFonts w:ascii="Tahoma" w:hAnsi="Tahoma" w:cs="Tahoma"/>
          <w:sz w:val="18"/>
          <w:lang w:val="it-IT"/>
        </w:rPr>
        <w:t>Open, Open Value, Open Value Subscription, Select e Select Plus.</w:t>
      </w:r>
    </w:p>
    <w:p w:rsidR="00A92422" w:rsidRPr="00D87B79" w:rsidRDefault="00A92422" w:rsidP="00A92422">
      <w:pPr>
        <w:ind w:right="720"/>
        <w:rPr>
          <w:rFonts w:cs="Tahoma"/>
        </w:rPr>
      </w:pPr>
    </w:p>
    <w:p w:rsidR="00A92422" w:rsidRPr="00D87B79" w:rsidRDefault="00A92422" w:rsidP="00A92422">
      <w:pPr>
        <w:ind w:right="720"/>
        <w:rPr>
          <w:rFonts w:cs="Tahoma"/>
        </w:rPr>
      </w:pPr>
    </w:p>
    <w:p w:rsidR="00A92422" w:rsidRPr="00D87B79" w:rsidRDefault="00A92422" w:rsidP="00A92422">
      <w:pPr>
        <w:pStyle w:val="Heading2"/>
        <w:tabs>
          <w:tab w:val="left" w:pos="90"/>
        </w:tabs>
        <w:ind w:left="0" w:right="720"/>
        <w:rPr>
          <w:rFonts w:ascii="Tahoma" w:hAnsi="Tahoma" w:cs="Tahoma"/>
        </w:rPr>
      </w:pPr>
      <w:bookmarkStart w:id="760" w:name="_Toc323819648"/>
      <w:bookmarkStart w:id="761" w:name="_Toc336338199"/>
      <w:bookmarkStart w:id="762" w:name="_Toc342900251"/>
      <w:bookmarkEnd w:id="760"/>
      <w:bookmarkEnd w:id="761"/>
      <w:r w:rsidRPr="00D87B79">
        <w:rPr>
          <w:rFonts w:ascii="Tahoma" w:hAnsi="Tahoma" w:cs="Tahoma"/>
          <w:lang w:val="it-IT"/>
        </w:rPr>
        <w:t>Licenza</w:t>
      </w:r>
      <w:bookmarkEnd w:id="762"/>
    </w:p>
    <w:p w:rsidR="00A92422" w:rsidRPr="00A57F5F" w:rsidRDefault="00A92422" w:rsidP="00A92422">
      <w:pPr>
        <w:pStyle w:val="AppendixIndent"/>
        <w:tabs>
          <w:tab w:val="left" w:pos="90"/>
        </w:tabs>
        <w:spacing w:before="0"/>
        <w:ind w:left="0" w:right="720"/>
        <w:rPr>
          <w:rFonts w:ascii="Tahoma" w:hAnsi="Tahoma" w:cs="Tahoma"/>
          <w:sz w:val="18"/>
          <w:szCs w:val="18"/>
        </w:rPr>
      </w:pPr>
    </w:p>
    <w:p w:rsidR="00A92422" w:rsidRPr="00D87B79" w:rsidRDefault="00A92422" w:rsidP="00A92422">
      <w:pPr>
        <w:pStyle w:val="AppendixBodyText"/>
        <w:ind w:right="720"/>
        <w:rPr>
          <w:rFonts w:ascii="Tahoma" w:hAnsi="Tahoma" w:cs="Tahoma"/>
        </w:rPr>
      </w:pPr>
      <w:r w:rsidRPr="00D87B79">
        <w:rPr>
          <w:rFonts w:ascii="Tahoma" w:hAnsi="Tahoma" w:cs="Tahoma"/>
          <w:sz w:val="18"/>
          <w:lang w:val="it-IT" w:eastAsia="ja-JP"/>
        </w:rPr>
        <w:t>Questo tipo di prodotto dipende dalla versione e concede il diritto di eseguire il prodotto per il quale viene ordinato.</w:t>
      </w:r>
      <w:r w:rsidRPr="00D87B79">
        <w:rPr>
          <w:rFonts w:ascii="Tahoma" w:hAnsi="Tahoma" w:cs="Tahoma"/>
          <w:sz w:val="18"/>
          <w:lang w:eastAsia="ja-JP"/>
        </w:rPr>
        <w:t xml:space="preserve"> </w:t>
      </w:r>
      <w:r w:rsidRPr="00D87B79">
        <w:rPr>
          <w:rFonts w:ascii="Tahoma" w:hAnsi="Tahoma" w:cs="Tahoma"/>
          <w:sz w:val="18"/>
          <w:lang w:val="it-IT" w:eastAsia="ja-JP"/>
        </w:rPr>
        <w:t>Disponibile nei seguenti programmi:</w:t>
      </w:r>
      <w:r w:rsidRPr="00D87B79">
        <w:rPr>
          <w:rFonts w:ascii="Tahoma" w:hAnsi="Tahoma" w:cs="Tahoma"/>
          <w:sz w:val="18"/>
          <w:lang w:eastAsia="ja-JP"/>
        </w:rPr>
        <w:t xml:space="preserve"> </w:t>
      </w:r>
    </w:p>
    <w:p w:rsidR="00A92422" w:rsidRPr="00A57F5F" w:rsidRDefault="00A92422" w:rsidP="00A92422">
      <w:pPr>
        <w:pStyle w:val="AppendixIndent"/>
        <w:tabs>
          <w:tab w:val="left" w:pos="90"/>
        </w:tabs>
        <w:ind w:left="0" w:right="720"/>
        <w:rPr>
          <w:rFonts w:ascii="Tahoma" w:hAnsi="Tahoma" w:cs="Tahoma"/>
          <w:sz w:val="18"/>
          <w:szCs w:val="18"/>
        </w:rPr>
      </w:pPr>
    </w:p>
    <w:p w:rsidR="00A92422" w:rsidRPr="00A57F5F" w:rsidRDefault="00A92422" w:rsidP="00A92422">
      <w:pPr>
        <w:pStyle w:val="AppendixBulletIndent"/>
        <w:numPr>
          <w:ilvl w:val="0"/>
          <w:numId w:val="32"/>
        </w:numPr>
        <w:tabs>
          <w:tab w:val="left" w:pos="90"/>
        </w:tabs>
        <w:spacing w:after="60"/>
        <w:ind w:left="1440" w:right="720"/>
        <w:rPr>
          <w:rFonts w:ascii="Tahoma" w:hAnsi="Tahoma" w:cs="Tahoma"/>
          <w:sz w:val="18"/>
          <w:szCs w:val="18"/>
        </w:rPr>
      </w:pPr>
      <w:r w:rsidRPr="00A57F5F">
        <w:rPr>
          <w:rFonts w:ascii="Tahoma" w:hAnsi="Tahoma" w:cs="Tahoma"/>
          <w:sz w:val="18"/>
          <w:szCs w:val="18"/>
        </w:rPr>
        <w:t>Licenza Open</w:t>
      </w:r>
    </w:p>
    <w:p w:rsidR="00A92422" w:rsidRPr="00A57F5F" w:rsidRDefault="00A92422" w:rsidP="00A92422">
      <w:pPr>
        <w:pStyle w:val="AppendixBulletIndent"/>
        <w:numPr>
          <w:ilvl w:val="0"/>
          <w:numId w:val="32"/>
        </w:numPr>
        <w:tabs>
          <w:tab w:val="left" w:pos="90"/>
        </w:tabs>
        <w:spacing w:after="60"/>
        <w:ind w:left="1440" w:right="720"/>
        <w:rPr>
          <w:rFonts w:ascii="Tahoma" w:hAnsi="Tahoma" w:cs="Tahoma"/>
          <w:sz w:val="18"/>
          <w:szCs w:val="18"/>
        </w:rPr>
      </w:pPr>
      <w:r w:rsidRPr="00A57F5F">
        <w:rPr>
          <w:rFonts w:ascii="Tahoma" w:hAnsi="Tahoma" w:cs="Tahoma"/>
          <w:sz w:val="18"/>
          <w:szCs w:val="18"/>
        </w:rPr>
        <w:t xml:space="preserve">Open Value Subscription (solo per ordini buy-out) </w:t>
      </w:r>
    </w:p>
    <w:p w:rsidR="00A92422" w:rsidRPr="00A57F5F" w:rsidRDefault="00A92422" w:rsidP="00A92422">
      <w:pPr>
        <w:pStyle w:val="AppendixBulletIndent"/>
        <w:numPr>
          <w:ilvl w:val="0"/>
          <w:numId w:val="32"/>
        </w:numPr>
        <w:tabs>
          <w:tab w:val="left" w:pos="90"/>
        </w:tabs>
        <w:spacing w:after="60"/>
        <w:ind w:left="1440" w:right="720"/>
        <w:rPr>
          <w:rFonts w:ascii="Tahoma" w:hAnsi="Tahoma" w:cs="Tahoma"/>
          <w:sz w:val="18"/>
          <w:szCs w:val="18"/>
        </w:rPr>
      </w:pPr>
      <w:r w:rsidRPr="00A57F5F">
        <w:rPr>
          <w:rFonts w:ascii="Tahoma" w:hAnsi="Tahoma" w:cs="Tahoma"/>
          <w:sz w:val="18"/>
          <w:szCs w:val="18"/>
        </w:rPr>
        <w:t xml:space="preserve">Select </w:t>
      </w:r>
    </w:p>
    <w:p w:rsidR="00A92422" w:rsidRPr="00A57F5F" w:rsidRDefault="00A92422" w:rsidP="00A92422">
      <w:pPr>
        <w:pStyle w:val="AppendixBulletIndent"/>
        <w:numPr>
          <w:ilvl w:val="0"/>
          <w:numId w:val="32"/>
        </w:numPr>
        <w:tabs>
          <w:tab w:val="left" w:pos="90"/>
        </w:tabs>
        <w:spacing w:after="60"/>
        <w:ind w:left="1440" w:right="720"/>
        <w:rPr>
          <w:rFonts w:ascii="Tahoma" w:hAnsi="Tahoma" w:cs="Tahoma"/>
          <w:sz w:val="18"/>
          <w:szCs w:val="18"/>
        </w:rPr>
      </w:pPr>
      <w:r w:rsidRPr="00A57F5F">
        <w:rPr>
          <w:rFonts w:ascii="Tahoma" w:hAnsi="Tahoma" w:cs="Tahoma"/>
          <w:sz w:val="18"/>
          <w:szCs w:val="18"/>
        </w:rPr>
        <w:t>Select Plus</w:t>
      </w:r>
    </w:p>
    <w:p w:rsidR="00A92422" w:rsidRPr="00A57F5F" w:rsidRDefault="00A92422" w:rsidP="00A92422">
      <w:pPr>
        <w:pStyle w:val="AppendixBulletIndent"/>
        <w:numPr>
          <w:ilvl w:val="0"/>
          <w:numId w:val="32"/>
        </w:numPr>
        <w:tabs>
          <w:tab w:val="left" w:pos="90"/>
        </w:tabs>
        <w:spacing w:after="60"/>
        <w:ind w:left="1440" w:right="720"/>
        <w:rPr>
          <w:rFonts w:ascii="Tahoma" w:hAnsi="Tahoma" w:cs="Tahoma"/>
          <w:sz w:val="18"/>
          <w:szCs w:val="18"/>
        </w:rPr>
      </w:pPr>
      <w:r w:rsidRPr="00A57F5F">
        <w:rPr>
          <w:rFonts w:ascii="Tahoma" w:hAnsi="Tahoma" w:cs="Tahoma"/>
          <w:sz w:val="18"/>
          <w:szCs w:val="18"/>
        </w:rPr>
        <w:t>Contratto School (solo per ordini buy-out)</w:t>
      </w:r>
    </w:p>
    <w:p w:rsidR="00A92422" w:rsidRPr="00A57F5F" w:rsidRDefault="00A92422" w:rsidP="00A92422">
      <w:pPr>
        <w:pStyle w:val="AppendixBulletIndent"/>
        <w:numPr>
          <w:ilvl w:val="0"/>
          <w:numId w:val="32"/>
        </w:numPr>
        <w:tabs>
          <w:tab w:val="left" w:pos="90"/>
        </w:tabs>
        <w:spacing w:after="60"/>
        <w:ind w:left="1440" w:right="720"/>
        <w:rPr>
          <w:rFonts w:ascii="Tahoma" w:hAnsi="Tahoma" w:cs="Tahoma"/>
          <w:sz w:val="18"/>
          <w:szCs w:val="18"/>
        </w:rPr>
      </w:pPr>
      <w:r w:rsidRPr="00A57F5F">
        <w:rPr>
          <w:rFonts w:ascii="Tahoma" w:hAnsi="Tahoma" w:cs="Tahoma"/>
          <w:sz w:val="18"/>
          <w:szCs w:val="18"/>
        </w:rPr>
        <w:t>EES (solo per ordini buy-out)</w:t>
      </w:r>
    </w:p>
    <w:p w:rsidR="00A92422" w:rsidRPr="00A57F5F" w:rsidRDefault="00A92422" w:rsidP="00A92422">
      <w:pPr>
        <w:pStyle w:val="AppendixBulletIndent"/>
        <w:numPr>
          <w:ilvl w:val="0"/>
          <w:numId w:val="32"/>
        </w:numPr>
        <w:tabs>
          <w:tab w:val="left" w:pos="90"/>
        </w:tabs>
        <w:spacing w:after="60"/>
        <w:ind w:left="1440" w:right="720"/>
        <w:rPr>
          <w:rFonts w:ascii="Tahoma" w:hAnsi="Tahoma" w:cs="Tahoma"/>
          <w:sz w:val="18"/>
          <w:szCs w:val="18"/>
        </w:rPr>
      </w:pPr>
      <w:r w:rsidRPr="00A57F5F">
        <w:rPr>
          <w:rFonts w:ascii="Tahoma" w:hAnsi="Tahoma" w:cs="Tahoma"/>
          <w:sz w:val="18"/>
          <w:szCs w:val="18"/>
        </w:rPr>
        <w:t>Contratto Enterprise Subscription (solo per ordini buy-out)</w:t>
      </w:r>
    </w:p>
    <w:p w:rsidR="00A92422" w:rsidRPr="00A57F5F" w:rsidRDefault="00A92422" w:rsidP="00A92422">
      <w:pPr>
        <w:pStyle w:val="AppendixIndent"/>
        <w:tabs>
          <w:tab w:val="left" w:pos="90"/>
        </w:tabs>
        <w:ind w:left="0" w:right="720"/>
        <w:rPr>
          <w:rFonts w:ascii="Tahoma" w:hAnsi="Tahoma" w:cs="Tahoma"/>
          <w:sz w:val="18"/>
          <w:szCs w:val="18"/>
        </w:rPr>
      </w:pPr>
    </w:p>
    <w:p w:rsidR="00A92422" w:rsidRPr="00D87B79" w:rsidRDefault="00A92422" w:rsidP="00A92422">
      <w:pPr>
        <w:pStyle w:val="AppendixBodyText"/>
        <w:ind w:right="720"/>
        <w:rPr>
          <w:rFonts w:ascii="Tahoma" w:hAnsi="Tahoma" w:cs="Tahoma"/>
        </w:rPr>
      </w:pPr>
      <w:r w:rsidRPr="00D87B79">
        <w:rPr>
          <w:rFonts w:ascii="Tahoma" w:hAnsi="Tahoma" w:cs="Tahoma"/>
          <w:sz w:val="18"/>
          <w:lang w:val="it-IT" w:eastAsia="ja-JP"/>
        </w:rPr>
        <w:t>Non esistono prerequisiti per una società che desidera acquistare una Licenza dei programmi Open License, Select e Select Plus.</w:t>
      </w:r>
      <w:r w:rsidRPr="00D87B79">
        <w:rPr>
          <w:rFonts w:ascii="Tahoma" w:hAnsi="Tahoma" w:cs="Tahoma"/>
        </w:rPr>
        <w:t xml:space="preserve"> </w:t>
      </w:r>
      <w:r w:rsidRPr="00D87B79">
        <w:rPr>
          <w:rFonts w:ascii="Tahoma" w:hAnsi="Tahoma" w:cs="Tahoma"/>
          <w:sz w:val="18"/>
          <w:lang w:val="it-IT"/>
        </w:rPr>
        <w:t>Fare riferimento al contratto specifico per il programma per conoscere i criteri di idoneità per l’acquisto di una licenza perpetua tramite ordini buy-out.</w:t>
      </w:r>
    </w:p>
    <w:p w:rsidR="00A92422" w:rsidRPr="00A57F5F" w:rsidRDefault="00A92422" w:rsidP="00A92422">
      <w:pPr>
        <w:pStyle w:val="AppendixIndent"/>
        <w:tabs>
          <w:tab w:val="left" w:pos="90"/>
        </w:tabs>
        <w:spacing w:before="0"/>
        <w:ind w:left="0" w:right="720"/>
        <w:rPr>
          <w:rFonts w:ascii="Tahoma" w:hAnsi="Tahoma" w:cs="Tahoma"/>
          <w:sz w:val="18"/>
          <w:szCs w:val="18"/>
        </w:rPr>
      </w:pPr>
    </w:p>
    <w:p w:rsidR="00A92422" w:rsidRPr="00D87B79" w:rsidRDefault="00A92422" w:rsidP="00A92422">
      <w:pPr>
        <w:pStyle w:val="Heading2"/>
        <w:tabs>
          <w:tab w:val="left" w:pos="90"/>
        </w:tabs>
        <w:ind w:left="0" w:right="720"/>
        <w:rPr>
          <w:rFonts w:ascii="Tahoma" w:hAnsi="Tahoma" w:cs="Tahoma"/>
        </w:rPr>
      </w:pPr>
      <w:bookmarkStart w:id="763" w:name="_Toc323819649"/>
      <w:bookmarkStart w:id="764" w:name="_Toc336338200"/>
      <w:bookmarkStart w:id="765" w:name="_Toc342900252"/>
      <w:bookmarkEnd w:id="763"/>
      <w:bookmarkEnd w:id="764"/>
      <w:r w:rsidRPr="00D87B79">
        <w:rPr>
          <w:rFonts w:ascii="Tahoma" w:hAnsi="Tahoma" w:cs="Tahoma"/>
          <w:lang w:val="it-IT"/>
        </w:rPr>
        <w:t>Licenza e Software Assurance</w:t>
      </w:r>
      <w:bookmarkEnd w:id="765"/>
      <w:r w:rsidRPr="00D87B79">
        <w:rPr>
          <w:rFonts w:ascii="Tahoma" w:hAnsi="Tahoma" w:cs="Tahoma"/>
        </w:rPr>
        <w:t xml:space="preserve"> </w:t>
      </w:r>
    </w:p>
    <w:p w:rsidR="00A92422" w:rsidRPr="00A57F5F" w:rsidRDefault="00A92422" w:rsidP="00A92422">
      <w:pPr>
        <w:pStyle w:val="AppendixIndent"/>
        <w:tabs>
          <w:tab w:val="left" w:pos="90"/>
        </w:tabs>
        <w:spacing w:before="0"/>
        <w:ind w:left="0" w:right="720"/>
        <w:rPr>
          <w:rFonts w:ascii="Tahoma" w:hAnsi="Tahoma" w:cs="Tahoma"/>
          <w:sz w:val="18"/>
          <w:szCs w:val="18"/>
        </w:rPr>
      </w:pPr>
    </w:p>
    <w:p w:rsidR="00A92422" w:rsidRPr="00D87B79" w:rsidRDefault="00A92422" w:rsidP="00A92422">
      <w:pPr>
        <w:pStyle w:val="AppendixBodyText"/>
        <w:ind w:right="720"/>
        <w:rPr>
          <w:rFonts w:ascii="Tahoma" w:hAnsi="Tahoma" w:cs="Tahoma"/>
        </w:rPr>
      </w:pPr>
      <w:r w:rsidRPr="00D87B79">
        <w:rPr>
          <w:rFonts w:ascii="Tahoma" w:hAnsi="Tahoma" w:cs="Tahoma"/>
          <w:sz w:val="18"/>
          <w:lang w:val="it-IT" w:eastAsia="ja-JP"/>
        </w:rPr>
        <w:t>Questo tipo di prodotto dipende dalla versione.</w:t>
      </w:r>
      <w:r w:rsidRPr="00D87B79">
        <w:rPr>
          <w:rFonts w:ascii="Tahoma" w:hAnsi="Tahoma" w:cs="Tahoma"/>
          <w:sz w:val="18"/>
          <w:lang w:eastAsia="ja-JP"/>
        </w:rPr>
        <w:t xml:space="preserve"> </w:t>
      </w:r>
      <w:r w:rsidRPr="00D87B79">
        <w:rPr>
          <w:rFonts w:ascii="Tahoma" w:hAnsi="Tahoma" w:cs="Tahoma"/>
          <w:sz w:val="18"/>
          <w:lang w:val="it-IT" w:eastAsia="ja-JP"/>
        </w:rPr>
        <w:t>Consente alle società di acquistare insieme la Licenza e</w:t>
      </w:r>
      <w:r>
        <w:rPr>
          <w:rFonts w:ascii="Tahoma" w:hAnsi="Tahoma" w:cs="Tahoma"/>
          <w:sz w:val="18"/>
          <w:lang w:val="it-IT" w:eastAsia="ja-JP"/>
        </w:rPr>
        <w:t> </w:t>
      </w:r>
      <w:r w:rsidRPr="00D87B79">
        <w:rPr>
          <w:rFonts w:ascii="Tahoma" w:hAnsi="Tahoma" w:cs="Tahoma"/>
          <w:sz w:val="18"/>
          <w:lang w:val="it-IT" w:eastAsia="ja-JP"/>
        </w:rPr>
        <w:t>Software Assurance.</w:t>
      </w:r>
      <w:r w:rsidRPr="00D87B79">
        <w:rPr>
          <w:rFonts w:ascii="Tahoma" w:hAnsi="Tahoma" w:cs="Tahoma"/>
        </w:rPr>
        <w:t xml:space="preserve"> </w:t>
      </w:r>
      <w:r w:rsidRPr="00D87B79">
        <w:rPr>
          <w:rFonts w:ascii="Tahoma" w:hAnsi="Tahoma" w:cs="Tahoma"/>
          <w:sz w:val="18"/>
          <w:lang w:val="it-IT"/>
        </w:rPr>
        <w:t>Disponibile nei seguenti programmi:</w:t>
      </w:r>
    </w:p>
    <w:p w:rsidR="00A92422" w:rsidRPr="00A57F5F" w:rsidRDefault="00A92422" w:rsidP="00A92422">
      <w:pPr>
        <w:pStyle w:val="AppendixIndent"/>
        <w:tabs>
          <w:tab w:val="left" w:pos="90"/>
        </w:tabs>
        <w:ind w:left="0" w:right="720"/>
        <w:rPr>
          <w:rFonts w:ascii="Tahoma" w:hAnsi="Tahoma" w:cs="Tahoma"/>
          <w:sz w:val="18"/>
          <w:szCs w:val="18"/>
        </w:rPr>
      </w:pPr>
    </w:p>
    <w:p w:rsidR="00A92422" w:rsidRPr="00D87B79" w:rsidRDefault="00A92422" w:rsidP="00A92422">
      <w:pPr>
        <w:pStyle w:val="AppendixBulletIndent"/>
        <w:numPr>
          <w:ilvl w:val="0"/>
          <w:numId w:val="36"/>
        </w:numPr>
        <w:tabs>
          <w:tab w:val="left" w:pos="1440"/>
        </w:tabs>
        <w:spacing w:after="60"/>
        <w:ind w:left="1440" w:right="720"/>
        <w:rPr>
          <w:rFonts w:ascii="Tahoma" w:hAnsi="Tahoma" w:cs="Tahoma"/>
        </w:rPr>
      </w:pPr>
      <w:r w:rsidRPr="00D87B79">
        <w:rPr>
          <w:rFonts w:ascii="Tahoma" w:hAnsi="Tahoma" w:cs="Tahoma"/>
          <w:sz w:val="18"/>
          <w:lang w:val="it-IT"/>
        </w:rPr>
        <w:t>Licenza Open</w:t>
      </w:r>
      <w:r w:rsidRPr="00D87B79">
        <w:rPr>
          <w:rFonts w:ascii="Tahoma" w:hAnsi="Tahoma" w:cs="Tahoma"/>
        </w:rPr>
        <w:t xml:space="preserve"> </w:t>
      </w:r>
    </w:p>
    <w:p w:rsidR="00A92422" w:rsidRPr="00D87B79" w:rsidRDefault="00A92422" w:rsidP="00A92422">
      <w:pPr>
        <w:pStyle w:val="AppendixBulletIndent"/>
        <w:numPr>
          <w:ilvl w:val="0"/>
          <w:numId w:val="36"/>
        </w:numPr>
        <w:tabs>
          <w:tab w:val="left" w:pos="1440"/>
        </w:tabs>
        <w:spacing w:after="60"/>
        <w:ind w:left="1440" w:right="720"/>
        <w:rPr>
          <w:rFonts w:ascii="Tahoma" w:hAnsi="Tahoma" w:cs="Tahoma"/>
        </w:rPr>
      </w:pPr>
      <w:r w:rsidRPr="00D87B79">
        <w:rPr>
          <w:rFonts w:ascii="Tahoma" w:hAnsi="Tahoma" w:cs="Tahoma"/>
          <w:sz w:val="18"/>
          <w:lang w:val="it-IT"/>
        </w:rPr>
        <w:t>Open Value</w:t>
      </w:r>
    </w:p>
    <w:p w:rsidR="00A92422" w:rsidRPr="00D87B79" w:rsidRDefault="00A92422" w:rsidP="00A92422">
      <w:pPr>
        <w:pStyle w:val="AppendixBulletIndent"/>
        <w:numPr>
          <w:ilvl w:val="0"/>
          <w:numId w:val="36"/>
        </w:numPr>
        <w:tabs>
          <w:tab w:val="left" w:pos="1440"/>
        </w:tabs>
        <w:spacing w:after="60"/>
        <w:ind w:left="1440" w:right="720"/>
        <w:rPr>
          <w:rFonts w:ascii="Tahoma" w:hAnsi="Tahoma" w:cs="Tahoma"/>
        </w:rPr>
      </w:pPr>
      <w:r w:rsidRPr="00D87B79">
        <w:rPr>
          <w:rFonts w:ascii="Tahoma" w:hAnsi="Tahoma" w:cs="Tahoma"/>
          <w:sz w:val="18"/>
          <w:lang w:val="it-IT"/>
        </w:rPr>
        <w:t>Open Value Subscription</w:t>
      </w:r>
    </w:p>
    <w:p w:rsidR="00A92422" w:rsidRPr="00D87B79" w:rsidRDefault="00A92422" w:rsidP="00A92422">
      <w:pPr>
        <w:pStyle w:val="AppendixBulletIndent"/>
        <w:numPr>
          <w:ilvl w:val="0"/>
          <w:numId w:val="36"/>
        </w:numPr>
        <w:tabs>
          <w:tab w:val="left" w:pos="1440"/>
        </w:tabs>
        <w:spacing w:after="60"/>
        <w:ind w:left="1440" w:right="720"/>
        <w:rPr>
          <w:rFonts w:ascii="Tahoma" w:hAnsi="Tahoma" w:cs="Tahoma"/>
        </w:rPr>
      </w:pPr>
      <w:r w:rsidRPr="00D87B79">
        <w:rPr>
          <w:rFonts w:ascii="Tahoma" w:hAnsi="Tahoma" w:cs="Tahoma"/>
          <w:sz w:val="18"/>
          <w:lang w:val="it-IT"/>
        </w:rPr>
        <w:t>Select</w:t>
      </w:r>
      <w:r w:rsidRPr="00D87B79">
        <w:rPr>
          <w:rFonts w:ascii="Tahoma" w:hAnsi="Tahoma" w:cs="Tahoma"/>
        </w:rPr>
        <w:t xml:space="preserve"> </w:t>
      </w:r>
    </w:p>
    <w:p w:rsidR="00A92422" w:rsidRPr="00D87B79" w:rsidRDefault="00A92422" w:rsidP="00A92422">
      <w:pPr>
        <w:pStyle w:val="AppendixBulletIndent"/>
        <w:numPr>
          <w:ilvl w:val="0"/>
          <w:numId w:val="36"/>
        </w:numPr>
        <w:tabs>
          <w:tab w:val="left" w:pos="1440"/>
        </w:tabs>
        <w:spacing w:after="60"/>
        <w:ind w:left="1440" w:right="720"/>
        <w:rPr>
          <w:rFonts w:ascii="Tahoma" w:hAnsi="Tahoma" w:cs="Tahoma"/>
        </w:rPr>
      </w:pPr>
      <w:r w:rsidRPr="00D87B79">
        <w:rPr>
          <w:rFonts w:ascii="Tahoma" w:hAnsi="Tahoma" w:cs="Tahoma"/>
          <w:sz w:val="18"/>
          <w:lang w:val="it-IT"/>
        </w:rPr>
        <w:t>Select Plus</w:t>
      </w:r>
    </w:p>
    <w:p w:rsidR="00A92422" w:rsidRPr="00D87B79" w:rsidRDefault="00A92422" w:rsidP="00A92422">
      <w:pPr>
        <w:pStyle w:val="AppendixBulletIndent"/>
        <w:numPr>
          <w:ilvl w:val="0"/>
          <w:numId w:val="36"/>
        </w:numPr>
        <w:tabs>
          <w:tab w:val="left" w:pos="1440"/>
        </w:tabs>
        <w:spacing w:after="60"/>
        <w:ind w:left="1440" w:right="720"/>
        <w:rPr>
          <w:rFonts w:ascii="Tahoma" w:hAnsi="Tahoma" w:cs="Tahoma"/>
        </w:rPr>
      </w:pPr>
      <w:r w:rsidRPr="00D87B79">
        <w:rPr>
          <w:rFonts w:ascii="Tahoma" w:hAnsi="Tahoma" w:cs="Tahoma"/>
          <w:sz w:val="18"/>
          <w:lang w:val="it-IT"/>
        </w:rPr>
        <w:t>Contratto Enterprise</w:t>
      </w:r>
    </w:p>
    <w:p w:rsidR="00A92422" w:rsidRPr="00D87B79" w:rsidRDefault="00A92422" w:rsidP="00A92422">
      <w:pPr>
        <w:pStyle w:val="AppendixBulletIndent"/>
        <w:numPr>
          <w:ilvl w:val="0"/>
          <w:numId w:val="36"/>
        </w:numPr>
        <w:tabs>
          <w:tab w:val="left" w:pos="1440"/>
        </w:tabs>
        <w:spacing w:after="60"/>
        <w:ind w:left="1440" w:right="720"/>
        <w:rPr>
          <w:rFonts w:ascii="Tahoma" w:hAnsi="Tahoma" w:cs="Tahoma"/>
        </w:rPr>
      </w:pPr>
      <w:r w:rsidRPr="00D87B79">
        <w:rPr>
          <w:rFonts w:ascii="Tahoma" w:hAnsi="Tahoma" w:cs="Tahoma"/>
          <w:sz w:val="18"/>
          <w:lang w:val="it-IT"/>
        </w:rPr>
        <w:t>Contratto Enterprise Subscription</w:t>
      </w:r>
    </w:p>
    <w:p w:rsidR="00A92422" w:rsidRPr="00A57F5F" w:rsidRDefault="00A92422" w:rsidP="00A92422">
      <w:pPr>
        <w:pStyle w:val="AppendixIndent"/>
        <w:tabs>
          <w:tab w:val="left" w:pos="90"/>
        </w:tabs>
        <w:ind w:left="0" w:right="720"/>
        <w:rPr>
          <w:rFonts w:ascii="Tahoma" w:hAnsi="Tahoma" w:cs="Tahoma"/>
          <w:sz w:val="18"/>
          <w:szCs w:val="18"/>
        </w:rPr>
      </w:pPr>
    </w:p>
    <w:p w:rsidR="00A92422" w:rsidRPr="00D87B79" w:rsidRDefault="00A92422" w:rsidP="00A92422">
      <w:pPr>
        <w:pStyle w:val="AppendixBodyText"/>
        <w:ind w:right="720"/>
        <w:rPr>
          <w:rFonts w:ascii="Tahoma" w:hAnsi="Tahoma" w:cs="Tahoma"/>
        </w:rPr>
      </w:pPr>
      <w:r w:rsidRPr="00D87B79">
        <w:rPr>
          <w:rFonts w:ascii="Tahoma" w:hAnsi="Tahoma" w:cs="Tahoma"/>
          <w:sz w:val="18"/>
          <w:lang w:val="it-IT" w:eastAsia="ja-JP"/>
        </w:rPr>
        <w:t>Non esistono prerequisiti per l’acquisto della Licenza.</w:t>
      </w:r>
      <w:r w:rsidRPr="00D87B79">
        <w:rPr>
          <w:rFonts w:ascii="Tahoma" w:hAnsi="Tahoma" w:cs="Tahoma"/>
          <w:sz w:val="18"/>
          <w:lang w:eastAsia="ja-JP"/>
        </w:rPr>
        <w:t xml:space="preserve"> </w:t>
      </w:r>
      <w:r w:rsidRPr="00D87B79">
        <w:rPr>
          <w:rFonts w:ascii="Tahoma" w:hAnsi="Tahoma" w:cs="Tahoma"/>
          <w:sz w:val="18"/>
          <w:lang w:val="it-IT" w:eastAsia="ja-JP"/>
        </w:rPr>
        <w:t>Software Assurance dovrà essere acquistata al momento dell’acquisto della Licenza corrispondente o al rinnovo di un periodo di validità della copertura Software Assurance in essere.</w:t>
      </w:r>
      <w:r w:rsidRPr="00D87B79">
        <w:rPr>
          <w:rFonts w:ascii="Tahoma" w:hAnsi="Tahoma" w:cs="Tahoma"/>
        </w:rPr>
        <w:t xml:space="preserve"> </w:t>
      </w:r>
      <w:r w:rsidRPr="00D87B79">
        <w:rPr>
          <w:rFonts w:ascii="Tahoma" w:hAnsi="Tahoma" w:cs="Tahoma"/>
          <w:sz w:val="18"/>
          <w:lang w:val="it-IT"/>
        </w:rPr>
        <w:t>In tutti i programmi Volume Licensing, quando la società non soddisfa i criteri di idoneità per Software Assurance e desidera acquistare la copertura, dovrà acquistare l’offerta Licenza e</w:t>
      </w:r>
      <w:r>
        <w:rPr>
          <w:rFonts w:ascii="Tahoma" w:hAnsi="Tahoma" w:cs="Tahoma"/>
          <w:sz w:val="18"/>
          <w:lang w:val="it-IT"/>
        </w:rPr>
        <w:t> </w:t>
      </w:r>
      <w:r w:rsidRPr="00D87B79">
        <w:rPr>
          <w:rFonts w:ascii="Tahoma" w:hAnsi="Tahoma" w:cs="Tahoma"/>
          <w:sz w:val="18"/>
          <w:lang w:val="it-IT"/>
        </w:rPr>
        <w:t>Software Assurance.</w:t>
      </w:r>
    </w:p>
    <w:p w:rsidR="00A92422" w:rsidRPr="00A57F5F" w:rsidRDefault="00A92422" w:rsidP="00A92422">
      <w:pPr>
        <w:pStyle w:val="Heading4"/>
        <w:tabs>
          <w:tab w:val="left" w:pos="90"/>
        </w:tabs>
        <w:ind w:left="0" w:right="720" w:firstLine="0"/>
        <w:rPr>
          <w:rFonts w:ascii="Tahoma" w:hAnsi="Tahoma" w:cs="Tahoma"/>
          <w:sz w:val="18"/>
          <w:szCs w:val="18"/>
        </w:rPr>
      </w:pPr>
    </w:p>
    <w:p w:rsidR="00A92422" w:rsidRPr="00D87B79" w:rsidRDefault="00A92422" w:rsidP="00A92422">
      <w:pPr>
        <w:rPr>
          <w:rFonts w:cs="Tahoma"/>
        </w:rPr>
      </w:pPr>
      <w:r w:rsidRPr="00D87B79">
        <w:rPr>
          <w:rFonts w:cs="Tahoma"/>
        </w:rPr>
        <w:br w:type="page"/>
      </w:r>
    </w:p>
    <w:p w:rsidR="00A92422" w:rsidRPr="00D87B79" w:rsidRDefault="00A92422" w:rsidP="00A92422">
      <w:pPr>
        <w:pStyle w:val="Heading2"/>
        <w:tabs>
          <w:tab w:val="left" w:pos="90"/>
        </w:tabs>
        <w:ind w:left="0" w:right="720"/>
        <w:rPr>
          <w:rFonts w:ascii="Tahoma" w:hAnsi="Tahoma" w:cs="Tahoma"/>
        </w:rPr>
      </w:pPr>
      <w:bookmarkStart w:id="766" w:name="_Toc323819650"/>
      <w:bookmarkStart w:id="767" w:name="_Toc336338201"/>
      <w:bookmarkStart w:id="768" w:name="_Toc342900253"/>
      <w:bookmarkEnd w:id="766"/>
      <w:bookmarkEnd w:id="767"/>
      <w:r w:rsidRPr="00D87B79">
        <w:rPr>
          <w:rFonts w:ascii="Tahoma" w:hAnsi="Tahoma" w:cs="Tahoma"/>
          <w:lang w:val="it-IT"/>
        </w:rPr>
        <w:lastRenderedPageBreak/>
        <w:t>Software Assurance</w:t>
      </w:r>
      <w:bookmarkEnd w:id="768"/>
    </w:p>
    <w:p w:rsidR="00A92422" w:rsidRPr="00D87B79" w:rsidRDefault="00A92422" w:rsidP="00A92422">
      <w:pPr>
        <w:pStyle w:val="AppendixBodyText"/>
        <w:tabs>
          <w:tab w:val="left" w:pos="90"/>
        </w:tabs>
        <w:spacing w:after="0"/>
        <w:ind w:right="720"/>
        <w:rPr>
          <w:rFonts w:ascii="Tahoma" w:hAnsi="Tahoma" w:cs="Tahoma"/>
        </w:rPr>
      </w:pPr>
    </w:p>
    <w:p w:rsidR="00A92422" w:rsidRPr="00D87B79" w:rsidRDefault="00A92422" w:rsidP="00A92422">
      <w:pPr>
        <w:pStyle w:val="AppendixBodyText"/>
        <w:ind w:right="720"/>
        <w:rPr>
          <w:rFonts w:ascii="Tahoma" w:hAnsi="Tahoma" w:cs="Tahoma"/>
        </w:rPr>
      </w:pPr>
      <w:r w:rsidRPr="00D87B79">
        <w:rPr>
          <w:rFonts w:ascii="Tahoma" w:hAnsi="Tahoma" w:cs="Tahoma"/>
          <w:sz w:val="18"/>
          <w:lang w:val="it-IT"/>
        </w:rPr>
        <w:t>Microsoft Software Assurance offre vantaggi che possono includere nuovi diritti sulle versioni e garantire l’accesso a tecnologie differenziate, nonché diritti aggiuntivi sull’utilizzo dei Prodotti per i quali viene acquistata. Altri vantaggi sono costituiti da pagamenti dilazionati, servizi di consulenza, formazione, supporto tecnico e accesso a offerte esclusive.</w:t>
      </w:r>
      <w:r w:rsidRPr="00D87B79">
        <w:rPr>
          <w:rFonts w:ascii="Tahoma" w:hAnsi="Tahoma" w:cs="Tahoma"/>
        </w:rPr>
        <w:t xml:space="preserve"> </w:t>
      </w:r>
      <w:r w:rsidRPr="00D87B79">
        <w:rPr>
          <w:rFonts w:ascii="Tahoma" w:hAnsi="Tahoma" w:cs="Tahoma"/>
          <w:sz w:val="18"/>
          <w:lang w:val="it-IT"/>
        </w:rPr>
        <w:t>Per dettagli su ciascun vantaggio e criterio, fare riferimento all’Articolo Vantaggi di Software Assurance (SA) più avanti nel presente documento.</w:t>
      </w:r>
    </w:p>
    <w:p w:rsidR="00A92422" w:rsidRPr="00D87B79" w:rsidRDefault="00A92422" w:rsidP="00A92422">
      <w:pPr>
        <w:pStyle w:val="AppendixIndent"/>
        <w:tabs>
          <w:tab w:val="left" w:pos="90"/>
        </w:tabs>
        <w:ind w:left="0" w:right="720"/>
        <w:rPr>
          <w:rFonts w:ascii="Tahoma" w:hAnsi="Tahoma" w:cs="Tahoma"/>
        </w:rPr>
      </w:pPr>
    </w:p>
    <w:p w:rsidR="00A92422" w:rsidRPr="00D87B79" w:rsidRDefault="00A92422" w:rsidP="00A92422">
      <w:pPr>
        <w:pStyle w:val="AppendixBodyText"/>
        <w:ind w:right="720"/>
        <w:rPr>
          <w:rFonts w:ascii="Tahoma" w:hAnsi="Tahoma" w:cs="Tahoma"/>
        </w:rPr>
      </w:pPr>
      <w:r w:rsidRPr="00D87B79">
        <w:rPr>
          <w:rFonts w:ascii="Tahoma" w:hAnsi="Tahoma" w:cs="Tahoma"/>
          <w:sz w:val="18"/>
          <w:lang w:val="it-IT" w:eastAsia="ja-JP"/>
        </w:rPr>
        <w:t>Per dettagli sui diritti sull’utilizzo relativi ai vantaggi, fare riferimento ai Diritti di Utilizzo del Prodotto per Volume License.</w:t>
      </w:r>
      <w:r w:rsidRPr="00D87B79">
        <w:rPr>
          <w:rFonts w:ascii="Tahoma" w:hAnsi="Tahoma" w:cs="Tahoma"/>
        </w:rPr>
        <w:t xml:space="preserve"> </w:t>
      </w:r>
      <w:r w:rsidRPr="00D87B79">
        <w:rPr>
          <w:rFonts w:ascii="Tahoma" w:hAnsi="Tahoma" w:cs="Tahoma"/>
          <w:sz w:val="18"/>
          <w:lang w:val="it-IT"/>
        </w:rPr>
        <w:t>Software Assurance è disponibile nei seguenti programmi:</w:t>
      </w:r>
    </w:p>
    <w:p w:rsidR="00A92422" w:rsidRPr="00D87B79" w:rsidRDefault="00A92422" w:rsidP="00A92422">
      <w:pPr>
        <w:pStyle w:val="AppendixIndent"/>
        <w:tabs>
          <w:tab w:val="left" w:pos="90"/>
        </w:tabs>
        <w:ind w:left="0" w:right="720"/>
        <w:rPr>
          <w:rFonts w:ascii="Tahoma" w:hAnsi="Tahoma" w:cs="Tahoma"/>
        </w:rPr>
      </w:pPr>
    </w:p>
    <w:p w:rsidR="00A92422" w:rsidRPr="00D87B79" w:rsidRDefault="00A92422" w:rsidP="00A92422">
      <w:pPr>
        <w:pStyle w:val="AppendixBulletIndent"/>
        <w:numPr>
          <w:ilvl w:val="0"/>
          <w:numId w:val="10"/>
        </w:numPr>
        <w:tabs>
          <w:tab w:val="left" w:pos="1440"/>
        </w:tabs>
        <w:spacing w:after="60"/>
        <w:ind w:left="1440" w:right="720"/>
        <w:rPr>
          <w:rFonts w:ascii="Tahoma" w:hAnsi="Tahoma" w:cs="Tahoma"/>
        </w:rPr>
      </w:pPr>
      <w:r w:rsidRPr="00D87B79">
        <w:rPr>
          <w:rFonts w:ascii="Tahoma" w:hAnsi="Tahoma" w:cs="Tahoma"/>
          <w:sz w:val="18"/>
          <w:lang w:val="it-IT"/>
        </w:rPr>
        <w:t>Licenza Open</w:t>
      </w:r>
      <w:r w:rsidRPr="00D87B79">
        <w:rPr>
          <w:rFonts w:ascii="Tahoma" w:hAnsi="Tahoma" w:cs="Tahoma"/>
        </w:rPr>
        <w:t xml:space="preserve"> </w:t>
      </w:r>
    </w:p>
    <w:p w:rsidR="00A92422" w:rsidRPr="00D87B79" w:rsidRDefault="00A92422" w:rsidP="00A92422">
      <w:pPr>
        <w:pStyle w:val="AppendixBulletIndent"/>
        <w:numPr>
          <w:ilvl w:val="0"/>
          <w:numId w:val="10"/>
        </w:numPr>
        <w:tabs>
          <w:tab w:val="left" w:pos="1440"/>
        </w:tabs>
        <w:spacing w:after="60"/>
        <w:ind w:left="1440" w:right="720"/>
        <w:rPr>
          <w:rFonts w:ascii="Tahoma" w:hAnsi="Tahoma" w:cs="Tahoma"/>
        </w:rPr>
      </w:pPr>
      <w:r w:rsidRPr="00D87B79">
        <w:rPr>
          <w:rFonts w:ascii="Tahoma" w:hAnsi="Tahoma" w:cs="Tahoma"/>
          <w:sz w:val="18"/>
          <w:lang w:val="it-IT"/>
        </w:rPr>
        <w:t>Open Value</w:t>
      </w:r>
      <w:r w:rsidRPr="00D87B79">
        <w:rPr>
          <w:rFonts w:ascii="Tahoma" w:hAnsi="Tahoma" w:cs="Tahoma"/>
        </w:rPr>
        <w:t xml:space="preserve"> </w:t>
      </w:r>
    </w:p>
    <w:p w:rsidR="00A92422" w:rsidRPr="00D87B79" w:rsidRDefault="00A92422" w:rsidP="00A92422">
      <w:pPr>
        <w:pStyle w:val="AppendixBulletIndent"/>
        <w:numPr>
          <w:ilvl w:val="0"/>
          <w:numId w:val="10"/>
        </w:numPr>
        <w:tabs>
          <w:tab w:val="left" w:pos="1440"/>
        </w:tabs>
        <w:spacing w:after="60"/>
        <w:ind w:left="1440" w:right="720"/>
        <w:rPr>
          <w:rFonts w:ascii="Tahoma" w:hAnsi="Tahoma" w:cs="Tahoma"/>
        </w:rPr>
      </w:pPr>
      <w:r w:rsidRPr="00D87B79">
        <w:rPr>
          <w:rFonts w:ascii="Tahoma" w:hAnsi="Tahoma" w:cs="Tahoma"/>
          <w:sz w:val="18"/>
          <w:lang w:val="it-IT"/>
        </w:rPr>
        <w:t>Select</w:t>
      </w:r>
      <w:r w:rsidRPr="00D87B79">
        <w:rPr>
          <w:rFonts w:ascii="Tahoma" w:hAnsi="Tahoma" w:cs="Tahoma"/>
        </w:rPr>
        <w:t xml:space="preserve"> </w:t>
      </w:r>
    </w:p>
    <w:p w:rsidR="00A92422" w:rsidRPr="00D87B79" w:rsidRDefault="00A92422" w:rsidP="00A92422">
      <w:pPr>
        <w:pStyle w:val="AppendixBulletIndent"/>
        <w:numPr>
          <w:ilvl w:val="0"/>
          <w:numId w:val="10"/>
        </w:numPr>
        <w:tabs>
          <w:tab w:val="left" w:pos="1440"/>
        </w:tabs>
        <w:spacing w:after="60"/>
        <w:ind w:left="1440" w:right="720"/>
        <w:rPr>
          <w:rFonts w:ascii="Tahoma" w:hAnsi="Tahoma" w:cs="Tahoma"/>
        </w:rPr>
      </w:pPr>
      <w:r w:rsidRPr="00D87B79">
        <w:rPr>
          <w:rFonts w:ascii="Tahoma" w:hAnsi="Tahoma" w:cs="Tahoma"/>
          <w:sz w:val="18"/>
          <w:lang w:val="it-IT"/>
        </w:rPr>
        <w:t>Select Plus</w:t>
      </w:r>
    </w:p>
    <w:p w:rsidR="00A92422" w:rsidRPr="00D87B79" w:rsidRDefault="00A92422" w:rsidP="00A92422">
      <w:pPr>
        <w:pStyle w:val="AppendixBulletIndent"/>
        <w:numPr>
          <w:ilvl w:val="0"/>
          <w:numId w:val="10"/>
        </w:numPr>
        <w:tabs>
          <w:tab w:val="left" w:pos="1440"/>
        </w:tabs>
        <w:spacing w:after="60"/>
        <w:ind w:left="1440" w:right="720"/>
        <w:rPr>
          <w:rFonts w:ascii="Tahoma" w:hAnsi="Tahoma" w:cs="Tahoma"/>
        </w:rPr>
      </w:pPr>
      <w:r w:rsidRPr="00D87B79">
        <w:rPr>
          <w:rFonts w:ascii="Tahoma" w:hAnsi="Tahoma" w:cs="Tahoma"/>
          <w:sz w:val="18"/>
          <w:lang w:val="it-IT"/>
        </w:rPr>
        <w:t>Contratto Enterprise</w:t>
      </w:r>
    </w:p>
    <w:p w:rsidR="00A92422" w:rsidRPr="00D87B79" w:rsidRDefault="00A92422" w:rsidP="00A92422">
      <w:pPr>
        <w:pStyle w:val="AppendixIndent"/>
        <w:ind w:left="0" w:right="720"/>
        <w:rPr>
          <w:rFonts w:ascii="Tahoma" w:hAnsi="Tahoma" w:cs="Tahoma"/>
        </w:rPr>
      </w:pPr>
    </w:p>
    <w:p w:rsidR="00A92422" w:rsidRPr="00D87B79" w:rsidRDefault="00A92422" w:rsidP="00A92422">
      <w:pPr>
        <w:pStyle w:val="AppendixIndent"/>
        <w:ind w:left="0" w:right="720"/>
        <w:rPr>
          <w:rFonts w:ascii="Tahoma" w:hAnsi="Tahoma" w:cs="Tahoma"/>
        </w:rPr>
      </w:pPr>
      <w:r w:rsidRPr="00D87B79">
        <w:rPr>
          <w:rFonts w:ascii="Tahoma" w:hAnsi="Tahoma" w:cs="Tahoma"/>
          <w:sz w:val="18"/>
          <w:lang w:val="it-IT"/>
        </w:rPr>
        <w:t>Esistono tre diversi livelli di impegno per cui una società può scegliere Software Assurance.</w:t>
      </w:r>
      <w:r w:rsidRPr="00D87B79">
        <w:rPr>
          <w:rFonts w:ascii="Tahoma" w:hAnsi="Tahoma" w:cs="Tahoma"/>
          <w:sz w:val="18"/>
        </w:rPr>
        <w:t xml:space="preserve"> </w:t>
      </w:r>
      <w:r w:rsidRPr="00D87B79">
        <w:rPr>
          <w:rFonts w:ascii="Tahoma" w:hAnsi="Tahoma" w:cs="Tahoma"/>
          <w:sz w:val="18"/>
          <w:lang w:val="it-IT"/>
        </w:rPr>
        <w:t>I livelli disponibili variano in base al programma.</w:t>
      </w:r>
      <w:r w:rsidRPr="00D87B79">
        <w:rPr>
          <w:rFonts w:ascii="Tahoma" w:hAnsi="Tahoma" w:cs="Tahoma"/>
          <w:sz w:val="18"/>
        </w:rPr>
        <w:t xml:space="preserve"> </w:t>
      </w:r>
      <w:r w:rsidRPr="00D87B79">
        <w:rPr>
          <w:rFonts w:ascii="Tahoma" w:hAnsi="Tahoma" w:cs="Tahoma"/>
          <w:sz w:val="18"/>
          <w:lang w:val="it-IT"/>
        </w:rPr>
        <w:t>Il livello di impegno di una società rispetto a Software Assurance è uno dei molteplici fattori che possono determinare l’idoneità della società a ottenere il vantaggio.</w:t>
      </w:r>
      <w:r w:rsidRPr="00D87B79">
        <w:rPr>
          <w:rFonts w:ascii="Tahoma" w:hAnsi="Tahoma" w:cs="Tahoma"/>
        </w:rPr>
        <w:t xml:space="preserve"> </w:t>
      </w:r>
      <w:r w:rsidRPr="00D87B79">
        <w:rPr>
          <w:rFonts w:ascii="Tahoma" w:hAnsi="Tahoma" w:cs="Tahoma"/>
          <w:sz w:val="18"/>
          <w:lang w:val="it-IT"/>
        </w:rPr>
        <w:t>Una società può</w:t>
      </w:r>
    </w:p>
    <w:p w:rsidR="00A92422" w:rsidRPr="00D87B79" w:rsidRDefault="00A92422" w:rsidP="00A92422">
      <w:pPr>
        <w:pStyle w:val="AppendixIndent"/>
        <w:ind w:left="0" w:right="720"/>
        <w:rPr>
          <w:rFonts w:ascii="Tahoma" w:hAnsi="Tahoma" w:cs="Tahoma"/>
        </w:rPr>
      </w:pPr>
    </w:p>
    <w:p w:rsidR="00A92422" w:rsidRPr="00D87B79" w:rsidRDefault="00A92422" w:rsidP="00A92422">
      <w:pPr>
        <w:pStyle w:val="AppendixIndent"/>
        <w:numPr>
          <w:ilvl w:val="0"/>
          <w:numId w:val="37"/>
        </w:numPr>
        <w:ind w:left="1440" w:right="720"/>
        <w:rPr>
          <w:rFonts w:ascii="Tahoma" w:hAnsi="Tahoma" w:cs="Tahoma"/>
        </w:rPr>
      </w:pPr>
      <w:r w:rsidRPr="00D87B79">
        <w:rPr>
          <w:rFonts w:ascii="Tahoma" w:hAnsi="Tahoma" w:cs="Tahoma"/>
          <w:sz w:val="18"/>
          <w:lang w:val="it-IT"/>
        </w:rPr>
        <w:t>Impegnarsi ad assegnare Software Assurance a tutti i prodotti della piattaforma.</w:t>
      </w:r>
      <w:r w:rsidRPr="00D87B79">
        <w:rPr>
          <w:rFonts w:ascii="Tahoma" w:hAnsi="Tahoma" w:cs="Tahoma"/>
        </w:rPr>
        <w:t xml:space="preserve"> </w:t>
      </w:r>
      <w:r w:rsidRPr="00D87B79">
        <w:rPr>
          <w:rFonts w:ascii="Tahoma" w:hAnsi="Tahoma" w:cs="Tahoma"/>
          <w:sz w:val="18"/>
          <w:lang w:val="it-IT"/>
        </w:rPr>
        <w:t>Ciò è più comune nel Contratto Enterprise e in Open Value.</w:t>
      </w:r>
    </w:p>
    <w:p w:rsidR="00A92422" w:rsidRPr="00D87B79" w:rsidRDefault="00A92422" w:rsidP="00A92422">
      <w:pPr>
        <w:pStyle w:val="AppendixIndent"/>
        <w:numPr>
          <w:ilvl w:val="0"/>
          <w:numId w:val="37"/>
        </w:numPr>
        <w:ind w:left="1440" w:right="720"/>
        <w:rPr>
          <w:rFonts w:ascii="Tahoma" w:hAnsi="Tahoma" w:cs="Tahoma"/>
        </w:rPr>
      </w:pPr>
      <w:r w:rsidRPr="00D87B79">
        <w:rPr>
          <w:rFonts w:ascii="Tahoma" w:hAnsi="Tahoma" w:cs="Tahoma"/>
          <w:sz w:val="18"/>
          <w:lang w:val="it-IT"/>
        </w:rPr>
        <w:t>Impegnarsi ad associare Software Assurance a tutti gli acquisti di un particolare pool di</w:t>
      </w:r>
      <w:r>
        <w:rPr>
          <w:rFonts w:ascii="Tahoma" w:hAnsi="Tahoma" w:cs="Tahoma"/>
          <w:sz w:val="18"/>
          <w:lang w:val="it-IT"/>
        </w:rPr>
        <w:t> </w:t>
      </w:r>
      <w:r w:rsidRPr="00D87B79">
        <w:rPr>
          <w:rFonts w:ascii="Tahoma" w:hAnsi="Tahoma" w:cs="Tahoma"/>
          <w:sz w:val="18"/>
          <w:lang w:val="it-IT"/>
        </w:rPr>
        <w:t>prodotti (Applicazioni, Sistemi o Server).</w:t>
      </w:r>
      <w:r w:rsidRPr="00D87B79">
        <w:rPr>
          <w:rFonts w:ascii="Tahoma" w:hAnsi="Tahoma" w:cs="Tahoma"/>
          <w:sz w:val="18"/>
        </w:rPr>
        <w:t xml:space="preserve"> </w:t>
      </w:r>
      <w:r w:rsidRPr="00D87B79">
        <w:rPr>
          <w:rFonts w:ascii="Tahoma" w:hAnsi="Tahoma" w:cs="Tahoma"/>
          <w:sz w:val="18"/>
          <w:lang w:val="it-IT"/>
        </w:rPr>
        <w:t>Questa modalità è nota come Partecipazione a</w:t>
      </w:r>
      <w:r>
        <w:rPr>
          <w:rFonts w:ascii="Tahoma" w:hAnsi="Tahoma" w:cs="Tahoma"/>
          <w:sz w:val="18"/>
          <w:lang w:val="it-IT"/>
        </w:rPr>
        <w:t> </w:t>
      </w:r>
      <w:r w:rsidRPr="00D87B79">
        <w:rPr>
          <w:rFonts w:ascii="Tahoma" w:hAnsi="Tahoma" w:cs="Tahoma"/>
          <w:sz w:val="18"/>
          <w:lang w:val="it-IT"/>
        </w:rPr>
        <w:t>Software Assurance (Software Assurance Membership o SAM)</w:t>
      </w:r>
      <w:r w:rsidRPr="00D87B79">
        <w:rPr>
          <w:rFonts w:ascii="Tahoma" w:hAnsi="Tahoma" w:cs="Tahoma"/>
          <w:sz w:val="18"/>
        </w:rPr>
        <w:t xml:space="preserve"> </w:t>
      </w:r>
      <w:r w:rsidRPr="00D87B79">
        <w:rPr>
          <w:rFonts w:ascii="Tahoma" w:hAnsi="Tahoma" w:cs="Tahoma"/>
          <w:sz w:val="18"/>
          <w:lang w:val="it-IT"/>
        </w:rPr>
        <w:t>Non richiede un impegno a livello aziendale per Software Assurance,</w:t>
      </w:r>
      <w:r w:rsidRPr="00D87B79">
        <w:rPr>
          <w:rFonts w:ascii="Tahoma" w:hAnsi="Tahoma" w:cs="Tahoma"/>
        </w:rPr>
        <w:t xml:space="preserve"> </w:t>
      </w:r>
      <w:r w:rsidRPr="00D87B79">
        <w:rPr>
          <w:rFonts w:ascii="Tahoma" w:hAnsi="Tahoma" w:cs="Tahoma"/>
          <w:sz w:val="18"/>
          <w:lang w:val="it-IT"/>
        </w:rPr>
        <w:t>impegno che è invece necessario nel programma Select.</w:t>
      </w:r>
    </w:p>
    <w:p w:rsidR="00A92422" w:rsidRPr="00D87B79" w:rsidRDefault="00A92422" w:rsidP="00A92422">
      <w:pPr>
        <w:pStyle w:val="AppendixIndent"/>
        <w:numPr>
          <w:ilvl w:val="0"/>
          <w:numId w:val="37"/>
        </w:numPr>
        <w:ind w:left="1440" w:right="720"/>
        <w:rPr>
          <w:rFonts w:ascii="Tahoma" w:hAnsi="Tahoma" w:cs="Tahoma"/>
        </w:rPr>
      </w:pPr>
      <w:r w:rsidRPr="00D87B79">
        <w:rPr>
          <w:rFonts w:ascii="Tahoma" w:hAnsi="Tahoma" w:cs="Tahoma"/>
          <w:sz w:val="18"/>
          <w:lang w:val="it-IT"/>
        </w:rPr>
        <w:t>Acquistare Software Assurance per i singoli prodotti senza alcun impegno a estendere Software Assurance ad altri prodotti.</w:t>
      </w:r>
    </w:p>
    <w:p w:rsidR="00A92422" w:rsidRPr="00D87B79" w:rsidRDefault="00A92422" w:rsidP="00A92422">
      <w:pPr>
        <w:pStyle w:val="AppendixBodyText"/>
        <w:ind w:right="720"/>
        <w:rPr>
          <w:rFonts w:ascii="Tahoma" w:hAnsi="Tahoma" w:cs="Tahoma"/>
        </w:rPr>
      </w:pPr>
    </w:p>
    <w:p w:rsidR="00A92422" w:rsidRPr="00D87B79" w:rsidRDefault="00A92422" w:rsidP="00A92422">
      <w:pPr>
        <w:pStyle w:val="AppendixBodyText"/>
        <w:ind w:right="720"/>
        <w:rPr>
          <w:rFonts w:ascii="Tahoma" w:hAnsi="Tahoma" w:cs="Tahoma"/>
        </w:rPr>
      </w:pPr>
      <w:r w:rsidRPr="00D87B79">
        <w:rPr>
          <w:rFonts w:ascii="Tahoma" w:hAnsi="Tahoma" w:cs="Tahoma"/>
          <w:sz w:val="18"/>
          <w:lang w:val="it-IT" w:eastAsia="ja-JP"/>
        </w:rPr>
        <w:t>Software Assurance dovrà essere acquistata al momento dell’acquisto della Licenza o al rinnovo di un periodo di validità della copertura Software Assurance in essere.</w:t>
      </w:r>
      <w:r w:rsidRPr="00D87B79">
        <w:rPr>
          <w:rFonts w:ascii="Tahoma" w:hAnsi="Tahoma" w:cs="Tahoma"/>
          <w:sz w:val="18"/>
          <w:lang w:eastAsia="ja-JP"/>
        </w:rPr>
        <w:t xml:space="preserve"> </w:t>
      </w:r>
      <w:r w:rsidRPr="00D87B79">
        <w:rPr>
          <w:rFonts w:ascii="Tahoma" w:hAnsi="Tahoma" w:cs="Tahoma"/>
          <w:sz w:val="18"/>
          <w:lang w:val="it-IT" w:eastAsia="ja-JP"/>
        </w:rPr>
        <w:t>Diversamente, si dovrà acquistare una nuova Licenza o Licenza e Software Assurance allo scopo di aggiornare la Licenza a una data successiva (per un Sistema Operativo Desktop di Windows, le opzioni sono Aggiorna e Software Assurance).</w:t>
      </w:r>
      <w:r w:rsidRPr="00D87B79">
        <w:rPr>
          <w:rFonts w:ascii="Tahoma" w:hAnsi="Tahoma" w:cs="Tahoma"/>
        </w:rPr>
        <w:t xml:space="preserve"> </w:t>
      </w:r>
      <w:r w:rsidRPr="00D87B79">
        <w:rPr>
          <w:rFonts w:ascii="Tahoma" w:hAnsi="Tahoma" w:cs="Tahoma"/>
          <w:sz w:val="18"/>
          <w:lang w:val="it-IT"/>
        </w:rPr>
        <w:t>Fare riferimento all’Articolo relativo alle regole per il rinnovo e al contratto specifico per il programma per conoscere i criteri di idoneità per l’acquisto di Software Assurance.</w:t>
      </w:r>
    </w:p>
    <w:p w:rsidR="00A92422" w:rsidRPr="00D87B79" w:rsidRDefault="00A92422" w:rsidP="00A92422">
      <w:pPr>
        <w:pStyle w:val="AppendixBodyText"/>
        <w:ind w:right="720"/>
        <w:rPr>
          <w:rFonts w:ascii="Tahoma" w:hAnsi="Tahoma" w:cs="Tahoma"/>
        </w:rPr>
      </w:pPr>
    </w:p>
    <w:p w:rsidR="00A92422" w:rsidRPr="00D87B79" w:rsidRDefault="00A92422" w:rsidP="00A92422">
      <w:pPr>
        <w:pStyle w:val="AppendixBodyText"/>
        <w:ind w:right="720"/>
        <w:rPr>
          <w:rFonts w:ascii="Tahoma" w:hAnsi="Tahoma" w:cs="Tahoma"/>
        </w:rPr>
      </w:pPr>
      <w:r w:rsidRPr="00D87B79">
        <w:rPr>
          <w:rFonts w:ascii="Tahoma" w:hAnsi="Tahoma" w:cs="Tahoma"/>
          <w:sz w:val="18"/>
          <w:lang w:val="it-IT" w:eastAsia="ja-JP"/>
        </w:rPr>
        <w:t>Nell’eventualità di un trasferimento di Licenze perpetue, il cessionario potrà acquistare Software Assurance per tali Licenze trasferite entro 30 giorni dalla data del trasferimento e a condizioni che le License trasferite abbiano una copertura Software Assurance attiva al momento del trasferimento.</w:t>
      </w:r>
      <w:r w:rsidRPr="00D87B79">
        <w:rPr>
          <w:rFonts w:ascii="Tahoma" w:hAnsi="Tahoma" w:cs="Tahoma"/>
          <w:sz w:val="18"/>
          <w:lang w:eastAsia="ja-JP"/>
        </w:rPr>
        <w:t xml:space="preserve"> </w:t>
      </w:r>
    </w:p>
    <w:p w:rsidR="00A92422" w:rsidRPr="00D87B79" w:rsidRDefault="00A92422" w:rsidP="00A92422">
      <w:pPr>
        <w:pStyle w:val="AppendixBodyText"/>
        <w:ind w:right="720"/>
        <w:rPr>
          <w:rFonts w:ascii="Tahoma" w:hAnsi="Tahoma" w:cs="Tahoma"/>
        </w:rPr>
      </w:pPr>
    </w:p>
    <w:p w:rsidR="00A92422" w:rsidRPr="00D87B79" w:rsidRDefault="00A92422" w:rsidP="00A92422">
      <w:pPr>
        <w:pStyle w:val="AppendixBodyText"/>
        <w:ind w:right="720"/>
        <w:rPr>
          <w:rFonts w:ascii="Tahoma" w:hAnsi="Tahoma" w:cs="Tahoma"/>
        </w:rPr>
      </w:pPr>
      <w:r w:rsidRPr="00D87B79">
        <w:rPr>
          <w:rFonts w:ascii="Tahoma" w:hAnsi="Tahoma" w:cs="Tahoma"/>
          <w:sz w:val="18"/>
          <w:lang w:val="it-IT" w:eastAsia="ja-JP"/>
        </w:rPr>
        <w:t>Le società potranno avere la possibilità di ottenere Software Assurance per alcune licenze acquistate tramite il canale Retail (Full Packaged Product) o tramite un OEM.</w:t>
      </w:r>
      <w:r w:rsidRPr="00D87B79">
        <w:rPr>
          <w:rFonts w:ascii="Tahoma" w:hAnsi="Tahoma" w:cs="Tahoma"/>
          <w:sz w:val="18"/>
          <w:lang w:eastAsia="ja-JP"/>
        </w:rPr>
        <w:t xml:space="preserve"> </w:t>
      </w:r>
      <w:r w:rsidRPr="00D87B79">
        <w:rPr>
          <w:rFonts w:ascii="Tahoma" w:hAnsi="Tahoma" w:cs="Tahoma"/>
          <w:sz w:val="18"/>
          <w:lang w:val="it-IT" w:eastAsia="ja-JP"/>
        </w:rPr>
        <w:t>L’idoneità varia in base al programma, al pool di prodotti e all’origine della licenza (vedere di seguito).</w:t>
      </w:r>
      <w:r w:rsidRPr="00D87B79">
        <w:rPr>
          <w:rFonts w:ascii="Tahoma" w:hAnsi="Tahoma" w:cs="Tahoma"/>
        </w:rPr>
        <w:t xml:space="preserve"> </w:t>
      </w:r>
      <w:r w:rsidRPr="00D87B79">
        <w:rPr>
          <w:rFonts w:ascii="Tahoma" w:hAnsi="Tahoma" w:cs="Tahoma"/>
          <w:sz w:val="18"/>
          <w:lang w:val="it-IT"/>
        </w:rPr>
        <w:t>In tutti i casi, salvo quanto diversamente indicato, solo le licenze per l’ultima versione di un prodotto sono idonee e la copertura Software Assurance dovrà essere acquistata entro 90 giorni dalla data in cui sono state acquistate le licenze. Ai sensi del programma Open Value, questa opzione si applica solo ai prodotti con l’opzione non per l’intera Organizzazione/non a livello Aziendale. Ai sensi dei Contratti Enterprise, si applica solo ai Prodotti Aggiuntivi entro 90 giorni. Le società che acquistano Software Assurance per OEM o licenze al dettaglio hanno la possibilità di installare e utilizzare software per Contratti Multilicenza (Volume Licensing) per la versione corrente in qualsiasi momento.</w:t>
      </w:r>
      <w:r w:rsidRPr="00D87B79">
        <w:rPr>
          <w:rFonts w:ascii="Tahoma" w:hAnsi="Tahoma" w:cs="Tahoma"/>
        </w:rPr>
        <w:t xml:space="preserve"> </w:t>
      </w:r>
      <w:r w:rsidRPr="00D87B79">
        <w:rPr>
          <w:rFonts w:ascii="Tahoma" w:hAnsi="Tahoma" w:cs="Tahoma"/>
          <w:sz w:val="18"/>
          <w:lang w:val="it-IT"/>
        </w:rPr>
        <w:t>In questo caso, l’utilizzo da parte della società del software è soggetto ai Diritti di Utilizzo del Prodotto per tale prodotto e alle condizioni del Contratto Multilicenza (Volume Licensing) della società.</w:t>
      </w: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12"/>
        <w:gridCol w:w="1801"/>
        <w:gridCol w:w="2431"/>
        <w:gridCol w:w="2971"/>
      </w:tblGrid>
      <w:tr w:rsidR="00A92422" w:rsidRPr="00D87B79" w:rsidTr="00EA30FC">
        <w:tc>
          <w:tcPr>
            <w:tcW w:w="1512" w:type="dxa"/>
            <w:shd w:val="clear" w:color="auto" w:fill="FFCC99"/>
            <w:vAlign w:val="center"/>
          </w:tcPr>
          <w:p w:rsidR="00A92422" w:rsidRPr="00D87B79" w:rsidRDefault="00A92422" w:rsidP="00EA30FC">
            <w:pPr>
              <w:pStyle w:val="AppendixTableHeadings"/>
              <w:rPr>
                <w:rFonts w:ascii="Tahoma" w:hAnsi="Tahoma" w:cs="Tahoma"/>
                <w:sz w:val="20"/>
                <w:szCs w:val="20"/>
              </w:rPr>
            </w:pPr>
          </w:p>
        </w:tc>
        <w:tc>
          <w:tcPr>
            <w:tcW w:w="1801" w:type="dxa"/>
            <w:shd w:val="clear" w:color="auto" w:fill="FFCC99"/>
            <w:vAlign w:val="center"/>
          </w:tcPr>
          <w:p w:rsidR="00A92422" w:rsidRPr="00D87B79" w:rsidRDefault="00A92422" w:rsidP="00EA30FC">
            <w:pPr>
              <w:pStyle w:val="AppendixTableHeadings"/>
              <w:rPr>
                <w:rFonts w:ascii="Tahoma" w:hAnsi="Tahoma" w:cs="Tahoma"/>
                <w:sz w:val="20"/>
              </w:rPr>
            </w:pPr>
            <w:r w:rsidRPr="00D87B79">
              <w:rPr>
                <w:rFonts w:ascii="Tahoma" w:hAnsi="Tahoma" w:cs="Tahoma"/>
                <w:sz w:val="20"/>
                <w:lang w:val="it-IT"/>
              </w:rPr>
              <w:t>Full Packaged Product</w:t>
            </w:r>
          </w:p>
        </w:tc>
        <w:tc>
          <w:tcPr>
            <w:tcW w:w="2431" w:type="dxa"/>
            <w:shd w:val="clear" w:color="auto" w:fill="FFCC99"/>
            <w:vAlign w:val="center"/>
          </w:tcPr>
          <w:p w:rsidR="00A92422" w:rsidRPr="00D87B79" w:rsidRDefault="00A92422" w:rsidP="00EA30FC">
            <w:pPr>
              <w:pStyle w:val="AppendixTableHeadings"/>
              <w:rPr>
                <w:rFonts w:ascii="Tahoma" w:hAnsi="Tahoma" w:cs="Tahoma"/>
                <w:sz w:val="20"/>
              </w:rPr>
            </w:pPr>
            <w:r w:rsidRPr="00D87B79">
              <w:rPr>
                <w:rFonts w:ascii="Tahoma" w:hAnsi="Tahoma" w:cs="Tahoma"/>
                <w:sz w:val="20"/>
                <w:lang w:val="it-IT"/>
              </w:rPr>
              <w:t>OEM</w:t>
            </w:r>
          </w:p>
        </w:tc>
        <w:tc>
          <w:tcPr>
            <w:tcW w:w="2971" w:type="dxa"/>
            <w:shd w:val="clear" w:color="auto" w:fill="FFCC99"/>
          </w:tcPr>
          <w:p w:rsidR="00A92422" w:rsidRPr="00D87B79" w:rsidRDefault="00A92422" w:rsidP="00EA30FC">
            <w:pPr>
              <w:pStyle w:val="AppendixTableHeadings"/>
              <w:rPr>
                <w:rFonts w:ascii="Tahoma" w:hAnsi="Tahoma" w:cs="Tahoma"/>
                <w:sz w:val="20"/>
              </w:rPr>
            </w:pPr>
            <w:r w:rsidRPr="00D87B79">
              <w:rPr>
                <w:rFonts w:ascii="Tahoma" w:hAnsi="Tahoma" w:cs="Tahoma"/>
                <w:sz w:val="20"/>
                <w:lang w:val="it-IT"/>
              </w:rPr>
              <w:t>Programmi</w:t>
            </w:r>
          </w:p>
        </w:tc>
      </w:tr>
      <w:tr w:rsidR="00A92422" w:rsidRPr="00D87B79" w:rsidTr="00EA30FC">
        <w:tc>
          <w:tcPr>
            <w:tcW w:w="1512" w:type="dxa"/>
            <w:vAlign w:val="center"/>
          </w:tcPr>
          <w:p w:rsidR="00A92422" w:rsidRPr="00D87B79" w:rsidRDefault="00A92422" w:rsidP="00EA30FC">
            <w:pPr>
              <w:pStyle w:val="AppendixTableText"/>
              <w:rPr>
                <w:rFonts w:ascii="Tahoma" w:hAnsi="Tahoma" w:cs="Tahoma"/>
                <w:b/>
                <w:color w:val="000000"/>
                <w:sz w:val="20"/>
                <w:szCs w:val="20"/>
              </w:rPr>
            </w:pPr>
            <w:r w:rsidRPr="00D87B79">
              <w:rPr>
                <w:rFonts w:ascii="Tahoma" w:hAnsi="Tahoma" w:cs="Tahoma"/>
                <w:b/>
                <w:color w:val="000000"/>
                <w:sz w:val="20"/>
                <w:szCs w:val="20"/>
                <w:lang w:val="it-IT"/>
              </w:rPr>
              <w:t>Pool di Applicazioni</w:t>
            </w:r>
            <w:r w:rsidRPr="00D87B79">
              <w:rPr>
                <w:rFonts w:ascii="Tahoma" w:hAnsi="Tahoma" w:cs="Tahoma"/>
                <w:b/>
                <w:color w:val="000000"/>
                <w:sz w:val="20"/>
                <w:szCs w:val="20"/>
              </w:rPr>
              <w:t xml:space="preserve"> </w:t>
            </w:r>
          </w:p>
        </w:tc>
        <w:tc>
          <w:tcPr>
            <w:tcW w:w="1801" w:type="dxa"/>
            <w:vAlign w:val="center"/>
          </w:tcPr>
          <w:p w:rsidR="00A92422" w:rsidRPr="00D87B79" w:rsidRDefault="00A92422" w:rsidP="00EA30FC">
            <w:pPr>
              <w:pStyle w:val="AppendixTableText"/>
              <w:rPr>
                <w:rFonts w:ascii="Tahoma" w:hAnsi="Tahoma" w:cs="Tahoma"/>
                <w:color w:val="000000"/>
              </w:rPr>
            </w:pPr>
            <w:r w:rsidRPr="00D87B79">
              <w:rPr>
                <w:rFonts w:ascii="Tahoma" w:hAnsi="Tahoma" w:cs="Tahoma"/>
                <w:color w:val="000000"/>
                <w:lang w:val="it-IT"/>
              </w:rPr>
              <w:t>N/D</w:t>
            </w:r>
            <w:r w:rsidRPr="00D87B79">
              <w:rPr>
                <w:rFonts w:ascii="Tahoma" w:hAnsi="Tahoma" w:cs="Tahoma"/>
                <w:color w:val="000000"/>
              </w:rPr>
              <w:t xml:space="preserve"> </w:t>
            </w:r>
          </w:p>
        </w:tc>
        <w:tc>
          <w:tcPr>
            <w:tcW w:w="2431" w:type="dxa"/>
            <w:vAlign w:val="center"/>
          </w:tcPr>
          <w:p w:rsidR="00A92422" w:rsidRPr="00D87B79" w:rsidRDefault="00A92422" w:rsidP="00EA30FC">
            <w:pPr>
              <w:pStyle w:val="AppendixTableText"/>
              <w:rPr>
                <w:rFonts w:ascii="Tahoma" w:hAnsi="Tahoma" w:cs="Tahoma"/>
                <w:color w:val="000000"/>
              </w:rPr>
            </w:pPr>
            <w:r w:rsidRPr="00D87B79">
              <w:rPr>
                <w:rFonts w:ascii="Tahoma" w:hAnsi="Tahoma" w:cs="Tahoma"/>
                <w:color w:val="000000"/>
                <w:lang w:val="it-IT"/>
              </w:rPr>
              <w:t>SA disponibile solo nella modalità delineata sotto</w:t>
            </w:r>
          </w:p>
        </w:tc>
        <w:tc>
          <w:tcPr>
            <w:tcW w:w="2971" w:type="dxa"/>
            <w:vMerge w:val="restart"/>
          </w:tcPr>
          <w:p w:rsidR="00A92422" w:rsidRPr="00D87B79" w:rsidRDefault="00A92422" w:rsidP="00EA30FC">
            <w:pPr>
              <w:pStyle w:val="AppendixTableText"/>
              <w:jc w:val="left"/>
              <w:rPr>
                <w:rFonts w:ascii="Tahoma" w:hAnsi="Tahoma" w:cs="Tahoma"/>
                <w:color w:val="000000"/>
              </w:rPr>
            </w:pPr>
            <w:r w:rsidRPr="00D87B79">
              <w:rPr>
                <w:rFonts w:ascii="Tahoma" w:hAnsi="Tahoma" w:cs="Tahoma"/>
                <w:lang w:val="it-IT"/>
              </w:rPr>
              <w:t>Si applica a Open License, Select, Select Plus, all’opzione per l’intera organizzazione/non a livello aziendale del programma Open Value e ai Prodotti Aggiuntivi dei</w:t>
            </w:r>
            <w:r>
              <w:rPr>
                <w:rFonts w:ascii="Tahoma" w:hAnsi="Tahoma" w:cs="Tahoma"/>
                <w:lang w:val="it-IT"/>
              </w:rPr>
              <w:t> </w:t>
            </w:r>
            <w:r w:rsidRPr="00D87B79">
              <w:rPr>
                <w:rFonts w:ascii="Tahoma" w:hAnsi="Tahoma" w:cs="Tahoma"/>
                <w:lang w:val="it-IT"/>
              </w:rPr>
              <w:t>Contratti Enterprise.</w:t>
            </w:r>
            <w:r w:rsidRPr="00D87B79">
              <w:rPr>
                <w:rFonts w:ascii="Tahoma" w:hAnsi="Tahoma" w:cs="Tahoma"/>
              </w:rPr>
              <w:t xml:space="preserve"> </w:t>
            </w:r>
            <w:r w:rsidRPr="00D87B79">
              <w:rPr>
                <w:rFonts w:ascii="Tahoma" w:hAnsi="Tahoma" w:cs="Tahoma"/>
                <w:color w:val="000000"/>
                <w:lang w:val="it-IT"/>
              </w:rPr>
              <w:t>Non si applica ai Prodotti Enterprise del</w:t>
            </w:r>
            <w:r>
              <w:rPr>
                <w:rFonts w:ascii="Tahoma" w:hAnsi="Tahoma" w:cs="Tahoma"/>
                <w:color w:val="000000"/>
                <w:lang w:val="it-IT"/>
              </w:rPr>
              <w:t> </w:t>
            </w:r>
            <w:r w:rsidRPr="00D87B79">
              <w:rPr>
                <w:rFonts w:ascii="Tahoma" w:hAnsi="Tahoma" w:cs="Tahoma"/>
                <w:color w:val="000000"/>
                <w:lang w:val="it-IT"/>
              </w:rPr>
              <w:t>programma Open Value e</w:t>
            </w:r>
            <w:r>
              <w:rPr>
                <w:rFonts w:ascii="Tahoma" w:hAnsi="Tahoma" w:cs="Tahoma"/>
                <w:color w:val="000000"/>
                <w:lang w:val="it-IT"/>
              </w:rPr>
              <w:t> </w:t>
            </w:r>
            <w:r w:rsidRPr="00D87B79">
              <w:rPr>
                <w:rFonts w:ascii="Tahoma" w:hAnsi="Tahoma" w:cs="Tahoma"/>
                <w:color w:val="000000"/>
                <w:lang w:val="it-IT"/>
              </w:rPr>
              <w:t>dei</w:t>
            </w:r>
            <w:r>
              <w:t> </w:t>
            </w:r>
            <w:r w:rsidRPr="00D87B79">
              <w:rPr>
                <w:rFonts w:ascii="Tahoma" w:hAnsi="Tahoma" w:cs="Tahoma"/>
                <w:color w:val="000000"/>
                <w:lang w:val="it-IT"/>
              </w:rPr>
              <w:t>Contratti Enterprise</w:t>
            </w:r>
          </w:p>
        </w:tc>
      </w:tr>
      <w:tr w:rsidR="00A92422" w:rsidRPr="00D87B79" w:rsidTr="00EA30FC">
        <w:tc>
          <w:tcPr>
            <w:tcW w:w="1512" w:type="dxa"/>
            <w:vAlign w:val="center"/>
          </w:tcPr>
          <w:p w:rsidR="00A92422" w:rsidRPr="00D87B79" w:rsidRDefault="00A92422" w:rsidP="00EA30FC">
            <w:pPr>
              <w:pStyle w:val="AppendixTableText"/>
              <w:rPr>
                <w:rFonts w:ascii="Tahoma" w:hAnsi="Tahoma" w:cs="Tahoma"/>
                <w:b/>
                <w:color w:val="000000"/>
                <w:sz w:val="20"/>
                <w:szCs w:val="20"/>
              </w:rPr>
            </w:pPr>
            <w:r w:rsidRPr="00D87B79">
              <w:rPr>
                <w:rFonts w:ascii="Tahoma" w:hAnsi="Tahoma" w:cs="Tahoma"/>
                <w:b/>
                <w:color w:val="000000"/>
                <w:sz w:val="20"/>
                <w:szCs w:val="20"/>
                <w:lang w:val="it-IT"/>
              </w:rPr>
              <w:t>Pool di Sistemi</w:t>
            </w:r>
            <w:r w:rsidRPr="00D87B79">
              <w:rPr>
                <w:rFonts w:ascii="Tahoma" w:hAnsi="Tahoma" w:cs="Tahoma"/>
                <w:b/>
                <w:color w:val="000000"/>
                <w:sz w:val="20"/>
                <w:szCs w:val="20"/>
              </w:rPr>
              <w:t xml:space="preserve"> </w:t>
            </w:r>
          </w:p>
        </w:tc>
        <w:tc>
          <w:tcPr>
            <w:tcW w:w="1801" w:type="dxa"/>
            <w:vAlign w:val="center"/>
          </w:tcPr>
          <w:p w:rsidR="00A92422" w:rsidRPr="00D87B79" w:rsidRDefault="00A92422" w:rsidP="00EA30FC">
            <w:pPr>
              <w:pStyle w:val="AppendixTableText"/>
              <w:rPr>
                <w:rFonts w:ascii="Tahoma" w:hAnsi="Tahoma" w:cs="Tahoma"/>
                <w:color w:val="000000"/>
              </w:rPr>
            </w:pPr>
            <w:r w:rsidRPr="00D87B79">
              <w:rPr>
                <w:rFonts w:ascii="Tahoma" w:hAnsi="Tahoma" w:cs="Tahoma"/>
                <w:color w:val="000000"/>
                <w:lang w:val="it-IT"/>
              </w:rPr>
              <w:t>SA disponibile</w:t>
            </w:r>
            <w:r w:rsidRPr="00D87B79">
              <w:rPr>
                <w:rFonts w:ascii="Tahoma" w:hAnsi="Tahoma" w:cs="Tahoma"/>
                <w:color w:val="000000"/>
              </w:rPr>
              <w:t xml:space="preserve"> </w:t>
            </w:r>
          </w:p>
        </w:tc>
        <w:tc>
          <w:tcPr>
            <w:tcW w:w="2431" w:type="dxa"/>
            <w:vAlign w:val="center"/>
          </w:tcPr>
          <w:p w:rsidR="00A92422" w:rsidRPr="00D87B79" w:rsidRDefault="00A92422" w:rsidP="00EA30FC">
            <w:pPr>
              <w:pStyle w:val="AppendixTableText"/>
              <w:rPr>
                <w:rFonts w:ascii="Tahoma" w:hAnsi="Tahoma" w:cs="Tahoma"/>
                <w:color w:val="000000"/>
              </w:rPr>
            </w:pPr>
            <w:r w:rsidRPr="00D87B79">
              <w:rPr>
                <w:rFonts w:ascii="Tahoma" w:hAnsi="Tahoma" w:cs="Tahoma"/>
                <w:color w:val="000000"/>
                <w:lang w:val="it-IT"/>
              </w:rPr>
              <w:t>SA disponibile</w:t>
            </w:r>
            <w:r w:rsidRPr="00D87B79">
              <w:rPr>
                <w:rFonts w:ascii="Tahoma" w:hAnsi="Tahoma" w:cs="Tahoma"/>
                <w:color w:val="000000"/>
              </w:rPr>
              <w:t xml:space="preserve"> </w:t>
            </w:r>
          </w:p>
        </w:tc>
        <w:tc>
          <w:tcPr>
            <w:tcW w:w="2971" w:type="dxa"/>
            <w:vMerge/>
            <w:vAlign w:val="center"/>
          </w:tcPr>
          <w:p w:rsidR="00A92422" w:rsidRPr="00D87B79" w:rsidRDefault="00A92422" w:rsidP="00EA30FC">
            <w:pPr>
              <w:rPr>
                <w:rFonts w:cs="Tahoma"/>
                <w:color w:val="000000"/>
                <w:szCs w:val="18"/>
              </w:rPr>
            </w:pPr>
          </w:p>
        </w:tc>
      </w:tr>
      <w:tr w:rsidR="00A92422" w:rsidRPr="00D87B79" w:rsidTr="00EA30FC">
        <w:tc>
          <w:tcPr>
            <w:tcW w:w="1512" w:type="dxa"/>
            <w:vAlign w:val="center"/>
          </w:tcPr>
          <w:p w:rsidR="00A92422" w:rsidRPr="00D87B79" w:rsidRDefault="00A92422" w:rsidP="00EA30FC">
            <w:pPr>
              <w:pStyle w:val="AppendixTableText"/>
              <w:rPr>
                <w:rFonts w:ascii="Tahoma" w:hAnsi="Tahoma" w:cs="Tahoma"/>
                <w:b/>
                <w:color w:val="000000"/>
                <w:sz w:val="20"/>
                <w:szCs w:val="20"/>
              </w:rPr>
            </w:pPr>
            <w:r w:rsidRPr="00D87B79">
              <w:rPr>
                <w:rFonts w:ascii="Tahoma" w:hAnsi="Tahoma" w:cs="Tahoma"/>
                <w:b/>
                <w:color w:val="000000"/>
                <w:sz w:val="20"/>
                <w:szCs w:val="20"/>
                <w:lang w:val="it-IT"/>
              </w:rPr>
              <w:t>Pool di Server</w:t>
            </w:r>
          </w:p>
        </w:tc>
        <w:tc>
          <w:tcPr>
            <w:tcW w:w="1801" w:type="dxa"/>
            <w:vAlign w:val="center"/>
          </w:tcPr>
          <w:p w:rsidR="00A92422" w:rsidRPr="00D87B79" w:rsidRDefault="00A92422" w:rsidP="00EA30FC">
            <w:pPr>
              <w:pStyle w:val="AppendixTableText"/>
              <w:rPr>
                <w:rFonts w:ascii="Tahoma" w:hAnsi="Tahoma" w:cs="Tahoma"/>
                <w:color w:val="000000"/>
              </w:rPr>
            </w:pPr>
            <w:r w:rsidRPr="00D87B79">
              <w:rPr>
                <w:rFonts w:ascii="Tahoma" w:hAnsi="Tahoma" w:cs="Tahoma"/>
                <w:color w:val="000000"/>
                <w:lang w:val="it-IT"/>
              </w:rPr>
              <w:t>SA disponibile</w:t>
            </w:r>
            <w:r w:rsidRPr="00D87B79">
              <w:rPr>
                <w:rFonts w:ascii="Tahoma" w:hAnsi="Tahoma" w:cs="Tahoma"/>
                <w:color w:val="000000"/>
              </w:rPr>
              <w:t xml:space="preserve"> </w:t>
            </w:r>
          </w:p>
        </w:tc>
        <w:tc>
          <w:tcPr>
            <w:tcW w:w="2431" w:type="dxa"/>
            <w:vAlign w:val="center"/>
          </w:tcPr>
          <w:p w:rsidR="00A92422" w:rsidRPr="00D87B79" w:rsidRDefault="00A92422" w:rsidP="00EA30FC">
            <w:pPr>
              <w:pStyle w:val="AppendixTableText"/>
              <w:rPr>
                <w:rFonts w:ascii="Tahoma" w:hAnsi="Tahoma" w:cs="Tahoma"/>
                <w:color w:val="000000"/>
              </w:rPr>
            </w:pPr>
            <w:r w:rsidRPr="00D87B79">
              <w:rPr>
                <w:rFonts w:ascii="Tahoma" w:hAnsi="Tahoma" w:cs="Tahoma"/>
                <w:color w:val="000000"/>
                <w:lang w:val="it-IT"/>
              </w:rPr>
              <w:t>SA disponibile</w:t>
            </w:r>
          </w:p>
        </w:tc>
        <w:tc>
          <w:tcPr>
            <w:tcW w:w="2971" w:type="dxa"/>
            <w:vMerge/>
            <w:vAlign w:val="center"/>
          </w:tcPr>
          <w:p w:rsidR="00A92422" w:rsidRPr="00D87B79" w:rsidRDefault="00A92422" w:rsidP="00EA30FC">
            <w:pPr>
              <w:rPr>
                <w:rFonts w:cs="Tahoma"/>
                <w:color w:val="000000"/>
                <w:szCs w:val="18"/>
              </w:rPr>
            </w:pPr>
          </w:p>
        </w:tc>
      </w:tr>
    </w:tbl>
    <w:p w:rsidR="00A92422" w:rsidRPr="00D87B79" w:rsidRDefault="00A92422" w:rsidP="00A92422">
      <w:pPr>
        <w:ind w:right="720"/>
        <w:rPr>
          <w:rFonts w:cs="Tahoma"/>
        </w:rPr>
      </w:pPr>
    </w:p>
    <w:p w:rsidR="00A92422" w:rsidRPr="00D87B79" w:rsidRDefault="00A92422" w:rsidP="00A92422">
      <w:pPr>
        <w:pStyle w:val="AppendixBodyText"/>
        <w:ind w:right="720"/>
        <w:rPr>
          <w:rFonts w:ascii="Tahoma" w:hAnsi="Tahoma" w:cs="Tahoma"/>
        </w:rPr>
      </w:pPr>
      <w:r w:rsidRPr="00D87B79">
        <w:rPr>
          <w:rFonts w:ascii="Tahoma" w:hAnsi="Tahoma" w:cs="Tahoma"/>
          <w:sz w:val="18"/>
          <w:szCs w:val="18"/>
          <w:lang w:val="it-IT"/>
        </w:rPr>
        <w:t>Le società che acquistano Microsoft Office Professional 2010 da un OEM potranno acquistare Software Assurance per Microsoft Office Standard 2010 nell’ambito dei programmi Open License, Select e Select Plus e l’opzione non a livello aziendale ai sensi del programma Open Value entro 90 giorni dalla data di acquisto presso l’OEM.</w:t>
      </w:r>
      <w:r w:rsidRPr="00D87B79">
        <w:rPr>
          <w:rFonts w:ascii="Tahoma" w:hAnsi="Tahoma" w:cs="Tahoma"/>
        </w:rPr>
        <w:t xml:space="preserve"> </w:t>
      </w:r>
      <w:r w:rsidRPr="00D87B79">
        <w:rPr>
          <w:rFonts w:ascii="Tahoma" w:hAnsi="Tahoma" w:cs="Tahoma"/>
          <w:sz w:val="18"/>
          <w:lang w:val="it-IT"/>
        </w:rPr>
        <w:t>Le Product Key Card (PKC) Office sono considerate un’offerta Full Packaged Product (Dettaglio) e pertanto non sono idonee a beneficiare dell’opzione di acquisto di Software Assurance.</w:t>
      </w:r>
    </w:p>
    <w:p w:rsidR="00A92422" w:rsidRPr="009E7FE3" w:rsidRDefault="00A92422" w:rsidP="00A92422">
      <w:pPr>
        <w:pStyle w:val="AppendixBodyText"/>
        <w:spacing w:after="0"/>
        <w:ind w:right="720"/>
        <w:rPr>
          <w:rFonts w:ascii="Tahoma" w:hAnsi="Tahoma" w:cs="Tahoma"/>
          <w:sz w:val="18"/>
          <w:szCs w:val="18"/>
        </w:rPr>
      </w:pPr>
    </w:p>
    <w:p w:rsidR="00A92422" w:rsidRPr="009E7FE3" w:rsidRDefault="00A92422" w:rsidP="00A92422">
      <w:pPr>
        <w:pStyle w:val="AppendixBodyText"/>
        <w:spacing w:after="0"/>
        <w:ind w:right="720"/>
        <w:rPr>
          <w:rFonts w:ascii="Tahoma" w:hAnsi="Tahoma" w:cs="Tahoma"/>
          <w:sz w:val="18"/>
          <w:szCs w:val="18"/>
        </w:rPr>
      </w:pPr>
    </w:p>
    <w:p w:rsidR="00A92422" w:rsidRPr="00D87B79" w:rsidRDefault="00A92422" w:rsidP="00A92422">
      <w:pPr>
        <w:pStyle w:val="Heading2"/>
        <w:ind w:left="0" w:right="720"/>
        <w:rPr>
          <w:rFonts w:ascii="Tahoma" w:hAnsi="Tahoma" w:cs="Tahoma"/>
        </w:rPr>
      </w:pPr>
      <w:bookmarkStart w:id="769" w:name="_Toc323819651"/>
      <w:bookmarkStart w:id="770" w:name="_Toc336338202"/>
      <w:bookmarkStart w:id="771" w:name="_Toc342900254"/>
      <w:bookmarkEnd w:id="769"/>
      <w:bookmarkEnd w:id="770"/>
      <w:r w:rsidRPr="00D87B79">
        <w:rPr>
          <w:rFonts w:ascii="Tahoma" w:hAnsi="Tahoma" w:cs="Tahoma"/>
          <w:lang w:val="it-IT"/>
        </w:rPr>
        <w:t>Licenze Step-Up</w:t>
      </w:r>
      <w:bookmarkEnd w:id="771"/>
    </w:p>
    <w:p w:rsidR="00A92422" w:rsidRPr="00D87B79" w:rsidRDefault="00A92422" w:rsidP="00A92422">
      <w:pPr>
        <w:ind w:right="720"/>
        <w:rPr>
          <w:rFonts w:cs="Tahoma"/>
        </w:rPr>
      </w:pPr>
    </w:p>
    <w:p w:rsidR="00A92422" w:rsidRPr="00D87B79" w:rsidRDefault="00A92422" w:rsidP="00A92422">
      <w:pPr>
        <w:pStyle w:val="AppendixIndent"/>
        <w:ind w:left="0" w:right="720"/>
        <w:rPr>
          <w:rFonts w:ascii="Tahoma" w:hAnsi="Tahoma" w:cs="Tahoma"/>
        </w:rPr>
      </w:pPr>
      <w:r w:rsidRPr="00D87B79">
        <w:rPr>
          <w:rFonts w:ascii="Tahoma" w:hAnsi="Tahoma" w:cs="Tahoma"/>
          <w:sz w:val="18"/>
          <w:lang w:val="it-IT"/>
        </w:rPr>
        <w:t>Le società potranno migrare dall’edizione standard a un’edizione premium di determinati prodotti con una Licenza Step-Up. Le società dovranno disporre di una licenza con copertura Software Assurance per il prodotto qualificante, al fine di acquistare una Licenza Step-Up. La Licenza Step-Up dovrà essere acquistata, e sarà valida unicamente dopo l’acquisto, nell’ambito del medesimo contratto del Programma Multilicenza e</w:t>
      </w:r>
      <w:r>
        <w:rPr>
          <w:rFonts w:ascii="Tahoma" w:hAnsi="Tahoma" w:cs="Tahoma"/>
          <w:sz w:val="18"/>
          <w:lang w:val="it-IT"/>
        </w:rPr>
        <w:t> </w:t>
      </w:r>
      <w:r w:rsidRPr="00D87B79">
        <w:rPr>
          <w:rFonts w:ascii="Tahoma" w:hAnsi="Tahoma" w:cs="Tahoma"/>
          <w:sz w:val="18"/>
          <w:lang w:val="it-IT"/>
        </w:rPr>
        <w:t>della medesima iscrizione, se disponibili, ai sensi dei quali è stata originariamente acquistata la copertura per la protezione dell’aggiornamento del prodotto qualificante.</w:t>
      </w:r>
      <w:r w:rsidRPr="00D87B79">
        <w:rPr>
          <w:rFonts w:ascii="Tahoma" w:hAnsi="Tahoma" w:cs="Tahoma"/>
        </w:rPr>
        <w:t xml:space="preserve"> </w:t>
      </w:r>
      <w:r w:rsidRPr="00D87B79">
        <w:rPr>
          <w:rFonts w:ascii="Tahoma" w:hAnsi="Tahoma" w:cs="Tahoma"/>
          <w:sz w:val="18"/>
          <w:lang w:val="it-IT"/>
        </w:rPr>
        <w:t>Il diritto di utilizzo del software da parte della società ai sensi della Licenza Step-Up è subordinato al possesso e al mantenimento di una Licenza per il prodotto qualificante. Le società non possono trasferire la Licenza per il prodotto qualificante separatamente dalla Licenza Step-Up.</w:t>
      </w:r>
      <w:r w:rsidRPr="00D87B79">
        <w:rPr>
          <w:rFonts w:ascii="Tahoma" w:hAnsi="Tahoma" w:cs="Tahoma"/>
        </w:rPr>
        <w:t xml:space="preserve"> </w:t>
      </w:r>
      <w:r w:rsidRPr="00D87B79">
        <w:rPr>
          <w:rFonts w:ascii="Tahoma" w:hAnsi="Tahoma" w:cs="Tahoma"/>
          <w:sz w:val="18"/>
          <w:lang w:val="it-IT"/>
        </w:rPr>
        <w:t>Per ulteriori informazioni e per conoscere la disponibilità delle licenze, consultare il Documento relativo alla Licenza Step-up per Enterprise Edition nel quadro del Programma Volume License all’indirizzo:</w:t>
      </w:r>
      <w:r w:rsidRPr="00D87B79">
        <w:rPr>
          <w:rFonts w:ascii="Tahoma" w:hAnsi="Tahoma" w:cs="Tahoma"/>
          <w:sz w:val="18"/>
          <w:szCs w:val="18"/>
        </w:rPr>
        <w:t xml:space="preserve"> </w:t>
      </w:r>
      <w:r w:rsidRPr="00D87B79">
        <w:rPr>
          <w:rFonts w:ascii="Tahoma" w:hAnsi="Tahoma" w:cs="Tahoma"/>
          <w:sz w:val="18"/>
          <w:lang w:val="it-IT"/>
        </w:rPr>
        <w:t>http://</w:t>
      </w:r>
      <w:hyperlink r:id="rId15" w:history="1">
        <w:r w:rsidRPr="00D87B79">
          <w:rPr>
            <w:rFonts w:ascii="Tahoma" w:hAnsi="Tahoma" w:cs="Tahoma"/>
            <w:color w:val="0000FF"/>
            <w:sz w:val="18"/>
            <w:u w:val="single"/>
            <w:lang w:val="it-IT"/>
          </w:rPr>
          <w:t>www.microsoft.com/licensing</w:t>
        </w:r>
      </w:hyperlink>
      <w:r w:rsidRPr="00D87B79">
        <w:rPr>
          <w:rFonts w:ascii="Tahoma" w:hAnsi="Tahoma" w:cs="Tahoma"/>
          <w:sz w:val="18"/>
          <w:lang w:val="it-IT"/>
        </w:rPr>
        <w:t>.</w:t>
      </w:r>
    </w:p>
    <w:p w:rsidR="00A92422" w:rsidRPr="000D3BCF" w:rsidRDefault="00A92422" w:rsidP="00A92422">
      <w:pPr>
        <w:pStyle w:val="Heading2"/>
        <w:ind w:left="0" w:right="720"/>
        <w:rPr>
          <w:rFonts w:ascii="Tahoma" w:hAnsi="Tahoma" w:cs="Tahoma"/>
          <w:sz w:val="18"/>
          <w:szCs w:val="18"/>
        </w:rPr>
      </w:pPr>
    </w:p>
    <w:p w:rsidR="00A92422" w:rsidRPr="00D87B79" w:rsidRDefault="00A92422" w:rsidP="00A92422">
      <w:pPr>
        <w:rPr>
          <w:rFonts w:cs="Tahoma"/>
        </w:rPr>
      </w:pPr>
    </w:p>
    <w:p w:rsidR="00A92422" w:rsidRPr="00D87B79" w:rsidRDefault="00A92422" w:rsidP="00A92422">
      <w:pPr>
        <w:pStyle w:val="Heading2"/>
        <w:ind w:left="0" w:right="720"/>
        <w:rPr>
          <w:rFonts w:ascii="Tahoma" w:hAnsi="Tahoma" w:cs="Tahoma"/>
        </w:rPr>
      </w:pPr>
      <w:bookmarkStart w:id="772" w:name="_Toc323819652"/>
      <w:bookmarkStart w:id="773" w:name="_Toc336338203"/>
      <w:bookmarkStart w:id="774" w:name="_Toc342900255"/>
      <w:bookmarkEnd w:id="772"/>
      <w:bookmarkEnd w:id="773"/>
      <w:r w:rsidRPr="00D87B79">
        <w:rPr>
          <w:rFonts w:ascii="Tahoma" w:hAnsi="Tahoma" w:cs="Tahoma"/>
          <w:lang w:val="it-IT"/>
        </w:rPr>
        <w:t>Licenze “Subscription”</w:t>
      </w:r>
      <w:bookmarkEnd w:id="774"/>
      <w:r w:rsidRPr="00D87B79">
        <w:rPr>
          <w:rFonts w:ascii="Tahoma" w:hAnsi="Tahoma" w:cs="Tahoma"/>
        </w:rPr>
        <w:t xml:space="preserve"> </w:t>
      </w:r>
    </w:p>
    <w:p w:rsidR="00A92422" w:rsidRPr="00D87B79" w:rsidRDefault="00A92422" w:rsidP="00A92422">
      <w:pPr>
        <w:ind w:right="720"/>
        <w:rPr>
          <w:rFonts w:cs="Tahoma"/>
        </w:rPr>
      </w:pPr>
    </w:p>
    <w:p w:rsidR="00A92422" w:rsidRPr="007B1B1A" w:rsidRDefault="00A92422" w:rsidP="00A92422">
      <w:pPr>
        <w:pStyle w:val="AppendixIndent"/>
        <w:ind w:left="0" w:right="720"/>
        <w:rPr>
          <w:rFonts w:ascii="Tahoma" w:hAnsi="Tahoma" w:cs="Tahoma"/>
          <w:sz w:val="18"/>
          <w:szCs w:val="18"/>
        </w:rPr>
      </w:pPr>
      <w:r w:rsidRPr="007B1B1A">
        <w:rPr>
          <w:rFonts w:ascii="Tahoma" w:hAnsi="Tahoma" w:cs="Tahoma"/>
          <w:sz w:val="18"/>
          <w:szCs w:val="18"/>
          <w:lang w:val="it-IT"/>
        </w:rPr>
        <w:t>Questo tipo di prodotto è disponibile per i Servizi Online e per alcuni prodotti software, non dipende dalla versione e consente alle società di utilizzare il software e, nel caso di un Servizio Online, il servizio durante il periodo di validità dell’iscrizione Select o Enterprise oppure del contratto Open ai sensi del quale viene acquistato.</w:t>
      </w:r>
      <w:r w:rsidRPr="007B1B1A">
        <w:rPr>
          <w:rFonts w:ascii="Tahoma" w:hAnsi="Tahoma" w:cs="Tahoma"/>
          <w:sz w:val="18"/>
          <w:szCs w:val="18"/>
        </w:rPr>
        <w:t xml:space="preserve"> </w:t>
      </w:r>
      <w:r w:rsidRPr="007B1B1A">
        <w:rPr>
          <w:rFonts w:ascii="Tahoma" w:hAnsi="Tahoma" w:cs="Tahoma"/>
          <w:sz w:val="18"/>
          <w:szCs w:val="18"/>
          <w:lang w:val="it-IT"/>
        </w:rPr>
        <w:t>Le licenze “Subscription” acquistate ai sensi di un Contratto Enterprise o Enterprise Subscription dovranno essere acquistate in occasione del primo accesso al servizio e verranno suddivise in misura proporzionale sulla base del numero di mesi che rimangono alla scadenza del periodo di validità del contratto o dell’iscrizione.</w:t>
      </w:r>
      <w:r w:rsidRPr="007B1B1A">
        <w:rPr>
          <w:rFonts w:ascii="Tahoma" w:hAnsi="Tahoma" w:cs="Tahoma"/>
          <w:sz w:val="18"/>
          <w:szCs w:val="18"/>
        </w:rPr>
        <w:t xml:space="preserve"> </w:t>
      </w:r>
      <w:r w:rsidRPr="007B1B1A">
        <w:rPr>
          <w:rFonts w:ascii="Tahoma" w:hAnsi="Tahoma" w:cs="Tahoma"/>
          <w:sz w:val="18"/>
          <w:szCs w:val="18"/>
          <w:lang w:val="it-IT"/>
        </w:rPr>
        <w:t>Disponibile nei seguenti programmi:</w:t>
      </w:r>
      <w:r w:rsidRPr="007B1B1A">
        <w:rPr>
          <w:rFonts w:ascii="Tahoma" w:hAnsi="Tahoma" w:cs="Tahoma"/>
          <w:sz w:val="18"/>
          <w:szCs w:val="18"/>
        </w:rPr>
        <w:t xml:space="preserve"> </w:t>
      </w:r>
    </w:p>
    <w:p w:rsidR="00A92422" w:rsidRPr="007B1B1A" w:rsidRDefault="00A92422" w:rsidP="00A92422">
      <w:pPr>
        <w:pStyle w:val="AppendixIndent"/>
        <w:ind w:left="0" w:right="720"/>
        <w:rPr>
          <w:rFonts w:ascii="Tahoma" w:hAnsi="Tahoma" w:cs="Tahoma"/>
          <w:sz w:val="18"/>
          <w:szCs w:val="18"/>
        </w:rPr>
      </w:pPr>
    </w:p>
    <w:p w:rsidR="00A92422" w:rsidRPr="00D87B79" w:rsidRDefault="00A92422" w:rsidP="00A92422">
      <w:pPr>
        <w:pStyle w:val="AppendixBulletIndent"/>
        <w:numPr>
          <w:ilvl w:val="0"/>
          <w:numId w:val="38"/>
        </w:numPr>
        <w:tabs>
          <w:tab w:val="left" w:pos="1440"/>
        </w:tabs>
        <w:spacing w:after="60"/>
        <w:ind w:left="1440" w:right="720"/>
        <w:rPr>
          <w:rFonts w:ascii="Tahoma" w:hAnsi="Tahoma" w:cs="Tahoma"/>
        </w:rPr>
      </w:pPr>
      <w:r w:rsidRPr="00D87B79">
        <w:rPr>
          <w:rFonts w:ascii="Tahoma" w:hAnsi="Tahoma" w:cs="Tahoma"/>
          <w:sz w:val="18"/>
          <w:lang w:val="it-IT"/>
        </w:rPr>
        <w:t>Open Value</w:t>
      </w:r>
    </w:p>
    <w:p w:rsidR="00A92422" w:rsidRPr="00D87B79" w:rsidRDefault="00A92422" w:rsidP="00A92422">
      <w:pPr>
        <w:pStyle w:val="AppendixBulletIndent"/>
        <w:numPr>
          <w:ilvl w:val="0"/>
          <w:numId w:val="38"/>
        </w:numPr>
        <w:tabs>
          <w:tab w:val="left" w:pos="1440"/>
        </w:tabs>
        <w:spacing w:after="60"/>
        <w:ind w:left="1440" w:right="720"/>
        <w:rPr>
          <w:rFonts w:ascii="Tahoma" w:hAnsi="Tahoma" w:cs="Tahoma"/>
        </w:rPr>
      </w:pPr>
      <w:r w:rsidRPr="00D87B79">
        <w:rPr>
          <w:rFonts w:ascii="Tahoma" w:hAnsi="Tahoma" w:cs="Tahoma"/>
          <w:sz w:val="18"/>
          <w:lang w:val="it-IT"/>
        </w:rPr>
        <w:t>Open Value Subscription</w:t>
      </w:r>
      <w:r w:rsidRPr="00D87B79">
        <w:rPr>
          <w:rFonts w:ascii="Tahoma" w:hAnsi="Tahoma" w:cs="Tahoma"/>
        </w:rPr>
        <w:t xml:space="preserve"> </w:t>
      </w:r>
    </w:p>
    <w:p w:rsidR="00A92422" w:rsidRPr="00D87B79" w:rsidRDefault="00A92422" w:rsidP="00A92422">
      <w:pPr>
        <w:pStyle w:val="AppendixBulletIndent"/>
        <w:numPr>
          <w:ilvl w:val="0"/>
          <w:numId w:val="38"/>
        </w:numPr>
        <w:tabs>
          <w:tab w:val="left" w:pos="1440"/>
        </w:tabs>
        <w:spacing w:after="60"/>
        <w:ind w:left="1440" w:right="720"/>
        <w:rPr>
          <w:rFonts w:ascii="Tahoma" w:hAnsi="Tahoma" w:cs="Tahoma"/>
        </w:rPr>
      </w:pPr>
      <w:r w:rsidRPr="00D87B79">
        <w:rPr>
          <w:rFonts w:ascii="Tahoma" w:hAnsi="Tahoma" w:cs="Tahoma"/>
          <w:sz w:val="18"/>
          <w:lang w:val="it-IT"/>
        </w:rPr>
        <w:t>Select</w:t>
      </w:r>
      <w:r w:rsidRPr="00D87B79">
        <w:rPr>
          <w:rFonts w:ascii="Tahoma" w:hAnsi="Tahoma" w:cs="Tahoma"/>
        </w:rPr>
        <w:t xml:space="preserve"> </w:t>
      </w:r>
    </w:p>
    <w:p w:rsidR="00A92422" w:rsidRPr="00D87B79" w:rsidRDefault="00A92422" w:rsidP="00A92422">
      <w:pPr>
        <w:pStyle w:val="AppendixBulletIndent"/>
        <w:numPr>
          <w:ilvl w:val="0"/>
          <w:numId w:val="38"/>
        </w:numPr>
        <w:tabs>
          <w:tab w:val="left" w:pos="1440"/>
        </w:tabs>
        <w:spacing w:after="60"/>
        <w:ind w:left="1440" w:right="720"/>
        <w:rPr>
          <w:rFonts w:ascii="Tahoma" w:hAnsi="Tahoma" w:cs="Tahoma"/>
        </w:rPr>
      </w:pPr>
      <w:r w:rsidRPr="00D87B79">
        <w:rPr>
          <w:rFonts w:ascii="Tahoma" w:hAnsi="Tahoma" w:cs="Tahoma"/>
          <w:sz w:val="18"/>
          <w:lang w:val="it-IT"/>
        </w:rPr>
        <w:t>Select Plus</w:t>
      </w:r>
    </w:p>
    <w:p w:rsidR="00A92422" w:rsidRPr="00D87B79" w:rsidRDefault="00A92422" w:rsidP="00A92422">
      <w:pPr>
        <w:pStyle w:val="AppendixBulletIndent"/>
        <w:numPr>
          <w:ilvl w:val="0"/>
          <w:numId w:val="38"/>
        </w:numPr>
        <w:tabs>
          <w:tab w:val="left" w:pos="1440"/>
        </w:tabs>
        <w:spacing w:after="60"/>
        <w:ind w:left="1440" w:right="720"/>
        <w:rPr>
          <w:rFonts w:ascii="Tahoma" w:hAnsi="Tahoma" w:cs="Tahoma"/>
        </w:rPr>
      </w:pPr>
      <w:r w:rsidRPr="00D87B79">
        <w:rPr>
          <w:rFonts w:ascii="Tahoma" w:hAnsi="Tahoma" w:cs="Tahoma"/>
          <w:sz w:val="18"/>
          <w:lang w:val="it-IT"/>
        </w:rPr>
        <w:t>School</w:t>
      </w:r>
    </w:p>
    <w:p w:rsidR="00A92422" w:rsidRPr="00D87B79" w:rsidRDefault="00A92422" w:rsidP="00A92422">
      <w:pPr>
        <w:pStyle w:val="AppendixBulletIndent"/>
        <w:numPr>
          <w:ilvl w:val="0"/>
          <w:numId w:val="38"/>
        </w:numPr>
        <w:tabs>
          <w:tab w:val="left" w:pos="1440"/>
        </w:tabs>
        <w:spacing w:after="60"/>
        <w:ind w:left="1440" w:right="720"/>
        <w:rPr>
          <w:rFonts w:ascii="Tahoma" w:hAnsi="Tahoma" w:cs="Tahoma"/>
        </w:rPr>
      </w:pPr>
      <w:r w:rsidRPr="00D87B79">
        <w:rPr>
          <w:rFonts w:ascii="Tahoma" w:hAnsi="Tahoma" w:cs="Tahoma"/>
          <w:sz w:val="18"/>
          <w:lang w:val="it-IT"/>
        </w:rPr>
        <w:t>EES</w:t>
      </w:r>
    </w:p>
    <w:p w:rsidR="00A92422" w:rsidRPr="00D87B79" w:rsidRDefault="00A92422" w:rsidP="00A92422">
      <w:pPr>
        <w:pStyle w:val="AppendixBulletIndent"/>
        <w:numPr>
          <w:ilvl w:val="0"/>
          <w:numId w:val="38"/>
        </w:numPr>
        <w:tabs>
          <w:tab w:val="left" w:pos="1440"/>
        </w:tabs>
        <w:spacing w:after="60"/>
        <w:ind w:left="1440" w:right="720"/>
        <w:rPr>
          <w:rFonts w:ascii="Tahoma" w:hAnsi="Tahoma" w:cs="Tahoma"/>
        </w:rPr>
      </w:pPr>
      <w:r w:rsidRPr="00D87B79">
        <w:rPr>
          <w:rFonts w:ascii="Tahoma" w:hAnsi="Tahoma" w:cs="Tahoma"/>
          <w:sz w:val="18"/>
          <w:lang w:val="it-IT"/>
        </w:rPr>
        <w:t>Contratto Enterprise</w:t>
      </w:r>
    </w:p>
    <w:p w:rsidR="00A92422" w:rsidRPr="00D87B79" w:rsidRDefault="00A92422" w:rsidP="00A92422">
      <w:pPr>
        <w:pStyle w:val="AppendixIndent"/>
        <w:numPr>
          <w:ilvl w:val="0"/>
          <w:numId w:val="38"/>
        </w:numPr>
        <w:tabs>
          <w:tab w:val="left" w:pos="1440"/>
        </w:tabs>
        <w:spacing w:before="0" w:after="60"/>
        <w:ind w:left="1440" w:right="720"/>
        <w:rPr>
          <w:rFonts w:ascii="Tahoma" w:hAnsi="Tahoma" w:cs="Tahoma"/>
        </w:rPr>
      </w:pPr>
      <w:r w:rsidRPr="00D87B79">
        <w:rPr>
          <w:rFonts w:ascii="Tahoma" w:hAnsi="Tahoma" w:cs="Tahoma"/>
          <w:sz w:val="18"/>
          <w:lang w:val="it-IT"/>
        </w:rPr>
        <w:t>Contratto Enterprise Subscription</w:t>
      </w:r>
    </w:p>
    <w:p w:rsidR="00A92422" w:rsidRPr="00D87B79" w:rsidRDefault="00A92422" w:rsidP="00A92422">
      <w:pPr>
        <w:rPr>
          <w:rFonts w:cs="Tahoma"/>
        </w:rPr>
      </w:pPr>
    </w:p>
    <w:p w:rsidR="00A92422" w:rsidRPr="00D87B79" w:rsidRDefault="00A92422" w:rsidP="00A92422">
      <w:pPr>
        <w:pStyle w:val="Heading2"/>
        <w:ind w:left="0" w:right="720"/>
        <w:rPr>
          <w:rFonts w:ascii="Tahoma" w:hAnsi="Tahoma" w:cs="Tahoma"/>
        </w:rPr>
      </w:pPr>
      <w:bookmarkStart w:id="775" w:name="_Toc323819653"/>
      <w:bookmarkStart w:id="776" w:name="_Toc336338204"/>
      <w:bookmarkStart w:id="777" w:name="_Toc342900256"/>
      <w:bookmarkEnd w:id="775"/>
      <w:bookmarkEnd w:id="776"/>
      <w:r w:rsidRPr="00D87B79">
        <w:rPr>
          <w:rFonts w:ascii="Tahoma" w:hAnsi="Tahoma" w:cs="Tahoma"/>
          <w:lang w:val="it-IT"/>
        </w:rPr>
        <w:lastRenderedPageBreak/>
        <w:t>Aggiornamento</w:t>
      </w:r>
      <w:bookmarkEnd w:id="777"/>
    </w:p>
    <w:p w:rsidR="00A92422" w:rsidRPr="00D87B79" w:rsidRDefault="00A92422" w:rsidP="00A92422">
      <w:pPr>
        <w:pStyle w:val="AppendixIndent"/>
        <w:spacing w:before="0"/>
        <w:ind w:left="0" w:right="720"/>
        <w:rPr>
          <w:rFonts w:ascii="Tahoma" w:hAnsi="Tahoma" w:cs="Tahoma"/>
        </w:rPr>
      </w:pPr>
    </w:p>
    <w:p w:rsidR="00A92422" w:rsidRPr="00D87B79" w:rsidRDefault="00A92422" w:rsidP="00A92422">
      <w:pPr>
        <w:pStyle w:val="AppendixIndent"/>
        <w:ind w:left="0" w:right="720"/>
        <w:rPr>
          <w:rFonts w:ascii="Tahoma" w:hAnsi="Tahoma" w:cs="Tahoma"/>
        </w:rPr>
      </w:pPr>
      <w:r w:rsidRPr="00D87B79">
        <w:rPr>
          <w:rFonts w:ascii="Tahoma" w:hAnsi="Tahoma" w:cs="Tahoma"/>
          <w:sz w:val="18"/>
          <w:lang w:val="it-IT"/>
        </w:rPr>
        <w:t xml:space="preserve">Questo tipo di prodotto è disponibile solo per il </w:t>
      </w:r>
      <w:r w:rsidRPr="000716DB">
        <w:rPr>
          <w:rFonts w:ascii="Tahoma" w:hAnsi="Tahoma" w:cs="Tahoma"/>
          <w:sz w:val="18"/>
          <w:u w:val="single"/>
          <w:lang w:val="it-IT"/>
        </w:rPr>
        <w:t>Sistema Operativo Desktop Windows</w:t>
      </w:r>
      <w:r w:rsidRPr="00D87B79">
        <w:rPr>
          <w:rFonts w:ascii="Tahoma" w:hAnsi="Tahoma" w:cs="Tahoma"/>
          <w:sz w:val="18"/>
          <w:lang w:val="it-IT"/>
        </w:rPr>
        <w:t>, dipende dalla versione e concede il diritto di eseguire la versione del prodotto per il quale viene ordinata.</w:t>
      </w:r>
      <w:r w:rsidRPr="00D87B79">
        <w:rPr>
          <w:rFonts w:ascii="Tahoma" w:hAnsi="Tahoma" w:cs="Tahoma"/>
        </w:rPr>
        <w:t xml:space="preserve"> </w:t>
      </w:r>
      <w:r w:rsidRPr="00D87B79">
        <w:rPr>
          <w:rFonts w:ascii="Tahoma" w:hAnsi="Tahoma" w:cs="Tahoma"/>
          <w:sz w:val="18"/>
          <w:lang w:val="it-IT"/>
        </w:rPr>
        <w:t>Disponibile nei seguenti programmi:</w:t>
      </w:r>
    </w:p>
    <w:p w:rsidR="00A92422" w:rsidRPr="00D87B79" w:rsidRDefault="00A92422" w:rsidP="00A92422">
      <w:pPr>
        <w:pStyle w:val="AppendixIndent"/>
        <w:ind w:left="0" w:right="720"/>
        <w:rPr>
          <w:rFonts w:ascii="Tahoma" w:hAnsi="Tahoma" w:cs="Tahoma"/>
        </w:rPr>
      </w:pPr>
    </w:p>
    <w:p w:rsidR="00A92422" w:rsidRPr="00D87B79" w:rsidRDefault="00A92422" w:rsidP="00A92422">
      <w:pPr>
        <w:pStyle w:val="AppendixBulletIndent"/>
        <w:numPr>
          <w:ilvl w:val="0"/>
          <w:numId w:val="32"/>
        </w:numPr>
        <w:tabs>
          <w:tab w:val="left" w:pos="1440"/>
        </w:tabs>
        <w:spacing w:after="60"/>
        <w:ind w:left="1440" w:right="720"/>
        <w:rPr>
          <w:rFonts w:ascii="Tahoma" w:hAnsi="Tahoma" w:cs="Tahoma"/>
        </w:rPr>
      </w:pPr>
      <w:r w:rsidRPr="00D87B79">
        <w:rPr>
          <w:rFonts w:ascii="Tahoma" w:hAnsi="Tahoma" w:cs="Tahoma"/>
          <w:sz w:val="18"/>
          <w:lang w:val="it-IT"/>
        </w:rPr>
        <w:t>Licenza Open</w:t>
      </w:r>
    </w:p>
    <w:p w:rsidR="00A92422" w:rsidRPr="00D87B79" w:rsidRDefault="00A92422" w:rsidP="00A92422">
      <w:pPr>
        <w:pStyle w:val="AppendixBulletIndent"/>
        <w:numPr>
          <w:ilvl w:val="0"/>
          <w:numId w:val="32"/>
        </w:numPr>
        <w:tabs>
          <w:tab w:val="left" w:pos="1440"/>
        </w:tabs>
        <w:spacing w:after="60"/>
        <w:ind w:left="1440" w:right="720"/>
        <w:rPr>
          <w:rFonts w:ascii="Tahoma" w:hAnsi="Tahoma" w:cs="Tahoma"/>
        </w:rPr>
      </w:pPr>
      <w:r w:rsidRPr="00D87B79">
        <w:rPr>
          <w:rFonts w:ascii="Tahoma" w:hAnsi="Tahoma" w:cs="Tahoma"/>
          <w:sz w:val="18"/>
          <w:lang w:val="it-IT"/>
        </w:rPr>
        <w:t>Open Value Subscription (solo per ordini buy-out)</w:t>
      </w:r>
      <w:r w:rsidRPr="00D87B79">
        <w:rPr>
          <w:rFonts w:ascii="Tahoma" w:hAnsi="Tahoma" w:cs="Tahoma"/>
        </w:rPr>
        <w:t xml:space="preserve"> </w:t>
      </w:r>
    </w:p>
    <w:p w:rsidR="00A92422" w:rsidRPr="00D87B79" w:rsidRDefault="00A92422" w:rsidP="00A92422">
      <w:pPr>
        <w:pStyle w:val="AppendixBulletIndent"/>
        <w:numPr>
          <w:ilvl w:val="0"/>
          <w:numId w:val="32"/>
        </w:numPr>
        <w:tabs>
          <w:tab w:val="left" w:pos="1440"/>
        </w:tabs>
        <w:spacing w:after="60"/>
        <w:ind w:left="1440" w:right="720"/>
        <w:rPr>
          <w:rFonts w:ascii="Tahoma" w:hAnsi="Tahoma" w:cs="Tahoma"/>
        </w:rPr>
      </w:pPr>
      <w:r w:rsidRPr="00D87B79">
        <w:rPr>
          <w:rFonts w:ascii="Tahoma" w:hAnsi="Tahoma" w:cs="Tahoma"/>
          <w:sz w:val="18"/>
          <w:lang w:val="it-IT"/>
        </w:rPr>
        <w:t>Select</w:t>
      </w:r>
      <w:r w:rsidRPr="00D87B79">
        <w:rPr>
          <w:rFonts w:ascii="Tahoma" w:hAnsi="Tahoma" w:cs="Tahoma"/>
        </w:rPr>
        <w:t xml:space="preserve"> </w:t>
      </w:r>
    </w:p>
    <w:p w:rsidR="00A92422" w:rsidRPr="00D87B79" w:rsidRDefault="00A92422" w:rsidP="00A92422">
      <w:pPr>
        <w:pStyle w:val="AppendixBulletIndent"/>
        <w:numPr>
          <w:ilvl w:val="0"/>
          <w:numId w:val="32"/>
        </w:numPr>
        <w:tabs>
          <w:tab w:val="left" w:pos="1440"/>
        </w:tabs>
        <w:spacing w:after="60"/>
        <w:ind w:left="1440" w:right="720"/>
        <w:rPr>
          <w:rFonts w:ascii="Tahoma" w:hAnsi="Tahoma" w:cs="Tahoma"/>
        </w:rPr>
      </w:pPr>
      <w:r w:rsidRPr="00D87B79">
        <w:rPr>
          <w:rFonts w:ascii="Tahoma" w:hAnsi="Tahoma" w:cs="Tahoma"/>
          <w:sz w:val="18"/>
          <w:lang w:val="it-IT"/>
        </w:rPr>
        <w:t>Select Plus</w:t>
      </w:r>
    </w:p>
    <w:p w:rsidR="00A92422" w:rsidRPr="00D87B79" w:rsidRDefault="00A92422" w:rsidP="00A92422">
      <w:pPr>
        <w:pStyle w:val="AppendixBulletIndent"/>
        <w:numPr>
          <w:ilvl w:val="0"/>
          <w:numId w:val="32"/>
        </w:numPr>
        <w:tabs>
          <w:tab w:val="left" w:pos="1440"/>
        </w:tabs>
        <w:spacing w:after="60"/>
        <w:ind w:left="1440" w:right="720"/>
        <w:rPr>
          <w:rFonts w:ascii="Tahoma" w:hAnsi="Tahoma" w:cs="Tahoma"/>
        </w:rPr>
      </w:pPr>
      <w:r w:rsidRPr="00D87B79">
        <w:rPr>
          <w:rFonts w:ascii="Tahoma" w:hAnsi="Tahoma" w:cs="Tahoma"/>
          <w:sz w:val="18"/>
          <w:lang w:val="it-IT"/>
        </w:rPr>
        <w:t>Contratto School (solo per ordini buy-out)</w:t>
      </w:r>
    </w:p>
    <w:p w:rsidR="00A92422" w:rsidRPr="00D87B79" w:rsidRDefault="00A92422" w:rsidP="00A92422">
      <w:pPr>
        <w:pStyle w:val="AppendixBulletIndent"/>
        <w:numPr>
          <w:ilvl w:val="0"/>
          <w:numId w:val="32"/>
        </w:numPr>
        <w:tabs>
          <w:tab w:val="left" w:pos="1440"/>
        </w:tabs>
        <w:spacing w:after="60"/>
        <w:ind w:left="1440" w:right="720"/>
        <w:rPr>
          <w:rFonts w:ascii="Tahoma" w:hAnsi="Tahoma" w:cs="Tahoma"/>
        </w:rPr>
      </w:pPr>
      <w:r w:rsidRPr="00D87B79">
        <w:rPr>
          <w:rFonts w:ascii="Tahoma" w:hAnsi="Tahoma" w:cs="Tahoma"/>
          <w:sz w:val="18"/>
          <w:lang w:val="it-IT"/>
        </w:rPr>
        <w:t>EES (solo per ordini buy-out)</w:t>
      </w:r>
    </w:p>
    <w:p w:rsidR="00A92422" w:rsidRPr="00D87B79" w:rsidRDefault="00A92422" w:rsidP="00A92422">
      <w:pPr>
        <w:pStyle w:val="AppendixBulletIndent"/>
        <w:numPr>
          <w:ilvl w:val="0"/>
          <w:numId w:val="32"/>
        </w:numPr>
        <w:tabs>
          <w:tab w:val="left" w:pos="1440"/>
        </w:tabs>
        <w:spacing w:after="60"/>
        <w:ind w:left="1440" w:right="720"/>
        <w:rPr>
          <w:rFonts w:ascii="Tahoma" w:hAnsi="Tahoma" w:cs="Tahoma"/>
        </w:rPr>
      </w:pPr>
      <w:r w:rsidRPr="00D87B79">
        <w:rPr>
          <w:rFonts w:ascii="Tahoma" w:hAnsi="Tahoma" w:cs="Tahoma"/>
          <w:sz w:val="18"/>
          <w:lang w:val="it-IT"/>
        </w:rPr>
        <w:t>Contratto Enterprise Subscription (solo per ordini buy-out)</w:t>
      </w:r>
    </w:p>
    <w:p w:rsidR="00A92422" w:rsidRPr="00D87B79" w:rsidRDefault="00A92422" w:rsidP="00A92422">
      <w:pPr>
        <w:pStyle w:val="AppendixIndent"/>
        <w:ind w:left="0" w:right="720"/>
        <w:rPr>
          <w:rFonts w:ascii="Tahoma" w:hAnsi="Tahoma" w:cs="Tahoma"/>
        </w:rPr>
      </w:pPr>
    </w:p>
    <w:p w:rsidR="00A92422" w:rsidRPr="00D87B79" w:rsidRDefault="00A92422" w:rsidP="00A92422">
      <w:pPr>
        <w:pStyle w:val="AppendixIndent"/>
        <w:ind w:left="0" w:right="720"/>
        <w:rPr>
          <w:rFonts w:ascii="Tahoma" w:hAnsi="Tahoma" w:cs="Tahoma"/>
        </w:rPr>
      </w:pPr>
      <w:r w:rsidRPr="00D87B79">
        <w:rPr>
          <w:rFonts w:ascii="Tahoma" w:hAnsi="Tahoma" w:cs="Tahoma"/>
          <w:sz w:val="18"/>
          <w:lang w:val="it-IT"/>
        </w:rPr>
        <w:t>La Società dovrà disporre di una licenza qualificante per il sistema operativo del desktop prima di acquistare la licenza Windows Desktop Operating System Upgrade (Licenza di aggiornamento).</w:t>
      </w:r>
      <w:r w:rsidRPr="00D87B79">
        <w:rPr>
          <w:rFonts w:ascii="Tahoma" w:hAnsi="Tahoma" w:cs="Tahoma"/>
          <w:sz w:val="18"/>
        </w:rPr>
        <w:t xml:space="preserve"> </w:t>
      </w:r>
      <w:r w:rsidRPr="00D87B79">
        <w:rPr>
          <w:rFonts w:ascii="Tahoma" w:hAnsi="Tahoma" w:cs="Tahoma"/>
          <w:sz w:val="18"/>
          <w:lang w:val="it-IT"/>
        </w:rPr>
        <w:t>Nella sezione dei Prodotti Sistemi è disponibile un elenco dei sistemi operativi qualificanti per desktop,</w:t>
      </w:r>
      <w:r w:rsidRPr="00D87B79">
        <w:rPr>
          <w:rFonts w:ascii="Tahoma" w:hAnsi="Tahoma" w:cs="Tahoma"/>
        </w:rPr>
        <w:t xml:space="preserve"> </w:t>
      </w:r>
      <w:r w:rsidRPr="00D87B79">
        <w:rPr>
          <w:rFonts w:ascii="Tahoma" w:hAnsi="Tahoma" w:cs="Tahoma"/>
          <w:sz w:val="18"/>
          <w:lang w:val="it-IT"/>
        </w:rPr>
        <w:t>che varia in base al</w:t>
      </w:r>
      <w:r>
        <w:rPr>
          <w:rFonts w:ascii="Tahoma" w:hAnsi="Tahoma" w:cs="Tahoma"/>
          <w:sz w:val="18"/>
          <w:lang w:val="it-IT"/>
        </w:rPr>
        <w:t> </w:t>
      </w:r>
      <w:r w:rsidRPr="00D87B79">
        <w:rPr>
          <w:rFonts w:ascii="Tahoma" w:hAnsi="Tahoma" w:cs="Tahoma"/>
          <w:sz w:val="18"/>
          <w:lang w:val="it-IT"/>
        </w:rPr>
        <w:t>programma e all’ordine.</w:t>
      </w:r>
    </w:p>
    <w:p w:rsidR="00A92422" w:rsidRPr="00965975" w:rsidRDefault="00A92422" w:rsidP="00A92422">
      <w:pPr>
        <w:pStyle w:val="Heading2"/>
        <w:ind w:left="0" w:right="720"/>
        <w:rPr>
          <w:rFonts w:ascii="Tahoma" w:hAnsi="Tahoma" w:cs="Tahoma"/>
          <w:sz w:val="18"/>
          <w:szCs w:val="18"/>
        </w:rPr>
      </w:pPr>
    </w:p>
    <w:p w:rsidR="00A92422" w:rsidRPr="00965975" w:rsidRDefault="00A92422" w:rsidP="00A92422">
      <w:pPr>
        <w:pStyle w:val="Heading2"/>
        <w:ind w:left="0" w:right="720"/>
        <w:rPr>
          <w:rFonts w:ascii="Tahoma" w:hAnsi="Tahoma" w:cs="Tahoma"/>
          <w:sz w:val="18"/>
          <w:szCs w:val="18"/>
        </w:rPr>
      </w:pPr>
      <w:bookmarkStart w:id="778" w:name="_Toc323819654"/>
    </w:p>
    <w:p w:rsidR="00A92422" w:rsidRPr="00D87B79" w:rsidRDefault="00A92422" w:rsidP="00A92422">
      <w:pPr>
        <w:pStyle w:val="Heading2"/>
        <w:ind w:left="0" w:right="720"/>
        <w:rPr>
          <w:rFonts w:ascii="Tahoma" w:hAnsi="Tahoma" w:cs="Tahoma"/>
        </w:rPr>
      </w:pPr>
      <w:bookmarkStart w:id="779" w:name="_Toc336338205"/>
      <w:bookmarkStart w:id="780" w:name="_Toc342900257"/>
      <w:bookmarkEnd w:id="778"/>
      <w:bookmarkEnd w:id="779"/>
      <w:r w:rsidRPr="00D87B79">
        <w:rPr>
          <w:rFonts w:ascii="Tahoma" w:hAnsi="Tahoma" w:cs="Tahoma"/>
          <w:lang w:val="it-IT"/>
        </w:rPr>
        <w:t>Aggiornamento e Software Assurance</w:t>
      </w:r>
      <w:bookmarkEnd w:id="780"/>
      <w:r w:rsidRPr="00D87B79">
        <w:rPr>
          <w:rFonts w:ascii="Tahoma" w:hAnsi="Tahoma" w:cs="Tahoma"/>
        </w:rPr>
        <w:t xml:space="preserve"> </w:t>
      </w:r>
    </w:p>
    <w:p w:rsidR="00A92422" w:rsidRPr="00D87B79" w:rsidRDefault="00A92422" w:rsidP="00A92422">
      <w:pPr>
        <w:ind w:right="720"/>
        <w:rPr>
          <w:rFonts w:cs="Tahoma"/>
        </w:rPr>
      </w:pPr>
    </w:p>
    <w:p w:rsidR="00A92422" w:rsidRPr="00D87B79" w:rsidRDefault="00A92422" w:rsidP="00A92422">
      <w:pPr>
        <w:pStyle w:val="AppendixIndent"/>
        <w:ind w:left="0" w:right="720"/>
        <w:rPr>
          <w:rFonts w:ascii="Tahoma" w:hAnsi="Tahoma" w:cs="Tahoma"/>
        </w:rPr>
      </w:pPr>
      <w:r w:rsidRPr="00D87B79">
        <w:rPr>
          <w:rFonts w:ascii="Tahoma" w:hAnsi="Tahoma" w:cs="Tahoma"/>
          <w:sz w:val="18"/>
          <w:lang w:val="it-IT"/>
        </w:rPr>
        <w:t>Questo tipo di prodotto è disponibile solo per il Sistema Operativo Desktop Windows, non dipende dalla versione e consente contemporaneamente alle società di acquistare l’Aggiornamento e Software Assurance per il sistema operativo desktop.</w:t>
      </w:r>
      <w:r w:rsidRPr="00D87B79">
        <w:rPr>
          <w:rFonts w:ascii="Tahoma" w:hAnsi="Tahoma" w:cs="Tahoma"/>
        </w:rPr>
        <w:t xml:space="preserve"> </w:t>
      </w:r>
      <w:r w:rsidRPr="00D87B79">
        <w:rPr>
          <w:rFonts w:ascii="Tahoma" w:hAnsi="Tahoma" w:cs="Tahoma"/>
          <w:sz w:val="18"/>
          <w:lang w:val="it-IT"/>
        </w:rPr>
        <w:t>Disponibile nei seguenti programmi:</w:t>
      </w:r>
    </w:p>
    <w:p w:rsidR="00A92422" w:rsidRPr="00D87B79" w:rsidRDefault="00A92422" w:rsidP="00A92422">
      <w:pPr>
        <w:pStyle w:val="AppendixIndent"/>
        <w:spacing w:before="0" w:after="60"/>
        <w:ind w:left="0" w:right="720"/>
        <w:rPr>
          <w:rFonts w:ascii="Tahoma" w:hAnsi="Tahoma" w:cs="Tahoma"/>
        </w:rPr>
      </w:pPr>
    </w:p>
    <w:p w:rsidR="00A92422" w:rsidRPr="00D87B79" w:rsidRDefault="00A92422" w:rsidP="00A92422">
      <w:pPr>
        <w:pStyle w:val="AppendixBulletIndent"/>
        <w:numPr>
          <w:ilvl w:val="0"/>
          <w:numId w:val="33"/>
        </w:numPr>
        <w:tabs>
          <w:tab w:val="clear" w:pos="360"/>
          <w:tab w:val="num" w:pos="1440"/>
        </w:tabs>
        <w:spacing w:after="60"/>
        <w:ind w:left="1440" w:right="720"/>
        <w:rPr>
          <w:rFonts w:ascii="Tahoma" w:hAnsi="Tahoma" w:cs="Tahoma"/>
        </w:rPr>
      </w:pPr>
      <w:r w:rsidRPr="00D87B79">
        <w:rPr>
          <w:rFonts w:ascii="Tahoma" w:hAnsi="Tahoma" w:cs="Tahoma"/>
          <w:sz w:val="18"/>
          <w:lang w:val="it-IT"/>
        </w:rPr>
        <w:t>Licenza Open</w:t>
      </w:r>
    </w:p>
    <w:p w:rsidR="00A92422" w:rsidRPr="00D87B79" w:rsidRDefault="00A92422" w:rsidP="00A92422">
      <w:pPr>
        <w:pStyle w:val="AppendixBulletIndent"/>
        <w:numPr>
          <w:ilvl w:val="0"/>
          <w:numId w:val="33"/>
        </w:numPr>
        <w:tabs>
          <w:tab w:val="clear" w:pos="360"/>
          <w:tab w:val="num" w:pos="1440"/>
        </w:tabs>
        <w:spacing w:after="60"/>
        <w:ind w:left="1440" w:right="720"/>
        <w:rPr>
          <w:rFonts w:ascii="Tahoma" w:hAnsi="Tahoma" w:cs="Tahoma"/>
        </w:rPr>
      </w:pPr>
      <w:r w:rsidRPr="00D87B79">
        <w:rPr>
          <w:rFonts w:ascii="Tahoma" w:hAnsi="Tahoma" w:cs="Tahoma"/>
          <w:sz w:val="18"/>
          <w:lang w:val="it-IT"/>
        </w:rPr>
        <w:t>Open Value</w:t>
      </w:r>
    </w:p>
    <w:p w:rsidR="00A92422" w:rsidRPr="00D87B79" w:rsidRDefault="00A92422" w:rsidP="00A92422">
      <w:pPr>
        <w:pStyle w:val="AppendixBulletIndent"/>
        <w:numPr>
          <w:ilvl w:val="0"/>
          <w:numId w:val="33"/>
        </w:numPr>
        <w:tabs>
          <w:tab w:val="clear" w:pos="360"/>
          <w:tab w:val="num" w:pos="1440"/>
        </w:tabs>
        <w:spacing w:after="60"/>
        <w:ind w:left="1440" w:right="720"/>
        <w:rPr>
          <w:rFonts w:ascii="Tahoma" w:hAnsi="Tahoma" w:cs="Tahoma"/>
        </w:rPr>
      </w:pPr>
      <w:r w:rsidRPr="00D87B79">
        <w:rPr>
          <w:rFonts w:ascii="Tahoma" w:hAnsi="Tahoma" w:cs="Tahoma"/>
          <w:sz w:val="18"/>
          <w:lang w:val="it-IT"/>
        </w:rPr>
        <w:t>Open Value Subscription</w:t>
      </w:r>
    </w:p>
    <w:p w:rsidR="00A92422" w:rsidRPr="00D87B79" w:rsidRDefault="00A92422" w:rsidP="00A92422">
      <w:pPr>
        <w:pStyle w:val="AppendixBulletIndent"/>
        <w:numPr>
          <w:ilvl w:val="0"/>
          <w:numId w:val="33"/>
        </w:numPr>
        <w:tabs>
          <w:tab w:val="clear" w:pos="360"/>
          <w:tab w:val="num" w:pos="1440"/>
        </w:tabs>
        <w:spacing w:after="60"/>
        <w:ind w:left="1440" w:right="720"/>
        <w:rPr>
          <w:rFonts w:ascii="Tahoma" w:hAnsi="Tahoma" w:cs="Tahoma"/>
        </w:rPr>
      </w:pPr>
      <w:r w:rsidRPr="00D87B79">
        <w:rPr>
          <w:rFonts w:ascii="Tahoma" w:hAnsi="Tahoma" w:cs="Tahoma"/>
          <w:sz w:val="18"/>
          <w:lang w:val="it-IT"/>
        </w:rPr>
        <w:t>Select</w:t>
      </w:r>
      <w:r w:rsidRPr="00D87B79">
        <w:rPr>
          <w:rFonts w:ascii="Tahoma" w:hAnsi="Tahoma" w:cs="Tahoma"/>
        </w:rPr>
        <w:t xml:space="preserve"> </w:t>
      </w:r>
    </w:p>
    <w:p w:rsidR="00A92422" w:rsidRPr="00D87B79" w:rsidRDefault="00A92422" w:rsidP="00A92422">
      <w:pPr>
        <w:pStyle w:val="AppendixBulletIndent"/>
        <w:numPr>
          <w:ilvl w:val="0"/>
          <w:numId w:val="33"/>
        </w:numPr>
        <w:tabs>
          <w:tab w:val="clear" w:pos="360"/>
          <w:tab w:val="num" w:pos="1440"/>
        </w:tabs>
        <w:spacing w:after="60"/>
        <w:ind w:left="1440" w:right="720"/>
        <w:rPr>
          <w:rFonts w:ascii="Tahoma" w:hAnsi="Tahoma" w:cs="Tahoma"/>
        </w:rPr>
      </w:pPr>
      <w:r w:rsidRPr="00D87B79">
        <w:rPr>
          <w:rFonts w:ascii="Tahoma" w:hAnsi="Tahoma" w:cs="Tahoma"/>
          <w:sz w:val="18"/>
          <w:lang w:val="it-IT"/>
        </w:rPr>
        <w:t>Select Plus</w:t>
      </w:r>
    </w:p>
    <w:p w:rsidR="00A92422" w:rsidRPr="00D87B79" w:rsidRDefault="00A92422" w:rsidP="00A92422">
      <w:pPr>
        <w:pStyle w:val="AppendixBulletIndent"/>
        <w:numPr>
          <w:ilvl w:val="0"/>
          <w:numId w:val="33"/>
        </w:numPr>
        <w:tabs>
          <w:tab w:val="clear" w:pos="360"/>
          <w:tab w:val="num" w:pos="1440"/>
        </w:tabs>
        <w:spacing w:after="60"/>
        <w:ind w:left="1440" w:right="720"/>
        <w:rPr>
          <w:rFonts w:ascii="Tahoma" w:hAnsi="Tahoma" w:cs="Tahoma"/>
        </w:rPr>
      </w:pPr>
      <w:r w:rsidRPr="00D87B79">
        <w:rPr>
          <w:rFonts w:ascii="Tahoma" w:hAnsi="Tahoma" w:cs="Tahoma"/>
          <w:sz w:val="18"/>
          <w:lang w:val="it-IT"/>
        </w:rPr>
        <w:t>School</w:t>
      </w:r>
    </w:p>
    <w:p w:rsidR="00A92422" w:rsidRPr="00D87B79" w:rsidRDefault="00A92422" w:rsidP="00A92422">
      <w:pPr>
        <w:pStyle w:val="AppendixBulletIndent"/>
        <w:numPr>
          <w:ilvl w:val="0"/>
          <w:numId w:val="33"/>
        </w:numPr>
        <w:tabs>
          <w:tab w:val="clear" w:pos="360"/>
          <w:tab w:val="num" w:pos="1440"/>
        </w:tabs>
        <w:spacing w:after="60"/>
        <w:ind w:left="1440" w:right="720"/>
        <w:rPr>
          <w:rFonts w:ascii="Tahoma" w:hAnsi="Tahoma" w:cs="Tahoma"/>
        </w:rPr>
      </w:pPr>
      <w:r w:rsidRPr="00D87B79">
        <w:rPr>
          <w:rFonts w:ascii="Tahoma" w:hAnsi="Tahoma" w:cs="Tahoma"/>
          <w:sz w:val="18"/>
          <w:lang w:val="it-IT"/>
        </w:rPr>
        <w:t>ESS</w:t>
      </w:r>
    </w:p>
    <w:p w:rsidR="00A92422" w:rsidRPr="00D87B79" w:rsidRDefault="00A92422" w:rsidP="00A92422">
      <w:pPr>
        <w:pStyle w:val="AppendixBulletIndent"/>
        <w:numPr>
          <w:ilvl w:val="0"/>
          <w:numId w:val="33"/>
        </w:numPr>
        <w:tabs>
          <w:tab w:val="clear" w:pos="360"/>
          <w:tab w:val="num" w:pos="1440"/>
        </w:tabs>
        <w:spacing w:after="60"/>
        <w:ind w:left="1440" w:right="720"/>
        <w:rPr>
          <w:rFonts w:ascii="Tahoma" w:hAnsi="Tahoma" w:cs="Tahoma"/>
        </w:rPr>
      </w:pPr>
      <w:r w:rsidRPr="00D87B79">
        <w:rPr>
          <w:rFonts w:ascii="Tahoma" w:hAnsi="Tahoma" w:cs="Tahoma"/>
          <w:sz w:val="18"/>
          <w:lang w:val="it-IT"/>
        </w:rPr>
        <w:t>Contratto Enterprise</w:t>
      </w:r>
    </w:p>
    <w:p w:rsidR="00A92422" w:rsidRPr="00D87B79" w:rsidRDefault="00A92422" w:rsidP="00A92422">
      <w:pPr>
        <w:pStyle w:val="AppendixBulletIndent"/>
        <w:numPr>
          <w:ilvl w:val="0"/>
          <w:numId w:val="33"/>
        </w:numPr>
        <w:tabs>
          <w:tab w:val="clear" w:pos="360"/>
          <w:tab w:val="num" w:pos="1440"/>
        </w:tabs>
        <w:spacing w:after="60"/>
        <w:ind w:left="1440" w:right="720"/>
        <w:rPr>
          <w:rFonts w:ascii="Tahoma" w:hAnsi="Tahoma" w:cs="Tahoma"/>
        </w:rPr>
      </w:pPr>
      <w:r w:rsidRPr="00D87B79">
        <w:rPr>
          <w:rFonts w:ascii="Tahoma" w:hAnsi="Tahoma" w:cs="Tahoma"/>
          <w:sz w:val="18"/>
          <w:lang w:val="it-IT"/>
        </w:rPr>
        <w:t>Contratto Enterprise Subscription</w:t>
      </w:r>
    </w:p>
    <w:p w:rsidR="00A92422" w:rsidRPr="00D87B79" w:rsidRDefault="00A92422" w:rsidP="00A92422">
      <w:pPr>
        <w:pStyle w:val="AppendixIndent"/>
        <w:ind w:left="0" w:right="720"/>
        <w:rPr>
          <w:rFonts w:ascii="Tahoma" w:hAnsi="Tahoma" w:cs="Tahoma"/>
        </w:rPr>
      </w:pPr>
    </w:p>
    <w:p w:rsidR="00A92422" w:rsidRPr="00D87B79" w:rsidRDefault="00A92422" w:rsidP="00A92422">
      <w:pPr>
        <w:pStyle w:val="AppendixIndent"/>
        <w:ind w:left="0" w:right="720"/>
        <w:rPr>
          <w:rFonts w:ascii="Tahoma" w:hAnsi="Tahoma" w:cs="Tahoma"/>
        </w:rPr>
      </w:pPr>
      <w:r w:rsidRPr="00D87B79">
        <w:rPr>
          <w:rFonts w:ascii="Tahoma" w:hAnsi="Tahoma" w:cs="Tahoma"/>
          <w:sz w:val="18"/>
          <w:lang w:val="it-IT"/>
        </w:rPr>
        <w:t>La Società dovrà disporre della licenza qualificante per il sistema operativo del desktop prima di acquistare l’Aggiornamento.</w:t>
      </w:r>
      <w:r w:rsidRPr="00D87B79">
        <w:rPr>
          <w:rFonts w:ascii="Tahoma" w:hAnsi="Tahoma" w:cs="Tahoma"/>
        </w:rPr>
        <w:t xml:space="preserve"> </w:t>
      </w:r>
      <w:r w:rsidRPr="00D87B79">
        <w:rPr>
          <w:rFonts w:ascii="Tahoma" w:hAnsi="Tahoma" w:cs="Tahoma"/>
          <w:sz w:val="18"/>
          <w:lang w:val="it-IT"/>
        </w:rPr>
        <w:t>Software Assurance dovrà essere acquistata al momento dell’acquisto dell’Aggiornamento corrispondente, tranne nei programmi “Subscription” che prevedono l’acquisto dell’aggiornamento al rinnovo di un periodo di validità della copertura Software Assurance in essere.</w:t>
      </w:r>
    </w:p>
    <w:p w:rsidR="00A92422" w:rsidRPr="00965975" w:rsidRDefault="00A92422" w:rsidP="00A92422">
      <w:pPr>
        <w:pStyle w:val="AppendixIndent"/>
        <w:spacing w:before="0"/>
        <w:ind w:left="0" w:right="720"/>
        <w:rPr>
          <w:rFonts w:ascii="Tahoma" w:hAnsi="Tahoma" w:cs="Tahoma"/>
          <w:sz w:val="18"/>
          <w:szCs w:val="18"/>
        </w:rPr>
      </w:pPr>
    </w:p>
    <w:p w:rsidR="00A92422" w:rsidRPr="00D87B79" w:rsidRDefault="00A92422" w:rsidP="00A92422">
      <w:pPr>
        <w:pStyle w:val="Heading2"/>
        <w:ind w:left="0" w:right="720"/>
        <w:rPr>
          <w:rFonts w:ascii="Tahoma" w:hAnsi="Tahoma" w:cs="Tahoma"/>
        </w:rPr>
      </w:pPr>
      <w:bookmarkStart w:id="781" w:name="_Toc323819656"/>
      <w:bookmarkStart w:id="782" w:name="_Toc336338206"/>
      <w:bookmarkStart w:id="783" w:name="_Toc342900258"/>
      <w:bookmarkEnd w:id="781"/>
      <w:bookmarkEnd w:id="782"/>
      <w:r w:rsidRPr="00D87B79">
        <w:rPr>
          <w:rFonts w:ascii="Tahoma" w:hAnsi="Tahoma" w:cs="Tahoma"/>
          <w:lang w:val="it-IT"/>
        </w:rPr>
        <w:t>Licenze Work at Home</w:t>
      </w:r>
      <w:bookmarkEnd w:id="783"/>
    </w:p>
    <w:p w:rsidR="00A92422" w:rsidRPr="00D87B79" w:rsidRDefault="00A92422" w:rsidP="00A92422">
      <w:pPr>
        <w:ind w:right="720"/>
        <w:rPr>
          <w:rFonts w:cs="Tahoma"/>
        </w:rPr>
      </w:pPr>
    </w:p>
    <w:p w:rsidR="00A92422" w:rsidRPr="00D87B79" w:rsidRDefault="00A92422" w:rsidP="00A92422">
      <w:pPr>
        <w:pStyle w:val="AppendixIndent"/>
        <w:ind w:left="0" w:right="720"/>
        <w:rPr>
          <w:rFonts w:ascii="Tahoma" w:hAnsi="Tahoma" w:cs="Tahoma"/>
        </w:rPr>
      </w:pPr>
      <w:r w:rsidRPr="00D87B79">
        <w:rPr>
          <w:rFonts w:ascii="Tahoma" w:hAnsi="Tahoma" w:cs="Tahoma"/>
          <w:sz w:val="18"/>
          <w:lang w:val="it-IT"/>
        </w:rPr>
        <w:t>Disponibile nei seguenti programmi:</w:t>
      </w:r>
    </w:p>
    <w:p w:rsidR="00A92422" w:rsidRPr="00965975" w:rsidRDefault="00A92422" w:rsidP="00A92422">
      <w:pPr>
        <w:pStyle w:val="AppendixBulletIndent"/>
        <w:ind w:left="0" w:right="720" w:firstLine="0"/>
        <w:rPr>
          <w:rFonts w:ascii="Tahoma" w:hAnsi="Tahoma" w:cs="Tahoma"/>
          <w:sz w:val="18"/>
          <w:szCs w:val="18"/>
        </w:rPr>
      </w:pPr>
    </w:p>
    <w:p w:rsidR="00A92422" w:rsidRPr="00D87B79" w:rsidRDefault="00A92422" w:rsidP="00A92422">
      <w:pPr>
        <w:pStyle w:val="AppendixBulletIndent"/>
        <w:numPr>
          <w:ilvl w:val="0"/>
          <w:numId w:val="35"/>
        </w:numPr>
        <w:tabs>
          <w:tab w:val="clear" w:pos="360"/>
          <w:tab w:val="num" w:pos="1440"/>
        </w:tabs>
        <w:spacing w:after="60"/>
        <w:ind w:left="1440" w:right="720"/>
        <w:rPr>
          <w:rFonts w:ascii="Tahoma" w:hAnsi="Tahoma" w:cs="Tahoma"/>
        </w:rPr>
      </w:pPr>
      <w:r w:rsidRPr="00D87B79">
        <w:rPr>
          <w:rFonts w:ascii="Tahoma" w:hAnsi="Tahoma" w:cs="Tahoma"/>
          <w:sz w:val="18"/>
          <w:lang w:val="it-IT"/>
        </w:rPr>
        <w:t>Select</w:t>
      </w:r>
      <w:r w:rsidRPr="00D87B79">
        <w:rPr>
          <w:rFonts w:ascii="Tahoma" w:hAnsi="Tahoma" w:cs="Tahoma"/>
        </w:rPr>
        <w:t xml:space="preserve"> </w:t>
      </w:r>
    </w:p>
    <w:p w:rsidR="00A92422" w:rsidRPr="00D87B79" w:rsidRDefault="00A92422" w:rsidP="00A92422">
      <w:pPr>
        <w:pStyle w:val="AppendixBulletIndent"/>
        <w:numPr>
          <w:ilvl w:val="0"/>
          <w:numId w:val="35"/>
        </w:numPr>
        <w:tabs>
          <w:tab w:val="clear" w:pos="360"/>
          <w:tab w:val="num" w:pos="1440"/>
        </w:tabs>
        <w:spacing w:after="60"/>
        <w:ind w:left="1440" w:right="720"/>
        <w:rPr>
          <w:rFonts w:ascii="Tahoma" w:hAnsi="Tahoma" w:cs="Tahoma"/>
        </w:rPr>
      </w:pPr>
      <w:r w:rsidRPr="00D87B79">
        <w:rPr>
          <w:rFonts w:ascii="Tahoma" w:hAnsi="Tahoma" w:cs="Tahoma"/>
          <w:sz w:val="18"/>
          <w:lang w:val="it-IT"/>
        </w:rPr>
        <w:t>Select Plus</w:t>
      </w:r>
    </w:p>
    <w:p w:rsidR="00A92422" w:rsidRPr="00D87B79" w:rsidRDefault="00A92422" w:rsidP="00A92422">
      <w:pPr>
        <w:pStyle w:val="AppendixBulletIndent"/>
        <w:numPr>
          <w:ilvl w:val="0"/>
          <w:numId w:val="35"/>
        </w:numPr>
        <w:tabs>
          <w:tab w:val="clear" w:pos="360"/>
          <w:tab w:val="num" w:pos="1440"/>
        </w:tabs>
        <w:spacing w:after="60"/>
        <w:ind w:left="1440" w:right="720"/>
        <w:rPr>
          <w:rFonts w:ascii="Tahoma" w:hAnsi="Tahoma" w:cs="Tahoma"/>
        </w:rPr>
      </w:pPr>
      <w:r w:rsidRPr="00D87B79">
        <w:rPr>
          <w:rFonts w:ascii="Tahoma" w:hAnsi="Tahoma" w:cs="Tahoma"/>
          <w:sz w:val="18"/>
          <w:lang w:val="it-IT"/>
        </w:rPr>
        <w:t>Contratto Enterprise</w:t>
      </w:r>
    </w:p>
    <w:p w:rsidR="00A92422" w:rsidRPr="00965975" w:rsidRDefault="00A92422" w:rsidP="00A92422">
      <w:pPr>
        <w:pStyle w:val="AppendixBulletIndent"/>
        <w:ind w:left="0" w:right="720" w:firstLine="0"/>
        <w:rPr>
          <w:rFonts w:ascii="Tahoma" w:hAnsi="Tahoma" w:cs="Tahoma"/>
          <w:sz w:val="18"/>
          <w:szCs w:val="18"/>
        </w:rPr>
      </w:pPr>
    </w:p>
    <w:p w:rsidR="00A92422" w:rsidRDefault="00A92422" w:rsidP="00A92422">
      <w:pPr>
        <w:rPr>
          <w:rFonts w:cs="Tahoma"/>
        </w:rPr>
      </w:pPr>
      <w:r w:rsidRPr="00D87B79">
        <w:rPr>
          <w:rFonts w:cs="Tahoma"/>
          <w:lang w:val="it-IT"/>
        </w:rPr>
        <w:lastRenderedPageBreak/>
        <w:t>Una licenza Work at Home potrà essere acquistata solo insieme a un prodotto autorizzato a essere eseguito su un desktop At Work.</w:t>
      </w:r>
      <w:r w:rsidRPr="00D87B79">
        <w:rPr>
          <w:rFonts w:cs="Tahoma"/>
        </w:rPr>
        <w:t xml:space="preserve"> </w:t>
      </w:r>
      <w:r w:rsidRPr="00D87B79">
        <w:rPr>
          <w:rFonts w:cs="Tahoma"/>
          <w:lang w:val="it-IT"/>
        </w:rPr>
        <w:t>L’offerta Work at Home non è un’offerta di un piano di acquisti per dipendenti.</w:t>
      </w:r>
      <w:r w:rsidRPr="00D87B79">
        <w:rPr>
          <w:rFonts w:cs="Tahoma"/>
        </w:rPr>
        <w:t xml:space="preserve"> </w:t>
      </w:r>
      <w:r w:rsidRPr="00D87B79">
        <w:rPr>
          <w:rFonts w:cs="Tahoma"/>
          <w:lang w:val="it-IT"/>
        </w:rPr>
        <w:t>La società con licenza Select, Select Plus o con Contratto Enterprise (non il dipendente) mantiene i diritti sulla licenza Work at Home.</w:t>
      </w:r>
      <w:r w:rsidRPr="00D87B79">
        <w:rPr>
          <w:rFonts w:cs="Tahoma"/>
        </w:rPr>
        <w:t xml:space="preserve"> </w:t>
      </w:r>
      <w:r w:rsidRPr="00D87B79">
        <w:rPr>
          <w:rFonts w:cs="Tahoma"/>
          <w:lang w:val="it-IT"/>
        </w:rPr>
        <w:t>Per i diritti relativi alla licenza Work at Home di cui dispongono gli istituti accademici idonei, fare riferimento al</w:t>
      </w:r>
      <w:r>
        <w:rPr>
          <w:rFonts w:cs="Tahoma"/>
          <w:lang w:val="it-IT"/>
        </w:rPr>
        <w:t> </w:t>
      </w:r>
      <w:r w:rsidRPr="00D87B79">
        <w:rPr>
          <w:rFonts w:cs="Tahoma"/>
          <w:lang w:val="it-IT"/>
        </w:rPr>
        <w:t>Contratto/iscrizione.</w:t>
      </w:r>
      <w:r w:rsidRPr="00D87B79">
        <w:rPr>
          <w:rFonts w:cs="Tahoma"/>
        </w:rPr>
        <w:t xml:space="preserve"> </w:t>
      </w:r>
    </w:p>
    <w:p w:rsidR="00A92422" w:rsidRDefault="00A92422" w:rsidP="00A92422">
      <w:pPr>
        <w:rPr>
          <w:rFonts w:cs="Tahoma"/>
        </w:rPr>
        <w:sectPr w:rsidR="00A92422" w:rsidSect="0073455A">
          <w:endnotePr>
            <w:numFmt w:val="decimal"/>
          </w:endnotePr>
          <w:pgSz w:w="12240" w:h="15840" w:code="1"/>
          <w:pgMar w:top="1166" w:right="1440" w:bottom="720" w:left="1440" w:header="720" w:footer="720" w:gutter="0"/>
          <w:cols w:space="720"/>
          <w:docGrid w:linePitch="360"/>
        </w:sectPr>
      </w:pPr>
    </w:p>
    <w:p w:rsidR="00A92422" w:rsidRPr="00D87B79" w:rsidRDefault="00A92422" w:rsidP="00A92422">
      <w:pPr>
        <w:pStyle w:val="Heading1"/>
      </w:pPr>
      <w:bookmarkStart w:id="784" w:name="_Section_5_–"/>
      <w:bookmarkStart w:id="785" w:name="_ARTICOLO_5_–"/>
      <w:bookmarkStart w:id="786" w:name="_Toc336338207"/>
      <w:bookmarkStart w:id="787" w:name="Sect5_OnlineServices"/>
      <w:bookmarkStart w:id="788" w:name="_Toc342900259"/>
      <w:bookmarkEnd w:id="784"/>
      <w:bookmarkEnd w:id="785"/>
      <w:bookmarkEnd w:id="786"/>
      <w:bookmarkEnd w:id="787"/>
      <w:r w:rsidRPr="00D87B79">
        <w:lastRenderedPageBreak/>
        <w:t>ARTICOLO 5</w:t>
      </w:r>
      <w:r>
        <w:t xml:space="preserve"> – </w:t>
      </w:r>
      <w:r w:rsidRPr="00D87B79">
        <w:t>Prezzi dei Servizi Online e</w:t>
      </w:r>
      <w:r>
        <w:t> </w:t>
      </w:r>
      <w:r w:rsidRPr="00D87B79">
        <w:t>Condizioni di Pagamento</w:t>
      </w:r>
      <w:bookmarkEnd w:id="788"/>
    </w:p>
    <w:p w:rsidR="00A92422" w:rsidRPr="00D87B79" w:rsidRDefault="00A92422" w:rsidP="00A92422">
      <w:pPr>
        <w:outlineLvl w:val="2"/>
        <w:rPr>
          <w:rFonts w:cs="Tahoma"/>
        </w:rPr>
      </w:pPr>
    </w:p>
    <w:p w:rsidR="00A92422" w:rsidRPr="00D87B79" w:rsidRDefault="00A92422" w:rsidP="00A92422">
      <w:pPr>
        <w:outlineLvl w:val="2"/>
        <w:rPr>
          <w:rFonts w:cs="Tahoma"/>
        </w:rPr>
      </w:pPr>
      <w:r w:rsidRPr="00D87B79">
        <w:rPr>
          <w:rFonts w:cs="Tahoma"/>
          <w:szCs w:val="18"/>
          <w:lang w:val="it-IT"/>
        </w:rPr>
        <w:t>I Servizi Online sono prodotti, che includono software con servizi, disponibili con la formula cosiddetta “subscription” nella modalità descritta nei Diritti di Utilizzo del Prodotto e forniti online.</w:t>
      </w:r>
      <w:r w:rsidRPr="00D87B79">
        <w:rPr>
          <w:rFonts w:cs="Tahoma"/>
        </w:rPr>
        <w:t xml:space="preserve"> </w:t>
      </w:r>
      <w:r w:rsidRPr="00D87B79">
        <w:rPr>
          <w:rFonts w:cs="Tahoma"/>
          <w:lang w:val="it-IT"/>
        </w:rPr>
        <w:t>Alcuni contratti Volume License indirizzano le</w:t>
      </w:r>
      <w:r>
        <w:rPr>
          <w:rFonts w:cs="Tahoma"/>
          <w:lang w:val="it-IT"/>
        </w:rPr>
        <w:t> </w:t>
      </w:r>
      <w:r w:rsidRPr="00D87B79">
        <w:rPr>
          <w:rFonts w:cs="Tahoma"/>
          <w:lang w:val="it-IT"/>
        </w:rPr>
        <w:t>società alla Lista dei Prodotti per un elenco di “Servizi Online” disponibili. Ai fini di tale riferimento, i Servizi Online</w:t>
      </w:r>
      <w:r>
        <w:rPr>
          <w:rFonts w:cs="Tahoma"/>
          <w:lang w:val="it-IT"/>
        </w:rPr>
        <w:t> </w:t>
      </w:r>
      <w:r w:rsidRPr="00D87B79">
        <w:rPr>
          <w:rFonts w:cs="Tahoma"/>
          <w:lang w:val="it-IT"/>
        </w:rPr>
        <w:t>includono:</w:t>
      </w:r>
    </w:p>
    <w:p w:rsidR="00A92422" w:rsidRPr="00D87B79" w:rsidRDefault="00A92422" w:rsidP="00A92422">
      <w:pPr>
        <w:outlineLvl w:val="2"/>
        <w:rPr>
          <w:rFonts w:cs="Tahoma"/>
        </w:rPr>
      </w:pPr>
    </w:p>
    <w:p w:rsidR="00A92422" w:rsidRPr="00D87B79" w:rsidRDefault="00A92422" w:rsidP="00A92422">
      <w:pPr>
        <w:numPr>
          <w:ilvl w:val="0"/>
          <w:numId w:val="39"/>
        </w:numPr>
        <w:spacing w:after="60"/>
        <w:rPr>
          <w:rFonts w:cs="Tahoma"/>
        </w:rPr>
      </w:pPr>
      <w:r w:rsidRPr="00D87B79">
        <w:rPr>
          <w:rFonts w:cs="Tahoma"/>
          <w:color w:val="000000"/>
          <w:lang w:val="it-IT"/>
        </w:rPr>
        <w:t>Dynamics CRM Online</w:t>
      </w:r>
    </w:p>
    <w:p w:rsidR="00A92422" w:rsidRPr="00D87B79" w:rsidRDefault="00A92422" w:rsidP="00A92422">
      <w:pPr>
        <w:numPr>
          <w:ilvl w:val="0"/>
          <w:numId w:val="39"/>
        </w:numPr>
        <w:spacing w:after="60"/>
        <w:rPr>
          <w:rFonts w:cs="Tahoma"/>
        </w:rPr>
      </w:pPr>
      <w:r w:rsidRPr="00D87B79">
        <w:rPr>
          <w:rFonts w:cs="Tahoma"/>
          <w:color w:val="000000"/>
          <w:lang w:val="it-IT"/>
        </w:rPr>
        <w:t>Archiviazione Exchange Online</w:t>
      </w:r>
    </w:p>
    <w:p w:rsidR="00A92422" w:rsidRPr="00D87B79" w:rsidRDefault="00A92422" w:rsidP="00A92422">
      <w:pPr>
        <w:numPr>
          <w:ilvl w:val="0"/>
          <w:numId w:val="39"/>
        </w:numPr>
        <w:spacing w:after="60"/>
        <w:rPr>
          <w:rFonts w:cs="Tahoma"/>
        </w:rPr>
      </w:pPr>
      <w:r w:rsidRPr="00D87B79">
        <w:rPr>
          <w:rFonts w:cs="Tahoma"/>
          <w:color w:val="000000"/>
          <w:lang w:val="it-IT"/>
        </w:rPr>
        <w:t>Chiosco Exchange Online, Piano 1 e Piano 2</w:t>
      </w:r>
      <w:r w:rsidRPr="00D87B79">
        <w:rPr>
          <w:rFonts w:cs="Tahoma"/>
        </w:rPr>
        <w:t xml:space="preserve"> </w:t>
      </w:r>
    </w:p>
    <w:p w:rsidR="00A92422" w:rsidRPr="00D87B79" w:rsidRDefault="00A92422" w:rsidP="00A92422">
      <w:pPr>
        <w:numPr>
          <w:ilvl w:val="0"/>
          <w:numId w:val="39"/>
        </w:numPr>
        <w:spacing w:after="60"/>
        <w:rPr>
          <w:rFonts w:cs="Tahoma"/>
        </w:rPr>
      </w:pPr>
      <w:r w:rsidRPr="00D87B79">
        <w:rPr>
          <w:rFonts w:cs="Tahoma"/>
          <w:color w:val="000000"/>
          <w:lang w:val="it-IT"/>
        </w:rPr>
        <w:t>Lync Online Piano 1, 2 e 3</w:t>
      </w:r>
    </w:p>
    <w:p w:rsidR="00A92422" w:rsidRPr="00D87B79" w:rsidRDefault="00A92422" w:rsidP="00A92422">
      <w:pPr>
        <w:numPr>
          <w:ilvl w:val="0"/>
          <w:numId w:val="39"/>
        </w:numPr>
        <w:spacing w:after="60"/>
        <w:rPr>
          <w:rFonts w:cs="Tahoma"/>
        </w:rPr>
      </w:pPr>
      <w:r w:rsidRPr="00D87B79">
        <w:rPr>
          <w:rFonts w:cs="Tahoma"/>
          <w:color w:val="000000"/>
          <w:lang w:val="it-IT"/>
        </w:rPr>
        <w:t>Microsoft Exchange Hosted Continuity</w:t>
      </w:r>
    </w:p>
    <w:p w:rsidR="00A92422" w:rsidRPr="00D87B79" w:rsidRDefault="00A92422" w:rsidP="00A92422">
      <w:pPr>
        <w:numPr>
          <w:ilvl w:val="0"/>
          <w:numId w:val="39"/>
        </w:numPr>
        <w:spacing w:after="60"/>
        <w:rPr>
          <w:rFonts w:cs="Tahoma"/>
        </w:rPr>
      </w:pPr>
      <w:r w:rsidRPr="00D87B79">
        <w:rPr>
          <w:rFonts w:cs="Tahoma"/>
          <w:color w:val="000000"/>
          <w:lang w:val="it-IT"/>
        </w:rPr>
        <w:t>Microsoft Exchange Hosted Encryption</w:t>
      </w:r>
      <w:r w:rsidRPr="00D87B79">
        <w:rPr>
          <w:rFonts w:cs="Tahoma"/>
        </w:rPr>
        <w:t xml:space="preserve"> </w:t>
      </w:r>
    </w:p>
    <w:p w:rsidR="00A92422" w:rsidRPr="00D87B79" w:rsidRDefault="00A92422" w:rsidP="00A92422">
      <w:pPr>
        <w:numPr>
          <w:ilvl w:val="0"/>
          <w:numId w:val="39"/>
        </w:numPr>
        <w:spacing w:after="60"/>
        <w:rPr>
          <w:rFonts w:cs="Tahoma"/>
        </w:rPr>
      </w:pPr>
      <w:r w:rsidRPr="00D87B79">
        <w:rPr>
          <w:rFonts w:cs="Tahoma"/>
          <w:color w:val="000000"/>
          <w:lang w:val="it-IT"/>
        </w:rPr>
        <w:t>Office 365 Piano K1, K1, E1, E2, E3 ed E4</w:t>
      </w:r>
    </w:p>
    <w:p w:rsidR="00A92422" w:rsidRPr="00D87B79" w:rsidRDefault="00A92422" w:rsidP="00A92422">
      <w:pPr>
        <w:numPr>
          <w:ilvl w:val="0"/>
          <w:numId w:val="39"/>
        </w:numPr>
        <w:spacing w:after="60"/>
        <w:rPr>
          <w:rFonts w:cs="Tahoma"/>
        </w:rPr>
      </w:pPr>
      <w:r w:rsidRPr="00D87B79">
        <w:rPr>
          <w:rFonts w:cs="Tahoma"/>
          <w:color w:val="000000"/>
          <w:lang w:val="it-IT"/>
        </w:rPr>
        <w:t>Lync Server Public Instant Messaging Connectivity con America Online (AOL) Instant Messaging Service e Windows Live Messenger Service</w:t>
      </w:r>
    </w:p>
    <w:p w:rsidR="00A92422" w:rsidRPr="00D87B79" w:rsidRDefault="00A92422" w:rsidP="00A92422">
      <w:pPr>
        <w:numPr>
          <w:ilvl w:val="0"/>
          <w:numId w:val="39"/>
        </w:numPr>
        <w:spacing w:after="60"/>
        <w:rPr>
          <w:rFonts w:cs="Tahoma"/>
        </w:rPr>
      </w:pPr>
      <w:r w:rsidRPr="00D87B79">
        <w:rPr>
          <w:rFonts w:cs="Tahoma"/>
          <w:color w:val="000000"/>
          <w:lang w:val="it-IT"/>
        </w:rPr>
        <w:t>Lync Server Public Instant Messaging Connectivity con il Servizio Yahoo Instant Messaging</w:t>
      </w:r>
      <w:r w:rsidRPr="00D87B79">
        <w:rPr>
          <w:rFonts w:cs="Tahoma"/>
        </w:rPr>
        <w:t xml:space="preserve"> </w:t>
      </w:r>
    </w:p>
    <w:p w:rsidR="00A92422" w:rsidRPr="00D87B79" w:rsidRDefault="00A92422" w:rsidP="00A92422">
      <w:pPr>
        <w:numPr>
          <w:ilvl w:val="0"/>
          <w:numId w:val="39"/>
        </w:numPr>
        <w:spacing w:after="60"/>
        <w:rPr>
          <w:rFonts w:cs="Tahoma"/>
        </w:rPr>
      </w:pPr>
      <w:r w:rsidRPr="00D87B79">
        <w:rPr>
          <w:rFonts w:cs="Tahoma"/>
          <w:color w:val="000000"/>
          <w:lang w:val="it-IT"/>
        </w:rPr>
        <w:t>Office Groove Enterprise Services</w:t>
      </w:r>
      <w:r w:rsidRPr="00D87B79">
        <w:rPr>
          <w:rFonts w:cs="Tahoma"/>
        </w:rPr>
        <w:t xml:space="preserve"> </w:t>
      </w:r>
    </w:p>
    <w:p w:rsidR="00A92422" w:rsidRPr="00D87B79" w:rsidRDefault="00A92422" w:rsidP="00A92422">
      <w:pPr>
        <w:numPr>
          <w:ilvl w:val="0"/>
          <w:numId w:val="39"/>
        </w:numPr>
        <w:spacing w:after="60"/>
        <w:rPr>
          <w:rFonts w:cs="Tahoma"/>
        </w:rPr>
      </w:pPr>
      <w:r w:rsidRPr="00D87B79">
        <w:rPr>
          <w:rFonts w:cs="Tahoma"/>
          <w:color w:val="000000"/>
          <w:lang w:val="it-IT"/>
        </w:rPr>
        <w:t>Sottoscrizione a Office Professional Plus</w:t>
      </w:r>
    </w:p>
    <w:p w:rsidR="00A92422" w:rsidRPr="00D87B79" w:rsidRDefault="00A92422" w:rsidP="00A92422">
      <w:pPr>
        <w:numPr>
          <w:ilvl w:val="0"/>
          <w:numId w:val="39"/>
        </w:numPr>
        <w:spacing w:after="60"/>
        <w:rPr>
          <w:rFonts w:cs="Tahoma"/>
        </w:rPr>
      </w:pPr>
      <w:r w:rsidRPr="00D87B79">
        <w:rPr>
          <w:rFonts w:cs="Tahoma"/>
          <w:color w:val="000000"/>
          <w:lang w:val="it-IT"/>
        </w:rPr>
        <w:t>Office Live Meeting, Edizioni Standard e Professional</w:t>
      </w:r>
    </w:p>
    <w:p w:rsidR="00A92422" w:rsidRPr="00D87B79" w:rsidRDefault="00A92422" w:rsidP="00A92422">
      <w:pPr>
        <w:numPr>
          <w:ilvl w:val="0"/>
          <w:numId w:val="39"/>
        </w:numPr>
        <w:spacing w:after="60"/>
        <w:rPr>
          <w:rFonts w:cs="Tahoma"/>
        </w:rPr>
      </w:pPr>
      <w:r w:rsidRPr="00D87B79">
        <w:rPr>
          <w:rFonts w:cs="Tahoma"/>
          <w:color w:val="000000"/>
          <w:lang w:val="it-IT"/>
        </w:rPr>
        <w:t>SharePoint Online Piano 1 e Piano 2</w:t>
      </w:r>
      <w:r w:rsidRPr="00D87B79">
        <w:rPr>
          <w:rFonts w:cs="Tahoma"/>
        </w:rPr>
        <w:t xml:space="preserve"> </w:t>
      </w:r>
    </w:p>
    <w:p w:rsidR="00A92422" w:rsidRPr="00D87B79" w:rsidRDefault="00A92422" w:rsidP="00A92422">
      <w:pPr>
        <w:numPr>
          <w:ilvl w:val="0"/>
          <w:numId w:val="39"/>
        </w:numPr>
        <w:spacing w:after="60"/>
        <w:rPr>
          <w:rFonts w:cs="Tahoma"/>
        </w:rPr>
      </w:pPr>
      <w:r w:rsidRPr="00D87B79">
        <w:rPr>
          <w:rFonts w:cs="Tahoma"/>
          <w:color w:val="000000"/>
          <w:lang w:val="it-IT"/>
        </w:rPr>
        <w:t>System Center Advisor</w:t>
      </w:r>
    </w:p>
    <w:p w:rsidR="00A92422" w:rsidRPr="00D87B79" w:rsidRDefault="00A92422" w:rsidP="00A92422">
      <w:pPr>
        <w:numPr>
          <w:ilvl w:val="0"/>
          <w:numId w:val="39"/>
        </w:numPr>
        <w:spacing w:after="60"/>
        <w:rPr>
          <w:rFonts w:cs="Tahoma"/>
        </w:rPr>
      </w:pPr>
      <w:r w:rsidRPr="00D87B79">
        <w:rPr>
          <w:rFonts w:cs="Tahoma"/>
          <w:color w:val="000000"/>
          <w:lang w:val="it-IT"/>
        </w:rPr>
        <w:t>Servizi di Windows Azure</w:t>
      </w:r>
    </w:p>
    <w:p w:rsidR="00A92422" w:rsidRPr="00D87B79" w:rsidRDefault="00A92422" w:rsidP="00A92422">
      <w:pPr>
        <w:numPr>
          <w:ilvl w:val="0"/>
          <w:numId w:val="39"/>
        </w:numPr>
        <w:spacing w:after="60"/>
        <w:rPr>
          <w:rFonts w:cs="Tahoma"/>
        </w:rPr>
      </w:pPr>
      <w:r w:rsidRPr="00D87B79">
        <w:rPr>
          <w:rFonts w:cs="Tahoma"/>
          <w:color w:val="000000"/>
          <w:lang w:val="it-IT"/>
        </w:rPr>
        <w:t>Windows Intune e Componente Aggiuntivo per Windows Intune per System Center Configuration Manager e System Center EndPoint Protection</w:t>
      </w:r>
    </w:p>
    <w:p w:rsidR="00A92422" w:rsidRPr="00D87B79" w:rsidRDefault="00A92422" w:rsidP="00A92422">
      <w:pPr>
        <w:spacing w:after="60"/>
        <w:rPr>
          <w:rFonts w:cs="Tahoma"/>
        </w:rPr>
      </w:pPr>
    </w:p>
    <w:p w:rsidR="00A92422" w:rsidRPr="00D87B79" w:rsidRDefault="00A92422" w:rsidP="00A92422">
      <w:pPr>
        <w:outlineLvl w:val="2"/>
        <w:rPr>
          <w:rFonts w:cs="Tahoma"/>
        </w:rPr>
      </w:pPr>
      <w:r w:rsidRPr="00D87B79">
        <w:rPr>
          <w:rFonts w:cs="Tahoma"/>
          <w:szCs w:val="18"/>
          <w:lang w:val="it-IT"/>
        </w:rPr>
        <w:t>Sono disponibili altre offerte oltre a queste che sono identificate nell’articolo Servizi Online dei Diritti di Utilizzo del</w:t>
      </w:r>
      <w:r>
        <w:rPr>
          <w:rFonts w:cs="Tahoma"/>
          <w:szCs w:val="18"/>
          <w:lang w:val="it-IT"/>
        </w:rPr>
        <w:t> </w:t>
      </w:r>
      <w:r w:rsidRPr="00D87B79">
        <w:rPr>
          <w:rFonts w:cs="Tahoma"/>
          <w:szCs w:val="18"/>
          <w:lang w:val="it-IT"/>
        </w:rPr>
        <w:t>Prodotto.</w:t>
      </w:r>
      <w:r w:rsidRPr="00D87B79">
        <w:rPr>
          <w:rFonts w:cs="Tahoma"/>
        </w:rPr>
        <w:t xml:space="preserve"> </w:t>
      </w:r>
      <w:r w:rsidRPr="00D87B79">
        <w:rPr>
          <w:rFonts w:cs="Tahoma"/>
          <w:lang w:val="it-IT"/>
        </w:rPr>
        <w:t>Gli articoli restanti di “Prezzi dei Servizi Online e Condizioni di Pagamento” si applicano sia ai Servizi Online identificati sopra per nome che a tali altre offerte.</w:t>
      </w:r>
    </w:p>
    <w:p w:rsidR="00A92422" w:rsidRPr="00D87B79" w:rsidRDefault="00A92422" w:rsidP="00A92422">
      <w:pPr>
        <w:outlineLvl w:val="2"/>
        <w:rPr>
          <w:rFonts w:cs="Tahoma"/>
        </w:rPr>
      </w:pPr>
    </w:p>
    <w:p w:rsidR="00A92422" w:rsidRPr="00D87B79" w:rsidRDefault="00A92422" w:rsidP="00A92422">
      <w:pPr>
        <w:outlineLvl w:val="2"/>
        <w:rPr>
          <w:rFonts w:cs="Tahoma"/>
        </w:rPr>
      </w:pPr>
    </w:p>
    <w:p w:rsidR="00A92422" w:rsidRPr="00D87B79" w:rsidRDefault="00A92422" w:rsidP="00A92422">
      <w:pPr>
        <w:pStyle w:val="Heading2"/>
        <w:ind w:left="0"/>
        <w:rPr>
          <w:rFonts w:ascii="Tahoma" w:hAnsi="Tahoma" w:cs="Tahoma"/>
        </w:rPr>
      </w:pPr>
      <w:bookmarkStart w:id="789" w:name="_Toc336338208"/>
      <w:bookmarkStart w:id="790" w:name="_Toc342900260"/>
      <w:bookmarkEnd w:id="789"/>
      <w:r w:rsidRPr="00D87B79">
        <w:rPr>
          <w:rFonts w:ascii="Tahoma" w:hAnsi="Tahoma" w:cs="Tahoma"/>
          <w:lang w:val="it-IT"/>
        </w:rPr>
        <w:t>Periodo di Validità dell’Abbonamento ai Servizi Online</w:t>
      </w:r>
      <w:bookmarkEnd w:id="790"/>
    </w:p>
    <w:p w:rsidR="00A92422" w:rsidRPr="00D87B79" w:rsidRDefault="00A92422" w:rsidP="00A92422">
      <w:pPr>
        <w:outlineLvl w:val="2"/>
        <w:rPr>
          <w:rFonts w:cs="Tahoma"/>
        </w:rPr>
      </w:pPr>
    </w:p>
    <w:p w:rsidR="00A92422" w:rsidRPr="00D87B79" w:rsidRDefault="00A92422" w:rsidP="00A92422">
      <w:pPr>
        <w:outlineLvl w:val="2"/>
        <w:rPr>
          <w:rFonts w:cs="Tahoma"/>
        </w:rPr>
      </w:pPr>
      <w:r w:rsidRPr="00D87B79">
        <w:rPr>
          <w:rFonts w:cs="Tahoma"/>
          <w:szCs w:val="18"/>
          <w:lang w:val="it-IT"/>
        </w:rPr>
        <w:t>L’acquisto iniziale di un nuovo abbonamento per i servizi online determinerà il periodo di validità dell’abbonamento.</w:t>
      </w:r>
      <w:r w:rsidRPr="00D87B79">
        <w:rPr>
          <w:rFonts w:cs="Tahoma"/>
        </w:rPr>
        <w:t xml:space="preserve"> </w:t>
      </w:r>
      <w:r w:rsidRPr="00D87B79">
        <w:rPr>
          <w:rFonts w:cs="Tahoma"/>
          <w:lang w:val="it-IT"/>
        </w:rPr>
        <w:t>Alcuni servizi consentono a una società di scegliere un periodo di abbonamento annuale o un abbonamento che termini il giorno stesso della scadenza del periodo di validità del contratto o dell’iscrizione delle società (“scadenza identica”) come indicato nella seguente tabella.</w:t>
      </w:r>
      <w:r w:rsidRPr="00D87B79">
        <w:rPr>
          <w:rFonts w:cs="Tahoma"/>
        </w:rPr>
        <w:t xml:space="preserve"> </w:t>
      </w:r>
      <w:r w:rsidRPr="00D87B79">
        <w:rPr>
          <w:rFonts w:cs="Tahoma"/>
          <w:lang w:val="it-IT"/>
        </w:rPr>
        <w:t>Select Plus non offre la possibilità di periodi di validità con scadenza identica, ma consente alla società di scegliere tra periodi di validità dell’abbonamento della durata di 1 anno, 3 anni o</w:t>
      </w:r>
      <w:r>
        <w:rPr>
          <w:rFonts w:cs="Tahoma"/>
          <w:lang w:val="it-IT"/>
        </w:rPr>
        <w:t> </w:t>
      </w:r>
      <w:r w:rsidRPr="00D87B79">
        <w:rPr>
          <w:rFonts w:cs="Tahoma"/>
          <w:lang w:val="it-IT"/>
        </w:rPr>
        <w:t>di allineare il periodo di validità alla seconda ricorrenza a partire dalla data di inizio.</w:t>
      </w:r>
      <w:r w:rsidRPr="00D87B79">
        <w:rPr>
          <w:rFonts w:cs="Tahoma"/>
        </w:rPr>
        <w:t xml:space="preserve"> </w:t>
      </w:r>
      <w:r w:rsidRPr="00D87B79">
        <w:rPr>
          <w:rFonts w:cs="Tahoma"/>
          <w:lang w:val="it-IT"/>
        </w:rPr>
        <w:t>Il periodo di validità annuale dell’abbonamento potrebbe non allinearsi alla data di scadenza del contratto della società né terminare in tale data.</w:t>
      </w:r>
      <w:r w:rsidRPr="00D87B79">
        <w:rPr>
          <w:rFonts w:cs="Tahoma"/>
        </w:rPr>
        <w:t xml:space="preserve"> </w:t>
      </w:r>
      <w:r w:rsidRPr="00D87B79">
        <w:rPr>
          <w:rFonts w:cs="Tahoma"/>
          <w:lang w:val="it-IT"/>
        </w:rPr>
        <w:t>Qualora il periodo di validità dell’abbonamento annuale termini dopo il contratto, la società dovrà disporre di un contratto multilicenza (Volume Licensing) attivo per ordinare licenze aggiuntive o rinnovare il servizio.</w:t>
      </w:r>
      <w:r w:rsidRPr="00D87B79">
        <w:rPr>
          <w:rFonts w:cs="Tahoma"/>
        </w:rPr>
        <w:t xml:space="preserve"> </w:t>
      </w:r>
      <w:r w:rsidRPr="00D87B79">
        <w:rPr>
          <w:rFonts w:cs="Tahoma"/>
          <w:lang w:val="it-IT"/>
        </w:rPr>
        <w:t>Qualora la</w:t>
      </w:r>
      <w:r>
        <w:rPr>
          <w:rFonts w:cs="Tahoma"/>
          <w:lang w:val="it-IT"/>
        </w:rPr>
        <w:t> </w:t>
      </w:r>
      <w:r w:rsidRPr="00D87B79">
        <w:rPr>
          <w:rFonts w:cs="Tahoma"/>
          <w:lang w:val="it-IT"/>
        </w:rPr>
        <w:t>società effettui acquisti aggiuntivi di un servizio, il periodo di validità dell’abbonamento per l’acquisto aggiuntivo dovrà allinearsi al periodo di validità dell’abbonamento esistente della società per lo stesso servizio.</w:t>
      </w:r>
      <w:r w:rsidRPr="00D87B79">
        <w:rPr>
          <w:rFonts w:cs="Tahoma"/>
        </w:rPr>
        <w:t xml:space="preserve"> </w:t>
      </w:r>
      <w:r w:rsidRPr="00D87B79">
        <w:rPr>
          <w:rFonts w:cs="Tahoma"/>
          <w:lang w:val="it-IT"/>
        </w:rPr>
        <w:t>Nel caso in cui i</w:t>
      </w:r>
      <w:r>
        <w:rPr>
          <w:rFonts w:cs="Tahoma"/>
          <w:lang w:val="it-IT"/>
        </w:rPr>
        <w:t> </w:t>
      </w:r>
      <w:r w:rsidRPr="00D87B79">
        <w:rPr>
          <w:rFonts w:cs="Tahoma"/>
          <w:lang w:val="it-IT"/>
        </w:rPr>
        <w:t>prezzi degli ordini aggiuntivi di prodotti o servizi non siano indicati nel contratto esistente della società, il prezzo addebitato alla parte che riceverà la fattura per le quantità di servizi aggiuntivi sarà identico al prezzo dell’acquisto iniziale.</w:t>
      </w:r>
      <w:r w:rsidRPr="00D87B79">
        <w:rPr>
          <w:rFonts w:cs="Tahoma"/>
        </w:rPr>
        <w:t xml:space="preserve"> </w:t>
      </w:r>
      <w:r w:rsidRPr="00D87B79">
        <w:rPr>
          <w:rFonts w:cs="Tahoma"/>
          <w:lang w:val="it-IT"/>
        </w:rPr>
        <w:t>Informazioni specifiche sui Servizi di Windows Azure sono disponibili nell’Articolo corrispondente che segue.</w:t>
      </w:r>
      <w:r w:rsidRPr="00D87B79">
        <w:rPr>
          <w:rFonts w:cs="Tahoma"/>
        </w:rPr>
        <w:t xml:space="preserve"> </w:t>
      </w:r>
    </w:p>
    <w:p w:rsidR="00A92422" w:rsidRPr="00D87B79" w:rsidRDefault="00A92422" w:rsidP="00A92422">
      <w:pPr>
        <w:rPr>
          <w:rFonts w:cs="Tahoma"/>
        </w:rPr>
      </w:pPr>
      <w:r w:rsidRPr="00D87B79">
        <w:rPr>
          <w:rFonts w:cs="Tahoma"/>
        </w:rPr>
        <w:br w:type="page"/>
      </w:r>
    </w:p>
    <w:tbl>
      <w:tblPr>
        <w:tblW w:w="0" w:type="auto"/>
        <w:tblInd w:w="720" w:type="dxa"/>
        <w:tblCellMar>
          <w:left w:w="0" w:type="dxa"/>
          <w:right w:w="0" w:type="dxa"/>
        </w:tblCellMar>
        <w:tblLook w:val="04A0" w:firstRow="1" w:lastRow="0" w:firstColumn="1" w:lastColumn="0" w:noHBand="0" w:noVBand="1"/>
      </w:tblPr>
      <w:tblGrid>
        <w:gridCol w:w="4608"/>
        <w:gridCol w:w="4248"/>
      </w:tblGrid>
      <w:tr w:rsidR="00A92422" w:rsidRPr="00D87B79" w:rsidTr="00EA30FC">
        <w:trPr>
          <w:trHeight w:val="515"/>
          <w:tblHeader/>
        </w:trPr>
        <w:tc>
          <w:tcPr>
            <w:tcW w:w="4608"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A92422" w:rsidRPr="00D87B79" w:rsidRDefault="00A92422" w:rsidP="00EA30FC">
            <w:pPr>
              <w:jc w:val="center"/>
              <w:rPr>
                <w:rFonts w:eastAsia="Times New Roman" w:cs="Tahoma"/>
                <w:b/>
                <w:bCs/>
                <w:sz w:val="20"/>
                <w:szCs w:val="18"/>
              </w:rPr>
            </w:pPr>
            <w:r w:rsidRPr="00D87B79">
              <w:rPr>
                <w:rFonts w:eastAsia="Times New Roman" w:cs="Tahoma"/>
                <w:b/>
                <w:bCs/>
                <w:sz w:val="20"/>
                <w:szCs w:val="18"/>
                <w:lang w:val="it-IT"/>
              </w:rPr>
              <w:lastRenderedPageBreak/>
              <w:t>Servizi Online disponibili sia per Periodi di Validità Abbonamento di 1 anno che quelli con Scadenze Identiche</w:t>
            </w:r>
          </w:p>
        </w:tc>
        <w:tc>
          <w:tcPr>
            <w:tcW w:w="424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A92422" w:rsidRPr="00D87B79" w:rsidRDefault="00A92422" w:rsidP="00EA30FC">
            <w:pPr>
              <w:jc w:val="center"/>
              <w:rPr>
                <w:rFonts w:eastAsia="Times New Roman" w:cs="Tahoma"/>
                <w:b/>
                <w:bCs/>
                <w:sz w:val="20"/>
                <w:szCs w:val="18"/>
              </w:rPr>
            </w:pPr>
            <w:r w:rsidRPr="00D87B79">
              <w:rPr>
                <w:rFonts w:eastAsia="Times New Roman" w:cs="Tahoma"/>
                <w:b/>
                <w:bCs/>
                <w:sz w:val="20"/>
                <w:szCs w:val="18"/>
                <w:lang w:val="it-IT"/>
              </w:rPr>
              <w:t>Servizi Online disponibili solo per Periodi di Validità Abbonamento con Scadenze</w:t>
            </w:r>
            <w:r>
              <w:rPr>
                <w:rFonts w:eastAsia="Times New Roman" w:cs="Tahoma"/>
                <w:b/>
                <w:bCs/>
                <w:sz w:val="20"/>
                <w:szCs w:val="18"/>
                <w:lang w:val="it-IT"/>
              </w:rPr>
              <w:t> </w:t>
            </w:r>
            <w:r w:rsidRPr="00D87B79">
              <w:rPr>
                <w:rFonts w:eastAsia="Times New Roman" w:cs="Tahoma"/>
                <w:b/>
                <w:bCs/>
                <w:sz w:val="20"/>
                <w:szCs w:val="18"/>
                <w:lang w:val="it-IT"/>
              </w:rPr>
              <w:t>Identiche</w:t>
            </w:r>
          </w:p>
        </w:tc>
      </w:tr>
      <w:tr w:rsidR="00A92422" w:rsidRPr="00D87B79" w:rsidTr="00EA30FC">
        <w:trPr>
          <w:trHeight w:val="258"/>
        </w:trPr>
        <w:tc>
          <w:tcPr>
            <w:tcW w:w="460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92422" w:rsidRPr="00D87B79" w:rsidRDefault="00A92422" w:rsidP="00EA30FC">
            <w:pPr>
              <w:numPr>
                <w:ilvl w:val="0"/>
                <w:numId w:val="40"/>
              </w:numPr>
              <w:spacing w:after="60"/>
              <w:ind w:left="720" w:right="259"/>
              <w:rPr>
                <w:rFonts w:cs="Tahoma"/>
              </w:rPr>
            </w:pPr>
            <w:r w:rsidRPr="00D87B79">
              <w:rPr>
                <w:rFonts w:cs="Tahoma"/>
                <w:color w:val="000000"/>
                <w:lang w:val="it-IT"/>
              </w:rPr>
              <w:t>Bing Maps Professional</w:t>
            </w:r>
          </w:p>
          <w:p w:rsidR="00A92422" w:rsidRPr="00D87B79" w:rsidRDefault="00A92422" w:rsidP="00EA30FC">
            <w:pPr>
              <w:numPr>
                <w:ilvl w:val="0"/>
                <w:numId w:val="40"/>
              </w:numPr>
              <w:spacing w:after="60"/>
              <w:ind w:left="720" w:right="259"/>
              <w:rPr>
                <w:rFonts w:cs="Tahoma"/>
              </w:rPr>
            </w:pPr>
            <w:r w:rsidRPr="00D87B79">
              <w:rPr>
                <w:rFonts w:cs="Tahoma"/>
                <w:color w:val="000000"/>
                <w:lang w:val="it-IT"/>
              </w:rPr>
              <w:t>Forefront Online Protection for Exchange</w:t>
            </w:r>
          </w:p>
          <w:p w:rsidR="00A92422" w:rsidRPr="00D87B79" w:rsidRDefault="00A92422" w:rsidP="00EA30FC">
            <w:pPr>
              <w:numPr>
                <w:ilvl w:val="0"/>
                <w:numId w:val="40"/>
              </w:numPr>
              <w:spacing w:after="60"/>
              <w:ind w:left="720" w:right="259"/>
              <w:rPr>
                <w:rFonts w:cs="Tahoma"/>
              </w:rPr>
            </w:pPr>
            <w:r w:rsidRPr="00D87B79">
              <w:rPr>
                <w:rFonts w:cs="Tahoma"/>
                <w:color w:val="000000"/>
                <w:lang w:val="it-IT"/>
              </w:rPr>
              <w:t>Forefront Protection 2010 for Exchange Server</w:t>
            </w:r>
          </w:p>
          <w:p w:rsidR="00A92422" w:rsidRPr="00D87B79" w:rsidRDefault="00A92422" w:rsidP="00EA30FC">
            <w:pPr>
              <w:numPr>
                <w:ilvl w:val="0"/>
                <w:numId w:val="40"/>
              </w:numPr>
              <w:spacing w:after="60"/>
              <w:ind w:left="720" w:right="259"/>
              <w:rPr>
                <w:rFonts w:cs="Tahoma"/>
              </w:rPr>
            </w:pPr>
            <w:r w:rsidRPr="00D87B79">
              <w:rPr>
                <w:rFonts w:cs="Tahoma"/>
                <w:color w:val="000000"/>
                <w:lang w:val="it-IT"/>
              </w:rPr>
              <w:t>Forefront Protection 2010 for SharePoint</w:t>
            </w:r>
            <w:r w:rsidRPr="00D87B79">
              <w:rPr>
                <w:rFonts w:cs="Tahoma"/>
              </w:rPr>
              <w:t xml:space="preserve"> </w:t>
            </w:r>
          </w:p>
          <w:p w:rsidR="00A92422" w:rsidRPr="00D87B79" w:rsidRDefault="00A92422" w:rsidP="00EA30FC">
            <w:pPr>
              <w:numPr>
                <w:ilvl w:val="0"/>
                <w:numId w:val="40"/>
              </w:numPr>
              <w:spacing w:after="60"/>
              <w:ind w:left="720" w:right="259"/>
              <w:rPr>
                <w:rFonts w:cs="Tahoma"/>
              </w:rPr>
            </w:pPr>
            <w:r w:rsidRPr="00D87B79">
              <w:rPr>
                <w:rFonts w:cs="Tahoma"/>
                <w:color w:val="000000"/>
                <w:lang w:val="it-IT"/>
              </w:rPr>
              <w:t>Forefront Protection Suite</w:t>
            </w:r>
          </w:p>
          <w:p w:rsidR="00A92422" w:rsidRPr="00D87B79" w:rsidRDefault="00A92422" w:rsidP="00EA30FC">
            <w:pPr>
              <w:numPr>
                <w:ilvl w:val="0"/>
                <w:numId w:val="40"/>
              </w:numPr>
              <w:spacing w:after="60"/>
              <w:ind w:left="720" w:right="259"/>
              <w:rPr>
                <w:rFonts w:cs="Tahoma"/>
              </w:rPr>
            </w:pPr>
            <w:r w:rsidRPr="00D87B79">
              <w:rPr>
                <w:rFonts w:cs="Tahoma"/>
                <w:color w:val="000000"/>
                <w:lang w:val="it-IT"/>
              </w:rPr>
              <w:t>Forefront Security for Office Communications Server</w:t>
            </w:r>
          </w:p>
          <w:p w:rsidR="00A92422" w:rsidRPr="00D87B79" w:rsidRDefault="00A92422" w:rsidP="00EA30FC">
            <w:pPr>
              <w:numPr>
                <w:ilvl w:val="0"/>
                <w:numId w:val="40"/>
              </w:numPr>
              <w:spacing w:after="60"/>
              <w:ind w:left="720" w:right="259"/>
              <w:rPr>
                <w:rFonts w:cs="Tahoma"/>
              </w:rPr>
            </w:pPr>
            <w:r w:rsidRPr="00D87B79">
              <w:rPr>
                <w:rFonts w:cs="Tahoma"/>
                <w:color w:val="000000"/>
                <w:lang w:val="it-IT"/>
              </w:rPr>
              <w:t>Forefront Threat Management Gateway Web Protection Service</w:t>
            </w:r>
          </w:p>
          <w:p w:rsidR="00A92422" w:rsidRPr="00D87B79" w:rsidRDefault="00A92422" w:rsidP="00EA30FC">
            <w:pPr>
              <w:numPr>
                <w:ilvl w:val="0"/>
                <w:numId w:val="40"/>
              </w:numPr>
              <w:spacing w:after="60"/>
              <w:ind w:left="720" w:right="259"/>
              <w:rPr>
                <w:rFonts w:cs="Tahoma"/>
              </w:rPr>
            </w:pPr>
            <w:r w:rsidRPr="00D87B79">
              <w:rPr>
                <w:rFonts w:cs="Tahoma"/>
                <w:color w:val="000000"/>
                <w:lang w:val="it-IT"/>
              </w:rPr>
              <w:t>Lync Server Public Instant Messaging Connectivity con America Online (AOL) Instant Messaging Service e Windows Live Messenger Service</w:t>
            </w:r>
          </w:p>
          <w:p w:rsidR="00A92422" w:rsidRPr="00D87B79" w:rsidRDefault="00A92422" w:rsidP="00EA30FC">
            <w:pPr>
              <w:numPr>
                <w:ilvl w:val="0"/>
                <w:numId w:val="40"/>
              </w:numPr>
              <w:spacing w:after="60"/>
              <w:ind w:left="720" w:right="259"/>
              <w:rPr>
                <w:rFonts w:cs="Tahoma"/>
              </w:rPr>
            </w:pPr>
            <w:r w:rsidRPr="00D87B79">
              <w:rPr>
                <w:rFonts w:cs="Tahoma"/>
                <w:color w:val="000000"/>
                <w:lang w:val="it-IT"/>
              </w:rPr>
              <w:t>Lync Server Public Instant Messaging Connectivity con il Servizio Yahoo Instant Messaging</w:t>
            </w:r>
            <w:r w:rsidRPr="00D87B79">
              <w:rPr>
                <w:rFonts w:cs="Tahoma"/>
              </w:rPr>
              <w:t xml:space="preserve"> </w:t>
            </w:r>
          </w:p>
          <w:p w:rsidR="00A92422" w:rsidRPr="00D87B79" w:rsidRDefault="00A92422" w:rsidP="00EA30FC">
            <w:pPr>
              <w:numPr>
                <w:ilvl w:val="0"/>
                <w:numId w:val="40"/>
              </w:numPr>
              <w:spacing w:after="60"/>
              <w:ind w:left="720" w:right="259"/>
              <w:rPr>
                <w:rFonts w:cs="Tahoma"/>
              </w:rPr>
            </w:pPr>
            <w:r w:rsidRPr="00D87B79">
              <w:rPr>
                <w:rFonts w:cs="Tahoma"/>
                <w:color w:val="000000"/>
                <w:lang w:val="it-IT"/>
              </w:rPr>
              <w:t>Microsoft Exchange Hosted Encryption</w:t>
            </w:r>
            <w:r w:rsidRPr="00D87B79">
              <w:rPr>
                <w:rFonts w:cs="Tahoma"/>
              </w:rPr>
              <w:t xml:space="preserve"> </w:t>
            </w:r>
          </w:p>
          <w:p w:rsidR="00A92422" w:rsidRPr="00D87B79" w:rsidRDefault="00A92422" w:rsidP="00EA30FC">
            <w:pPr>
              <w:numPr>
                <w:ilvl w:val="0"/>
                <w:numId w:val="40"/>
              </w:numPr>
              <w:spacing w:after="60"/>
              <w:ind w:left="720" w:right="259"/>
              <w:rPr>
                <w:rFonts w:cs="Tahoma"/>
              </w:rPr>
            </w:pPr>
            <w:r w:rsidRPr="00D87B79">
              <w:rPr>
                <w:rFonts w:cs="Tahoma"/>
                <w:color w:val="000000"/>
                <w:lang w:val="it-IT"/>
              </w:rPr>
              <w:t>Microsoft Learning Solutions</w:t>
            </w:r>
          </w:p>
          <w:p w:rsidR="00A92422" w:rsidRPr="00D87B79" w:rsidRDefault="00A92422" w:rsidP="00EA30FC">
            <w:pPr>
              <w:numPr>
                <w:ilvl w:val="0"/>
                <w:numId w:val="40"/>
              </w:numPr>
              <w:spacing w:after="60"/>
              <w:ind w:left="720" w:right="259"/>
              <w:rPr>
                <w:rFonts w:cs="Tahoma"/>
              </w:rPr>
            </w:pPr>
            <w:r w:rsidRPr="00D87B79">
              <w:rPr>
                <w:rFonts w:cs="Tahoma"/>
                <w:color w:val="000000"/>
                <w:lang w:val="it-IT"/>
              </w:rPr>
              <w:t>Office Groove Enterprise Services</w:t>
            </w:r>
          </w:p>
          <w:p w:rsidR="00A92422" w:rsidRPr="00D87B79" w:rsidRDefault="00A92422" w:rsidP="00EA30FC">
            <w:pPr>
              <w:numPr>
                <w:ilvl w:val="0"/>
                <w:numId w:val="40"/>
              </w:numPr>
              <w:spacing w:after="60"/>
              <w:ind w:left="720" w:right="259"/>
              <w:rPr>
                <w:rFonts w:cs="Tahoma"/>
              </w:rPr>
            </w:pPr>
            <w:r w:rsidRPr="00D87B79">
              <w:rPr>
                <w:rFonts w:cs="Tahoma"/>
                <w:color w:val="000000"/>
                <w:lang w:val="it-IT"/>
              </w:rPr>
              <w:t>System Center 2012 Endpoint Protection</w:t>
            </w:r>
          </w:p>
          <w:p w:rsidR="00A92422" w:rsidRPr="00D87B79" w:rsidRDefault="00A92422" w:rsidP="00EA30FC">
            <w:pPr>
              <w:numPr>
                <w:ilvl w:val="0"/>
                <w:numId w:val="40"/>
              </w:numPr>
              <w:spacing w:after="60"/>
              <w:ind w:left="720" w:right="259"/>
              <w:rPr>
                <w:rFonts w:cs="Tahoma"/>
              </w:rPr>
            </w:pPr>
            <w:r w:rsidRPr="00D87B79">
              <w:rPr>
                <w:rFonts w:cs="Tahoma"/>
                <w:color w:val="000000"/>
                <w:lang w:val="it-IT"/>
              </w:rPr>
              <w:t>Web Antimalware Subscription per Forefront Threat Management Gateway Medium Business Edition</w:t>
            </w:r>
            <w:r w:rsidRPr="00D87B79">
              <w:rPr>
                <w:rFonts w:cs="Tahoma"/>
              </w:rPr>
              <w:t xml:space="preserve"> </w:t>
            </w:r>
          </w:p>
          <w:p w:rsidR="00A92422" w:rsidRPr="00D87B79" w:rsidRDefault="00A92422" w:rsidP="00EA30FC">
            <w:pPr>
              <w:numPr>
                <w:ilvl w:val="0"/>
                <w:numId w:val="40"/>
              </w:numPr>
              <w:spacing w:after="60"/>
              <w:ind w:left="720" w:right="259"/>
              <w:rPr>
                <w:rFonts w:eastAsia="Times New Roman" w:cs="Tahoma"/>
                <w:color w:val="000000"/>
                <w:szCs w:val="18"/>
              </w:rPr>
            </w:pPr>
            <w:r w:rsidRPr="00D87B79">
              <w:rPr>
                <w:rFonts w:cs="Tahoma"/>
                <w:color w:val="000000"/>
                <w:lang w:val="it-IT"/>
              </w:rPr>
              <w:t>Servizi di Windows Azure</w:t>
            </w:r>
          </w:p>
        </w:tc>
        <w:tc>
          <w:tcPr>
            <w:tcW w:w="4248" w:type="dxa"/>
            <w:tcBorders>
              <w:top w:val="nil"/>
              <w:left w:val="nil"/>
              <w:bottom w:val="single" w:sz="8" w:space="0" w:color="auto"/>
              <w:right w:val="single" w:sz="8" w:space="0" w:color="auto"/>
            </w:tcBorders>
            <w:tcMar>
              <w:top w:w="0" w:type="dxa"/>
              <w:left w:w="108" w:type="dxa"/>
              <w:bottom w:w="0" w:type="dxa"/>
              <w:right w:w="108" w:type="dxa"/>
            </w:tcMar>
          </w:tcPr>
          <w:p w:rsidR="00A92422" w:rsidRPr="00D87B79" w:rsidRDefault="00A92422" w:rsidP="00EA30FC">
            <w:pPr>
              <w:numPr>
                <w:ilvl w:val="0"/>
                <w:numId w:val="41"/>
              </w:numPr>
              <w:spacing w:after="60"/>
              <w:ind w:left="576" w:right="187"/>
              <w:rPr>
                <w:rFonts w:cs="Tahoma"/>
              </w:rPr>
            </w:pPr>
            <w:r w:rsidRPr="00D87B79">
              <w:rPr>
                <w:rFonts w:cs="Tahoma"/>
                <w:color w:val="000000"/>
                <w:lang w:val="it-IT"/>
              </w:rPr>
              <w:t>Dynamics CRM Online</w:t>
            </w:r>
            <w:r w:rsidRPr="00D87B79">
              <w:rPr>
                <w:rFonts w:cs="Tahoma"/>
              </w:rPr>
              <w:t xml:space="preserve"> </w:t>
            </w:r>
          </w:p>
          <w:p w:rsidR="00A92422" w:rsidRPr="00D87B79" w:rsidRDefault="00A92422" w:rsidP="00EA30FC">
            <w:pPr>
              <w:numPr>
                <w:ilvl w:val="0"/>
                <w:numId w:val="41"/>
              </w:numPr>
              <w:spacing w:after="60"/>
              <w:ind w:left="576" w:right="187"/>
              <w:rPr>
                <w:rFonts w:cs="Tahoma"/>
              </w:rPr>
            </w:pPr>
            <w:r w:rsidRPr="00D87B79">
              <w:rPr>
                <w:rFonts w:cs="Tahoma"/>
                <w:color w:val="000000"/>
                <w:lang w:val="it-IT"/>
              </w:rPr>
              <w:t>Dynamics Mobile</w:t>
            </w:r>
          </w:p>
          <w:p w:rsidR="00A92422" w:rsidRPr="00D87B79" w:rsidRDefault="00A92422" w:rsidP="00EA30FC">
            <w:pPr>
              <w:numPr>
                <w:ilvl w:val="0"/>
                <w:numId w:val="41"/>
              </w:numPr>
              <w:spacing w:after="60"/>
              <w:ind w:left="576" w:right="187"/>
              <w:rPr>
                <w:rFonts w:cs="Tahoma"/>
              </w:rPr>
            </w:pPr>
            <w:r w:rsidRPr="00D87B79">
              <w:rPr>
                <w:rFonts w:cs="Tahoma"/>
                <w:color w:val="000000"/>
                <w:lang w:val="it-IT"/>
              </w:rPr>
              <w:t>Dynamics Onprem Mobile</w:t>
            </w:r>
          </w:p>
          <w:p w:rsidR="00A92422" w:rsidRPr="00D87B79" w:rsidRDefault="00A92422" w:rsidP="00EA30FC">
            <w:pPr>
              <w:numPr>
                <w:ilvl w:val="0"/>
                <w:numId w:val="41"/>
              </w:numPr>
              <w:spacing w:after="60"/>
              <w:ind w:left="576" w:right="187"/>
              <w:rPr>
                <w:rFonts w:cs="Tahoma"/>
              </w:rPr>
            </w:pPr>
            <w:r w:rsidRPr="00D87B79">
              <w:rPr>
                <w:rFonts w:cs="Tahoma"/>
                <w:color w:val="000000"/>
                <w:lang w:val="it-IT"/>
              </w:rPr>
              <w:t>Archiviazione Exchange Online</w:t>
            </w:r>
          </w:p>
          <w:p w:rsidR="00A92422" w:rsidRPr="00D87B79" w:rsidRDefault="00A92422" w:rsidP="00EA30FC">
            <w:pPr>
              <w:numPr>
                <w:ilvl w:val="0"/>
                <w:numId w:val="41"/>
              </w:numPr>
              <w:spacing w:after="60"/>
              <w:ind w:left="576" w:right="187"/>
              <w:rPr>
                <w:rFonts w:cs="Tahoma"/>
              </w:rPr>
            </w:pPr>
            <w:r w:rsidRPr="00D87B79">
              <w:rPr>
                <w:rFonts w:cs="Tahoma"/>
                <w:color w:val="000000"/>
                <w:lang w:val="it-IT"/>
              </w:rPr>
              <w:t>Chiosco Exchange Online, Piano 1 e Piano</w:t>
            </w:r>
            <w:r>
              <w:rPr>
                <w:rFonts w:cs="Tahoma"/>
                <w:color w:val="000000"/>
                <w:lang w:val="it-IT"/>
              </w:rPr>
              <w:t> </w:t>
            </w:r>
            <w:r w:rsidRPr="00D87B79">
              <w:rPr>
                <w:rFonts w:cs="Tahoma"/>
                <w:color w:val="000000"/>
                <w:lang w:val="it-IT"/>
              </w:rPr>
              <w:t>2</w:t>
            </w:r>
            <w:r w:rsidRPr="00D87B79">
              <w:rPr>
                <w:rFonts w:cs="Tahoma"/>
              </w:rPr>
              <w:t xml:space="preserve"> </w:t>
            </w:r>
          </w:p>
          <w:p w:rsidR="00A92422" w:rsidRPr="00D87B79" w:rsidRDefault="00A92422" w:rsidP="00EA30FC">
            <w:pPr>
              <w:numPr>
                <w:ilvl w:val="0"/>
                <w:numId w:val="41"/>
              </w:numPr>
              <w:spacing w:after="60"/>
              <w:ind w:left="576" w:right="187"/>
              <w:rPr>
                <w:rFonts w:cs="Tahoma"/>
              </w:rPr>
            </w:pPr>
            <w:r w:rsidRPr="00D87B79">
              <w:rPr>
                <w:rFonts w:cs="Tahoma"/>
                <w:color w:val="000000"/>
                <w:lang w:val="it-IT"/>
              </w:rPr>
              <w:t>Lync Online Piano 1, 2 e 3</w:t>
            </w:r>
          </w:p>
          <w:p w:rsidR="00A92422" w:rsidRPr="00D87B79" w:rsidRDefault="00A92422" w:rsidP="00EA30FC">
            <w:pPr>
              <w:numPr>
                <w:ilvl w:val="0"/>
                <w:numId w:val="41"/>
              </w:numPr>
              <w:spacing w:after="60"/>
              <w:ind w:left="576" w:right="187"/>
              <w:rPr>
                <w:rFonts w:cs="Tahoma"/>
              </w:rPr>
            </w:pPr>
            <w:r w:rsidRPr="00D87B79">
              <w:rPr>
                <w:rFonts w:cs="Tahoma"/>
                <w:color w:val="000000"/>
                <w:lang w:val="it-IT"/>
              </w:rPr>
              <w:t>Office 365 Piano A2, A3, A4, K1, K2, E1, E2, E3 ed E4</w:t>
            </w:r>
          </w:p>
          <w:p w:rsidR="00A92422" w:rsidRPr="00D87B79" w:rsidRDefault="00A92422" w:rsidP="00EA30FC">
            <w:pPr>
              <w:numPr>
                <w:ilvl w:val="0"/>
                <w:numId w:val="41"/>
              </w:numPr>
              <w:spacing w:after="60"/>
              <w:ind w:left="576" w:right="187"/>
              <w:rPr>
                <w:rFonts w:cs="Tahoma"/>
              </w:rPr>
            </w:pPr>
            <w:r w:rsidRPr="00D87B79">
              <w:rPr>
                <w:rFonts w:cs="Tahoma"/>
                <w:color w:val="000000"/>
                <w:lang w:val="it-IT"/>
              </w:rPr>
              <w:t>Sottoscrizione a Office Professional Plus</w:t>
            </w:r>
          </w:p>
          <w:p w:rsidR="00A92422" w:rsidRPr="00D87B79" w:rsidRDefault="00A92422" w:rsidP="00EA30FC">
            <w:pPr>
              <w:numPr>
                <w:ilvl w:val="0"/>
                <w:numId w:val="41"/>
              </w:numPr>
              <w:spacing w:after="60"/>
              <w:ind w:left="576" w:right="187"/>
              <w:rPr>
                <w:rFonts w:cs="Tahoma"/>
              </w:rPr>
            </w:pPr>
            <w:r w:rsidRPr="00D87B79">
              <w:rPr>
                <w:rFonts w:cs="Tahoma"/>
                <w:color w:val="000000"/>
                <w:lang w:val="it-IT"/>
              </w:rPr>
              <w:t>Office Web Applications</w:t>
            </w:r>
          </w:p>
          <w:p w:rsidR="00A92422" w:rsidRPr="00D87B79" w:rsidRDefault="00A92422" w:rsidP="00EA30FC">
            <w:pPr>
              <w:numPr>
                <w:ilvl w:val="0"/>
                <w:numId w:val="41"/>
              </w:numPr>
              <w:spacing w:after="60"/>
              <w:ind w:left="576" w:right="187"/>
              <w:rPr>
                <w:rFonts w:cs="Tahoma"/>
              </w:rPr>
            </w:pPr>
            <w:r w:rsidRPr="00D87B79">
              <w:rPr>
                <w:rFonts w:cs="Tahoma"/>
                <w:color w:val="000000"/>
                <w:lang w:val="it-IT"/>
              </w:rPr>
              <w:t>SharePoint Online Piano 1 e Piano 2</w:t>
            </w:r>
            <w:r w:rsidRPr="00D87B79">
              <w:rPr>
                <w:rFonts w:cs="Tahoma"/>
              </w:rPr>
              <w:t xml:space="preserve"> </w:t>
            </w:r>
          </w:p>
          <w:p w:rsidR="00A92422" w:rsidRPr="00D87B79" w:rsidRDefault="00A92422" w:rsidP="00EA30FC">
            <w:pPr>
              <w:numPr>
                <w:ilvl w:val="0"/>
                <w:numId w:val="41"/>
              </w:numPr>
              <w:spacing w:after="60"/>
              <w:ind w:left="576" w:right="187"/>
              <w:rPr>
                <w:rFonts w:cs="Tahoma"/>
              </w:rPr>
            </w:pPr>
            <w:r w:rsidRPr="00D87B79">
              <w:rPr>
                <w:rFonts w:cs="Tahoma"/>
                <w:color w:val="000000"/>
                <w:lang w:val="it-IT"/>
              </w:rPr>
              <w:t>Windows Intune</w:t>
            </w:r>
          </w:p>
          <w:p w:rsidR="00A92422" w:rsidRPr="00D87B79" w:rsidRDefault="00A92422" w:rsidP="00EA30FC">
            <w:pPr>
              <w:numPr>
                <w:ilvl w:val="0"/>
                <w:numId w:val="41"/>
              </w:numPr>
              <w:spacing w:after="60"/>
              <w:ind w:left="576" w:right="187"/>
              <w:rPr>
                <w:rFonts w:eastAsia="Times New Roman" w:cs="Tahoma"/>
                <w:szCs w:val="18"/>
              </w:rPr>
            </w:pPr>
            <w:r w:rsidRPr="00D87B79">
              <w:rPr>
                <w:rFonts w:cs="Tahoma"/>
                <w:color w:val="000000"/>
                <w:lang w:val="it-IT"/>
              </w:rPr>
              <w:t>Componente aggiuntivo di Windows Intune</w:t>
            </w:r>
          </w:p>
        </w:tc>
      </w:tr>
    </w:tbl>
    <w:p w:rsidR="00A92422" w:rsidRPr="00D87B79" w:rsidRDefault="00A92422" w:rsidP="00A92422">
      <w:pPr>
        <w:ind w:left="720"/>
        <w:outlineLvl w:val="2"/>
        <w:rPr>
          <w:rFonts w:cs="Tahoma"/>
        </w:rPr>
      </w:pPr>
    </w:p>
    <w:p w:rsidR="00A92422" w:rsidRPr="0053039A" w:rsidRDefault="00A92422" w:rsidP="00A92422">
      <w:pPr>
        <w:pStyle w:val="Heading2"/>
        <w:ind w:left="0"/>
        <w:rPr>
          <w:rFonts w:ascii="Tahoma" w:hAnsi="Tahoma" w:cs="Tahoma"/>
          <w:sz w:val="18"/>
          <w:szCs w:val="18"/>
        </w:rPr>
      </w:pPr>
    </w:p>
    <w:p w:rsidR="00A92422" w:rsidRPr="00D87B79" w:rsidRDefault="00A92422" w:rsidP="00A92422">
      <w:pPr>
        <w:pStyle w:val="Heading2"/>
        <w:ind w:left="0"/>
        <w:rPr>
          <w:rFonts w:ascii="Tahoma" w:hAnsi="Tahoma" w:cs="Tahoma"/>
        </w:rPr>
      </w:pPr>
      <w:bookmarkStart w:id="791" w:name="_Toc336338209"/>
      <w:bookmarkStart w:id="792" w:name="_Toc342900261"/>
      <w:bookmarkEnd w:id="791"/>
      <w:r w:rsidRPr="00D87B79">
        <w:rPr>
          <w:rFonts w:ascii="Tahoma" w:hAnsi="Tahoma" w:cs="Tahoma"/>
          <w:lang w:val="it-IT"/>
        </w:rPr>
        <w:t>Acquisti e Rinnovo Automatico di Servizi Online</w:t>
      </w:r>
      <w:bookmarkEnd w:id="792"/>
      <w:r w:rsidRPr="00D87B79">
        <w:rPr>
          <w:rFonts w:ascii="Tahoma" w:hAnsi="Tahoma" w:cs="Tahoma"/>
        </w:rPr>
        <w:t xml:space="preserve"> </w:t>
      </w:r>
    </w:p>
    <w:p w:rsidR="00A92422" w:rsidRPr="00D87B79" w:rsidRDefault="00A92422" w:rsidP="00A92422">
      <w:pPr>
        <w:outlineLvl w:val="2"/>
        <w:rPr>
          <w:rFonts w:cs="Tahoma"/>
        </w:rPr>
      </w:pPr>
    </w:p>
    <w:p w:rsidR="00A92422" w:rsidRPr="00D87B79" w:rsidRDefault="00A92422" w:rsidP="00A92422">
      <w:pPr>
        <w:outlineLvl w:val="2"/>
        <w:rPr>
          <w:rFonts w:cs="Tahoma"/>
        </w:rPr>
      </w:pPr>
      <w:r w:rsidRPr="00D87B79">
        <w:rPr>
          <w:rFonts w:cs="Tahoma"/>
          <w:szCs w:val="18"/>
          <w:lang w:val="it-IT"/>
        </w:rPr>
        <w:t>Le società dovranno disporre di un Contratto Multilicenza (Volume Licensing) attivo per ordinare o rinnovare gli</w:t>
      </w:r>
      <w:r>
        <w:rPr>
          <w:rFonts w:cs="Tahoma"/>
          <w:szCs w:val="18"/>
          <w:lang w:val="it-IT"/>
        </w:rPr>
        <w:t> </w:t>
      </w:r>
      <w:r w:rsidRPr="00D87B79">
        <w:rPr>
          <w:rFonts w:cs="Tahoma"/>
          <w:szCs w:val="18"/>
          <w:lang w:val="it-IT"/>
        </w:rPr>
        <w:t>abbonamenti ai servizi online di Volume License.</w:t>
      </w:r>
      <w:r w:rsidRPr="00D87B79">
        <w:rPr>
          <w:rFonts w:cs="Tahoma"/>
        </w:rPr>
        <w:t xml:space="preserve"> </w:t>
      </w:r>
      <w:r w:rsidRPr="00D87B79">
        <w:rPr>
          <w:rFonts w:cs="Tahoma"/>
          <w:lang w:val="it-IT"/>
        </w:rPr>
        <w:t>Un abbonamento ai servizi online si rinnova automaticamente il</w:t>
      </w:r>
      <w:r>
        <w:rPr>
          <w:rFonts w:cs="Tahoma"/>
          <w:lang w:val="it-IT"/>
        </w:rPr>
        <w:t> </w:t>
      </w:r>
      <w:r w:rsidRPr="00D87B79">
        <w:rPr>
          <w:rFonts w:cs="Tahoma"/>
          <w:lang w:val="it-IT"/>
        </w:rPr>
        <w:t>giorno successivo alla scadenza del periodo di validità, a meno che la società non scelga di non rinnovare annullando l’opzione di rinnovo automatico almeno 5 giorni prima della scadenza dell’abbonamento.</w:t>
      </w:r>
      <w:r w:rsidRPr="00D87B79">
        <w:rPr>
          <w:rFonts w:cs="Tahoma"/>
        </w:rPr>
        <w:t xml:space="preserve"> </w:t>
      </w:r>
      <w:r w:rsidRPr="00D87B79">
        <w:rPr>
          <w:rFonts w:cs="Tahoma"/>
          <w:lang w:val="it-IT"/>
        </w:rPr>
        <w:t>In occasione del</w:t>
      </w:r>
      <w:r>
        <w:rPr>
          <w:rFonts w:cs="Tahoma"/>
          <w:lang w:val="it-IT"/>
        </w:rPr>
        <w:t> </w:t>
      </w:r>
      <w:r w:rsidRPr="00D87B79">
        <w:rPr>
          <w:rFonts w:cs="Tahoma"/>
          <w:lang w:val="it-IT"/>
        </w:rPr>
        <w:t>rinnovo automatico Microsoft fatturerà alla parte interessata il numero di licenze in scadenza con periodo di validità dell’abbonamento identico, qualora il contratto iniziale della società rimanga attivo.</w:t>
      </w:r>
      <w:r w:rsidRPr="00D87B79">
        <w:rPr>
          <w:rFonts w:cs="Tahoma"/>
        </w:rPr>
        <w:t xml:space="preserve"> </w:t>
      </w:r>
      <w:r w:rsidRPr="00D87B79">
        <w:rPr>
          <w:rFonts w:cs="Tahoma"/>
          <w:lang w:val="it-IT"/>
        </w:rPr>
        <w:t>Gli abbonamenti ai servizi</w:t>
      </w:r>
      <w:r>
        <w:rPr>
          <w:rFonts w:cs="Tahoma"/>
          <w:lang w:val="it-IT"/>
        </w:rPr>
        <w:t> </w:t>
      </w:r>
      <w:r w:rsidRPr="00D87B79">
        <w:rPr>
          <w:rFonts w:cs="Tahoma"/>
          <w:lang w:val="it-IT"/>
        </w:rPr>
        <w:t>online per gli enti pubblici e gli istituti didattici non si rinnoveranno automaticamente a meno che la società non scelga l’opzione di rinnovo automatico.</w:t>
      </w:r>
      <w:r w:rsidRPr="00D87B79">
        <w:rPr>
          <w:rFonts w:cs="Tahoma"/>
        </w:rPr>
        <w:t xml:space="preserve"> </w:t>
      </w:r>
      <w:r w:rsidRPr="00D87B79">
        <w:rPr>
          <w:rFonts w:cs="Tahoma"/>
          <w:lang w:val="it-IT"/>
        </w:rPr>
        <w:t>Al momento del rinnovo i prezzi vengono ridefiniti.</w:t>
      </w:r>
      <w:r w:rsidRPr="00D87B79">
        <w:rPr>
          <w:rFonts w:cs="Tahoma"/>
        </w:rPr>
        <w:t xml:space="preserve"> </w:t>
      </w:r>
      <w:r w:rsidRPr="00D87B79">
        <w:rPr>
          <w:rFonts w:cs="Tahoma"/>
          <w:lang w:val="it-IT"/>
        </w:rPr>
        <w:t>L’opzione di rinnovo automatico non è disponibile per i Servizi di Windows Azure.</w:t>
      </w:r>
    </w:p>
    <w:p w:rsidR="00A92422" w:rsidRPr="00BC17FF" w:rsidRDefault="00A92422" w:rsidP="00A92422">
      <w:pPr>
        <w:pStyle w:val="Heading2"/>
        <w:ind w:left="0"/>
        <w:rPr>
          <w:rFonts w:ascii="Tahoma" w:hAnsi="Tahoma" w:cs="Tahoma"/>
          <w:sz w:val="18"/>
          <w:szCs w:val="18"/>
        </w:rPr>
      </w:pPr>
    </w:p>
    <w:p w:rsidR="00A92422" w:rsidRPr="00D87B79" w:rsidRDefault="00A92422" w:rsidP="00A92422">
      <w:pPr>
        <w:pStyle w:val="Heading2"/>
        <w:ind w:left="0"/>
        <w:rPr>
          <w:rFonts w:ascii="Tahoma" w:hAnsi="Tahoma" w:cs="Tahoma"/>
        </w:rPr>
      </w:pPr>
      <w:bookmarkStart w:id="793" w:name="_Toc336338210"/>
      <w:bookmarkStart w:id="794" w:name="_Toc342900262"/>
      <w:bookmarkEnd w:id="793"/>
      <w:r w:rsidRPr="00D87B79">
        <w:rPr>
          <w:rFonts w:ascii="Tahoma" w:hAnsi="Tahoma" w:cs="Tahoma"/>
          <w:lang w:val="it-IT"/>
        </w:rPr>
        <w:t>Gestione degli Stati di Rinnovo e di Rinnovo Automatico</w:t>
      </w:r>
      <w:bookmarkEnd w:id="794"/>
    </w:p>
    <w:p w:rsidR="00A92422" w:rsidRPr="00D87B79" w:rsidRDefault="00A92422" w:rsidP="00A92422">
      <w:pPr>
        <w:outlineLvl w:val="2"/>
        <w:rPr>
          <w:rFonts w:cs="Tahoma"/>
        </w:rPr>
      </w:pPr>
    </w:p>
    <w:p w:rsidR="00A92422" w:rsidRPr="00D87B79" w:rsidRDefault="00A92422" w:rsidP="00A92422">
      <w:pPr>
        <w:outlineLvl w:val="2"/>
        <w:rPr>
          <w:rFonts w:cs="Tahoma"/>
        </w:rPr>
      </w:pPr>
      <w:r w:rsidRPr="00D87B79">
        <w:rPr>
          <w:rFonts w:cs="Tahoma"/>
          <w:szCs w:val="18"/>
          <w:lang w:val="it-IT"/>
        </w:rPr>
        <w:t>Le società riceveranno comunicazioni relative ai rinnovi prima della scadenza dei periodi di validità degli abbonamenti</w:t>
      </w:r>
      <w:r>
        <w:rPr>
          <w:rFonts w:cs="Tahoma"/>
          <w:szCs w:val="18"/>
          <w:lang w:val="it-IT"/>
        </w:rPr>
        <w:t> </w:t>
      </w:r>
      <w:r w:rsidRPr="00D87B79">
        <w:rPr>
          <w:rFonts w:cs="Tahoma"/>
          <w:szCs w:val="18"/>
          <w:lang w:val="it-IT"/>
        </w:rPr>
        <w:t>ai servizi online.</w:t>
      </w:r>
      <w:r w:rsidRPr="00D87B79">
        <w:rPr>
          <w:rFonts w:cs="Tahoma"/>
          <w:szCs w:val="18"/>
        </w:rPr>
        <w:t xml:space="preserve"> </w:t>
      </w:r>
      <w:r w:rsidRPr="00D87B79">
        <w:rPr>
          <w:rFonts w:cs="Tahoma"/>
          <w:szCs w:val="18"/>
          <w:lang w:val="it-IT"/>
        </w:rPr>
        <w:t>Le società possono annullare il rinnovo o cambiare un ordine di rinnovo automatico intervenendo almeno 30 giorni prima della scadenza del periodo di validità dell’abbonamento.</w:t>
      </w:r>
      <w:r w:rsidRPr="00D87B79">
        <w:rPr>
          <w:rFonts w:cs="Tahoma"/>
          <w:szCs w:val="18"/>
        </w:rPr>
        <w:t xml:space="preserve"> </w:t>
      </w:r>
      <w:r w:rsidRPr="00D87B79">
        <w:rPr>
          <w:rFonts w:cs="Tahoma"/>
          <w:szCs w:val="18"/>
          <w:lang w:val="it-IT"/>
        </w:rPr>
        <w:t>Le società possono</w:t>
      </w:r>
      <w:r>
        <w:rPr>
          <w:rFonts w:cs="Tahoma"/>
          <w:szCs w:val="18"/>
          <w:lang w:val="it-IT"/>
        </w:rPr>
        <w:t> </w:t>
      </w:r>
      <w:r w:rsidRPr="00D87B79">
        <w:rPr>
          <w:rFonts w:cs="Tahoma"/>
          <w:szCs w:val="18"/>
          <w:lang w:val="it-IT"/>
        </w:rPr>
        <w:t>inoltre cambiare l’ordine di rinnovo effettuando un ordine al rivenditore 30 giorni prima della scadenza dell’abbonamento.</w:t>
      </w:r>
      <w:r w:rsidRPr="00D87B79">
        <w:rPr>
          <w:rFonts w:cs="Tahoma"/>
          <w:szCs w:val="18"/>
        </w:rPr>
        <w:t xml:space="preserve"> </w:t>
      </w:r>
      <w:r w:rsidRPr="00D87B79">
        <w:rPr>
          <w:rFonts w:cs="Tahoma"/>
          <w:szCs w:val="18"/>
          <w:lang w:val="it-IT"/>
        </w:rPr>
        <w:t>Le società potranno annullare il rinnovo di un abbonamento dandone comunicazione scritta a Microsoft con un preavviso di 30</w:t>
      </w:r>
      <w:r>
        <w:rPr>
          <w:rFonts w:cs="Tahoma"/>
          <w:szCs w:val="18"/>
          <w:lang w:val="it-IT"/>
        </w:rPr>
        <w:t> </w:t>
      </w:r>
      <w:r w:rsidRPr="00D87B79">
        <w:rPr>
          <w:rFonts w:cs="Tahoma"/>
          <w:szCs w:val="18"/>
          <w:lang w:val="it-IT"/>
        </w:rPr>
        <w:t>giorni tramite un modulo disponibile presso il rivenditore Microsoft o all’indirizzo http://microsoft.com/licensing/contracts.</w:t>
      </w:r>
      <w:r w:rsidRPr="00D87B79">
        <w:rPr>
          <w:rFonts w:cs="Tahoma"/>
        </w:rPr>
        <w:t xml:space="preserve"> </w:t>
      </w:r>
      <w:r w:rsidRPr="00D87B79">
        <w:rPr>
          <w:rFonts w:cs="Tahoma"/>
          <w:lang w:val="it-IT"/>
        </w:rPr>
        <w:t>Tutti i rinnovi dei servizi danno inizio a un nuovo periodo di validità dell’abbonamento che parte il primo giorno del mese solare successivo alla scadenza del precedente periodo di</w:t>
      </w:r>
      <w:r>
        <w:rPr>
          <w:rFonts w:cs="Tahoma"/>
          <w:lang w:val="it-IT"/>
        </w:rPr>
        <w:t> </w:t>
      </w:r>
      <w:r w:rsidRPr="00D87B79">
        <w:rPr>
          <w:rFonts w:cs="Tahoma"/>
          <w:lang w:val="it-IT"/>
        </w:rPr>
        <w:t>validità dell’abbonamento.</w:t>
      </w:r>
    </w:p>
    <w:p w:rsidR="00A92422" w:rsidRPr="00D87B79" w:rsidRDefault="00A92422" w:rsidP="00A92422">
      <w:pPr>
        <w:outlineLvl w:val="2"/>
        <w:rPr>
          <w:rFonts w:cs="Tahoma"/>
        </w:rPr>
      </w:pPr>
      <w:r w:rsidRPr="00D87B79">
        <w:rPr>
          <w:rFonts w:cs="Tahoma"/>
          <w:szCs w:val="18"/>
          <w:lang w:val="it-IT"/>
        </w:rPr>
        <w:lastRenderedPageBreak/>
        <w:t>Le società potranno aumentare l’impegno relativo all’abbonamento ai servizi online, ma non potranno ridurlo durante</w:t>
      </w:r>
      <w:r>
        <w:rPr>
          <w:rFonts w:cs="Tahoma"/>
          <w:szCs w:val="18"/>
          <w:lang w:val="it-IT"/>
        </w:rPr>
        <w:t> </w:t>
      </w:r>
      <w:r w:rsidRPr="00D87B79">
        <w:rPr>
          <w:rFonts w:cs="Tahoma"/>
          <w:szCs w:val="18"/>
          <w:lang w:val="it-IT"/>
        </w:rPr>
        <w:t>il periodo di validità dello stesso, a meno che i loro contratti non consentano tale riduzione.</w:t>
      </w:r>
      <w:r w:rsidRPr="00D87B79">
        <w:rPr>
          <w:rFonts w:cs="Tahoma"/>
        </w:rPr>
        <w:t xml:space="preserve"> </w:t>
      </w:r>
      <w:r w:rsidRPr="00D87B79">
        <w:rPr>
          <w:rFonts w:cs="Tahoma"/>
          <w:lang w:val="it-IT"/>
        </w:rPr>
        <w:t>Per garantire l’erogazione del servizio agli utenti aggiuntivi, la società dovrà effettuare un ordine per ogni incremento nel servizio in</w:t>
      </w:r>
      <w:r>
        <w:t> </w:t>
      </w:r>
      <w:r w:rsidRPr="00D87B79">
        <w:rPr>
          <w:rFonts w:cs="Tahoma"/>
          <w:lang w:val="it-IT"/>
        </w:rPr>
        <w:t>abbonamento.</w:t>
      </w:r>
      <w:r w:rsidRPr="00D87B79">
        <w:rPr>
          <w:rFonts w:cs="Tahoma"/>
        </w:rPr>
        <w:t xml:space="preserve"> </w:t>
      </w:r>
    </w:p>
    <w:p w:rsidR="00A92422" w:rsidRPr="00F75C95" w:rsidRDefault="00A92422" w:rsidP="00A92422">
      <w:pPr>
        <w:pStyle w:val="Heading2"/>
        <w:ind w:left="0"/>
        <w:rPr>
          <w:rFonts w:ascii="Tahoma" w:hAnsi="Tahoma" w:cs="Tahoma"/>
          <w:sz w:val="18"/>
          <w:szCs w:val="18"/>
        </w:rPr>
      </w:pPr>
      <w:bookmarkStart w:id="795" w:name="_Toc336338211"/>
    </w:p>
    <w:p w:rsidR="00A92422" w:rsidRPr="00D87B79" w:rsidRDefault="00A92422" w:rsidP="00A92422">
      <w:pPr>
        <w:pStyle w:val="Heading2"/>
        <w:ind w:left="0"/>
        <w:rPr>
          <w:rFonts w:ascii="Tahoma" w:hAnsi="Tahoma" w:cs="Tahoma"/>
        </w:rPr>
      </w:pPr>
      <w:bookmarkStart w:id="796" w:name="_Toc342900263"/>
      <w:bookmarkEnd w:id="795"/>
      <w:r w:rsidRPr="00D87B79">
        <w:rPr>
          <w:rFonts w:ascii="Tahoma" w:hAnsi="Tahoma" w:cs="Tahoma"/>
          <w:lang w:val="it-IT"/>
        </w:rPr>
        <w:t>Annullamento dei Servizi Online</w:t>
      </w:r>
      <w:bookmarkEnd w:id="796"/>
    </w:p>
    <w:p w:rsidR="00A92422" w:rsidRPr="00D87B79" w:rsidRDefault="00A92422" w:rsidP="00A92422">
      <w:pPr>
        <w:outlineLvl w:val="2"/>
        <w:rPr>
          <w:rFonts w:cs="Tahoma"/>
        </w:rPr>
      </w:pPr>
    </w:p>
    <w:p w:rsidR="00A92422" w:rsidRPr="00D87B79" w:rsidRDefault="00A92422" w:rsidP="00A92422">
      <w:pPr>
        <w:outlineLvl w:val="2"/>
        <w:rPr>
          <w:rFonts w:cs="Tahoma"/>
        </w:rPr>
      </w:pPr>
      <w:r w:rsidRPr="00D87B79">
        <w:rPr>
          <w:rFonts w:cs="Tahoma"/>
          <w:lang w:val="it-IT"/>
        </w:rPr>
        <w:t>Le sottoscrizioni relative a un servizio online potranno essere annullati entro trenta (30) giorni dal primo ordine iniziale o dalla prima prenotazione della licenza di un servizio senza alcuna penale.</w:t>
      </w:r>
      <w:r w:rsidRPr="00D87B79">
        <w:rPr>
          <w:rFonts w:cs="Tahoma"/>
        </w:rPr>
        <w:t xml:space="preserve"> </w:t>
      </w:r>
      <w:r w:rsidRPr="00D87B79">
        <w:rPr>
          <w:rFonts w:cs="Tahoma"/>
          <w:lang w:val="it-IT"/>
        </w:rPr>
        <w:t>Fare riferimento alle sezioni specifiche riguardanti i prodotti della presente Lista dei Prodotti per prendere visione delle eventuali condizioni aggiuntive relative all’annullamento.</w:t>
      </w:r>
    </w:p>
    <w:p w:rsidR="00A92422" w:rsidRPr="00D20A93" w:rsidRDefault="00A92422" w:rsidP="00A92422">
      <w:pPr>
        <w:outlineLvl w:val="2"/>
        <w:rPr>
          <w:rFonts w:cs="Tahoma"/>
          <w:lang w:val="it-IT"/>
        </w:rPr>
      </w:pPr>
    </w:p>
    <w:p w:rsidR="00A92422" w:rsidRPr="00D87B79" w:rsidRDefault="00A92422" w:rsidP="00A92422">
      <w:pPr>
        <w:pStyle w:val="Heading2"/>
        <w:ind w:left="0"/>
        <w:rPr>
          <w:rFonts w:ascii="Tahoma" w:hAnsi="Tahoma" w:cs="Tahoma"/>
        </w:rPr>
      </w:pPr>
      <w:bookmarkStart w:id="797" w:name="_Toc328145982"/>
      <w:bookmarkStart w:id="798" w:name="_Toc336338212"/>
      <w:bookmarkStart w:id="799" w:name="_Toc342900264"/>
      <w:bookmarkEnd w:id="797"/>
      <w:bookmarkEnd w:id="798"/>
      <w:r w:rsidRPr="00D87B79">
        <w:rPr>
          <w:rFonts w:ascii="Tahoma" w:hAnsi="Tahoma" w:cs="Tahoma"/>
          <w:lang w:val="it-IT"/>
        </w:rPr>
        <w:t>Opzioni relative alle Condizioni di Pagamento dei Servizi Online</w:t>
      </w:r>
      <w:bookmarkEnd w:id="799"/>
    </w:p>
    <w:p w:rsidR="00A92422" w:rsidRPr="00D87B79" w:rsidRDefault="00A92422" w:rsidP="00A92422">
      <w:pPr>
        <w:ind w:left="720"/>
        <w:outlineLvl w:val="2"/>
        <w:rPr>
          <w:rFonts w:cs="Tahoma"/>
        </w:rPr>
      </w:pPr>
    </w:p>
    <w:p w:rsidR="00A92422" w:rsidRPr="00D87B79" w:rsidRDefault="00A92422" w:rsidP="00A92422">
      <w:pPr>
        <w:outlineLvl w:val="2"/>
        <w:rPr>
          <w:rFonts w:cs="Tahoma"/>
        </w:rPr>
      </w:pPr>
      <w:r w:rsidRPr="00D87B79">
        <w:rPr>
          <w:rFonts w:cs="Tahoma"/>
          <w:szCs w:val="18"/>
          <w:lang w:val="it-IT"/>
        </w:rPr>
        <w:t>Le società dovranno pagare gli abbonamenti annuali ai servizi online per intero all’inizio del periodo di validità dell’abbonamento.</w:t>
      </w:r>
      <w:r w:rsidRPr="00D87B79">
        <w:rPr>
          <w:rFonts w:cs="Tahoma"/>
          <w:szCs w:val="18"/>
        </w:rPr>
        <w:t xml:space="preserve"> </w:t>
      </w:r>
      <w:r w:rsidRPr="00D87B79">
        <w:rPr>
          <w:rFonts w:cs="Tahoma"/>
          <w:szCs w:val="18"/>
          <w:lang w:val="it-IT"/>
        </w:rPr>
        <w:t>Le società che scelgono periodi di validità degli abbonamenti con scadenze identiche o di “allinearsi alla seconda Ricorrenza” in Select Plus, hanno le seguenti due possibilità di pagamento:</w:t>
      </w:r>
      <w:r w:rsidRPr="00D87B79">
        <w:rPr>
          <w:rFonts w:cs="Tahoma"/>
          <w:szCs w:val="18"/>
        </w:rPr>
        <w:t xml:space="preserve"> </w:t>
      </w:r>
      <w:r w:rsidRPr="00D87B79">
        <w:rPr>
          <w:rFonts w:cs="Tahoma"/>
          <w:lang w:val="it-IT"/>
        </w:rPr>
        <w:t>(1) Pagamento totale al momento dell’ordine che copre tutto il periodo di validità dell’abbonamento o (2) pagamenti dilazionati, di</w:t>
      </w:r>
      <w:r>
        <w:rPr>
          <w:rFonts w:cs="Tahoma"/>
          <w:lang w:val="it-IT"/>
        </w:rPr>
        <w:t> </w:t>
      </w:r>
      <w:r w:rsidRPr="00D87B79">
        <w:rPr>
          <w:rFonts w:cs="Tahoma"/>
          <w:lang w:val="it-IT"/>
        </w:rPr>
        <w:t>cui il primo pagamento al momento dell’ordine che copre la parte restante dell’anno contrattuale corrente e il pagamento o i pagamenti residui in scadenza a ogni ricorrenza della data di entrata in vigore del contratto (per Select Plus, al posto della ricorrenza del contratto viene utilizzata la ricorrenza della consociata).</w:t>
      </w:r>
      <w:r w:rsidRPr="00D87B79">
        <w:rPr>
          <w:rFonts w:cs="Tahoma"/>
        </w:rPr>
        <w:t xml:space="preserve"> </w:t>
      </w:r>
      <w:r w:rsidRPr="00D87B79">
        <w:rPr>
          <w:rFonts w:cs="Tahoma"/>
          <w:lang w:val="it-IT"/>
        </w:rPr>
        <w:t>Una terza opzione aggiuntiva è disponibile per le società con contratti Select Plus:</w:t>
      </w:r>
      <w:r w:rsidRPr="00D87B79">
        <w:rPr>
          <w:rFonts w:cs="Tahoma"/>
          <w:szCs w:val="18"/>
        </w:rPr>
        <w:t xml:space="preserve"> </w:t>
      </w:r>
      <w:r w:rsidRPr="00D87B79">
        <w:rPr>
          <w:rFonts w:cs="Tahoma"/>
          <w:lang w:val="it-IT"/>
        </w:rPr>
        <w:t>il primo pagamento della ricorrenza dell’ordine al momento dell’ordine che copre 12 mesi e uno o più pagamenti residui in scadenza in occasione di ogni ricorrenza dell’ordine (l’ultimo pagamento coprirà il periodo residuo che va dalla ricorrenza dell’ordine alla data di scadenza della</w:t>
      </w:r>
      <w:r>
        <w:rPr>
          <w:rFonts w:cs="Tahoma"/>
          <w:lang w:val="it-IT"/>
        </w:rPr>
        <w:t> </w:t>
      </w:r>
      <w:r w:rsidRPr="00D87B79">
        <w:rPr>
          <w:rFonts w:cs="Tahoma"/>
          <w:lang w:val="it-IT"/>
        </w:rPr>
        <w:t>copertura dell’abbonamento).</w:t>
      </w:r>
    </w:p>
    <w:p w:rsidR="00A92422" w:rsidRPr="00D87B79" w:rsidRDefault="00A92422" w:rsidP="00A92422">
      <w:pPr>
        <w:outlineLvl w:val="2"/>
        <w:rPr>
          <w:rFonts w:cs="Tahoma"/>
        </w:rPr>
      </w:pPr>
    </w:p>
    <w:p w:rsidR="00A92422" w:rsidRPr="00D87B79" w:rsidRDefault="00A92422" w:rsidP="00A92422">
      <w:pPr>
        <w:outlineLvl w:val="2"/>
        <w:rPr>
          <w:rFonts w:cs="Tahoma"/>
        </w:rPr>
      </w:pPr>
      <w:r w:rsidRPr="00D87B79">
        <w:rPr>
          <w:rFonts w:cs="Tahoma"/>
          <w:szCs w:val="18"/>
          <w:lang w:val="it-IT"/>
        </w:rPr>
        <w:t>Inoltre, le società Open Value potranno scegliere anche di pagare mensilmente.</w:t>
      </w:r>
      <w:r w:rsidRPr="00D87B79">
        <w:rPr>
          <w:rFonts w:cs="Tahoma"/>
        </w:rPr>
        <w:t xml:space="preserve"> </w:t>
      </w:r>
      <w:r w:rsidRPr="00D87B79">
        <w:rPr>
          <w:rFonts w:cs="Tahoma"/>
          <w:lang w:val="it-IT"/>
        </w:rPr>
        <w:t>Per quanto riguarda l’opzione relativa al pagamento mensile, durante il periodo di validità dell’abbonamento alla parte interessata che partecipa verrà fatturata mensilmente la quantità di abbonamenti che la società avrà ordinato.</w:t>
      </w:r>
    </w:p>
    <w:p w:rsidR="00A92422" w:rsidRPr="00D87B79" w:rsidRDefault="00A92422" w:rsidP="00A92422">
      <w:pPr>
        <w:outlineLvl w:val="2"/>
        <w:rPr>
          <w:rFonts w:cs="Tahoma"/>
        </w:rPr>
      </w:pPr>
    </w:p>
    <w:p w:rsidR="00A92422" w:rsidRPr="00D87B79" w:rsidRDefault="00A92422" w:rsidP="00A92422">
      <w:pPr>
        <w:outlineLvl w:val="2"/>
        <w:rPr>
          <w:rFonts w:cs="Tahoma"/>
        </w:rPr>
      </w:pPr>
      <w:r w:rsidRPr="00D87B79">
        <w:rPr>
          <w:rFonts w:cs="Tahoma"/>
          <w:szCs w:val="18"/>
          <w:lang w:val="it-IT"/>
        </w:rPr>
        <w:t>I prezzi e le condizioni di pagamento per gli abbonamenti acquistati presso i rivenditori sono stabiliti tramite un contratto tra la società e il suo rivenditore.</w:t>
      </w:r>
      <w:r w:rsidRPr="00D87B79">
        <w:rPr>
          <w:rFonts w:cs="Tahoma"/>
          <w:szCs w:val="18"/>
        </w:rPr>
        <w:t xml:space="preserve"> </w:t>
      </w:r>
      <w:r w:rsidRPr="00D87B79">
        <w:rPr>
          <w:rFonts w:cs="Tahoma"/>
          <w:szCs w:val="18"/>
          <w:lang w:val="it-IT"/>
        </w:rPr>
        <w:t>A meno che la società non abbia stipulato una Modifica all’Iscrizione Enterprise, Aggiunta di Servizi Online Enterprise, nonostante quanto diversamente stabilito nel contratto, una società</w:t>
      </w:r>
      <w:r>
        <w:rPr>
          <w:rFonts w:cs="Tahoma"/>
          <w:szCs w:val="18"/>
          <w:lang w:val="it-IT"/>
        </w:rPr>
        <w:t> </w:t>
      </w:r>
      <w:r w:rsidRPr="00D87B79">
        <w:rPr>
          <w:rFonts w:cs="Tahoma"/>
          <w:szCs w:val="18"/>
          <w:lang w:val="it-IT"/>
        </w:rPr>
        <w:t>potrà utilizzare per la prima volta l’abbonamento solo dopo aver ordinato un abbonamento ai servizi online.</w:t>
      </w:r>
      <w:r>
        <w:rPr>
          <w:rFonts w:cs="Tahoma"/>
          <w:szCs w:val="18"/>
        </w:rPr>
        <w:t> </w:t>
      </w:r>
      <w:r w:rsidRPr="00D87B79">
        <w:rPr>
          <w:rFonts w:cs="Tahoma"/>
          <w:szCs w:val="18"/>
          <w:lang w:val="it-IT"/>
        </w:rPr>
        <w:t>La società che ha sottoscritto un Contratto Enterprise non potrà inviare un ordine true-up di licenze “Subscription” aggiuntive.</w:t>
      </w:r>
      <w:r w:rsidRPr="00D87B79">
        <w:rPr>
          <w:rFonts w:cs="Tahoma"/>
          <w:szCs w:val="18"/>
        </w:rPr>
        <w:t xml:space="preserve"> </w:t>
      </w:r>
    </w:p>
    <w:p w:rsidR="00A92422" w:rsidRPr="00D87B79" w:rsidRDefault="00A92422" w:rsidP="00A92422">
      <w:pPr>
        <w:outlineLvl w:val="2"/>
        <w:rPr>
          <w:rFonts w:cs="Tahoma"/>
        </w:rPr>
      </w:pPr>
    </w:p>
    <w:p w:rsidR="00A92422" w:rsidRPr="00D87B79" w:rsidRDefault="00A92422" w:rsidP="00A92422">
      <w:pPr>
        <w:outlineLvl w:val="2"/>
        <w:rPr>
          <w:rFonts w:cs="Tahoma"/>
        </w:rPr>
      </w:pPr>
      <w:r w:rsidRPr="00D87B79">
        <w:rPr>
          <w:rFonts w:cs="Tahoma"/>
          <w:lang w:val="it-IT"/>
        </w:rPr>
        <w:t>Informazioni specifiche sui Servizi di Windows Azure sono disponibili nell’Articolo corrispondente che segue.</w:t>
      </w:r>
    </w:p>
    <w:p w:rsidR="00A92422" w:rsidRPr="00D87B79" w:rsidRDefault="00A92422" w:rsidP="00A92422">
      <w:pPr>
        <w:outlineLvl w:val="2"/>
        <w:rPr>
          <w:rFonts w:cs="Tahoma"/>
        </w:rPr>
      </w:pPr>
    </w:p>
    <w:p w:rsidR="00A92422" w:rsidRPr="00D87B79" w:rsidRDefault="00A92422" w:rsidP="00A92422">
      <w:pPr>
        <w:pStyle w:val="Heading2"/>
        <w:ind w:left="0"/>
        <w:rPr>
          <w:rFonts w:ascii="Tahoma" w:hAnsi="Tahoma" w:cs="Tahoma"/>
        </w:rPr>
      </w:pPr>
      <w:bookmarkStart w:id="800" w:name="_Toc328145983"/>
      <w:bookmarkStart w:id="801" w:name="_Toc336338213"/>
      <w:bookmarkStart w:id="802" w:name="_Toc342900265"/>
      <w:bookmarkEnd w:id="800"/>
      <w:bookmarkEnd w:id="801"/>
      <w:r w:rsidRPr="00D87B79">
        <w:rPr>
          <w:rFonts w:ascii="Tahoma" w:hAnsi="Tahoma" w:cs="Tahoma"/>
          <w:lang w:val="it-IT"/>
        </w:rPr>
        <w:t>Requisiti di Acquisto Minimo per i Servizi Online in Volume Licensing</w:t>
      </w:r>
      <w:bookmarkEnd w:id="802"/>
    </w:p>
    <w:p w:rsidR="00A92422" w:rsidRPr="00D87B79" w:rsidRDefault="00A92422" w:rsidP="00A92422">
      <w:pPr>
        <w:outlineLvl w:val="2"/>
        <w:rPr>
          <w:rFonts w:cs="Tahoma"/>
        </w:rPr>
      </w:pPr>
    </w:p>
    <w:p w:rsidR="00A92422" w:rsidRPr="00D87B79" w:rsidRDefault="00A92422" w:rsidP="00A92422">
      <w:pPr>
        <w:outlineLvl w:val="2"/>
        <w:rPr>
          <w:rFonts w:cs="Tahoma"/>
        </w:rPr>
      </w:pPr>
      <w:r w:rsidRPr="00D87B79">
        <w:rPr>
          <w:rFonts w:cs="Tahoma"/>
          <w:szCs w:val="18"/>
          <w:lang w:val="it-IT"/>
        </w:rPr>
        <w:t>Una società si qualifica per il programma Open Value con un acquisto minimo di 5 licenze.</w:t>
      </w:r>
      <w:r w:rsidRPr="00D87B79">
        <w:rPr>
          <w:rFonts w:cs="Tahoma"/>
          <w:szCs w:val="18"/>
        </w:rPr>
        <w:t xml:space="preserve"> </w:t>
      </w:r>
      <w:r w:rsidRPr="00D87B79">
        <w:rPr>
          <w:rFonts w:cs="Tahoma"/>
          <w:szCs w:val="18"/>
          <w:lang w:val="it-IT"/>
        </w:rPr>
        <w:t>Tale regola si applica anche quando si conta il numero di Licenze di Sottoscrizione Utente per i Servizi Online (USL).</w:t>
      </w:r>
      <w:r w:rsidRPr="00D87B79">
        <w:rPr>
          <w:rFonts w:cs="Tahoma"/>
          <w:szCs w:val="18"/>
        </w:rPr>
        <w:t xml:space="preserve"> </w:t>
      </w:r>
      <w:r w:rsidRPr="00D87B79">
        <w:rPr>
          <w:rFonts w:cs="Tahoma"/>
          <w:szCs w:val="18"/>
          <w:lang w:val="it-IT"/>
        </w:rPr>
        <w:t>Una USL contribuisce al raggiungimento della quantità minima di 5 licenze.</w:t>
      </w:r>
      <w:r w:rsidRPr="00D87B79">
        <w:rPr>
          <w:rFonts w:cs="Tahoma"/>
          <w:szCs w:val="18"/>
        </w:rPr>
        <w:t xml:space="preserve"> </w:t>
      </w:r>
      <w:r w:rsidRPr="00D87B79">
        <w:rPr>
          <w:rFonts w:cs="Tahoma"/>
          <w:szCs w:val="18"/>
          <w:lang w:val="it-IT"/>
        </w:rPr>
        <w:t>Un ordine di 5 USL soddisfa il requisito minimo del programma Open Value.</w:t>
      </w:r>
      <w:r w:rsidRPr="00D87B79">
        <w:rPr>
          <w:rFonts w:cs="Tahoma"/>
          <w:szCs w:val="18"/>
        </w:rPr>
        <w:t xml:space="preserve"> </w:t>
      </w:r>
      <w:r w:rsidRPr="00D87B79">
        <w:rPr>
          <w:rFonts w:cs="Tahoma"/>
          <w:szCs w:val="18"/>
          <w:lang w:val="it-IT"/>
        </w:rPr>
        <w:t>Tuttavia, 5 USL da sole non soddisfano il requisito minimo per il programma Open Value a livello aziendale e Open Value Subscription.</w:t>
      </w:r>
      <w:r w:rsidRPr="00D87B79">
        <w:rPr>
          <w:rFonts w:cs="Tahoma"/>
          <w:szCs w:val="18"/>
        </w:rPr>
        <w:t xml:space="preserve"> </w:t>
      </w:r>
      <w:r w:rsidRPr="00D87B79">
        <w:rPr>
          <w:rFonts w:cs="Tahoma"/>
          <w:szCs w:val="18"/>
          <w:lang w:val="it-IT"/>
        </w:rPr>
        <w:t>Per OV (a livello aziendale) e OV Subscription l’ordine iniziale dovrà includere almeno 5 Licenze Piattaforma Desktop o Componente Desktop, oltre ad eventuali USL.</w:t>
      </w:r>
      <w:r w:rsidRPr="00D87B79">
        <w:rPr>
          <w:rFonts w:cs="Tahoma"/>
          <w:szCs w:val="18"/>
        </w:rPr>
        <w:t xml:space="preserve"> </w:t>
      </w:r>
    </w:p>
    <w:p w:rsidR="00A92422" w:rsidRPr="00D87B79" w:rsidRDefault="00A92422" w:rsidP="00A92422">
      <w:pPr>
        <w:outlineLvl w:val="2"/>
        <w:rPr>
          <w:rFonts w:cs="Tahoma"/>
        </w:rPr>
      </w:pPr>
    </w:p>
    <w:p w:rsidR="00A92422" w:rsidRPr="00D87B79" w:rsidRDefault="00A92422" w:rsidP="00A92422">
      <w:pPr>
        <w:pStyle w:val="Heading3"/>
        <w:rPr>
          <w:rFonts w:ascii="Tahoma" w:hAnsi="Tahoma" w:cs="Tahoma"/>
        </w:rPr>
      </w:pPr>
      <w:bookmarkStart w:id="803" w:name="_Toc336338214"/>
      <w:bookmarkStart w:id="804" w:name="_Toc342900266"/>
      <w:bookmarkEnd w:id="803"/>
      <w:r w:rsidRPr="00D87B79">
        <w:rPr>
          <w:rFonts w:ascii="Tahoma" w:hAnsi="Tahoma" w:cs="Tahoma"/>
          <w:sz w:val="24"/>
          <w:lang w:val="it-IT"/>
        </w:rPr>
        <w:t>Servizi di Windows Azure</w:t>
      </w:r>
      <w:bookmarkEnd w:id="804"/>
    </w:p>
    <w:p w:rsidR="00A92422" w:rsidRPr="00D87B79" w:rsidRDefault="00A92422" w:rsidP="00A92422">
      <w:pPr>
        <w:outlineLvl w:val="1"/>
        <w:rPr>
          <w:rFonts w:cs="Tahoma"/>
        </w:rPr>
      </w:pPr>
    </w:p>
    <w:p w:rsidR="00A92422" w:rsidRPr="00D87B79" w:rsidRDefault="00A92422" w:rsidP="00A92422">
      <w:pPr>
        <w:outlineLvl w:val="1"/>
        <w:rPr>
          <w:rFonts w:cs="Tahoma"/>
        </w:rPr>
      </w:pPr>
      <w:r w:rsidRPr="00D87B79">
        <w:rPr>
          <w:rFonts w:cs="Tahoma"/>
          <w:b/>
          <w:sz w:val="20"/>
          <w:lang w:val="it-IT"/>
        </w:rPr>
        <w:t>Definizioni</w:t>
      </w:r>
    </w:p>
    <w:p w:rsidR="00A92422" w:rsidRPr="00D87B79" w:rsidRDefault="00A92422" w:rsidP="00A92422">
      <w:pPr>
        <w:outlineLvl w:val="1"/>
        <w:rPr>
          <w:rFonts w:cs="Tahoma"/>
        </w:rPr>
      </w:pPr>
    </w:p>
    <w:p w:rsidR="00A92422" w:rsidRPr="00D87B79" w:rsidRDefault="00A92422" w:rsidP="00A92422">
      <w:pPr>
        <w:outlineLvl w:val="1"/>
        <w:rPr>
          <w:rFonts w:cs="Tahoma"/>
        </w:rPr>
      </w:pPr>
      <w:r w:rsidRPr="00D87B79">
        <w:rPr>
          <w:rFonts w:cs="Tahoma"/>
          <w:b/>
          <w:lang w:val="it-IT"/>
        </w:rPr>
        <w:t>Tariffe di Impegno</w:t>
      </w:r>
      <w:r w:rsidRPr="00A243C8">
        <w:rPr>
          <w:rFonts w:cs="Tahoma"/>
          <w:b/>
          <w:lang w:val="it-IT"/>
        </w:rPr>
        <w:t xml:space="preserve"> </w:t>
      </w:r>
      <w:r w:rsidRPr="00D87B79">
        <w:rPr>
          <w:rFonts w:cs="Tahoma"/>
          <w:lang w:val="it-IT"/>
        </w:rPr>
        <w:t>indica i prezzi per l’utilizzo dei Servizi di Windows Azure fino al raggiungimento dell’Impegno Annuale Allocato.</w:t>
      </w:r>
    </w:p>
    <w:p w:rsidR="00A92422" w:rsidRPr="00D87B79" w:rsidRDefault="00A92422" w:rsidP="00A92422">
      <w:pPr>
        <w:outlineLvl w:val="1"/>
        <w:rPr>
          <w:rFonts w:cs="Tahoma"/>
        </w:rPr>
      </w:pPr>
    </w:p>
    <w:p w:rsidR="00A92422" w:rsidRPr="00D87B79" w:rsidRDefault="00A92422" w:rsidP="00A92422">
      <w:pPr>
        <w:outlineLvl w:val="1"/>
        <w:rPr>
          <w:rFonts w:cs="Tahoma"/>
        </w:rPr>
      </w:pPr>
      <w:r w:rsidRPr="00D87B79">
        <w:rPr>
          <w:rFonts w:cs="Tahoma"/>
          <w:b/>
          <w:lang w:val="it-IT"/>
        </w:rPr>
        <w:t>Tariffe di Consumo</w:t>
      </w:r>
      <w:r w:rsidRPr="006B5026">
        <w:rPr>
          <w:rFonts w:cs="Tahoma"/>
          <w:b/>
          <w:lang w:val="it-IT"/>
        </w:rPr>
        <w:t xml:space="preserve"> </w:t>
      </w:r>
      <w:r w:rsidRPr="00D87B79">
        <w:rPr>
          <w:rFonts w:cs="Tahoma"/>
          <w:lang w:val="it-IT"/>
        </w:rPr>
        <w:t>indica i prezzi per l’utilizzo dei Servizi di Windows Azure che eccede l’Impegno Annuale Allocato.</w:t>
      </w:r>
      <w:r w:rsidRPr="00D87B79">
        <w:rPr>
          <w:rFonts w:cs="Tahoma"/>
        </w:rPr>
        <w:t xml:space="preserve"> </w:t>
      </w:r>
      <w:r w:rsidRPr="00D87B79">
        <w:rPr>
          <w:rFonts w:cs="Tahoma"/>
          <w:lang w:val="it-IT"/>
        </w:rPr>
        <w:t>Le Tariffe di Consumo possono inoltre essere indicate come “Tariffe di Eccedenza” o “Eccedenza” in altri documenti Microsoft o Windows Azure.</w:t>
      </w:r>
    </w:p>
    <w:p w:rsidR="00A92422" w:rsidRPr="00D87B79" w:rsidRDefault="00A92422" w:rsidP="00A92422">
      <w:pPr>
        <w:outlineLvl w:val="1"/>
        <w:rPr>
          <w:rFonts w:cs="Tahoma"/>
        </w:rPr>
      </w:pPr>
      <w:r w:rsidRPr="00D87B79">
        <w:rPr>
          <w:rFonts w:cs="Tahoma"/>
          <w:b/>
          <w:lang w:val="it-IT"/>
        </w:rPr>
        <w:lastRenderedPageBreak/>
        <w:t>Impegno Monetario</w:t>
      </w:r>
      <w:r w:rsidRPr="006B5026">
        <w:rPr>
          <w:rFonts w:cs="Tahoma"/>
          <w:b/>
          <w:lang w:val="it-IT"/>
        </w:rPr>
        <w:t xml:space="preserve"> </w:t>
      </w:r>
      <w:r w:rsidRPr="00D87B79">
        <w:rPr>
          <w:rFonts w:cs="Tahoma"/>
          <w:lang w:val="it-IT"/>
        </w:rPr>
        <w:t>indica l’importo monetario totale che una società s’impegna a pagare nel periodo di validità dell’abbonamento per l’utilizzo dei Servizi di Windows Azure.</w:t>
      </w:r>
    </w:p>
    <w:p w:rsidR="00A92422" w:rsidRPr="00D87B79" w:rsidRDefault="00A92422" w:rsidP="00A92422">
      <w:pPr>
        <w:outlineLvl w:val="1"/>
        <w:rPr>
          <w:rFonts w:cs="Tahoma"/>
        </w:rPr>
      </w:pPr>
    </w:p>
    <w:p w:rsidR="00A92422" w:rsidRPr="00D87B79" w:rsidRDefault="00A92422" w:rsidP="00A92422">
      <w:pPr>
        <w:outlineLvl w:val="1"/>
        <w:rPr>
          <w:rFonts w:cs="Tahoma"/>
        </w:rPr>
      </w:pPr>
      <w:r w:rsidRPr="00D87B79">
        <w:rPr>
          <w:rFonts w:cs="Tahoma"/>
          <w:b/>
          <w:lang w:val="it-IT"/>
        </w:rPr>
        <w:t>Impegno Annuale Allocato</w:t>
      </w:r>
      <w:r w:rsidRPr="006B5026">
        <w:rPr>
          <w:rFonts w:cs="Tahoma"/>
          <w:b/>
          <w:lang w:val="it-IT"/>
        </w:rPr>
        <w:t xml:space="preserve"> </w:t>
      </w:r>
      <w:r w:rsidRPr="00D87B79">
        <w:rPr>
          <w:rFonts w:cs="Tahoma"/>
          <w:lang w:val="it-IT"/>
        </w:rPr>
        <w:t>indica la parte di Impegno Monetario allocato annualmente durante il periodo di validità dell’Iscrizione.</w:t>
      </w:r>
      <w:r w:rsidRPr="00D87B79">
        <w:rPr>
          <w:rFonts w:cs="Tahoma"/>
        </w:rPr>
        <w:t xml:space="preserve"> </w:t>
      </w:r>
      <w:r w:rsidRPr="00D87B79">
        <w:rPr>
          <w:rFonts w:cs="Tahoma"/>
          <w:lang w:val="it-IT"/>
        </w:rPr>
        <w:t>Per l’opzione “Subscription” annuale l’Impegno Annuale Allocato è pari all’Impegno Monetario.</w:t>
      </w:r>
    </w:p>
    <w:p w:rsidR="00A92422" w:rsidRPr="00D87B79" w:rsidRDefault="00A92422" w:rsidP="00A92422">
      <w:pPr>
        <w:rPr>
          <w:rFonts w:cs="Tahoma"/>
        </w:rPr>
      </w:pPr>
    </w:p>
    <w:p w:rsidR="00A92422" w:rsidRPr="00D87B79" w:rsidRDefault="00A92422" w:rsidP="00A92422">
      <w:pPr>
        <w:outlineLvl w:val="1"/>
        <w:rPr>
          <w:rFonts w:cs="Tahoma"/>
        </w:rPr>
      </w:pPr>
      <w:r w:rsidRPr="00D87B79">
        <w:rPr>
          <w:rFonts w:cs="Tahoma"/>
          <w:b/>
          <w:sz w:val="20"/>
          <w:lang w:val="it-IT"/>
        </w:rPr>
        <w:t>Periodo di Validità dell’Abbonamento</w:t>
      </w:r>
    </w:p>
    <w:p w:rsidR="00A92422" w:rsidRPr="00D87B79" w:rsidRDefault="00A92422" w:rsidP="00A92422">
      <w:pPr>
        <w:outlineLvl w:val="1"/>
        <w:rPr>
          <w:rFonts w:cs="Tahoma"/>
        </w:rPr>
      </w:pPr>
    </w:p>
    <w:p w:rsidR="00A92422" w:rsidRPr="00D87B79" w:rsidRDefault="00A92422" w:rsidP="00A92422">
      <w:pPr>
        <w:outlineLvl w:val="1"/>
        <w:rPr>
          <w:rFonts w:cs="Tahoma"/>
        </w:rPr>
      </w:pPr>
      <w:r w:rsidRPr="00D87B79">
        <w:rPr>
          <w:rFonts w:cs="Tahoma"/>
          <w:lang w:val="it-IT"/>
        </w:rPr>
        <w:t>Per i Servizi di Windows Azure le società possono scegliere un periodo di abbonamento annuale o un abbonamento che termini il giorno stesso della scadenza del periodo di validità dell’iscrizione delle società (“scadenza identica”).</w:t>
      </w:r>
      <w:r w:rsidRPr="00D87B79">
        <w:rPr>
          <w:rFonts w:cs="Tahoma"/>
        </w:rPr>
        <w:t xml:space="preserve"> </w:t>
      </w:r>
      <w:r w:rsidRPr="00D87B79">
        <w:rPr>
          <w:rFonts w:cs="Tahoma"/>
          <w:lang w:val="it-IT"/>
        </w:rPr>
        <w:t>Le</w:t>
      </w:r>
      <w:r>
        <w:rPr>
          <w:rFonts w:cs="Tahoma"/>
          <w:lang w:val="it-IT"/>
        </w:rPr>
        <w:t> </w:t>
      </w:r>
      <w:r w:rsidRPr="00D87B79">
        <w:rPr>
          <w:rFonts w:cs="Tahoma"/>
          <w:lang w:val="it-IT"/>
        </w:rPr>
        <w:t>società che scelgono l’opzione annuale non possono annullare l’iscrizione prima di 12 mesi e le società che scelgono l’opzione con scadenza identica non possono annullare l’iscrizione prima di due mesi.</w:t>
      </w:r>
    </w:p>
    <w:p w:rsidR="00A92422" w:rsidRPr="00D87B79" w:rsidRDefault="00A92422" w:rsidP="00A92422">
      <w:pPr>
        <w:rPr>
          <w:rFonts w:cs="Tahoma"/>
        </w:rPr>
      </w:pPr>
    </w:p>
    <w:p w:rsidR="00A92422" w:rsidRPr="00D87B79" w:rsidRDefault="00A92422" w:rsidP="00A92422">
      <w:pPr>
        <w:outlineLvl w:val="1"/>
        <w:rPr>
          <w:rFonts w:cs="Tahoma"/>
        </w:rPr>
      </w:pPr>
      <w:r w:rsidRPr="00D87B79">
        <w:rPr>
          <w:rFonts w:cs="Tahoma"/>
          <w:b/>
          <w:sz w:val="20"/>
          <w:lang w:val="it-IT"/>
        </w:rPr>
        <w:t>Impegno Monetario</w:t>
      </w:r>
    </w:p>
    <w:p w:rsidR="00A92422" w:rsidRPr="00D87B79" w:rsidRDefault="00A92422" w:rsidP="00A92422">
      <w:pPr>
        <w:outlineLvl w:val="1"/>
        <w:rPr>
          <w:rFonts w:cs="Tahoma"/>
        </w:rPr>
      </w:pPr>
    </w:p>
    <w:p w:rsidR="00A92422" w:rsidRPr="00D87B79" w:rsidRDefault="00A92422" w:rsidP="00A92422">
      <w:pPr>
        <w:outlineLvl w:val="1"/>
        <w:rPr>
          <w:rFonts w:cs="Tahoma"/>
        </w:rPr>
      </w:pPr>
      <w:r w:rsidRPr="00D87B79">
        <w:rPr>
          <w:rFonts w:cs="Tahoma"/>
          <w:lang w:val="it-IT"/>
        </w:rPr>
        <w:t>L’ordine iniziale delle società dovrà includere un Impegno Monetario e potrà essere presentato in qualsiasi momento prima dell’ultimo mese del periodo di validità dell’iscrizione.</w:t>
      </w:r>
      <w:r w:rsidRPr="00D87B79">
        <w:rPr>
          <w:rFonts w:cs="Tahoma"/>
        </w:rPr>
        <w:t xml:space="preserve"> </w:t>
      </w:r>
      <w:r w:rsidRPr="00D87B79">
        <w:rPr>
          <w:rFonts w:cs="Tahoma"/>
          <w:lang w:val="it-IT"/>
        </w:rPr>
        <w:t>L’Impegno Monetario previsto dall’opzione “Subscription” annuale verrà ripartito in uguale misura tra i 12 mesi successivi.</w:t>
      </w:r>
      <w:r w:rsidRPr="00D87B79">
        <w:rPr>
          <w:rFonts w:cs="Tahoma"/>
        </w:rPr>
        <w:t xml:space="preserve"> </w:t>
      </w:r>
      <w:r w:rsidRPr="00D87B79">
        <w:rPr>
          <w:rFonts w:cs="Tahoma"/>
          <w:lang w:val="it-IT"/>
        </w:rPr>
        <w:t>L’Impegno Monetario previsto dall’opzione con scadenza identica verrà allocato in misura proporzionale durante il periodo di validità dell’iscrizione.</w:t>
      </w:r>
    </w:p>
    <w:p w:rsidR="00A92422" w:rsidRPr="00D87B79" w:rsidRDefault="00A92422" w:rsidP="00A92422">
      <w:pPr>
        <w:outlineLvl w:val="1"/>
        <w:rPr>
          <w:rFonts w:cs="Tahoma"/>
        </w:rPr>
      </w:pPr>
    </w:p>
    <w:p w:rsidR="00A92422" w:rsidRPr="00D87B79" w:rsidRDefault="00A92422" w:rsidP="00A92422">
      <w:pPr>
        <w:rPr>
          <w:rFonts w:cs="Tahoma"/>
        </w:rPr>
      </w:pPr>
      <w:r w:rsidRPr="00D87B79">
        <w:rPr>
          <w:rFonts w:cs="Tahoma"/>
          <w:lang w:val="it-IT"/>
        </w:rPr>
        <w:t>Le società potranno incrementare il proprio Impegno Monetario in qualsiasi momento effettuando ordini aggiuntivi.</w:t>
      </w:r>
      <w:r w:rsidRPr="00D87B79">
        <w:rPr>
          <w:rFonts w:cs="Tahoma"/>
        </w:rPr>
        <w:t xml:space="preserve"> </w:t>
      </w:r>
      <w:r w:rsidRPr="00D87B79">
        <w:rPr>
          <w:rFonts w:cs="Tahoma"/>
          <w:lang w:val="it-IT"/>
        </w:rPr>
        <w:t>Tali ordini verranno aggiunti all’Impegno Annuale Allocato corrente e potranno essere utilizzati il primo giorno del mese successivo all’elaborazione dell’ordine da parte di Microsoft.</w:t>
      </w:r>
      <w:r w:rsidRPr="00D87B79">
        <w:rPr>
          <w:rFonts w:cs="Tahoma"/>
        </w:rPr>
        <w:t xml:space="preserve"> </w:t>
      </w:r>
      <w:r w:rsidRPr="00D87B79">
        <w:rPr>
          <w:rFonts w:cs="Tahoma"/>
          <w:lang w:val="it-IT"/>
        </w:rPr>
        <w:t>Per l’opzione con scadenza identica i futuri Impegni</w:t>
      </w:r>
      <w:r>
        <w:rPr>
          <w:rFonts w:cs="Tahoma"/>
          <w:lang w:val="it-IT"/>
        </w:rPr>
        <w:t> </w:t>
      </w:r>
      <w:r w:rsidRPr="00D87B79">
        <w:rPr>
          <w:rFonts w:cs="Tahoma"/>
          <w:lang w:val="it-IT"/>
        </w:rPr>
        <w:t>Annuali Allocati verranno incrementati dall’importo dell’ordine aggiuntivo moltiplicato per dodici diviso il</w:t>
      </w:r>
      <w:r>
        <w:rPr>
          <w:rFonts w:cs="Tahoma"/>
          <w:lang w:val="it-IT"/>
        </w:rPr>
        <w:t> </w:t>
      </w:r>
      <w:r w:rsidRPr="00D87B79">
        <w:rPr>
          <w:rFonts w:cs="Tahoma"/>
          <w:lang w:val="it-IT"/>
        </w:rPr>
        <w:t>numero di mesi interi residui nell’anno in cui è stato effettuato l’ordine aggiuntivo.</w:t>
      </w:r>
    </w:p>
    <w:p w:rsidR="00A92422" w:rsidRPr="00D87B79" w:rsidRDefault="00A92422" w:rsidP="00A92422">
      <w:pPr>
        <w:rPr>
          <w:rFonts w:cs="Tahoma"/>
        </w:rPr>
      </w:pPr>
    </w:p>
    <w:p w:rsidR="00A92422" w:rsidRPr="00D87B79" w:rsidRDefault="00A92422" w:rsidP="00A92422">
      <w:pPr>
        <w:outlineLvl w:val="1"/>
        <w:rPr>
          <w:rFonts w:cs="Tahoma"/>
        </w:rPr>
      </w:pPr>
      <w:r w:rsidRPr="00D87B79">
        <w:rPr>
          <w:rFonts w:cs="Tahoma"/>
          <w:lang w:val="it-IT"/>
        </w:rPr>
        <w:t>Le società dovranno consumare l’Impegno Annuale Allocato entro l’ultimo giorno del 12° mese successivo all’ordine per l’opzione “Subscription” annuale ed entro l’ultimo giorno del mese precedente la ricorrenza annuale dell’iscrizione moltiplicato per dodici diviso il numero di mesi interi residui nell’anno in cui è stato effettuato l’ordine aggiuntivo per il</w:t>
      </w:r>
      <w:r>
        <w:rPr>
          <w:rFonts w:cs="Tahoma"/>
          <w:lang w:val="it-IT"/>
        </w:rPr>
        <w:t> </w:t>
      </w:r>
      <w:r w:rsidRPr="00D87B79">
        <w:rPr>
          <w:rFonts w:cs="Tahoma"/>
          <w:lang w:val="it-IT"/>
        </w:rPr>
        <w:t>periodo di abbonamento con scadenza identica.</w:t>
      </w:r>
      <w:r w:rsidRPr="00D87B79">
        <w:rPr>
          <w:rFonts w:cs="Tahoma"/>
        </w:rPr>
        <w:t xml:space="preserve"> </w:t>
      </w:r>
      <w:r w:rsidRPr="00D87B79">
        <w:rPr>
          <w:rFonts w:cs="Tahoma"/>
          <w:lang w:val="it-IT"/>
        </w:rPr>
        <w:t>L’eventuale parte non utilizzata dell’Impegno Annuale Anticipato andrà persa.</w:t>
      </w:r>
      <w:r w:rsidRPr="00D87B79">
        <w:rPr>
          <w:rFonts w:cs="Tahoma"/>
        </w:rPr>
        <w:t xml:space="preserve"> </w:t>
      </w:r>
    </w:p>
    <w:p w:rsidR="00A92422" w:rsidRDefault="00A92422" w:rsidP="00A92422">
      <w:pPr>
        <w:rPr>
          <w:rFonts w:cs="Tahoma"/>
        </w:rPr>
      </w:pPr>
    </w:p>
    <w:p w:rsidR="00A92422" w:rsidRPr="00D87B79" w:rsidRDefault="00A92422" w:rsidP="00A92422">
      <w:pPr>
        <w:outlineLvl w:val="1"/>
        <w:rPr>
          <w:rFonts w:cs="Tahoma"/>
        </w:rPr>
      </w:pPr>
      <w:r w:rsidRPr="00D87B79">
        <w:rPr>
          <w:rFonts w:cs="Tahoma"/>
          <w:b/>
          <w:sz w:val="20"/>
          <w:lang w:val="it-IT"/>
        </w:rPr>
        <w:t>Pagamento e Corrispettivi</w:t>
      </w:r>
    </w:p>
    <w:p w:rsidR="00A92422" w:rsidRPr="00D87B79" w:rsidRDefault="00A92422" w:rsidP="00A92422">
      <w:pPr>
        <w:outlineLvl w:val="1"/>
        <w:rPr>
          <w:rFonts w:cs="Tahoma"/>
        </w:rPr>
      </w:pPr>
    </w:p>
    <w:p w:rsidR="00A92422" w:rsidRPr="00D87B79" w:rsidRDefault="00A92422" w:rsidP="00A92422">
      <w:pPr>
        <w:rPr>
          <w:rFonts w:cs="Tahoma"/>
        </w:rPr>
      </w:pPr>
      <w:r w:rsidRPr="00D87B79">
        <w:rPr>
          <w:rFonts w:cs="Tahoma"/>
          <w:lang w:val="it-IT"/>
        </w:rPr>
        <w:t>Per l’opzione “Subscription” annuale, gli ordini verranno fatturati immediatamente ai clienti o ai loro rivenditori.</w:t>
      </w:r>
      <w:r w:rsidRPr="00D87B79">
        <w:rPr>
          <w:rFonts w:cs="Tahoma"/>
        </w:rPr>
        <w:t xml:space="preserve"> </w:t>
      </w:r>
      <w:r w:rsidRPr="00D87B79">
        <w:rPr>
          <w:rFonts w:cs="Tahoma"/>
          <w:lang w:val="it-IT"/>
        </w:rPr>
        <w:t>Per l’opzione di abbonamento con scadenza identica, il primo Impegno Annuale Allocato verrà fatturato immediatamente e i futuri Impegni Annuali Allocati verranno fatturati in occasione della ricorrenza annuale della data di entrata in vigore dell’iscrizione.</w:t>
      </w:r>
      <w:r w:rsidRPr="00D87B79">
        <w:rPr>
          <w:rFonts w:cs="Tahoma"/>
        </w:rPr>
        <w:t xml:space="preserve"> </w:t>
      </w:r>
      <w:r w:rsidRPr="00D87B79">
        <w:rPr>
          <w:rFonts w:cs="Tahoma"/>
          <w:lang w:val="it-IT"/>
        </w:rPr>
        <w:t>In alternativa, le società potranno scegliere di pagare l’intero Impegno Monetario all’atto dell’effettuazione dell’ordine iniziale.</w:t>
      </w:r>
    </w:p>
    <w:p w:rsidR="00A92422" w:rsidRPr="00D87B79" w:rsidRDefault="00A92422" w:rsidP="00A92422">
      <w:pPr>
        <w:rPr>
          <w:rFonts w:cs="Tahoma"/>
        </w:rPr>
      </w:pPr>
    </w:p>
    <w:p w:rsidR="00A92422" w:rsidRPr="00D87B79" w:rsidRDefault="00A92422" w:rsidP="00A92422">
      <w:pPr>
        <w:rPr>
          <w:rFonts w:cs="Tahoma"/>
        </w:rPr>
      </w:pPr>
      <w:r w:rsidRPr="00D87B79">
        <w:rPr>
          <w:rFonts w:cs="Tahoma"/>
          <w:lang w:val="it-IT"/>
        </w:rPr>
        <w:t>Ogni mese Microsoft dedurrà dall’Impegno Annuale Allocato il valore monetario corrispondente all’utilizzo dei Servizi di Windows Azure da parte di una società.</w:t>
      </w:r>
      <w:r w:rsidRPr="00D87B79">
        <w:rPr>
          <w:rFonts w:cs="Tahoma"/>
        </w:rPr>
        <w:t xml:space="preserve"> </w:t>
      </w:r>
      <w:r w:rsidRPr="00D87B79">
        <w:rPr>
          <w:rFonts w:cs="Tahoma"/>
          <w:lang w:val="it-IT"/>
        </w:rPr>
        <w:t>Dopo che il saldo relativo all’Impegno Annuale Allocato della società è stato esaurito, qualsiasi utilizzo aggiuntivo per quel mese e per i mesi residui per l’opzione “Subscription” annuale o</w:t>
      </w:r>
      <w:r>
        <w:rPr>
          <w:rFonts w:cs="Tahoma"/>
          <w:lang w:val="it-IT"/>
        </w:rPr>
        <w:t> </w:t>
      </w:r>
      <w:r w:rsidRPr="00D87B79">
        <w:rPr>
          <w:rFonts w:cs="Tahoma"/>
          <w:lang w:val="it-IT"/>
        </w:rPr>
        <w:t>dei mesi residui dell’anno corrente dell’iscrizione per l’opzione con scadenza identica verrà fatturato in base alle Tariffe di Consumo.</w:t>
      </w:r>
      <w:r w:rsidRPr="00D87B79">
        <w:rPr>
          <w:rFonts w:cs="Tahoma"/>
        </w:rPr>
        <w:t xml:space="preserve"> </w:t>
      </w:r>
      <w:r w:rsidRPr="00D87B79">
        <w:rPr>
          <w:rFonts w:cs="Tahoma"/>
          <w:lang w:val="it-IT"/>
        </w:rPr>
        <w:t>Qualora una società scelga l’opzione “Subscription” annuale, l’eventuale utilizzo in base alle Tariffe di Consumo verrà fatturato alla società o al rivenditore al termine di ciascun trimestre dell’iscrizione e alla scadenza del periodo di validità dell’abbonamento.</w:t>
      </w:r>
      <w:r w:rsidRPr="00D87B79">
        <w:rPr>
          <w:rFonts w:cs="Tahoma"/>
        </w:rPr>
        <w:t xml:space="preserve"> </w:t>
      </w:r>
      <w:r w:rsidRPr="00D87B79">
        <w:rPr>
          <w:rFonts w:cs="Tahoma"/>
          <w:lang w:val="it-IT"/>
        </w:rPr>
        <w:t>Qualora una società scelga l’opzione di abbonamento con scadenza identica, l’eventuale utilizzo in base alle Tariffe di Consumo verrà fatturato alla società o al rivenditore al</w:t>
      </w:r>
      <w:r>
        <w:rPr>
          <w:rFonts w:cs="Tahoma"/>
          <w:lang w:val="it-IT"/>
        </w:rPr>
        <w:t> </w:t>
      </w:r>
      <w:r w:rsidRPr="00D87B79">
        <w:rPr>
          <w:rFonts w:cs="Tahoma"/>
          <w:lang w:val="it-IT"/>
        </w:rPr>
        <w:t>termine di ciascun trimestre dell’iscrizione.</w:t>
      </w:r>
      <w:r w:rsidRPr="00D87B79">
        <w:rPr>
          <w:rFonts w:cs="Tahoma"/>
        </w:rPr>
        <w:t xml:space="preserve"> </w:t>
      </w:r>
    </w:p>
    <w:p w:rsidR="00A92422" w:rsidRPr="00D87B79" w:rsidRDefault="00A92422" w:rsidP="00A92422">
      <w:pPr>
        <w:rPr>
          <w:rFonts w:cs="Tahoma"/>
        </w:rPr>
      </w:pPr>
    </w:p>
    <w:p w:rsidR="00A92422" w:rsidRPr="00D87B79" w:rsidRDefault="00A92422" w:rsidP="00A92422">
      <w:pPr>
        <w:rPr>
          <w:rFonts w:cs="Tahoma"/>
        </w:rPr>
      </w:pPr>
      <w:r w:rsidRPr="00D87B79">
        <w:rPr>
          <w:rFonts w:cs="Tahoma"/>
          <w:lang w:val="it-IT"/>
        </w:rPr>
        <w:t>L’utilizzo dei Servizi di Windows Azure dopo la scadenza o il termine del periodo di validità dell’abbonamento di una società verrà fatturato alla società o al rivenditore in base alle Tariffe di Consumo con cadenza trimestrale.</w:t>
      </w:r>
    </w:p>
    <w:p w:rsidR="00A92422" w:rsidRPr="00D87B79" w:rsidRDefault="00A92422" w:rsidP="00A92422">
      <w:pPr>
        <w:rPr>
          <w:rFonts w:cs="Tahoma"/>
        </w:rPr>
      </w:pPr>
    </w:p>
    <w:p w:rsidR="00A92422" w:rsidRPr="00D87B79" w:rsidRDefault="00A92422" w:rsidP="00A92422">
      <w:pPr>
        <w:rPr>
          <w:rFonts w:cs="Tahoma"/>
        </w:rPr>
      </w:pPr>
      <w:r w:rsidRPr="00D87B79">
        <w:rPr>
          <w:rFonts w:cs="Tahoma"/>
          <w:lang w:val="it-IT"/>
        </w:rPr>
        <w:t>Microsoft potrà abbassare i prezzi per i singoli Servizi di Windows Azure durante il periodo di validità dell’iscrizione di</w:t>
      </w:r>
      <w:r>
        <w:rPr>
          <w:rFonts w:cs="Tahoma"/>
          <w:lang w:val="it-IT"/>
        </w:rPr>
        <w:t> </w:t>
      </w:r>
      <w:r w:rsidRPr="00D87B79">
        <w:rPr>
          <w:rFonts w:cs="Tahoma"/>
          <w:lang w:val="it-IT"/>
        </w:rPr>
        <w:t>una società.</w:t>
      </w:r>
      <w:r w:rsidRPr="00D87B79">
        <w:rPr>
          <w:rFonts w:cs="Tahoma"/>
        </w:rPr>
        <w:t xml:space="preserve"> </w:t>
      </w:r>
      <w:r w:rsidRPr="00D87B79">
        <w:rPr>
          <w:rFonts w:cs="Tahoma"/>
          <w:lang w:val="it-IT"/>
        </w:rPr>
        <w:t>Per le società che acquistano i Servizi di Windows Azure direttamente da Microsoft, l’Elenco Prezzi Cliente (Customer Price Sheet) potrà indicare un prezzo maggiore al prezzo corrente in quel momento.</w:t>
      </w:r>
      <w:r w:rsidRPr="00D87B79">
        <w:rPr>
          <w:rFonts w:cs="Tahoma"/>
        </w:rPr>
        <w:t xml:space="preserve"> </w:t>
      </w:r>
      <w:r w:rsidRPr="00D87B79">
        <w:rPr>
          <w:rFonts w:cs="Tahoma"/>
          <w:lang w:val="it-IT"/>
        </w:rPr>
        <w:t>Microsoft concederà i prezzi inferiori a quelle società durante il periodo in cui sono in vigore.</w:t>
      </w:r>
      <w:r w:rsidRPr="00D87B79">
        <w:rPr>
          <w:rFonts w:cs="Tahoma"/>
        </w:rPr>
        <w:t xml:space="preserve"> </w:t>
      </w:r>
      <w:r w:rsidRPr="00D87B79">
        <w:rPr>
          <w:rFonts w:cs="Tahoma"/>
          <w:lang w:val="it-IT"/>
        </w:rPr>
        <w:t>Microsoft comunicherà alle società eventuali variazioni di questo tipo.</w:t>
      </w:r>
    </w:p>
    <w:p w:rsidR="00A92422" w:rsidRPr="00D87B79" w:rsidRDefault="00A92422" w:rsidP="00A92422">
      <w:pPr>
        <w:rPr>
          <w:rFonts w:cs="Tahoma"/>
        </w:rPr>
      </w:pPr>
    </w:p>
    <w:p w:rsidR="00A92422" w:rsidRPr="00D87B79" w:rsidRDefault="00A92422" w:rsidP="00A92422">
      <w:pPr>
        <w:rPr>
          <w:rFonts w:cs="Tahoma"/>
        </w:rPr>
      </w:pPr>
      <w:r w:rsidRPr="00D87B79">
        <w:rPr>
          <w:rFonts w:cs="Tahoma"/>
          <w:szCs w:val="18"/>
          <w:lang w:val="it-IT"/>
        </w:rPr>
        <w:lastRenderedPageBreak/>
        <w:t>I prezzi e le condizioni di pagamento per gli abbonamenti acquistati presso i rivenditori sono stabiliti tramite un contratto tra la società e il suo rivenditore.</w:t>
      </w:r>
      <w:r w:rsidRPr="00D87B79">
        <w:rPr>
          <w:rFonts w:cs="Tahoma"/>
        </w:rPr>
        <w:t xml:space="preserve"> </w:t>
      </w:r>
      <w:r w:rsidRPr="00D87B79">
        <w:rPr>
          <w:rFonts w:cs="Tahoma"/>
          <w:lang w:val="it-IT"/>
        </w:rPr>
        <w:t>Il rivenditore di una società fornirà informazioni aggiuntive relativamente alle procedure di effettuazione degli ordini per i Servizi di Windows Azure.</w:t>
      </w:r>
      <w:r w:rsidRPr="00D87B79">
        <w:rPr>
          <w:rFonts w:cs="Tahoma"/>
        </w:rPr>
        <w:t xml:space="preserve"> </w:t>
      </w:r>
      <w:r w:rsidRPr="00D87B79">
        <w:rPr>
          <w:rFonts w:cs="Tahoma"/>
          <w:lang w:val="it-IT"/>
        </w:rPr>
        <w:t>I prezzi e le condizioni di fatturazione per tutti i Servizi di Windows Azure saranno disciplinati da un contratto specifico tra la società e il relativo rivenditore.</w:t>
      </w:r>
      <w:r w:rsidRPr="00D87B79">
        <w:rPr>
          <w:rFonts w:cs="Tahoma"/>
        </w:rPr>
        <w:t xml:space="preserve"> </w:t>
      </w:r>
      <w:r w:rsidRPr="00D87B79">
        <w:rPr>
          <w:rFonts w:cs="Tahoma"/>
          <w:lang w:val="it-IT"/>
        </w:rPr>
        <w:t>Microsoft potrà ribassare i prezzi per i singoli Servizi di Windows Azure durante il periodo di validità dell’iscrizione di</w:t>
      </w:r>
      <w:r>
        <w:rPr>
          <w:rFonts w:cs="Tahoma"/>
          <w:lang w:val="it-IT"/>
        </w:rPr>
        <w:t> </w:t>
      </w:r>
      <w:r w:rsidRPr="00D87B79">
        <w:rPr>
          <w:rFonts w:cs="Tahoma"/>
          <w:lang w:val="it-IT"/>
        </w:rPr>
        <w:t>una società e potrà concedere i prezzi inferiori al rivenditore della società durante il periodo in cui sono in vigore.</w:t>
      </w:r>
      <w:r w:rsidRPr="00D87B79">
        <w:rPr>
          <w:rFonts w:cs="Tahoma"/>
        </w:rPr>
        <w:t xml:space="preserve"> </w:t>
      </w:r>
      <w:r w:rsidRPr="00D87B79">
        <w:rPr>
          <w:rFonts w:cs="Tahoma"/>
          <w:lang w:val="it-IT"/>
        </w:rPr>
        <w:t>Microsoft comunicherà al rivenditore della società eventuali variazioni di questo tipo.</w:t>
      </w:r>
      <w:r w:rsidRPr="00D87B79">
        <w:rPr>
          <w:rFonts w:cs="Tahoma"/>
        </w:rPr>
        <w:t xml:space="preserve"> </w:t>
      </w:r>
      <w:r w:rsidRPr="00D87B79">
        <w:rPr>
          <w:rFonts w:cs="Tahoma"/>
          <w:lang w:val="it-IT"/>
        </w:rPr>
        <w:t>La società e il rivenditore stabiliranno il prezzo effettivo e l’applicabilità di qualsiasi variazione di prezzo.</w:t>
      </w:r>
    </w:p>
    <w:p w:rsidR="00A92422" w:rsidRPr="00D87B79" w:rsidRDefault="00A92422" w:rsidP="00A92422">
      <w:pPr>
        <w:rPr>
          <w:rFonts w:cs="Tahoma"/>
        </w:rPr>
      </w:pPr>
    </w:p>
    <w:p w:rsidR="00A92422" w:rsidRPr="00D87B79" w:rsidRDefault="00A92422" w:rsidP="00A92422">
      <w:pPr>
        <w:outlineLvl w:val="1"/>
        <w:rPr>
          <w:rFonts w:cs="Tahoma"/>
        </w:rPr>
      </w:pPr>
      <w:r w:rsidRPr="00D87B79">
        <w:rPr>
          <w:rFonts w:cs="Tahoma"/>
          <w:b/>
          <w:sz w:val="20"/>
          <w:lang w:val="it-IT"/>
        </w:rPr>
        <w:t>Tariffe di Impegno per Windows Azure.</w:t>
      </w:r>
    </w:p>
    <w:p w:rsidR="00A92422" w:rsidRPr="00D87B79" w:rsidRDefault="00A92422" w:rsidP="00A92422">
      <w:pPr>
        <w:outlineLvl w:val="1"/>
        <w:rPr>
          <w:rFonts w:cs="Tahoma"/>
        </w:rPr>
      </w:pPr>
    </w:p>
    <w:p w:rsidR="00A92422" w:rsidRPr="00D87B79" w:rsidRDefault="00A92422" w:rsidP="00A92422">
      <w:pPr>
        <w:outlineLvl w:val="1"/>
        <w:rPr>
          <w:rFonts w:cs="Tahoma"/>
        </w:rPr>
      </w:pPr>
      <w:r w:rsidRPr="00D87B79">
        <w:rPr>
          <w:rFonts w:cs="Tahoma"/>
          <w:lang w:val="it-IT"/>
        </w:rPr>
        <w:t>Le Tariffe di Impegno delle società per i Servizi di Windows Azure si basano sul Livello di Impegno Monetario di</w:t>
      </w:r>
      <w:r>
        <w:rPr>
          <w:rFonts w:cs="Tahoma"/>
          <w:lang w:val="it-IT"/>
        </w:rPr>
        <w:t> </w:t>
      </w:r>
      <w:r w:rsidRPr="00D87B79">
        <w:rPr>
          <w:rFonts w:cs="Tahoma"/>
          <w:lang w:val="it-IT"/>
        </w:rPr>
        <w:t>Windows Azure e sul livello di prezzo dell’iscrizione.</w:t>
      </w:r>
      <w:r w:rsidRPr="00D87B79">
        <w:rPr>
          <w:rFonts w:cs="Tahoma"/>
        </w:rPr>
        <w:t xml:space="preserve"> </w:t>
      </w:r>
      <w:r w:rsidRPr="00D87B79">
        <w:rPr>
          <w:rFonts w:cs="Tahoma"/>
          <w:lang w:val="it-IT"/>
        </w:rPr>
        <w:t>Il Livello di Impegno Monetario per Windows Azure è determinato dalla quantità annuale di Impegni Monetari per Windows Azure della società (vale a dire, l’importo monetario totale che la società si impegna a soddisfare durante il periodo di validità dell’abbonamento a Windows Azure) e corrisponde allo sconto specificato nella tabella che segue (espresso come percentuale da detrarre dalle Tariffe di Eccedenza/Consumo di Windows Azure).</w:t>
      </w:r>
      <w:r w:rsidRPr="00D87B79">
        <w:rPr>
          <w:rFonts w:cs="Tahoma"/>
        </w:rPr>
        <w:t xml:space="preserve"> </w:t>
      </w:r>
    </w:p>
    <w:p w:rsidR="00A92422" w:rsidRPr="00D87B79" w:rsidRDefault="00A92422" w:rsidP="00A92422">
      <w:pPr>
        <w:ind w:left="720"/>
        <w:outlineLvl w:val="1"/>
        <w:rPr>
          <w:rFonts w:cs="Tahoma"/>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92"/>
        <w:gridCol w:w="2661"/>
        <w:gridCol w:w="2013"/>
      </w:tblGrid>
      <w:tr w:rsidR="00A92422" w:rsidRPr="00D87B79" w:rsidTr="00EA30FC">
        <w:trPr>
          <w:trHeight w:val="515"/>
          <w:tblHeader/>
          <w:jc w:val="center"/>
        </w:trPr>
        <w:tc>
          <w:tcPr>
            <w:tcW w:w="2592" w:type="dxa"/>
            <w:shd w:val="clear" w:color="auto" w:fill="FABF8F"/>
            <w:tcMar>
              <w:top w:w="0" w:type="dxa"/>
              <w:left w:w="108" w:type="dxa"/>
              <w:bottom w:w="0" w:type="dxa"/>
              <w:right w:w="108" w:type="dxa"/>
            </w:tcMar>
          </w:tcPr>
          <w:p w:rsidR="00A92422" w:rsidRPr="00D87B79" w:rsidRDefault="00A92422" w:rsidP="00EA30FC">
            <w:pPr>
              <w:jc w:val="center"/>
              <w:rPr>
                <w:rFonts w:eastAsia="Times New Roman" w:cs="Tahoma"/>
                <w:b/>
                <w:bCs/>
                <w:szCs w:val="18"/>
              </w:rPr>
            </w:pPr>
            <w:r w:rsidRPr="00D87B79">
              <w:rPr>
                <w:rFonts w:cs="Tahoma"/>
                <w:b/>
                <w:lang w:val="it-IT"/>
              </w:rPr>
              <w:t>Livello di Impegno Monetario per Windows Azure</w:t>
            </w:r>
          </w:p>
        </w:tc>
        <w:tc>
          <w:tcPr>
            <w:tcW w:w="2661" w:type="dxa"/>
            <w:shd w:val="clear" w:color="auto" w:fill="FABF8F"/>
            <w:tcMar>
              <w:top w:w="0" w:type="dxa"/>
              <w:left w:w="108" w:type="dxa"/>
              <w:bottom w:w="0" w:type="dxa"/>
              <w:right w:w="108" w:type="dxa"/>
            </w:tcMar>
          </w:tcPr>
          <w:p w:rsidR="00A92422" w:rsidRPr="00D87B79" w:rsidRDefault="00A92422" w:rsidP="00EA30FC">
            <w:pPr>
              <w:jc w:val="center"/>
              <w:rPr>
                <w:rFonts w:eastAsia="Times New Roman" w:cs="Tahoma"/>
                <w:b/>
                <w:bCs/>
                <w:szCs w:val="18"/>
              </w:rPr>
            </w:pPr>
            <w:r w:rsidRPr="00D87B79">
              <w:rPr>
                <w:rFonts w:cs="Tahoma"/>
                <w:b/>
                <w:lang w:val="it-IT"/>
              </w:rPr>
              <w:t>Quantità Unitaria Annuale dell’Impegno Monetario per Windows Azure*</w:t>
            </w:r>
          </w:p>
        </w:tc>
        <w:tc>
          <w:tcPr>
            <w:tcW w:w="2013" w:type="dxa"/>
            <w:shd w:val="clear" w:color="auto" w:fill="FABF8F"/>
          </w:tcPr>
          <w:p w:rsidR="00A92422" w:rsidRPr="00D87B79" w:rsidRDefault="00A92422" w:rsidP="00EA30FC">
            <w:pPr>
              <w:jc w:val="center"/>
              <w:rPr>
                <w:rFonts w:eastAsia="Times New Roman" w:cs="Tahoma"/>
                <w:b/>
                <w:bCs/>
                <w:szCs w:val="18"/>
              </w:rPr>
            </w:pPr>
            <w:r w:rsidRPr="00D87B79">
              <w:rPr>
                <w:rFonts w:cs="Tahoma"/>
                <w:b/>
                <w:lang w:val="it-IT"/>
              </w:rPr>
              <w:t>Sconto da Detrarre dalle Tariffe di Consumo</w:t>
            </w:r>
          </w:p>
        </w:tc>
      </w:tr>
      <w:tr w:rsidR="00A92422" w:rsidRPr="00D87B79" w:rsidTr="00EA30FC">
        <w:trPr>
          <w:trHeight w:val="258"/>
          <w:jc w:val="center"/>
        </w:trPr>
        <w:tc>
          <w:tcPr>
            <w:tcW w:w="2592" w:type="dxa"/>
            <w:tcMar>
              <w:top w:w="0" w:type="dxa"/>
              <w:left w:w="108" w:type="dxa"/>
              <w:bottom w:w="0" w:type="dxa"/>
              <w:right w:w="108" w:type="dxa"/>
            </w:tcMar>
          </w:tcPr>
          <w:p w:rsidR="00A92422" w:rsidRPr="00D87B79" w:rsidRDefault="00A92422" w:rsidP="00EA30FC">
            <w:pPr>
              <w:spacing w:before="100" w:beforeAutospacing="1" w:after="100" w:afterAutospacing="1"/>
              <w:ind w:right="259"/>
              <w:jc w:val="center"/>
              <w:rPr>
                <w:rFonts w:eastAsia="Times New Roman" w:cs="Tahoma"/>
                <w:szCs w:val="18"/>
              </w:rPr>
            </w:pPr>
            <w:r w:rsidRPr="00D87B79">
              <w:rPr>
                <w:rFonts w:cs="Tahoma"/>
                <w:szCs w:val="18"/>
                <w:lang w:val="it-IT"/>
              </w:rPr>
              <w:t>Livello 1</w:t>
            </w:r>
          </w:p>
        </w:tc>
        <w:tc>
          <w:tcPr>
            <w:tcW w:w="2661" w:type="dxa"/>
            <w:tcMar>
              <w:top w:w="0" w:type="dxa"/>
              <w:left w:w="108" w:type="dxa"/>
              <w:bottom w:w="0" w:type="dxa"/>
              <w:right w:w="108" w:type="dxa"/>
            </w:tcMar>
          </w:tcPr>
          <w:p w:rsidR="00A92422" w:rsidRPr="00D87B79" w:rsidRDefault="00A92422" w:rsidP="00EA30FC">
            <w:pPr>
              <w:spacing w:before="100" w:beforeAutospacing="1" w:after="100" w:afterAutospacing="1"/>
              <w:ind w:left="557" w:right="180"/>
              <w:jc w:val="center"/>
              <w:rPr>
                <w:rFonts w:eastAsia="Times New Roman" w:cs="Tahoma"/>
                <w:szCs w:val="18"/>
              </w:rPr>
            </w:pPr>
            <w:r w:rsidRPr="00D87B79">
              <w:rPr>
                <w:rFonts w:cs="Tahoma"/>
                <w:lang w:val="it-IT"/>
              </w:rPr>
              <w:t>Fino a 1</w:t>
            </w:r>
            <w:r>
              <w:rPr>
                <w:rFonts w:cs="Tahoma"/>
                <w:lang w:val="it-IT"/>
              </w:rPr>
              <w:t>.</w:t>
            </w:r>
            <w:r w:rsidRPr="00D87B79">
              <w:rPr>
                <w:rFonts w:cs="Tahoma"/>
                <w:lang w:val="it-IT"/>
              </w:rPr>
              <w:t>799 Unità</w:t>
            </w:r>
          </w:p>
        </w:tc>
        <w:tc>
          <w:tcPr>
            <w:tcW w:w="2013" w:type="dxa"/>
          </w:tcPr>
          <w:p w:rsidR="00A92422" w:rsidRPr="00D87B79" w:rsidRDefault="00A92422" w:rsidP="00EA30FC">
            <w:pPr>
              <w:spacing w:before="100" w:beforeAutospacing="1" w:after="100" w:afterAutospacing="1"/>
              <w:ind w:left="557" w:right="180"/>
              <w:jc w:val="center"/>
              <w:rPr>
                <w:rFonts w:eastAsia="Times New Roman" w:cs="Tahoma"/>
                <w:szCs w:val="18"/>
              </w:rPr>
            </w:pPr>
            <w:r w:rsidRPr="00D87B79">
              <w:rPr>
                <w:rFonts w:cs="Tahoma"/>
                <w:szCs w:val="18"/>
              </w:rPr>
              <w:t>23%</w:t>
            </w:r>
          </w:p>
        </w:tc>
      </w:tr>
      <w:tr w:rsidR="00A92422" w:rsidRPr="00D87B79" w:rsidTr="00EA30FC">
        <w:trPr>
          <w:trHeight w:val="258"/>
          <w:jc w:val="center"/>
        </w:trPr>
        <w:tc>
          <w:tcPr>
            <w:tcW w:w="2592" w:type="dxa"/>
            <w:tcMar>
              <w:top w:w="0" w:type="dxa"/>
              <w:left w:w="108" w:type="dxa"/>
              <w:bottom w:w="0" w:type="dxa"/>
              <w:right w:w="108" w:type="dxa"/>
            </w:tcMar>
          </w:tcPr>
          <w:p w:rsidR="00A92422" w:rsidRPr="00D87B79" w:rsidRDefault="00A92422" w:rsidP="00EA30FC">
            <w:pPr>
              <w:spacing w:before="100" w:beforeAutospacing="1" w:after="100" w:afterAutospacing="1"/>
              <w:ind w:right="259"/>
              <w:jc w:val="center"/>
              <w:rPr>
                <w:rFonts w:eastAsia="Times New Roman" w:cs="Tahoma"/>
                <w:szCs w:val="18"/>
              </w:rPr>
            </w:pPr>
            <w:r w:rsidRPr="00D87B79">
              <w:rPr>
                <w:rFonts w:cs="Tahoma"/>
                <w:szCs w:val="18"/>
                <w:lang w:val="it-IT"/>
              </w:rPr>
              <w:t>Livello 2</w:t>
            </w:r>
          </w:p>
        </w:tc>
        <w:tc>
          <w:tcPr>
            <w:tcW w:w="2661" w:type="dxa"/>
            <w:tcMar>
              <w:top w:w="0" w:type="dxa"/>
              <w:left w:w="108" w:type="dxa"/>
              <w:bottom w:w="0" w:type="dxa"/>
              <w:right w:w="108" w:type="dxa"/>
            </w:tcMar>
          </w:tcPr>
          <w:p w:rsidR="00A92422" w:rsidRPr="00D87B79" w:rsidRDefault="00A92422" w:rsidP="00EA30FC">
            <w:pPr>
              <w:spacing w:before="100" w:beforeAutospacing="1" w:after="100" w:afterAutospacing="1"/>
              <w:ind w:left="557" w:right="180"/>
              <w:jc w:val="center"/>
              <w:rPr>
                <w:rFonts w:eastAsia="Times New Roman" w:cs="Tahoma"/>
                <w:szCs w:val="18"/>
              </w:rPr>
            </w:pPr>
            <w:r w:rsidRPr="00D87B79">
              <w:rPr>
                <w:rFonts w:cs="Tahoma"/>
                <w:lang w:val="it-IT"/>
              </w:rPr>
              <w:t>1</w:t>
            </w:r>
            <w:r>
              <w:rPr>
                <w:rFonts w:cs="Tahoma"/>
                <w:lang w:val="it-IT"/>
              </w:rPr>
              <w:t>.</w:t>
            </w:r>
            <w:r w:rsidRPr="00D87B79">
              <w:rPr>
                <w:rFonts w:cs="Tahoma"/>
                <w:lang w:val="it-IT"/>
              </w:rPr>
              <w:t xml:space="preserve">800 </w:t>
            </w:r>
            <w:r>
              <w:rPr>
                <w:rFonts w:cs="Tahoma"/>
                <w:lang w:val="it-IT"/>
              </w:rPr>
              <w:t>–</w:t>
            </w:r>
            <w:r w:rsidRPr="00D87B79">
              <w:rPr>
                <w:rFonts w:cs="Tahoma"/>
                <w:lang w:val="it-IT"/>
              </w:rPr>
              <w:t xml:space="preserve"> 4</w:t>
            </w:r>
            <w:r>
              <w:rPr>
                <w:rFonts w:cs="Tahoma"/>
                <w:lang w:val="it-IT"/>
              </w:rPr>
              <w:t>.</w:t>
            </w:r>
            <w:r w:rsidRPr="00D87B79">
              <w:rPr>
                <w:rFonts w:cs="Tahoma"/>
                <w:lang w:val="it-IT"/>
              </w:rPr>
              <w:t>799 Unità</w:t>
            </w:r>
          </w:p>
        </w:tc>
        <w:tc>
          <w:tcPr>
            <w:tcW w:w="2013" w:type="dxa"/>
          </w:tcPr>
          <w:p w:rsidR="00A92422" w:rsidRPr="00D87B79" w:rsidRDefault="00A92422" w:rsidP="00EA30FC">
            <w:pPr>
              <w:spacing w:before="100" w:beforeAutospacing="1" w:after="100" w:afterAutospacing="1"/>
              <w:ind w:left="557" w:right="180"/>
              <w:jc w:val="center"/>
              <w:rPr>
                <w:rFonts w:eastAsia="Times New Roman" w:cs="Tahoma"/>
                <w:szCs w:val="18"/>
              </w:rPr>
            </w:pPr>
            <w:r w:rsidRPr="00D87B79">
              <w:rPr>
                <w:rFonts w:cs="Tahoma"/>
                <w:szCs w:val="18"/>
              </w:rPr>
              <w:t>26%</w:t>
            </w:r>
          </w:p>
        </w:tc>
      </w:tr>
      <w:tr w:rsidR="00A92422" w:rsidRPr="00D87B79" w:rsidTr="00EA30FC">
        <w:trPr>
          <w:trHeight w:val="258"/>
          <w:jc w:val="center"/>
        </w:trPr>
        <w:tc>
          <w:tcPr>
            <w:tcW w:w="2592" w:type="dxa"/>
            <w:tcMar>
              <w:top w:w="0" w:type="dxa"/>
              <w:left w:w="108" w:type="dxa"/>
              <w:bottom w:w="0" w:type="dxa"/>
              <w:right w:w="108" w:type="dxa"/>
            </w:tcMar>
          </w:tcPr>
          <w:p w:rsidR="00A92422" w:rsidRPr="00D87B79" w:rsidRDefault="00A92422" w:rsidP="00EA30FC">
            <w:pPr>
              <w:spacing w:before="100" w:beforeAutospacing="1" w:after="100" w:afterAutospacing="1"/>
              <w:ind w:right="259"/>
              <w:jc w:val="center"/>
              <w:rPr>
                <w:rFonts w:eastAsia="Times New Roman" w:cs="Tahoma"/>
                <w:szCs w:val="18"/>
              </w:rPr>
            </w:pPr>
            <w:r w:rsidRPr="00D87B79">
              <w:rPr>
                <w:rFonts w:cs="Tahoma"/>
                <w:szCs w:val="18"/>
                <w:lang w:val="it-IT"/>
              </w:rPr>
              <w:t>Livello 3</w:t>
            </w:r>
          </w:p>
        </w:tc>
        <w:tc>
          <w:tcPr>
            <w:tcW w:w="2661" w:type="dxa"/>
            <w:tcMar>
              <w:top w:w="0" w:type="dxa"/>
              <w:left w:w="108" w:type="dxa"/>
              <w:bottom w:w="0" w:type="dxa"/>
              <w:right w:w="108" w:type="dxa"/>
            </w:tcMar>
          </w:tcPr>
          <w:p w:rsidR="00A92422" w:rsidRPr="00D87B79" w:rsidRDefault="00A92422" w:rsidP="00EA30FC">
            <w:pPr>
              <w:spacing w:before="100" w:beforeAutospacing="1" w:after="100" w:afterAutospacing="1"/>
              <w:ind w:left="557" w:right="180"/>
              <w:jc w:val="center"/>
              <w:rPr>
                <w:rFonts w:eastAsia="Times New Roman" w:cs="Tahoma"/>
                <w:szCs w:val="18"/>
              </w:rPr>
            </w:pPr>
            <w:r w:rsidRPr="00D87B79">
              <w:rPr>
                <w:rFonts w:cs="Tahoma"/>
                <w:lang w:val="it-IT"/>
              </w:rPr>
              <w:t>4</w:t>
            </w:r>
            <w:r>
              <w:rPr>
                <w:rFonts w:cs="Tahoma"/>
                <w:lang w:val="it-IT"/>
              </w:rPr>
              <w:t>.</w:t>
            </w:r>
            <w:r w:rsidRPr="00D87B79">
              <w:rPr>
                <w:rFonts w:cs="Tahoma"/>
                <w:lang w:val="it-IT"/>
              </w:rPr>
              <w:t xml:space="preserve">800 </w:t>
            </w:r>
            <w:r>
              <w:rPr>
                <w:rFonts w:cs="Tahoma"/>
                <w:lang w:val="it-IT"/>
              </w:rPr>
              <w:t>–</w:t>
            </w:r>
            <w:r w:rsidRPr="00D87B79">
              <w:rPr>
                <w:rFonts w:cs="Tahoma"/>
                <w:lang w:val="it-IT"/>
              </w:rPr>
              <w:t xml:space="preserve"> 11</w:t>
            </w:r>
            <w:r>
              <w:rPr>
                <w:rFonts w:cs="Tahoma"/>
                <w:lang w:val="it-IT"/>
              </w:rPr>
              <w:t>.</w:t>
            </w:r>
            <w:r w:rsidRPr="00D87B79">
              <w:rPr>
                <w:rFonts w:cs="Tahoma"/>
                <w:lang w:val="it-IT"/>
              </w:rPr>
              <w:t>999 Unità</w:t>
            </w:r>
          </w:p>
        </w:tc>
        <w:tc>
          <w:tcPr>
            <w:tcW w:w="2013" w:type="dxa"/>
          </w:tcPr>
          <w:p w:rsidR="00A92422" w:rsidRPr="00D87B79" w:rsidRDefault="00A92422" w:rsidP="00EA30FC">
            <w:pPr>
              <w:spacing w:before="100" w:beforeAutospacing="1" w:after="100" w:afterAutospacing="1"/>
              <w:ind w:left="557" w:right="180"/>
              <w:jc w:val="center"/>
              <w:rPr>
                <w:rFonts w:eastAsia="Times New Roman" w:cs="Tahoma"/>
                <w:szCs w:val="18"/>
              </w:rPr>
            </w:pPr>
            <w:r w:rsidRPr="00D87B79">
              <w:rPr>
                <w:rFonts w:cs="Tahoma"/>
                <w:szCs w:val="18"/>
              </w:rPr>
              <w:t>30%</w:t>
            </w:r>
          </w:p>
        </w:tc>
      </w:tr>
      <w:tr w:rsidR="00A92422" w:rsidRPr="00D87B79" w:rsidTr="00EA30FC">
        <w:trPr>
          <w:trHeight w:val="258"/>
          <w:jc w:val="center"/>
        </w:trPr>
        <w:tc>
          <w:tcPr>
            <w:tcW w:w="2592" w:type="dxa"/>
            <w:tcMar>
              <w:top w:w="0" w:type="dxa"/>
              <w:left w:w="108" w:type="dxa"/>
              <w:bottom w:w="0" w:type="dxa"/>
              <w:right w:w="108" w:type="dxa"/>
            </w:tcMar>
          </w:tcPr>
          <w:p w:rsidR="00A92422" w:rsidRPr="00D87B79" w:rsidRDefault="00A92422" w:rsidP="00EA30FC">
            <w:pPr>
              <w:spacing w:before="100" w:beforeAutospacing="1" w:after="100" w:afterAutospacing="1"/>
              <w:ind w:right="259"/>
              <w:jc w:val="center"/>
              <w:rPr>
                <w:rFonts w:eastAsia="Times New Roman" w:cs="Tahoma"/>
                <w:szCs w:val="18"/>
              </w:rPr>
            </w:pPr>
            <w:r w:rsidRPr="00D87B79">
              <w:rPr>
                <w:rFonts w:cs="Tahoma"/>
                <w:szCs w:val="18"/>
                <w:lang w:val="it-IT"/>
              </w:rPr>
              <w:t>Livello 4</w:t>
            </w:r>
          </w:p>
        </w:tc>
        <w:tc>
          <w:tcPr>
            <w:tcW w:w="2661" w:type="dxa"/>
            <w:tcMar>
              <w:top w:w="0" w:type="dxa"/>
              <w:left w:w="108" w:type="dxa"/>
              <w:bottom w:w="0" w:type="dxa"/>
              <w:right w:w="108" w:type="dxa"/>
            </w:tcMar>
          </w:tcPr>
          <w:p w:rsidR="00A92422" w:rsidRPr="00D87B79" w:rsidRDefault="00A92422" w:rsidP="00EA30FC">
            <w:pPr>
              <w:spacing w:before="100" w:beforeAutospacing="1" w:after="100" w:afterAutospacing="1"/>
              <w:ind w:left="557" w:right="180"/>
              <w:jc w:val="center"/>
              <w:rPr>
                <w:rFonts w:eastAsia="Times New Roman" w:cs="Tahoma"/>
                <w:szCs w:val="18"/>
              </w:rPr>
            </w:pPr>
            <w:r w:rsidRPr="00D87B79">
              <w:rPr>
                <w:rFonts w:cs="Tahoma"/>
                <w:lang w:val="it-IT"/>
              </w:rPr>
              <w:t>Oltre 12</w:t>
            </w:r>
            <w:r>
              <w:rPr>
                <w:rFonts w:cs="Tahoma"/>
                <w:lang w:val="it-IT"/>
              </w:rPr>
              <w:t>.</w:t>
            </w:r>
            <w:r w:rsidRPr="00D87B79">
              <w:rPr>
                <w:rFonts w:cs="Tahoma"/>
                <w:lang w:val="it-IT"/>
              </w:rPr>
              <w:t>000 Unità</w:t>
            </w:r>
          </w:p>
        </w:tc>
        <w:tc>
          <w:tcPr>
            <w:tcW w:w="2013" w:type="dxa"/>
          </w:tcPr>
          <w:p w:rsidR="00A92422" w:rsidRPr="00D87B79" w:rsidRDefault="00A92422" w:rsidP="00EA30FC">
            <w:pPr>
              <w:spacing w:before="100" w:beforeAutospacing="1" w:after="100" w:afterAutospacing="1"/>
              <w:ind w:left="557" w:right="180"/>
              <w:jc w:val="center"/>
              <w:rPr>
                <w:rFonts w:eastAsia="Times New Roman" w:cs="Tahoma"/>
                <w:szCs w:val="18"/>
              </w:rPr>
            </w:pPr>
            <w:r w:rsidRPr="00D87B79">
              <w:rPr>
                <w:rFonts w:cs="Tahoma"/>
                <w:szCs w:val="18"/>
              </w:rPr>
              <w:t>35%</w:t>
            </w:r>
          </w:p>
        </w:tc>
      </w:tr>
    </w:tbl>
    <w:p w:rsidR="00A92422" w:rsidRPr="00D87B79" w:rsidRDefault="00A92422" w:rsidP="00A92422">
      <w:pPr>
        <w:ind w:left="1080"/>
        <w:outlineLvl w:val="1"/>
        <w:rPr>
          <w:rFonts w:cs="Tahoma"/>
        </w:rPr>
      </w:pPr>
      <w:r w:rsidRPr="00D87B79">
        <w:rPr>
          <w:rFonts w:cs="Tahoma"/>
          <w:i/>
          <w:sz w:val="16"/>
          <w:lang w:val="it-IT"/>
        </w:rPr>
        <w:t>* Unità è un importo monetario nella valuta applicabile</w:t>
      </w:r>
    </w:p>
    <w:p w:rsidR="00A92422" w:rsidRPr="00D87B79" w:rsidRDefault="00A92422" w:rsidP="00A92422">
      <w:pPr>
        <w:outlineLvl w:val="1"/>
        <w:rPr>
          <w:rFonts w:cs="Tahoma"/>
        </w:rPr>
      </w:pPr>
    </w:p>
    <w:p w:rsidR="00A92422" w:rsidRPr="00D87B79" w:rsidRDefault="00A92422" w:rsidP="00A92422">
      <w:pPr>
        <w:outlineLvl w:val="1"/>
        <w:rPr>
          <w:rFonts w:cs="Tahoma"/>
        </w:rPr>
      </w:pPr>
      <w:r w:rsidRPr="00D87B79">
        <w:rPr>
          <w:rFonts w:cs="Tahoma"/>
          <w:szCs w:val="18"/>
          <w:lang w:val="it-IT"/>
        </w:rPr>
        <w:t>Una società potrà incrementare la propria quantità annuale di Impegni Monetari per Windows Azure e qualificarsi per un Livello superiore in qualsiasi momento del periodo di validità dell’abbonamento a Windows Azure.</w:t>
      </w:r>
      <w:r w:rsidRPr="00D87B79">
        <w:rPr>
          <w:rFonts w:cs="Tahoma"/>
          <w:szCs w:val="18"/>
        </w:rPr>
        <w:t xml:space="preserve"> </w:t>
      </w:r>
      <w:r w:rsidRPr="00D87B79">
        <w:rPr>
          <w:rFonts w:cs="Tahoma"/>
          <w:szCs w:val="18"/>
          <w:lang w:val="it-IT"/>
        </w:rPr>
        <w:t>Le nuove Tariffe di Impegno si applicheranno all’utilizzo dei Servizi di Windows Azure da parte della società a decorrere dal primo giorno del mese solare successivo alla variazione della quantità di licenze annuale dell’Impegno Monetario per Windows Azure da parte della società.</w:t>
      </w:r>
      <w:r w:rsidRPr="00D87B79">
        <w:rPr>
          <w:rFonts w:cs="Tahoma"/>
          <w:szCs w:val="18"/>
        </w:rPr>
        <w:t xml:space="preserve"> </w:t>
      </w:r>
    </w:p>
    <w:p w:rsidR="00A92422" w:rsidRPr="00D87B79" w:rsidRDefault="00A92422" w:rsidP="00A92422">
      <w:pPr>
        <w:outlineLvl w:val="1"/>
        <w:rPr>
          <w:rFonts w:cs="Tahoma"/>
        </w:rPr>
      </w:pPr>
    </w:p>
    <w:p w:rsidR="00A92422" w:rsidRPr="00D87B79" w:rsidRDefault="00A92422" w:rsidP="00A92422">
      <w:pPr>
        <w:outlineLvl w:val="1"/>
        <w:rPr>
          <w:rFonts w:cs="Tahoma"/>
        </w:rPr>
      </w:pPr>
      <w:r w:rsidRPr="00D87B79">
        <w:rPr>
          <w:rFonts w:cs="Tahoma"/>
          <w:szCs w:val="18"/>
          <w:lang w:val="it-IT"/>
        </w:rPr>
        <w:t>I prezzi delle Tariffe di Impegno del Livello 1 verranno riportati sull’Elenco Prezzi Cliente.</w:t>
      </w:r>
      <w:r w:rsidRPr="00D87B79">
        <w:rPr>
          <w:rFonts w:cs="Tahoma"/>
        </w:rPr>
        <w:t xml:space="preserve"> </w:t>
      </w:r>
      <w:r w:rsidRPr="00D87B79">
        <w:rPr>
          <w:rFonts w:cs="Tahoma"/>
          <w:lang w:val="it-IT"/>
        </w:rPr>
        <w:t>I prezzi effettivi delle Tariffe di Impegno saranno visibili sulla pagina della Vista dell’Account sul Portale Aziendale di Windows Azure.</w:t>
      </w:r>
      <w:r w:rsidRPr="00D87B79">
        <w:rPr>
          <w:rFonts w:cs="Tahoma"/>
        </w:rPr>
        <w:t xml:space="preserve"> </w:t>
      </w:r>
      <w:r w:rsidRPr="00D87B79">
        <w:rPr>
          <w:rFonts w:cs="Tahoma"/>
          <w:lang w:val="it-IT"/>
        </w:rPr>
        <w:t>I prezzi e le condizioni di pagamento per i Servizi di Windows Azure acquistati presso i rivenditori sono stabiliti tramite un contratto tra una società e il suo rivenditore.</w:t>
      </w:r>
    </w:p>
    <w:p w:rsidR="00A92422" w:rsidRPr="00D87B79" w:rsidRDefault="00A92422" w:rsidP="00A92422">
      <w:pPr>
        <w:rPr>
          <w:rFonts w:cs="Tahoma"/>
        </w:rPr>
      </w:pPr>
    </w:p>
    <w:p w:rsidR="00A92422" w:rsidRPr="00D87B79" w:rsidRDefault="00A92422" w:rsidP="00A92422">
      <w:pPr>
        <w:pStyle w:val="Heading2"/>
        <w:ind w:left="0"/>
        <w:rPr>
          <w:rFonts w:ascii="Tahoma" w:hAnsi="Tahoma" w:cs="Tahoma"/>
        </w:rPr>
      </w:pPr>
      <w:bookmarkStart w:id="805" w:name="_Toc328145984"/>
      <w:bookmarkStart w:id="806" w:name="_Toc336338215"/>
      <w:bookmarkStart w:id="807" w:name="_Toc342900267"/>
      <w:bookmarkEnd w:id="805"/>
      <w:bookmarkEnd w:id="806"/>
      <w:r w:rsidRPr="00D87B79">
        <w:rPr>
          <w:rFonts w:ascii="Tahoma" w:hAnsi="Tahoma" w:cs="Tahoma"/>
          <w:lang w:val="it-IT"/>
        </w:rPr>
        <w:t>Disponibilità regionale del Servizio Online</w:t>
      </w:r>
      <w:bookmarkEnd w:id="807"/>
      <w:r w:rsidRPr="00D87B79">
        <w:rPr>
          <w:rFonts w:ascii="Tahoma" w:hAnsi="Tahoma" w:cs="Tahoma"/>
        </w:rPr>
        <w:t xml:space="preserve"> </w:t>
      </w:r>
    </w:p>
    <w:p w:rsidR="00A92422" w:rsidRPr="00D87B79" w:rsidRDefault="00A92422" w:rsidP="00A92422">
      <w:pPr>
        <w:outlineLvl w:val="2"/>
        <w:rPr>
          <w:rFonts w:cs="Tahoma"/>
        </w:rPr>
      </w:pPr>
    </w:p>
    <w:p w:rsidR="00A92422" w:rsidRPr="00D87B79" w:rsidRDefault="00A92422" w:rsidP="00A92422">
      <w:pPr>
        <w:outlineLvl w:val="2"/>
        <w:rPr>
          <w:rFonts w:cs="Tahoma"/>
        </w:rPr>
      </w:pPr>
      <w:r w:rsidRPr="00D87B79">
        <w:rPr>
          <w:rFonts w:cs="Tahoma"/>
          <w:lang w:val="it-IT"/>
        </w:rPr>
        <w:t xml:space="preserve">Per un elenco dei Paesi in cui sono disponibili i Servizi Online, visitare la pagina </w:t>
      </w:r>
      <w:hyperlink r:id="rId16" w:anchor="international" w:history="1">
        <w:r w:rsidRPr="00D87B79">
          <w:rPr>
            <w:rStyle w:val="Hyperlink"/>
            <w:rFonts w:cs="Tahoma"/>
            <w:lang w:val="it-IT"/>
          </w:rPr>
          <w:t>http://www.microsoft.com/online/faq.aspx#international</w:t>
        </w:r>
      </w:hyperlink>
      <w:r w:rsidRPr="00D87B79">
        <w:rPr>
          <w:rFonts w:cs="Tahoma"/>
          <w:lang w:val="it-IT"/>
        </w:rPr>
        <w:t>.</w:t>
      </w:r>
      <w:r w:rsidRPr="00D87B79">
        <w:rPr>
          <w:rFonts w:cs="Tahoma"/>
        </w:rPr>
        <w:t xml:space="preserve"> </w:t>
      </w:r>
    </w:p>
    <w:p w:rsidR="00A92422" w:rsidRPr="00D87B79" w:rsidRDefault="00A92422" w:rsidP="00A92422">
      <w:pPr>
        <w:outlineLvl w:val="2"/>
        <w:rPr>
          <w:rFonts w:cs="Tahoma"/>
        </w:rPr>
      </w:pPr>
    </w:p>
    <w:p w:rsidR="00A92422" w:rsidRPr="00D87B79" w:rsidRDefault="00A92422" w:rsidP="00A92422">
      <w:pPr>
        <w:pStyle w:val="Heading2"/>
        <w:ind w:left="0"/>
        <w:rPr>
          <w:rFonts w:ascii="Tahoma" w:hAnsi="Tahoma" w:cs="Tahoma"/>
        </w:rPr>
      </w:pPr>
      <w:bookmarkStart w:id="808" w:name="_Toc328145985"/>
      <w:bookmarkStart w:id="809" w:name="_Toc336338216"/>
      <w:bookmarkStart w:id="810" w:name="_Toc342900268"/>
      <w:bookmarkEnd w:id="808"/>
      <w:bookmarkEnd w:id="809"/>
      <w:r w:rsidRPr="00D87B79">
        <w:rPr>
          <w:rFonts w:ascii="Tahoma" w:hAnsi="Tahoma" w:cs="Tahoma"/>
          <w:lang w:val="it-IT"/>
        </w:rPr>
        <w:t>Condizioni Aggiuntive per i Servizi Online</w:t>
      </w:r>
      <w:bookmarkEnd w:id="810"/>
    </w:p>
    <w:p w:rsidR="00A92422" w:rsidRPr="00D87B79" w:rsidRDefault="00A92422" w:rsidP="00A92422">
      <w:pPr>
        <w:outlineLvl w:val="2"/>
        <w:rPr>
          <w:rFonts w:cs="Tahoma"/>
        </w:rPr>
      </w:pPr>
    </w:p>
    <w:p w:rsidR="00A92422" w:rsidRPr="00D87B79" w:rsidRDefault="00A92422" w:rsidP="00A92422">
      <w:pPr>
        <w:rPr>
          <w:rFonts w:cs="Tahoma"/>
        </w:rPr>
      </w:pPr>
      <w:r w:rsidRPr="00D87B79">
        <w:rPr>
          <w:rFonts w:cs="Tahoma"/>
          <w:lang w:val="it-IT"/>
        </w:rPr>
        <w:t>La presente Lista dei Prodotti potrà contenere informazioni aggiuntive su prodotti specifici.</w:t>
      </w:r>
      <w:r w:rsidRPr="00D87B79">
        <w:rPr>
          <w:rFonts w:cs="Tahoma"/>
        </w:rPr>
        <w:t xml:space="preserve"> </w:t>
      </w:r>
      <w:r w:rsidRPr="00D87B79">
        <w:rPr>
          <w:rFonts w:cs="Tahoma"/>
          <w:lang w:val="it-IT"/>
        </w:rPr>
        <w:t>Per ulteriori dettagli, fare</w:t>
      </w:r>
      <w:r>
        <w:rPr>
          <w:rFonts w:cs="Tahoma"/>
          <w:lang w:val="it-IT"/>
        </w:rPr>
        <w:t> </w:t>
      </w:r>
      <w:r w:rsidRPr="00D87B79">
        <w:rPr>
          <w:rFonts w:cs="Tahoma"/>
          <w:lang w:val="it-IT"/>
        </w:rPr>
        <w:t>riferimento alle sezioni relative ai prodotti del presente documento.</w:t>
      </w:r>
    </w:p>
    <w:p w:rsidR="00A92422" w:rsidRPr="00D87B79" w:rsidRDefault="00A92422" w:rsidP="00A92422">
      <w:pPr>
        <w:rPr>
          <w:rFonts w:cs="Tahoma"/>
        </w:rPr>
      </w:pPr>
    </w:p>
    <w:p w:rsidR="00A92422" w:rsidRPr="00D87B79" w:rsidRDefault="00A92422" w:rsidP="00A92422">
      <w:pPr>
        <w:rPr>
          <w:rFonts w:cs="Tahoma"/>
        </w:rPr>
      </w:pPr>
      <w:r w:rsidRPr="00D87B79">
        <w:rPr>
          <w:rFonts w:cs="Tahoma"/>
          <w:lang w:val="it-IT"/>
        </w:rPr>
        <w:t>Il documento Diritti di Utilizzo del Prodotto disponibile alla pagina http://www.microsoftvolumelicensing.com/userights/PUR.aspx contiene altre condizioni generali e specifiche dei prodotti che disciplinano l’uso dei servizi online.</w:t>
      </w:r>
      <w:r w:rsidRPr="00D87B79">
        <w:rPr>
          <w:rFonts w:cs="Tahoma"/>
        </w:rPr>
        <w:t xml:space="preserve"> </w:t>
      </w:r>
      <w:r w:rsidRPr="00D87B79">
        <w:rPr>
          <w:rFonts w:cs="Tahoma"/>
          <w:lang w:val="it-IT"/>
        </w:rPr>
        <w:t>I diritti di utilizzo del prodotto relativi ai servizi online sono soggetti a</w:t>
      </w:r>
      <w:r>
        <w:rPr>
          <w:rFonts w:cs="Tahoma"/>
          <w:lang w:val="it-IT"/>
        </w:rPr>
        <w:t> </w:t>
      </w:r>
      <w:r w:rsidRPr="00D87B79">
        <w:rPr>
          <w:rFonts w:cs="Tahoma"/>
          <w:lang w:val="it-IT"/>
        </w:rPr>
        <w:t>modifica come illustrato nell’articolo Servizi Online di tale documento.</w:t>
      </w:r>
    </w:p>
    <w:p w:rsidR="00A92422" w:rsidRPr="00D87B79" w:rsidRDefault="00A92422" w:rsidP="00A92422">
      <w:pPr>
        <w:rPr>
          <w:rFonts w:cs="Tahoma"/>
        </w:rPr>
      </w:pPr>
    </w:p>
    <w:p w:rsidR="00A92422" w:rsidRPr="00D87B79" w:rsidRDefault="00A92422" w:rsidP="00A92422">
      <w:pPr>
        <w:rPr>
          <w:rFonts w:cs="Tahoma"/>
        </w:rPr>
      </w:pPr>
      <w:bookmarkStart w:id="811" w:name="_Toc325313160"/>
      <w:r w:rsidRPr="00D87B79">
        <w:rPr>
          <w:rFonts w:cs="Tahoma"/>
          <w:lang w:val="it-IT"/>
        </w:rPr>
        <w:t>I Prezzi e le Condizioni di Pagamento di cui sopra per i Servizi Online non si applicano ai Servizi Online ottenuti ai</w:t>
      </w:r>
      <w:r>
        <w:rPr>
          <w:rFonts w:cs="Tahoma"/>
          <w:lang w:val="it-IT"/>
        </w:rPr>
        <w:t> </w:t>
      </w:r>
      <w:r w:rsidRPr="00D87B79">
        <w:rPr>
          <w:rFonts w:cs="Tahoma"/>
          <w:lang w:val="it-IT"/>
        </w:rPr>
        <w:t>sensi del Contratto Microsoft Online Subscription.</w:t>
      </w:r>
      <w:r w:rsidRPr="00D87B79">
        <w:rPr>
          <w:rFonts w:cs="Tahoma"/>
        </w:rPr>
        <w:t xml:space="preserve"> </w:t>
      </w:r>
      <w:bookmarkEnd w:id="811"/>
      <w:r w:rsidRPr="00D87B79">
        <w:rPr>
          <w:rFonts w:cs="Tahoma"/>
          <w:lang w:val="it-IT"/>
        </w:rPr>
        <w:t>Tutte le condizioni applicabili ai Servizi Online ottenuti ai sensi del Contratto Microsoft Online Subscription sono contenute nel contratto stesso e sul Portale per i Clienti dei Microsoft</w:t>
      </w:r>
      <w:r>
        <w:rPr>
          <w:rFonts w:cs="Tahoma"/>
          <w:lang w:val="it-IT"/>
        </w:rPr>
        <w:t> </w:t>
      </w:r>
      <w:r w:rsidRPr="00D87B79">
        <w:rPr>
          <w:rFonts w:cs="Tahoma"/>
          <w:lang w:val="it-IT"/>
        </w:rPr>
        <w:t>Online Services.</w:t>
      </w:r>
    </w:p>
    <w:p w:rsidR="00A92422" w:rsidRPr="00D87B79" w:rsidRDefault="00A92422" w:rsidP="00A92422">
      <w:pPr>
        <w:pStyle w:val="Heading1"/>
      </w:pPr>
      <w:r w:rsidRPr="00D87B79">
        <w:br w:type="page"/>
      </w:r>
      <w:bookmarkStart w:id="812" w:name="_Toc336338217"/>
      <w:bookmarkStart w:id="813" w:name="_Toc342900269"/>
      <w:bookmarkEnd w:id="812"/>
      <w:r w:rsidRPr="00D87B79">
        <w:lastRenderedPageBreak/>
        <w:t>ARTICOLO 6</w:t>
      </w:r>
      <w:r>
        <w:t xml:space="preserve"> – </w:t>
      </w:r>
      <w:r w:rsidRPr="00D87B79">
        <w:t>REGOLE PER IL RINNOVO di</w:t>
      </w:r>
      <w:r>
        <w:t> </w:t>
      </w:r>
      <w:r w:rsidRPr="00D87B79">
        <w:t>Software Assurance</w:t>
      </w:r>
      <w:bookmarkEnd w:id="813"/>
    </w:p>
    <w:p w:rsidR="00A92422" w:rsidRPr="002C1CDA" w:rsidRDefault="00A92422" w:rsidP="00A92422">
      <w:pPr>
        <w:rPr>
          <w:rFonts w:cs="Tahoma"/>
          <w:sz w:val="24"/>
          <w:szCs w:val="24"/>
        </w:rPr>
      </w:pPr>
    </w:p>
    <w:p w:rsidR="00A92422" w:rsidRPr="00D87B79" w:rsidRDefault="00A92422" w:rsidP="00A92422">
      <w:pPr>
        <w:pStyle w:val="Heading4"/>
        <w:tabs>
          <w:tab w:val="clear" w:pos="720"/>
          <w:tab w:val="num" w:pos="0"/>
        </w:tabs>
        <w:ind w:left="0" w:firstLine="0"/>
        <w:rPr>
          <w:rFonts w:ascii="Tahoma" w:hAnsi="Tahoma" w:cs="Tahoma"/>
        </w:rPr>
      </w:pPr>
      <w:bookmarkStart w:id="814" w:name="_Toc323159745"/>
      <w:bookmarkStart w:id="815" w:name="_Toc336338218"/>
      <w:bookmarkStart w:id="816" w:name="_Toc342900270"/>
      <w:bookmarkEnd w:id="814"/>
      <w:bookmarkEnd w:id="815"/>
      <w:r w:rsidRPr="00D87B79">
        <w:rPr>
          <w:rFonts w:ascii="Tahoma" w:hAnsi="Tahoma" w:cs="Tahoma"/>
          <w:sz w:val="24"/>
          <w:lang w:val="it-IT"/>
        </w:rPr>
        <w:t>Licenza Open</w:t>
      </w:r>
      <w:bookmarkEnd w:id="816"/>
    </w:p>
    <w:p w:rsidR="00A92422" w:rsidRPr="002C1CDA" w:rsidRDefault="00A92422" w:rsidP="00A92422">
      <w:pPr>
        <w:pStyle w:val="Heading4"/>
        <w:tabs>
          <w:tab w:val="clear" w:pos="720"/>
          <w:tab w:val="num" w:pos="0"/>
        </w:tabs>
        <w:spacing w:before="0"/>
        <w:ind w:left="0" w:firstLine="0"/>
        <w:rPr>
          <w:rFonts w:ascii="Tahoma" w:hAnsi="Tahoma" w:cs="Tahoma"/>
          <w:sz w:val="18"/>
          <w:szCs w:val="18"/>
        </w:rPr>
      </w:pPr>
    </w:p>
    <w:p w:rsidR="00A92422" w:rsidRPr="00D87B79" w:rsidRDefault="00A92422" w:rsidP="00A92422">
      <w:pPr>
        <w:pStyle w:val="StyleHeading22Left138Firstline0"/>
        <w:tabs>
          <w:tab w:val="num" w:pos="0"/>
        </w:tabs>
        <w:ind w:left="0"/>
        <w:jc w:val="left"/>
        <w:rPr>
          <w:rFonts w:ascii="Tahoma" w:hAnsi="Tahoma" w:cs="Tahoma"/>
        </w:rPr>
      </w:pPr>
      <w:r w:rsidRPr="00D87B79">
        <w:rPr>
          <w:rFonts w:ascii="Tahoma" w:hAnsi="Tahoma" w:cs="Tahoma"/>
          <w:sz w:val="18"/>
          <w:lang w:val="it-IT"/>
        </w:rPr>
        <w:t>La copertura Software Assurance ordinata in base a un numero di autorizzazione Open License termina alla scadenza di tale numero.</w:t>
      </w:r>
      <w:r w:rsidRPr="00D87B79">
        <w:rPr>
          <w:rFonts w:ascii="Tahoma" w:hAnsi="Tahoma" w:cs="Tahoma"/>
        </w:rPr>
        <w:t xml:space="preserve"> </w:t>
      </w:r>
      <w:r w:rsidRPr="00D87B79">
        <w:rPr>
          <w:rFonts w:ascii="Tahoma" w:hAnsi="Tahoma" w:cs="Tahoma"/>
          <w:sz w:val="18"/>
          <w:lang w:val="it-IT"/>
        </w:rPr>
        <w:t>Per effettuare il rinnovo della copertura, le società dovranno presentare al rivenditore un ordine di rinnovo di Software Assurance per tutte le copie di tutti i prodotti per i quali desiderano rinnovare la copertura entro i</w:t>
      </w:r>
      <w:r>
        <w:rPr>
          <w:rFonts w:ascii="Tahoma" w:hAnsi="Tahoma" w:cs="Tahoma"/>
          <w:sz w:val="18"/>
          <w:lang w:val="it-IT"/>
        </w:rPr>
        <w:t> </w:t>
      </w:r>
      <w:r w:rsidRPr="00D87B79">
        <w:rPr>
          <w:rFonts w:ascii="Tahoma" w:hAnsi="Tahoma" w:cs="Tahoma"/>
          <w:sz w:val="18"/>
          <w:lang w:val="it-IT"/>
        </w:rPr>
        <w:t>90 giorni successivi alla data di scadenza del numero di autorizzazione.</w:t>
      </w:r>
      <w:r w:rsidRPr="00D87B79">
        <w:rPr>
          <w:rFonts w:ascii="Tahoma" w:hAnsi="Tahoma" w:cs="Tahoma"/>
        </w:rPr>
        <w:t xml:space="preserve"> </w:t>
      </w:r>
      <w:r w:rsidRPr="00D87B79">
        <w:rPr>
          <w:rFonts w:ascii="Tahoma" w:hAnsi="Tahoma" w:cs="Tahoma"/>
          <w:sz w:val="18"/>
          <w:lang w:val="it-IT"/>
        </w:rPr>
        <w:t>Le società potranno ordinare Software Assurance senza dovere contemporaneamente ordinare una Licenza a condizione che la copertura Software Assurance venga rinnovata nella modalità indicata sopra.</w:t>
      </w:r>
      <w:r w:rsidRPr="00D87B79">
        <w:rPr>
          <w:rFonts w:ascii="Tahoma" w:hAnsi="Tahoma" w:cs="Tahoma"/>
        </w:rPr>
        <w:t xml:space="preserve"> </w:t>
      </w:r>
      <w:r w:rsidRPr="00D87B79">
        <w:rPr>
          <w:rFonts w:ascii="Tahoma" w:hAnsi="Tahoma" w:cs="Tahoma"/>
          <w:sz w:val="18"/>
          <w:lang w:val="it-IT"/>
        </w:rPr>
        <w:t>La nuova copertura Software Assurance inizierà alla data di</w:t>
      </w:r>
      <w:r>
        <w:rPr>
          <w:rFonts w:ascii="Tahoma" w:hAnsi="Tahoma" w:cs="Tahoma"/>
          <w:sz w:val="18"/>
          <w:lang w:val="it-IT"/>
        </w:rPr>
        <w:t> </w:t>
      </w:r>
      <w:r w:rsidRPr="00D87B79">
        <w:rPr>
          <w:rFonts w:ascii="Tahoma" w:hAnsi="Tahoma" w:cs="Tahoma"/>
          <w:sz w:val="18"/>
          <w:lang w:val="it-IT"/>
        </w:rPr>
        <w:t>entrata in vigore del nuovo numero di autorizzazione.</w:t>
      </w:r>
    </w:p>
    <w:p w:rsidR="00A92422" w:rsidRPr="00D87B79" w:rsidRDefault="00A92422" w:rsidP="00A92422">
      <w:pPr>
        <w:pStyle w:val="AppendIndentSub"/>
        <w:ind w:left="0"/>
        <w:rPr>
          <w:rFonts w:ascii="Tahoma" w:hAnsi="Tahoma" w:cs="Tahoma"/>
        </w:rPr>
      </w:pPr>
    </w:p>
    <w:p w:rsidR="00A92422" w:rsidRPr="00D87B79" w:rsidRDefault="00A92422" w:rsidP="00A92422">
      <w:pPr>
        <w:pStyle w:val="AppendIndentSub"/>
        <w:ind w:left="0"/>
        <w:rPr>
          <w:rFonts w:ascii="Tahoma" w:hAnsi="Tahoma" w:cs="Tahoma"/>
        </w:rPr>
      </w:pPr>
    </w:p>
    <w:p w:rsidR="00A92422" w:rsidRPr="00D87B79" w:rsidRDefault="00A92422" w:rsidP="00A92422">
      <w:pPr>
        <w:pStyle w:val="Heading4"/>
        <w:ind w:left="360"/>
        <w:rPr>
          <w:rFonts w:ascii="Tahoma" w:hAnsi="Tahoma" w:cs="Tahoma"/>
        </w:rPr>
      </w:pPr>
      <w:bookmarkStart w:id="817" w:name="_Toc336338219"/>
      <w:bookmarkStart w:id="818" w:name="_Toc342900271"/>
      <w:bookmarkEnd w:id="817"/>
      <w:r w:rsidRPr="00D87B79">
        <w:rPr>
          <w:rFonts w:ascii="Tahoma" w:hAnsi="Tahoma" w:cs="Tahoma"/>
          <w:sz w:val="24"/>
          <w:lang w:val="it-IT"/>
        </w:rPr>
        <w:t>Open Value 20xx</w:t>
      </w:r>
      <w:bookmarkEnd w:id="818"/>
    </w:p>
    <w:p w:rsidR="00A92422" w:rsidRPr="00D87B79" w:rsidRDefault="00A92422" w:rsidP="00A92422">
      <w:pPr>
        <w:tabs>
          <w:tab w:val="num" w:pos="0"/>
        </w:tabs>
        <w:rPr>
          <w:rFonts w:cs="Tahoma"/>
        </w:rPr>
      </w:pPr>
    </w:p>
    <w:p w:rsidR="00A92422" w:rsidRPr="00D87B79" w:rsidRDefault="00A92422" w:rsidP="00A92422">
      <w:pPr>
        <w:keepNext/>
        <w:tabs>
          <w:tab w:val="num" w:pos="720"/>
        </w:tabs>
        <w:spacing w:before="60"/>
        <w:ind w:left="360" w:hanging="360"/>
        <w:outlineLvl w:val="3"/>
        <w:rPr>
          <w:rFonts w:cs="Tahoma"/>
        </w:rPr>
      </w:pPr>
      <w:r w:rsidRPr="00D87B79">
        <w:rPr>
          <w:rFonts w:cs="Tahoma"/>
          <w:b/>
          <w:sz w:val="20"/>
          <w:lang w:val="it-IT"/>
        </w:rPr>
        <w:t>Rinnovo della Copertura ai sensi del Medesimo Contratto</w:t>
      </w:r>
      <w:r w:rsidRPr="00D87B79">
        <w:rPr>
          <w:rFonts w:cs="Tahoma"/>
        </w:rPr>
        <w:t xml:space="preserve"> </w:t>
      </w:r>
    </w:p>
    <w:p w:rsidR="00A92422" w:rsidRPr="00D87B79" w:rsidRDefault="00A92422" w:rsidP="00A92422">
      <w:pPr>
        <w:tabs>
          <w:tab w:val="num" w:pos="0"/>
        </w:tabs>
        <w:rPr>
          <w:rFonts w:cs="Tahoma"/>
        </w:rPr>
      </w:pPr>
    </w:p>
    <w:p w:rsidR="00A92422" w:rsidRPr="00D87B79" w:rsidRDefault="00A92422" w:rsidP="00A92422">
      <w:pPr>
        <w:tabs>
          <w:tab w:val="num" w:pos="0"/>
        </w:tabs>
        <w:rPr>
          <w:rFonts w:cs="Tahoma"/>
        </w:rPr>
      </w:pPr>
      <w:r w:rsidRPr="00D87B79">
        <w:rPr>
          <w:rFonts w:cs="Tahoma"/>
          <w:szCs w:val="20"/>
          <w:lang w:val="it-IT"/>
        </w:rPr>
        <w:t>La copertura Software Assurance ordinata ai sensi di un contratto Open Value terminerà alla scadenza o alla risoluzione di tale contratto.</w:t>
      </w:r>
      <w:r w:rsidRPr="00D87B79">
        <w:rPr>
          <w:rFonts w:cs="Tahoma"/>
        </w:rPr>
        <w:t xml:space="preserve"> </w:t>
      </w:r>
      <w:r w:rsidRPr="00D87B79">
        <w:rPr>
          <w:rFonts w:cs="Tahoma"/>
          <w:lang w:val="it-IT"/>
        </w:rPr>
        <w:t>Le società riceveranno una comunicazione scritta delle opzioni di rinnovo 60 giorni prima della scadenza del contratto.</w:t>
      </w:r>
      <w:r w:rsidRPr="00D87B79">
        <w:rPr>
          <w:rFonts w:cs="Tahoma"/>
        </w:rPr>
        <w:t xml:space="preserve"> </w:t>
      </w:r>
      <w:r w:rsidRPr="00D87B79">
        <w:rPr>
          <w:rFonts w:cs="Tahoma"/>
          <w:lang w:val="it-IT"/>
        </w:rPr>
        <w:t>Le società potranno scegliere di rinnovare il loro contratto per i successivi 36 mesi solari completi.</w:t>
      </w:r>
      <w:r w:rsidRPr="00D87B79">
        <w:rPr>
          <w:rFonts w:cs="Tahoma"/>
        </w:rPr>
        <w:t xml:space="preserve"> </w:t>
      </w:r>
      <w:r w:rsidRPr="00D87B79">
        <w:rPr>
          <w:rFonts w:cs="Tahoma"/>
          <w:lang w:val="it-IT"/>
        </w:rPr>
        <w:t>Per rinnovare la copertura Software Assurance, le società dovranno presentare un ordine di rinnovo prima della scadenza del periodo di validità precedente.</w:t>
      </w:r>
      <w:r w:rsidRPr="00D87B79">
        <w:rPr>
          <w:rFonts w:cs="Tahoma"/>
        </w:rPr>
        <w:t xml:space="preserve"> </w:t>
      </w:r>
      <w:r w:rsidRPr="00D87B79">
        <w:rPr>
          <w:rFonts w:cs="Tahoma"/>
          <w:lang w:val="it-IT"/>
        </w:rPr>
        <w:t>Qualora una società abbia scelto l’opzione a livello aziendale, tale società dovrà ordinare Software Assurance per tutte le copie dei prodotti per le quali desidera questo tipo di opzione.</w:t>
      </w:r>
      <w:r w:rsidRPr="00D87B79">
        <w:rPr>
          <w:rFonts w:cs="Tahoma"/>
        </w:rPr>
        <w:t xml:space="preserve"> </w:t>
      </w:r>
      <w:r w:rsidRPr="00D87B79">
        <w:rPr>
          <w:rFonts w:cs="Tahoma"/>
          <w:lang w:val="it-IT"/>
        </w:rPr>
        <w:t>Qualora una società non abbia scelto l’opzione a livello aziendale, tale società potrà rinnovare la copertura per qualsiasi numero di licenze a cui ha effettuato in precedenza l’iscrizione.</w:t>
      </w:r>
      <w:r w:rsidRPr="00D87B79">
        <w:rPr>
          <w:rFonts w:cs="Tahoma"/>
        </w:rPr>
        <w:t xml:space="preserve"> </w:t>
      </w:r>
      <w:r w:rsidRPr="00D87B79">
        <w:rPr>
          <w:rFonts w:cs="Tahoma"/>
          <w:lang w:val="it-IT"/>
        </w:rPr>
        <w:t>Ciascun periodo di rinnovo avrà inizio il giorno successivo alla scadenza del precedente periodo di validità.</w:t>
      </w:r>
      <w:r w:rsidRPr="00D87B79">
        <w:rPr>
          <w:rFonts w:cs="Tahoma"/>
        </w:rPr>
        <w:t xml:space="preserve"> </w:t>
      </w:r>
      <w:r w:rsidRPr="00D87B79">
        <w:rPr>
          <w:rFonts w:cs="Tahoma"/>
          <w:lang w:val="it-IT"/>
        </w:rPr>
        <w:t>Le società potranno ordinare Software Assurance senza dovere contemporaneamente ordinare una Licenza a condizione che la copertura Software Assurance venga rinnovata nella modalità indicata sopra.</w:t>
      </w:r>
      <w:r w:rsidRPr="00D87B79">
        <w:rPr>
          <w:rFonts w:cs="Tahoma"/>
        </w:rPr>
        <w:t xml:space="preserve"> </w:t>
      </w:r>
    </w:p>
    <w:p w:rsidR="00A92422" w:rsidRPr="00D87B79" w:rsidRDefault="00A92422" w:rsidP="00A92422">
      <w:pPr>
        <w:tabs>
          <w:tab w:val="num" w:pos="0"/>
        </w:tabs>
        <w:rPr>
          <w:rFonts w:cs="Tahoma"/>
        </w:rPr>
      </w:pPr>
    </w:p>
    <w:p w:rsidR="00A92422" w:rsidRPr="00D87B79" w:rsidRDefault="00A92422" w:rsidP="00A92422">
      <w:pPr>
        <w:keepNext/>
        <w:tabs>
          <w:tab w:val="num" w:pos="720"/>
        </w:tabs>
        <w:spacing w:before="60"/>
        <w:ind w:left="360" w:hanging="360"/>
        <w:outlineLvl w:val="3"/>
        <w:rPr>
          <w:rFonts w:cs="Tahoma"/>
        </w:rPr>
      </w:pPr>
      <w:r w:rsidRPr="00D87B79">
        <w:rPr>
          <w:rFonts w:cs="Tahoma"/>
          <w:b/>
          <w:sz w:val="20"/>
          <w:lang w:val="it-IT"/>
        </w:rPr>
        <w:t>Rinnovo della Copertura con un Contratto Separato</w:t>
      </w:r>
    </w:p>
    <w:p w:rsidR="00A92422" w:rsidRPr="00D87B79" w:rsidRDefault="00A92422" w:rsidP="00A92422">
      <w:pPr>
        <w:tabs>
          <w:tab w:val="num" w:pos="0"/>
        </w:tabs>
        <w:rPr>
          <w:rFonts w:cs="Tahoma"/>
        </w:rPr>
      </w:pPr>
    </w:p>
    <w:p w:rsidR="00A92422" w:rsidRPr="00D87B79" w:rsidRDefault="00A92422" w:rsidP="00A92422">
      <w:pPr>
        <w:tabs>
          <w:tab w:val="num" w:pos="0"/>
        </w:tabs>
        <w:rPr>
          <w:rFonts w:cs="Tahoma"/>
        </w:rPr>
      </w:pPr>
      <w:r w:rsidRPr="00D87B79">
        <w:rPr>
          <w:rFonts w:cs="Tahoma"/>
          <w:szCs w:val="20"/>
          <w:lang w:val="it-IT"/>
        </w:rPr>
        <w:t>La società potrà rinnovare Software Assurance per qualsiasi prodotto senza dovere ordinare contemporaneamente una Licenza nel caso in cui abbia ottenuto una licenza perpetua e Software Assurance per quel prodotto ai sensi di un</w:t>
      </w:r>
      <w:r>
        <w:rPr>
          <w:rFonts w:cs="Tahoma"/>
          <w:szCs w:val="20"/>
          <w:lang w:val="it-IT"/>
        </w:rPr>
        <w:t> </w:t>
      </w:r>
      <w:r w:rsidRPr="00D87B79">
        <w:rPr>
          <w:rFonts w:cs="Tahoma"/>
          <w:szCs w:val="20"/>
          <w:lang w:val="it-IT"/>
        </w:rPr>
        <w:t>contratto precedente e il nuovo contratto della società entri in vigore non oltre il giorno successivo alla data di scadenza del contratto precedente.</w:t>
      </w:r>
      <w:r w:rsidRPr="00D87B79">
        <w:rPr>
          <w:rFonts w:cs="Tahoma"/>
          <w:szCs w:val="20"/>
        </w:rPr>
        <w:t xml:space="preserve"> </w:t>
      </w:r>
      <w:r w:rsidRPr="00D87B79">
        <w:rPr>
          <w:rFonts w:cs="Tahoma"/>
          <w:szCs w:val="20"/>
          <w:lang w:val="it-IT"/>
        </w:rPr>
        <w:t>L’ordine di rinnovo di Software Assurance dovrà essere effettuato prima della scadenza della copertura Software Assurance ai sensi di un contratto precedente, ad eccezione del Contratto Open License.</w:t>
      </w:r>
      <w:r w:rsidRPr="00D87B79">
        <w:rPr>
          <w:rFonts w:cs="Tahoma"/>
          <w:szCs w:val="20"/>
        </w:rPr>
        <w:t xml:space="preserve"> </w:t>
      </w:r>
      <w:r w:rsidRPr="00D87B79">
        <w:rPr>
          <w:rFonts w:cs="Tahoma"/>
          <w:szCs w:val="20"/>
          <w:lang w:val="it-IT"/>
        </w:rPr>
        <w:t>In tal caso le società potranno inviare l’ordine fino a 90 giorni dopo la data di scadenza.</w:t>
      </w:r>
      <w:r w:rsidRPr="00D87B79">
        <w:rPr>
          <w:rFonts w:cs="Tahoma"/>
          <w:szCs w:val="20"/>
        </w:rPr>
        <w:t xml:space="preserve"> </w:t>
      </w:r>
    </w:p>
    <w:p w:rsidR="00A92422" w:rsidRPr="00D87B79" w:rsidRDefault="00A92422" w:rsidP="00A92422">
      <w:pPr>
        <w:tabs>
          <w:tab w:val="num" w:pos="0"/>
        </w:tabs>
        <w:rPr>
          <w:rFonts w:cs="Tahoma"/>
        </w:rPr>
      </w:pPr>
    </w:p>
    <w:p w:rsidR="00A92422" w:rsidRPr="00D87B79" w:rsidRDefault="00A92422" w:rsidP="00A92422">
      <w:pPr>
        <w:tabs>
          <w:tab w:val="num" w:pos="0"/>
        </w:tabs>
        <w:rPr>
          <w:rFonts w:cs="Tahoma"/>
        </w:rPr>
      </w:pPr>
    </w:p>
    <w:p w:rsidR="00A92422" w:rsidRPr="00D87B79" w:rsidRDefault="00A92422" w:rsidP="00A92422">
      <w:pPr>
        <w:pStyle w:val="Heading4"/>
        <w:ind w:left="360"/>
        <w:rPr>
          <w:rFonts w:ascii="Tahoma" w:hAnsi="Tahoma" w:cs="Tahoma"/>
        </w:rPr>
      </w:pPr>
      <w:bookmarkStart w:id="819" w:name="_Toc323159746"/>
      <w:bookmarkStart w:id="820" w:name="_Toc336338220"/>
      <w:bookmarkStart w:id="821" w:name="_Toc342900272"/>
      <w:bookmarkEnd w:id="819"/>
      <w:bookmarkEnd w:id="820"/>
      <w:r w:rsidRPr="00D87B79">
        <w:rPr>
          <w:rFonts w:ascii="Tahoma" w:hAnsi="Tahoma" w:cs="Tahoma"/>
          <w:sz w:val="24"/>
          <w:lang w:val="it-IT"/>
        </w:rPr>
        <w:t>Select 20xx</w:t>
      </w:r>
      <w:bookmarkEnd w:id="821"/>
    </w:p>
    <w:p w:rsidR="00A92422" w:rsidRPr="00D87B79" w:rsidRDefault="00A92422" w:rsidP="00A92422">
      <w:pPr>
        <w:tabs>
          <w:tab w:val="num" w:pos="0"/>
        </w:tabs>
        <w:rPr>
          <w:rFonts w:cs="Tahoma"/>
        </w:rPr>
      </w:pPr>
    </w:p>
    <w:p w:rsidR="00A92422" w:rsidRPr="00D87B79" w:rsidRDefault="00A92422" w:rsidP="00A92422">
      <w:pPr>
        <w:pStyle w:val="Heading4"/>
        <w:ind w:left="360"/>
        <w:rPr>
          <w:rFonts w:ascii="Tahoma" w:hAnsi="Tahoma" w:cs="Tahoma"/>
        </w:rPr>
      </w:pPr>
      <w:bookmarkStart w:id="822" w:name="_Toc323159747"/>
      <w:bookmarkStart w:id="823" w:name="_Toc328145990"/>
      <w:bookmarkStart w:id="824" w:name="_Toc336338221"/>
      <w:bookmarkStart w:id="825" w:name="_Toc342900273"/>
      <w:bookmarkEnd w:id="822"/>
      <w:bookmarkEnd w:id="823"/>
      <w:bookmarkEnd w:id="824"/>
      <w:r w:rsidRPr="00D87B79">
        <w:rPr>
          <w:rFonts w:ascii="Tahoma" w:hAnsi="Tahoma" w:cs="Tahoma"/>
          <w:lang w:val="it-IT"/>
        </w:rPr>
        <w:t>Rinnovo della Copertura ai sensi del Medesimo Contratto</w:t>
      </w:r>
      <w:bookmarkEnd w:id="825"/>
      <w:r w:rsidRPr="00D87B79">
        <w:rPr>
          <w:rFonts w:ascii="Tahoma" w:hAnsi="Tahoma" w:cs="Tahoma"/>
        </w:rPr>
        <w:t xml:space="preserve"> </w:t>
      </w:r>
    </w:p>
    <w:p w:rsidR="00A92422" w:rsidRPr="00D87B79" w:rsidRDefault="00A92422" w:rsidP="00A92422">
      <w:pPr>
        <w:pStyle w:val="styleheading22left138firstline00"/>
        <w:tabs>
          <w:tab w:val="num" w:pos="0"/>
        </w:tabs>
        <w:snapToGrid w:val="0"/>
        <w:ind w:left="0"/>
        <w:jc w:val="left"/>
        <w:rPr>
          <w:rFonts w:ascii="Tahoma" w:hAnsi="Tahoma" w:cs="Tahoma"/>
        </w:rPr>
      </w:pPr>
    </w:p>
    <w:p w:rsidR="00A92422" w:rsidRPr="00D87B79" w:rsidRDefault="00A92422" w:rsidP="00A92422">
      <w:pPr>
        <w:pStyle w:val="styleheading22left138firstline00"/>
        <w:tabs>
          <w:tab w:val="num" w:pos="0"/>
        </w:tabs>
        <w:snapToGrid w:val="0"/>
        <w:ind w:left="0"/>
        <w:jc w:val="left"/>
        <w:rPr>
          <w:rFonts w:ascii="Tahoma" w:hAnsi="Tahoma" w:cs="Tahoma"/>
        </w:rPr>
      </w:pPr>
      <w:r w:rsidRPr="00D87B79">
        <w:rPr>
          <w:rFonts w:ascii="Tahoma" w:hAnsi="Tahoma" w:cs="Tahoma"/>
          <w:sz w:val="18"/>
          <w:lang w:val="it-IT"/>
        </w:rPr>
        <w:t>La copertura Software Assurance ordinata in base alle iscrizioni ai sensi di un contratto Select terminerà alla scadenza</w:t>
      </w:r>
      <w:r>
        <w:rPr>
          <w:rFonts w:ascii="Tahoma" w:hAnsi="Tahoma" w:cs="Tahoma"/>
          <w:sz w:val="18"/>
          <w:lang w:val="it-IT"/>
        </w:rPr>
        <w:t> </w:t>
      </w:r>
      <w:r w:rsidRPr="00D87B79">
        <w:rPr>
          <w:rFonts w:ascii="Tahoma" w:hAnsi="Tahoma" w:cs="Tahoma"/>
          <w:sz w:val="18"/>
          <w:lang w:val="it-IT"/>
        </w:rPr>
        <w:t>o alla risoluzione del contratto stesso oppure alla scadenza dell’iscrizione applicabile, se precedente.</w:t>
      </w:r>
      <w:r w:rsidRPr="00D87B79">
        <w:rPr>
          <w:rFonts w:ascii="Tahoma" w:hAnsi="Tahoma" w:cs="Tahoma"/>
          <w:sz w:val="18"/>
        </w:rPr>
        <w:t xml:space="preserve"> </w:t>
      </w:r>
      <w:r w:rsidRPr="00D87B79">
        <w:rPr>
          <w:rFonts w:ascii="Tahoma" w:hAnsi="Tahoma" w:cs="Tahoma"/>
          <w:sz w:val="18"/>
          <w:lang w:val="it-IT"/>
        </w:rPr>
        <w:t>Le</w:t>
      </w:r>
      <w:r>
        <w:rPr>
          <w:rFonts w:ascii="Tahoma" w:hAnsi="Tahoma" w:cs="Tahoma"/>
          <w:sz w:val="18"/>
          <w:lang w:val="it-IT"/>
        </w:rPr>
        <w:t> </w:t>
      </w:r>
      <w:r w:rsidRPr="00D87B79">
        <w:rPr>
          <w:rFonts w:ascii="Tahoma" w:hAnsi="Tahoma" w:cs="Tahoma"/>
          <w:sz w:val="18"/>
          <w:lang w:val="it-IT"/>
        </w:rPr>
        <w:t>società riceveranno una comunicazione scritta delle opzioni di rinnovo 60 giorni prima della scadenza del loro contratto.</w:t>
      </w:r>
      <w:r w:rsidRPr="00D87B79">
        <w:rPr>
          <w:rFonts w:ascii="Tahoma" w:hAnsi="Tahoma" w:cs="Tahoma"/>
          <w:sz w:val="18"/>
        </w:rPr>
        <w:t xml:space="preserve"> </w:t>
      </w:r>
      <w:r w:rsidRPr="00D87B79">
        <w:rPr>
          <w:rFonts w:ascii="Tahoma" w:hAnsi="Tahoma" w:cs="Tahoma"/>
          <w:sz w:val="18"/>
          <w:lang w:val="it-IT"/>
        </w:rPr>
        <w:t>Le società potranno scegliere di rinnovare il loro contratto per i successivi 12 o 36 mesi solari completi.</w:t>
      </w:r>
      <w:r w:rsidRPr="00D87B79">
        <w:rPr>
          <w:rFonts w:ascii="Tahoma" w:hAnsi="Tahoma" w:cs="Tahoma"/>
        </w:rPr>
        <w:t xml:space="preserve"> </w:t>
      </w:r>
      <w:r w:rsidRPr="00D87B79">
        <w:rPr>
          <w:rFonts w:ascii="Tahoma" w:hAnsi="Tahoma" w:cs="Tahoma"/>
          <w:sz w:val="18"/>
          <w:lang w:val="it-IT"/>
        </w:rPr>
        <w:t>Per</w:t>
      </w:r>
      <w:r>
        <w:rPr>
          <w:rFonts w:ascii="Tahoma" w:hAnsi="Tahoma" w:cs="Tahoma"/>
          <w:sz w:val="18"/>
          <w:lang w:val="it-IT"/>
        </w:rPr>
        <w:t> </w:t>
      </w:r>
      <w:r w:rsidRPr="00D87B79">
        <w:rPr>
          <w:rFonts w:ascii="Tahoma" w:hAnsi="Tahoma" w:cs="Tahoma"/>
          <w:sz w:val="18"/>
          <w:lang w:val="it-IT"/>
        </w:rPr>
        <w:t>rinnovare la copertura Software Assurance per tutte le copie a cui è stata effettuata in precedenza l’iscrizione, una società dovrà presentare un ordine di rinnovo a Microsoft tramite il proprio rivenditore prima della scadenza del</w:t>
      </w:r>
      <w:r>
        <w:t> </w:t>
      </w:r>
      <w:r w:rsidRPr="00D87B79">
        <w:rPr>
          <w:rFonts w:ascii="Tahoma" w:hAnsi="Tahoma" w:cs="Tahoma"/>
          <w:sz w:val="18"/>
          <w:lang w:val="it-IT"/>
        </w:rPr>
        <w:t>precedente periodo di validità.</w:t>
      </w:r>
      <w:r w:rsidRPr="00D87B79">
        <w:rPr>
          <w:rFonts w:ascii="Tahoma" w:hAnsi="Tahoma" w:cs="Tahoma"/>
        </w:rPr>
        <w:t xml:space="preserve"> </w:t>
      </w:r>
      <w:r w:rsidRPr="00D87B79">
        <w:rPr>
          <w:rFonts w:ascii="Tahoma" w:hAnsi="Tahoma" w:cs="Tahoma"/>
          <w:sz w:val="18"/>
          <w:lang w:val="it-IT"/>
        </w:rPr>
        <w:t>Gli ordini di rinnovo dovranno coprire l’intero periodo di validità. Ciascun periodo di</w:t>
      </w:r>
      <w:r>
        <w:rPr>
          <w:rFonts w:ascii="Tahoma" w:hAnsi="Tahoma" w:cs="Tahoma"/>
          <w:sz w:val="18"/>
          <w:lang w:val="it-IT"/>
        </w:rPr>
        <w:t> </w:t>
      </w:r>
      <w:r w:rsidRPr="00D87B79">
        <w:rPr>
          <w:rFonts w:ascii="Tahoma" w:hAnsi="Tahoma" w:cs="Tahoma"/>
          <w:sz w:val="18"/>
          <w:lang w:val="it-IT"/>
        </w:rPr>
        <w:t>rinnovo avrà inizio il giorno successivo alla scadenza del precedente periodo di validità.</w:t>
      </w:r>
      <w:r w:rsidRPr="00D87B79">
        <w:rPr>
          <w:rFonts w:ascii="Tahoma" w:hAnsi="Tahoma" w:cs="Tahoma"/>
        </w:rPr>
        <w:t xml:space="preserve"> </w:t>
      </w:r>
    </w:p>
    <w:p w:rsidR="00A92422" w:rsidRPr="00D87B79" w:rsidRDefault="00A92422" w:rsidP="00A92422">
      <w:pPr>
        <w:rPr>
          <w:rFonts w:cs="Tahoma"/>
        </w:rPr>
      </w:pPr>
      <w:bookmarkStart w:id="826" w:name="_Toc323159748"/>
      <w:bookmarkStart w:id="827" w:name="_Toc336338222"/>
      <w:r w:rsidRPr="00D87B79">
        <w:rPr>
          <w:rFonts w:cs="Tahoma"/>
        </w:rPr>
        <w:br w:type="page"/>
      </w:r>
    </w:p>
    <w:p w:rsidR="00A92422" w:rsidRPr="00D87B79" w:rsidRDefault="00A92422" w:rsidP="00A92422">
      <w:pPr>
        <w:pStyle w:val="Heading4"/>
        <w:ind w:left="360"/>
        <w:rPr>
          <w:rFonts w:ascii="Tahoma" w:hAnsi="Tahoma" w:cs="Tahoma"/>
        </w:rPr>
      </w:pPr>
      <w:bookmarkStart w:id="828" w:name="_Toc342900274"/>
      <w:bookmarkEnd w:id="826"/>
      <w:bookmarkEnd w:id="827"/>
      <w:r w:rsidRPr="00D87B79">
        <w:rPr>
          <w:rFonts w:ascii="Tahoma" w:hAnsi="Tahoma" w:cs="Tahoma"/>
          <w:lang w:val="it-IT"/>
        </w:rPr>
        <w:lastRenderedPageBreak/>
        <w:t>Rinnovo della Copertura con un Contratto Separato</w:t>
      </w:r>
      <w:bookmarkEnd w:id="828"/>
    </w:p>
    <w:p w:rsidR="00A92422" w:rsidRPr="00D87B79" w:rsidRDefault="00A92422" w:rsidP="00A92422">
      <w:pPr>
        <w:pStyle w:val="styleheading22left138firstline00"/>
        <w:tabs>
          <w:tab w:val="num" w:pos="0"/>
        </w:tabs>
        <w:snapToGrid w:val="0"/>
        <w:ind w:left="0"/>
        <w:jc w:val="left"/>
        <w:rPr>
          <w:rFonts w:ascii="Tahoma" w:hAnsi="Tahoma" w:cs="Tahoma"/>
        </w:rPr>
      </w:pPr>
    </w:p>
    <w:p w:rsidR="00A92422" w:rsidRPr="00D87B79" w:rsidRDefault="00A92422" w:rsidP="00A92422">
      <w:pPr>
        <w:pStyle w:val="styleheading22left138firstline00"/>
        <w:tabs>
          <w:tab w:val="num" w:pos="0"/>
        </w:tabs>
        <w:snapToGrid w:val="0"/>
        <w:ind w:left="0"/>
        <w:jc w:val="left"/>
        <w:rPr>
          <w:rFonts w:ascii="Tahoma" w:hAnsi="Tahoma" w:cs="Tahoma"/>
        </w:rPr>
      </w:pPr>
      <w:r w:rsidRPr="00D87B79">
        <w:rPr>
          <w:rFonts w:ascii="Tahoma" w:hAnsi="Tahoma" w:cs="Tahoma"/>
          <w:sz w:val="18"/>
          <w:lang w:val="it-IT"/>
        </w:rPr>
        <w:t>Le società potranno ordinare Software Assurance senza dovere contemporaneamente ordinare una Licenza per le</w:t>
      </w:r>
      <w:r>
        <w:rPr>
          <w:rFonts w:ascii="Tahoma" w:hAnsi="Tahoma" w:cs="Tahoma"/>
          <w:sz w:val="18"/>
          <w:lang w:val="it-IT"/>
        </w:rPr>
        <w:t> </w:t>
      </w:r>
      <w:r w:rsidRPr="00D87B79">
        <w:rPr>
          <w:rFonts w:ascii="Tahoma" w:hAnsi="Tahoma" w:cs="Tahoma"/>
          <w:sz w:val="18"/>
          <w:lang w:val="it-IT"/>
        </w:rPr>
        <w:t>copie di prodotti per le quali hanno in precedenza ottenuto licenze perpetue tramite Software Assurance in altri programmi per contratti multilicenza (Volume Licensing), a condizione che (i) la nuova iscrizione entri in vigore non oltre il giorno successivo alla data di scadenza di Software Assurance e (ii) la consociata iscritta effettui il suo ordine di Software Assurance nel momento stesso in cui presenta la sua nuova iscrizione a Microsoft tramite il proprio Rivenditore.</w:t>
      </w:r>
      <w:r w:rsidRPr="00D87B79">
        <w:rPr>
          <w:rFonts w:ascii="Tahoma" w:hAnsi="Tahoma" w:cs="Tahoma"/>
        </w:rPr>
        <w:t xml:space="preserve"> </w:t>
      </w:r>
      <w:r w:rsidRPr="00D87B79">
        <w:rPr>
          <w:rFonts w:ascii="Tahoma" w:hAnsi="Tahoma" w:cs="Tahoma"/>
          <w:sz w:val="18"/>
          <w:lang w:val="it-IT"/>
        </w:rPr>
        <w:t>L’ordine di rinnovo di Software Assurance dovrà essere effettuato prima della scadenza della copertura ai</w:t>
      </w:r>
      <w:r>
        <w:rPr>
          <w:rFonts w:ascii="Tahoma" w:hAnsi="Tahoma" w:cs="Tahoma"/>
          <w:sz w:val="18"/>
          <w:lang w:val="it-IT"/>
        </w:rPr>
        <w:t> </w:t>
      </w:r>
      <w:r w:rsidRPr="00D87B79">
        <w:rPr>
          <w:rFonts w:ascii="Tahoma" w:hAnsi="Tahoma" w:cs="Tahoma"/>
          <w:sz w:val="18"/>
          <w:lang w:val="it-IT"/>
        </w:rPr>
        <w:t>sensi del contratto precedente, ad eccezione del Contratto Open License.</w:t>
      </w:r>
      <w:r w:rsidRPr="00D87B79">
        <w:rPr>
          <w:rFonts w:ascii="Tahoma" w:hAnsi="Tahoma" w:cs="Tahoma"/>
        </w:rPr>
        <w:t xml:space="preserve"> </w:t>
      </w:r>
      <w:r w:rsidRPr="00D87B79">
        <w:rPr>
          <w:rFonts w:ascii="Tahoma" w:hAnsi="Tahoma" w:cs="Tahoma"/>
          <w:sz w:val="18"/>
          <w:lang w:val="it-IT"/>
        </w:rPr>
        <w:t>In tal caso le società potranno inviare l’ordine fino a 90 giorni dopo la data di scadenza.</w:t>
      </w:r>
    </w:p>
    <w:p w:rsidR="00A92422" w:rsidRPr="00D87B79" w:rsidRDefault="00A92422" w:rsidP="00A92422">
      <w:pPr>
        <w:outlineLvl w:val="2"/>
        <w:rPr>
          <w:rFonts w:cs="Tahoma"/>
        </w:rPr>
      </w:pPr>
    </w:p>
    <w:p w:rsidR="00A92422" w:rsidRPr="00D87B79" w:rsidRDefault="00A92422" w:rsidP="00A92422">
      <w:pPr>
        <w:outlineLvl w:val="2"/>
        <w:rPr>
          <w:rFonts w:cs="Tahoma"/>
        </w:rPr>
      </w:pPr>
    </w:p>
    <w:p w:rsidR="00A92422" w:rsidRPr="00D87B79" w:rsidRDefault="00A92422" w:rsidP="00A92422">
      <w:pPr>
        <w:pStyle w:val="Heading4"/>
        <w:ind w:left="360"/>
        <w:rPr>
          <w:rFonts w:ascii="Tahoma" w:hAnsi="Tahoma" w:cs="Tahoma"/>
        </w:rPr>
      </w:pPr>
      <w:bookmarkStart w:id="829" w:name="_Toc336338223"/>
      <w:bookmarkStart w:id="830" w:name="_Toc342900275"/>
      <w:bookmarkEnd w:id="829"/>
      <w:r w:rsidRPr="00D87B79">
        <w:rPr>
          <w:rFonts w:ascii="Tahoma" w:hAnsi="Tahoma" w:cs="Tahoma"/>
          <w:sz w:val="24"/>
          <w:lang w:val="it-IT"/>
        </w:rPr>
        <w:t>Select Plus 20xx</w:t>
      </w:r>
      <w:bookmarkEnd w:id="830"/>
    </w:p>
    <w:p w:rsidR="00A92422" w:rsidRPr="00D87B79" w:rsidRDefault="00A92422" w:rsidP="00A92422">
      <w:pPr>
        <w:rPr>
          <w:rFonts w:cs="Tahoma"/>
        </w:rPr>
      </w:pPr>
    </w:p>
    <w:p w:rsidR="00A92422" w:rsidRPr="00D87B79" w:rsidRDefault="00A92422" w:rsidP="00A92422">
      <w:pPr>
        <w:rPr>
          <w:rFonts w:cs="Tahoma"/>
        </w:rPr>
      </w:pPr>
      <w:r w:rsidRPr="00D87B79">
        <w:rPr>
          <w:rFonts w:cs="Tahoma"/>
          <w:b/>
          <w:sz w:val="20"/>
          <w:lang w:val="it-IT"/>
        </w:rPr>
        <w:t>Rinnovo della Copertura ai sensi del Medesimo Contratto</w:t>
      </w:r>
      <w:r w:rsidRPr="00D87B79">
        <w:rPr>
          <w:rFonts w:cs="Tahoma"/>
        </w:rPr>
        <w:t xml:space="preserve"> </w:t>
      </w:r>
    </w:p>
    <w:p w:rsidR="00A92422" w:rsidRPr="00D87B79" w:rsidRDefault="00A92422" w:rsidP="00A92422">
      <w:pPr>
        <w:rPr>
          <w:rFonts w:cs="Tahoma"/>
        </w:rPr>
      </w:pPr>
    </w:p>
    <w:p w:rsidR="00A92422" w:rsidRPr="00D87B79" w:rsidRDefault="00A92422" w:rsidP="00A92422">
      <w:pPr>
        <w:rPr>
          <w:rFonts w:cs="Tahoma"/>
        </w:rPr>
      </w:pPr>
      <w:r w:rsidRPr="00D87B79">
        <w:rPr>
          <w:rFonts w:cs="Tahoma"/>
          <w:lang w:val="it-IT"/>
        </w:rPr>
        <w:t>A partire dal 1 marzo 2011, la copertura iniziale Software Assurance (nuova o rinnovata) ai sensi di una registrazione</w:t>
      </w:r>
      <w:r>
        <w:rPr>
          <w:rFonts w:cs="Tahoma"/>
          <w:lang w:val="it-IT"/>
        </w:rPr>
        <w:t> </w:t>
      </w:r>
      <w:r w:rsidRPr="00D87B79">
        <w:rPr>
          <w:rFonts w:cs="Tahoma"/>
          <w:lang w:val="it-IT"/>
        </w:rPr>
        <w:t>Select Plus terminerà dopo 24 mesi più il numero di mesi che va dalla data di inizio della copertura Software Assurance alla successiva “ricorrenza della consociata” (si tratta di un mese definito dalla società in cui verranno prese le decisioni annuali in merito ai rinnovi).</w:t>
      </w:r>
      <w:r w:rsidRPr="00D87B79">
        <w:rPr>
          <w:rFonts w:cs="Tahoma"/>
        </w:rPr>
        <w:t xml:space="preserve"> </w:t>
      </w:r>
      <w:r w:rsidRPr="00D87B79">
        <w:rPr>
          <w:rFonts w:cs="Tahoma"/>
          <w:lang w:val="it-IT"/>
        </w:rPr>
        <w:t>Le società e i Partner riceveranno una comunicazione scritta delle opzioni di rinnovo prima della scadenza della copertura Software Assurance.</w:t>
      </w:r>
      <w:r w:rsidRPr="00D87B79">
        <w:rPr>
          <w:rFonts w:cs="Tahoma"/>
        </w:rPr>
        <w:t xml:space="preserve"> </w:t>
      </w:r>
      <w:r w:rsidRPr="00D87B79">
        <w:rPr>
          <w:rFonts w:cs="Tahoma"/>
          <w:lang w:val="it-IT"/>
        </w:rPr>
        <w:t>Per rinnovare la copertura Software Assurance per tutte le copie ordinate in precedenza, una società dovrà presentare un ordine di rinnovo a Microsoft tramite il proprio rivenditore prima della scadenza del precedente periodo di validità della copertura Software Assurance.</w:t>
      </w:r>
      <w:r w:rsidRPr="00D87B79">
        <w:rPr>
          <w:rFonts w:cs="Tahoma"/>
        </w:rPr>
        <w:t xml:space="preserve"> </w:t>
      </w:r>
      <w:r w:rsidRPr="00D87B79">
        <w:rPr>
          <w:rFonts w:cs="Tahoma"/>
          <w:lang w:val="it-IT"/>
        </w:rPr>
        <w:t>Gli ordini di rinnovo dovranno coprire l’intero periodo di validità di 36 mesi. Ciascun periodo di rinnovo avrà inizio il giorno successivo alla scadenza del precedente periodo di validità.</w:t>
      </w:r>
      <w:r w:rsidRPr="00D87B79">
        <w:rPr>
          <w:rFonts w:cs="Tahoma"/>
        </w:rPr>
        <w:t xml:space="preserve"> </w:t>
      </w:r>
    </w:p>
    <w:p w:rsidR="00A92422" w:rsidRPr="00D87B79" w:rsidRDefault="00A92422" w:rsidP="00A92422">
      <w:pPr>
        <w:rPr>
          <w:rFonts w:cs="Tahoma"/>
        </w:rPr>
      </w:pPr>
    </w:p>
    <w:p w:rsidR="00A92422" w:rsidRPr="00D87B79" w:rsidRDefault="00A92422" w:rsidP="00A92422">
      <w:pPr>
        <w:rPr>
          <w:rFonts w:cs="Tahoma"/>
        </w:rPr>
      </w:pPr>
      <w:r w:rsidRPr="00D87B79">
        <w:rPr>
          <w:rFonts w:cs="Tahoma"/>
          <w:b/>
          <w:sz w:val="20"/>
          <w:lang w:val="it-IT"/>
        </w:rPr>
        <w:t>Rinnovo della Copertura con un Contratto Separato</w:t>
      </w:r>
    </w:p>
    <w:p w:rsidR="00A92422" w:rsidRPr="00D87B79" w:rsidRDefault="00A92422" w:rsidP="00A92422">
      <w:pPr>
        <w:rPr>
          <w:rFonts w:cs="Tahoma"/>
        </w:rPr>
      </w:pPr>
    </w:p>
    <w:p w:rsidR="00A92422" w:rsidRPr="00D87B79" w:rsidRDefault="00A92422" w:rsidP="00A92422">
      <w:pPr>
        <w:rPr>
          <w:rFonts w:cs="Tahoma"/>
        </w:rPr>
      </w:pPr>
      <w:r w:rsidRPr="00D87B79">
        <w:rPr>
          <w:rFonts w:cs="Tahoma"/>
          <w:lang w:val="it-IT"/>
        </w:rPr>
        <w:t>Le società potranno ordinare Software Assurance senza dovere contemporaneamente ordinare una Licenza per le</w:t>
      </w:r>
      <w:r>
        <w:rPr>
          <w:rFonts w:cs="Tahoma"/>
          <w:lang w:val="it-IT"/>
        </w:rPr>
        <w:t> </w:t>
      </w:r>
      <w:r w:rsidRPr="00D87B79">
        <w:rPr>
          <w:rFonts w:cs="Tahoma"/>
          <w:lang w:val="it-IT"/>
        </w:rPr>
        <w:t>copie di prodotti per le quali abbiano in precedenza ottenuto licenze perpetue tramite Software Assurance in altri</w:t>
      </w:r>
      <w:r>
        <w:rPr>
          <w:rFonts w:cs="Tahoma"/>
          <w:lang w:val="it-IT"/>
        </w:rPr>
        <w:t> </w:t>
      </w:r>
      <w:r w:rsidRPr="00D87B79">
        <w:rPr>
          <w:rFonts w:cs="Tahoma"/>
          <w:lang w:val="it-IT"/>
        </w:rPr>
        <w:t>programmi per contratti multilicenza (Volume Licensing), a condizione che il nuovo ordine diventi effettivo entro il</w:t>
      </w:r>
      <w:r>
        <w:rPr>
          <w:rFonts w:cs="Tahoma"/>
          <w:lang w:val="it-IT"/>
        </w:rPr>
        <w:t> </w:t>
      </w:r>
      <w:r w:rsidRPr="00D87B79">
        <w:rPr>
          <w:rFonts w:cs="Tahoma"/>
          <w:lang w:val="it-IT"/>
        </w:rPr>
        <w:t>giorno successivo alla data di scadenza di Software Assurance.</w:t>
      </w:r>
      <w:r w:rsidRPr="00D87B79">
        <w:rPr>
          <w:rFonts w:cs="Tahoma"/>
        </w:rPr>
        <w:t xml:space="preserve"> </w:t>
      </w:r>
      <w:r w:rsidRPr="00D87B79">
        <w:rPr>
          <w:rFonts w:cs="Tahoma"/>
          <w:lang w:val="it-IT"/>
        </w:rPr>
        <w:t>L’ordine di rinnovo di Software Assurance dovrà essere effettuato prima della scadenza della copertura ai sensi del contratto precedente, ad eccezione del Contratto Open License.</w:t>
      </w:r>
      <w:r w:rsidRPr="00D87B79">
        <w:rPr>
          <w:rFonts w:cs="Tahoma"/>
        </w:rPr>
        <w:t xml:space="preserve"> </w:t>
      </w:r>
      <w:r w:rsidRPr="00D87B79">
        <w:rPr>
          <w:rFonts w:cs="Tahoma"/>
          <w:lang w:val="it-IT"/>
        </w:rPr>
        <w:t>In tal caso le società potranno inviare l’ordine fino a 90 giorni dopo la data di scadenza.</w:t>
      </w:r>
    </w:p>
    <w:p w:rsidR="00A92422" w:rsidRPr="00D87B79" w:rsidRDefault="00A92422" w:rsidP="00A92422">
      <w:pPr>
        <w:tabs>
          <w:tab w:val="num" w:pos="0"/>
        </w:tabs>
        <w:rPr>
          <w:rFonts w:cs="Tahoma"/>
        </w:rPr>
      </w:pPr>
    </w:p>
    <w:p w:rsidR="00A92422" w:rsidRPr="00D87B79" w:rsidRDefault="00A92422" w:rsidP="00A92422">
      <w:pPr>
        <w:tabs>
          <w:tab w:val="num" w:pos="0"/>
        </w:tabs>
        <w:rPr>
          <w:rFonts w:cs="Tahoma"/>
        </w:rPr>
      </w:pPr>
    </w:p>
    <w:p w:rsidR="00A92422" w:rsidRPr="00D87B79" w:rsidRDefault="00A92422" w:rsidP="00A92422">
      <w:pPr>
        <w:pStyle w:val="Heading4"/>
        <w:ind w:hanging="720"/>
        <w:rPr>
          <w:rFonts w:ascii="Tahoma" w:hAnsi="Tahoma" w:cs="Tahoma"/>
        </w:rPr>
      </w:pPr>
      <w:bookmarkStart w:id="831" w:name="_Toc336338224"/>
      <w:bookmarkStart w:id="832" w:name="_Toc342900276"/>
      <w:bookmarkEnd w:id="831"/>
      <w:r w:rsidRPr="00D87B79">
        <w:rPr>
          <w:rFonts w:ascii="Tahoma" w:hAnsi="Tahoma" w:cs="Tahoma"/>
          <w:sz w:val="24"/>
          <w:lang w:val="it-IT"/>
        </w:rPr>
        <w:t>Contratto Enterprise 2011 e versioni successive</w:t>
      </w:r>
      <w:bookmarkEnd w:id="832"/>
    </w:p>
    <w:p w:rsidR="00A92422" w:rsidRPr="00D87B79" w:rsidRDefault="00A92422" w:rsidP="00A92422">
      <w:pPr>
        <w:outlineLvl w:val="2"/>
        <w:rPr>
          <w:rFonts w:cs="Tahoma"/>
        </w:rPr>
      </w:pPr>
    </w:p>
    <w:p w:rsidR="00A92422" w:rsidRPr="00D87B79" w:rsidRDefault="00A92422" w:rsidP="00A92422">
      <w:pPr>
        <w:keepNext/>
        <w:tabs>
          <w:tab w:val="num" w:pos="720"/>
        </w:tabs>
        <w:spacing w:before="60"/>
        <w:ind w:left="360" w:hanging="360"/>
        <w:outlineLvl w:val="3"/>
        <w:rPr>
          <w:rFonts w:cs="Tahoma"/>
        </w:rPr>
      </w:pPr>
      <w:r w:rsidRPr="00D87B79">
        <w:rPr>
          <w:rFonts w:cs="Tahoma"/>
          <w:b/>
          <w:sz w:val="20"/>
          <w:lang w:val="it-IT"/>
        </w:rPr>
        <w:t>Rinnovo della Copertura ai sensi del Medesimo Contratto</w:t>
      </w:r>
    </w:p>
    <w:p w:rsidR="00A92422" w:rsidRPr="00D87B79" w:rsidRDefault="00A92422" w:rsidP="00A92422">
      <w:pPr>
        <w:tabs>
          <w:tab w:val="num" w:pos="0"/>
        </w:tabs>
        <w:rPr>
          <w:rFonts w:cs="Tahoma"/>
        </w:rPr>
      </w:pPr>
    </w:p>
    <w:p w:rsidR="00A92422" w:rsidRPr="00D87B79" w:rsidRDefault="00A92422" w:rsidP="00A92422">
      <w:pPr>
        <w:tabs>
          <w:tab w:val="num" w:pos="0"/>
        </w:tabs>
        <w:rPr>
          <w:rFonts w:cs="Tahoma"/>
        </w:rPr>
      </w:pPr>
      <w:r w:rsidRPr="00D87B79">
        <w:rPr>
          <w:rFonts w:cs="Tahoma"/>
          <w:lang w:val="it-IT"/>
        </w:rPr>
        <w:t>Alla scadenza dell’iscrizione la società è idonea al rinnovo dei prezzi del Contratto Enterprise, che si basano solo su</w:t>
      </w:r>
      <w:r>
        <w:rPr>
          <w:rFonts w:cs="Tahoma"/>
          <w:lang w:val="it-IT"/>
        </w:rPr>
        <w:t> </w:t>
      </w:r>
      <w:r w:rsidRPr="00D87B79">
        <w:rPr>
          <w:rFonts w:cs="Tahoma"/>
          <w:lang w:val="it-IT"/>
        </w:rPr>
        <w:t>Software Assurance.</w:t>
      </w:r>
      <w:r w:rsidRPr="00D87B79">
        <w:rPr>
          <w:rFonts w:cs="Tahoma"/>
        </w:rPr>
        <w:t xml:space="preserve"> </w:t>
      </w:r>
      <w:r w:rsidRPr="00D87B79">
        <w:rPr>
          <w:rFonts w:cs="Tahoma"/>
          <w:lang w:val="it-IT"/>
        </w:rPr>
        <w:t>Le società riceveranno una comunicazione scritta delle opzioni di rinnovo prima della scadenza della loro iscrizione.</w:t>
      </w:r>
      <w:r w:rsidRPr="00D87B79">
        <w:rPr>
          <w:rFonts w:cs="Tahoma"/>
        </w:rPr>
        <w:t xml:space="preserve"> </w:t>
      </w:r>
      <w:r w:rsidRPr="00D87B79">
        <w:rPr>
          <w:rFonts w:cs="Tahoma"/>
          <w:lang w:val="it-IT"/>
        </w:rPr>
        <w:t>Le società potranno scegliere di rinnovare la loro iscrizione per un periodo di validità successivo di 36 mesi solari completi.</w:t>
      </w:r>
      <w:r w:rsidRPr="00D87B79">
        <w:rPr>
          <w:rFonts w:cs="Tahoma"/>
        </w:rPr>
        <w:t xml:space="preserve"> </w:t>
      </w:r>
      <w:r w:rsidRPr="00D87B79">
        <w:rPr>
          <w:rFonts w:cs="Tahoma"/>
          <w:lang w:val="it-IT"/>
        </w:rPr>
        <w:t>Dopo il periodo di rinnovo, per rinnovare la copertura Software Assurance, la</w:t>
      </w:r>
      <w:r>
        <w:rPr>
          <w:rFonts w:cs="Tahoma"/>
          <w:lang w:val="it-IT"/>
        </w:rPr>
        <w:t> </w:t>
      </w:r>
      <w:r w:rsidRPr="00D87B79">
        <w:rPr>
          <w:rFonts w:cs="Tahoma"/>
          <w:lang w:val="it-IT"/>
        </w:rPr>
        <w:t>società dovrà sottoscrivere una nuova Iscrizione.</w:t>
      </w:r>
      <w:r w:rsidRPr="00D87B79">
        <w:rPr>
          <w:rFonts w:cs="Tahoma"/>
        </w:rPr>
        <w:t xml:space="preserve"> </w:t>
      </w:r>
      <w:r w:rsidRPr="00D87B79">
        <w:rPr>
          <w:rFonts w:cs="Tahoma"/>
          <w:lang w:val="it-IT"/>
        </w:rPr>
        <w:t>Per rinnovare la copertura Software Assurance ai sensi della medesima iscrizione, le società dovranno presentare un ordine di rinnovo per Software Assurance (a seconda dei casi) per 1) tutti i prodotti Enterprise, i Prodotti della Piattaforma Applicativa, i Prodotti Core Infrastructure e Prodotti Aggiuntivi per i</w:t>
      </w:r>
      <w:r>
        <w:rPr>
          <w:rFonts w:cs="Tahoma"/>
          <w:lang w:val="it-IT"/>
        </w:rPr>
        <w:t> </w:t>
      </w:r>
      <w:r w:rsidRPr="00D87B79">
        <w:rPr>
          <w:rFonts w:cs="Tahoma"/>
          <w:lang w:val="it-IT"/>
        </w:rPr>
        <w:t>quali desiderano eseguire il rinnovo ed 2) eventuali Servizi Online, che consentono di tenere traccia delle transazioni (se applicabile).</w:t>
      </w:r>
      <w:r w:rsidRPr="00D87B79">
        <w:rPr>
          <w:rFonts w:cs="Tahoma"/>
        </w:rPr>
        <w:t xml:space="preserve"> </w:t>
      </w:r>
      <w:r w:rsidRPr="00D87B79">
        <w:rPr>
          <w:rFonts w:cs="Tahoma"/>
          <w:lang w:val="it-IT"/>
        </w:rPr>
        <w:t>Tale ordine dovrà essere presentato prima della scadenza del precedente periodo di</w:t>
      </w:r>
      <w:r>
        <w:rPr>
          <w:rFonts w:cs="Tahoma"/>
          <w:lang w:val="it-IT"/>
        </w:rPr>
        <w:t> </w:t>
      </w:r>
      <w:r w:rsidRPr="00D87B79">
        <w:rPr>
          <w:rFonts w:cs="Tahoma"/>
          <w:lang w:val="it-IT"/>
        </w:rPr>
        <w:t>validità.</w:t>
      </w:r>
      <w:r w:rsidRPr="00D87B79">
        <w:rPr>
          <w:rFonts w:cs="Tahoma"/>
        </w:rPr>
        <w:t xml:space="preserve"> </w:t>
      </w:r>
      <w:r w:rsidRPr="00D87B79">
        <w:rPr>
          <w:rFonts w:cs="Tahoma"/>
          <w:lang w:val="it-IT"/>
        </w:rPr>
        <w:t>Il periodo di rinnovo avrà inizio il giorno successivo alla scadenza del precedente periodo di validità.</w:t>
      </w:r>
      <w:r w:rsidRPr="00D87B79">
        <w:rPr>
          <w:rFonts w:cs="Tahoma"/>
        </w:rPr>
        <w:t xml:space="preserve"> </w:t>
      </w:r>
      <w:r w:rsidRPr="00D87B79">
        <w:rPr>
          <w:rFonts w:cs="Tahoma"/>
          <w:lang w:val="it-IT"/>
        </w:rPr>
        <w:t>Per</w:t>
      </w:r>
      <w:r>
        <w:rPr>
          <w:rFonts w:cs="Tahoma"/>
          <w:lang w:val="it-IT"/>
        </w:rPr>
        <w:t> </w:t>
      </w:r>
      <w:r w:rsidRPr="00D87B79">
        <w:rPr>
          <w:rFonts w:cs="Tahoma"/>
          <w:lang w:val="it-IT"/>
        </w:rPr>
        <w:t>informazioni su</w:t>
      </w:r>
      <w:r>
        <w:rPr>
          <w:rFonts w:cs="Tahoma"/>
          <w:lang w:val="it-IT"/>
        </w:rPr>
        <w:t> </w:t>
      </w:r>
      <w:r w:rsidRPr="00D87B79">
        <w:rPr>
          <w:rFonts w:cs="Tahoma"/>
          <w:lang w:val="it-IT"/>
        </w:rPr>
        <w:t>come rinnovare la copertura Software Assurance ai sensi di una successiva iscrizione, vedere di</w:t>
      </w:r>
      <w:r>
        <w:rPr>
          <w:rFonts w:cs="Tahoma"/>
          <w:lang w:val="it-IT"/>
        </w:rPr>
        <w:t> </w:t>
      </w:r>
      <w:r w:rsidRPr="00D87B79">
        <w:rPr>
          <w:rFonts w:cs="Tahoma"/>
          <w:lang w:val="it-IT"/>
        </w:rPr>
        <w:t>seguito.</w:t>
      </w:r>
    </w:p>
    <w:p w:rsidR="00A92422" w:rsidRDefault="00A92422" w:rsidP="00A92422">
      <w:pPr>
        <w:tabs>
          <w:tab w:val="num" w:pos="0"/>
        </w:tabs>
        <w:rPr>
          <w:rFonts w:cs="Tahoma"/>
        </w:rPr>
      </w:pPr>
    </w:p>
    <w:p w:rsidR="00A92422" w:rsidRDefault="00A92422" w:rsidP="00A92422">
      <w:pPr>
        <w:tabs>
          <w:tab w:val="num" w:pos="0"/>
        </w:tabs>
        <w:rPr>
          <w:rFonts w:cs="Tahoma"/>
        </w:rPr>
      </w:pPr>
    </w:p>
    <w:p w:rsidR="00A92422" w:rsidRDefault="00A92422" w:rsidP="00A92422">
      <w:pPr>
        <w:tabs>
          <w:tab w:val="num" w:pos="0"/>
        </w:tabs>
        <w:rPr>
          <w:rFonts w:cs="Tahoma"/>
        </w:rPr>
      </w:pPr>
    </w:p>
    <w:p w:rsidR="00A92422" w:rsidRPr="00D87B79" w:rsidRDefault="00A92422" w:rsidP="00A92422">
      <w:pPr>
        <w:tabs>
          <w:tab w:val="num" w:pos="0"/>
        </w:tabs>
        <w:rPr>
          <w:rFonts w:cs="Tahoma"/>
        </w:rPr>
      </w:pPr>
    </w:p>
    <w:p w:rsidR="00A92422" w:rsidRPr="00D87B79" w:rsidRDefault="00A92422" w:rsidP="00A92422">
      <w:pPr>
        <w:keepNext/>
        <w:keepLines/>
        <w:tabs>
          <w:tab w:val="num" w:pos="720"/>
        </w:tabs>
        <w:spacing w:before="60"/>
        <w:ind w:left="360" w:hanging="360"/>
        <w:outlineLvl w:val="3"/>
        <w:rPr>
          <w:rFonts w:cs="Tahoma"/>
        </w:rPr>
      </w:pPr>
      <w:r w:rsidRPr="00D87B79">
        <w:rPr>
          <w:rFonts w:cs="Tahoma"/>
          <w:b/>
          <w:sz w:val="20"/>
          <w:lang w:val="it-IT"/>
        </w:rPr>
        <w:lastRenderedPageBreak/>
        <w:t>Rinnovo della Copertura con un Contratto Separato</w:t>
      </w:r>
    </w:p>
    <w:p w:rsidR="00A92422" w:rsidRPr="00D87B79" w:rsidRDefault="00A92422" w:rsidP="00A92422">
      <w:pPr>
        <w:tabs>
          <w:tab w:val="num" w:pos="0"/>
        </w:tabs>
        <w:rPr>
          <w:rFonts w:cs="Tahoma"/>
        </w:rPr>
      </w:pPr>
    </w:p>
    <w:p w:rsidR="00A92422" w:rsidRPr="00D87B79" w:rsidRDefault="00A92422" w:rsidP="00A92422">
      <w:pPr>
        <w:tabs>
          <w:tab w:val="num" w:pos="0"/>
        </w:tabs>
        <w:rPr>
          <w:rFonts w:cs="Tahoma"/>
        </w:rPr>
      </w:pPr>
      <w:r w:rsidRPr="00D87B79">
        <w:rPr>
          <w:rFonts w:cs="Tahoma"/>
          <w:color w:val="000000"/>
          <w:lang w:val="it-IT"/>
        </w:rPr>
        <w:t>La società potrà ordinare Software Assurance per qualsiasi prodotto senza dover contemporaneamente ordinare una</w:t>
      </w:r>
      <w:r>
        <w:rPr>
          <w:rFonts w:cs="Tahoma"/>
          <w:color w:val="000000"/>
          <w:lang w:val="it-IT"/>
        </w:rPr>
        <w:t> </w:t>
      </w:r>
      <w:r w:rsidRPr="00D87B79">
        <w:rPr>
          <w:rFonts w:cs="Tahoma"/>
          <w:color w:val="000000"/>
          <w:lang w:val="it-IT"/>
        </w:rPr>
        <w:t>Licenza a condizione che abbia ottenuto licenze perpetue per tale prodotto e la copertura Software Assurance sia</w:t>
      </w:r>
      <w:r>
        <w:rPr>
          <w:rFonts w:cs="Tahoma"/>
          <w:color w:val="000000"/>
          <w:lang w:val="it-IT"/>
        </w:rPr>
        <w:t> </w:t>
      </w:r>
      <w:r w:rsidRPr="00D87B79">
        <w:rPr>
          <w:rFonts w:cs="Tahoma"/>
          <w:color w:val="000000"/>
          <w:lang w:val="it-IT"/>
        </w:rPr>
        <w:t>attiva al momento del rinnovo.</w:t>
      </w:r>
      <w:r w:rsidRPr="00D87B79">
        <w:rPr>
          <w:rFonts w:cs="Tahoma"/>
        </w:rPr>
        <w:t xml:space="preserve"> </w:t>
      </w:r>
      <w:r w:rsidRPr="00D87B79">
        <w:rPr>
          <w:rFonts w:cs="Tahoma"/>
          <w:color w:val="000000"/>
          <w:lang w:val="it-IT"/>
        </w:rPr>
        <w:t>Per Prodotti Aggiuntivi, per cumulare la copertura da un Contratto Open License, la società potrà inviare l’ordine fino a 90 giorni dopo la data di scadenza.</w:t>
      </w:r>
      <w:r w:rsidRPr="00D87B79">
        <w:rPr>
          <w:rFonts w:cs="Tahoma"/>
        </w:rPr>
        <w:t xml:space="preserve"> </w:t>
      </w:r>
    </w:p>
    <w:p w:rsidR="00A92422" w:rsidRPr="00D87B79" w:rsidRDefault="00A92422" w:rsidP="00A92422">
      <w:pPr>
        <w:tabs>
          <w:tab w:val="num" w:pos="0"/>
        </w:tabs>
        <w:rPr>
          <w:rFonts w:cs="Tahoma"/>
        </w:rPr>
      </w:pPr>
    </w:p>
    <w:p w:rsidR="00A92422" w:rsidRPr="00D87B79" w:rsidRDefault="00A92422" w:rsidP="00A92422">
      <w:pPr>
        <w:keepNext/>
        <w:tabs>
          <w:tab w:val="num" w:pos="720"/>
        </w:tabs>
        <w:spacing w:before="60"/>
        <w:ind w:left="360" w:hanging="360"/>
        <w:outlineLvl w:val="3"/>
        <w:rPr>
          <w:rFonts w:cs="Tahoma"/>
        </w:rPr>
      </w:pPr>
      <w:r w:rsidRPr="00D87B79">
        <w:rPr>
          <w:rFonts w:cs="Tahoma"/>
          <w:b/>
          <w:sz w:val="20"/>
          <w:lang w:val="it-IT"/>
        </w:rPr>
        <w:t>Enrollment for Application Platform</w:t>
      </w:r>
      <w:r w:rsidRPr="00D87B79">
        <w:rPr>
          <w:rFonts w:cs="Tahoma"/>
        </w:rPr>
        <w:t xml:space="preserve"> </w:t>
      </w:r>
    </w:p>
    <w:p w:rsidR="00A92422" w:rsidRPr="00D87B79" w:rsidRDefault="00A92422" w:rsidP="00A92422">
      <w:pPr>
        <w:tabs>
          <w:tab w:val="num" w:pos="0"/>
        </w:tabs>
        <w:rPr>
          <w:rFonts w:cs="Tahoma"/>
        </w:rPr>
      </w:pPr>
      <w:r w:rsidRPr="00D87B79">
        <w:rPr>
          <w:rFonts w:cs="Tahoma"/>
          <w:lang w:val="it-IT"/>
        </w:rPr>
        <w:t>Le società potranno ordinare solo Software Assurance per i prodotti disponibili, senza dover contemporaneamente ordinare una nuova Licenza, come previsto nelle condizioni di iscrizione.</w:t>
      </w:r>
    </w:p>
    <w:p w:rsidR="00A92422" w:rsidRPr="002B5063" w:rsidRDefault="00A92422" w:rsidP="00A92422">
      <w:pPr>
        <w:pStyle w:val="Heading4"/>
        <w:spacing w:before="0"/>
        <w:ind w:left="0" w:firstLine="0"/>
        <w:rPr>
          <w:rFonts w:ascii="Tahoma" w:hAnsi="Tahoma" w:cs="Tahoma"/>
          <w:sz w:val="18"/>
          <w:szCs w:val="18"/>
        </w:rPr>
      </w:pPr>
    </w:p>
    <w:p w:rsidR="00A92422" w:rsidRPr="00D87B79" w:rsidRDefault="00A92422" w:rsidP="00A92422">
      <w:pPr>
        <w:rPr>
          <w:rFonts w:cs="Tahoma"/>
        </w:rPr>
      </w:pPr>
      <w:bookmarkStart w:id="833" w:name="_Toc336338225"/>
    </w:p>
    <w:p w:rsidR="00A92422" w:rsidRPr="00D87B79" w:rsidRDefault="00A92422" w:rsidP="00A92422">
      <w:pPr>
        <w:pStyle w:val="Heading4"/>
        <w:ind w:left="360"/>
        <w:rPr>
          <w:rFonts w:ascii="Tahoma" w:hAnsi="Tahoma" w:cs="Tahoma"/>
        </w:rPr>
      </w:pPr>
      <w:bookmarkStart w:id="834" w:name="_Toc342900277"/>
      <w:bookmarkEnd w:id="833"/>
      <w:r w:rsidRPr="00D87B79">
        <w:rPr>
          <w:rFonts w:ascii="Tahoma" w:hAnsi="Tahoma" w:cs="Tahoma"/>
          <w:sz w:val="24"/>
          <w:lang w:val="it-IT"/>
        </w:rPr>
        <w:t>Contratto Enterprise Prima del 2011</w:t>
      </w:r>
      <w:bookmarkEnd w:id="834"/>
    </w:p>
    <w:p w:rsidR="00A92422" w:rsidRPr="00D87B79" w:rsidRDefault="00A92422" w:rsidP="00A92422">
      <w:pPr>
        <w:tabs>
          <w:tab w:val="num" w:pos="0"/>
        </w:tabs>
        <w:rPr>
          <w:rFonts w:cs="Tahoma"/>
        </w:rPr>
      </w:pPr>
    </w:p>
    <w:p w:rsidR="00A92422" w:rsidRPr="00D87B79" w:rsidRDefault="00A92422" w:rsidP="00A92422">
      <w:pPr>
        <w:tabs>
          <w:tab w:val="num" w:pos="0"/>
        </w:tabs>
        <w:rPr>
          <w:rFonts w:cs="Tahoma"/>
        </w:rPr>
      </w:pPr>
      <w:r w:rsidRPr="00D87B79">
        <w:rPr>
          <w:rFonts w:cs="Tahoma"/>
          <w:lang w:val="it-IT"/>
        </w:rPr>
        <w:t>Alla scadenza dell’iscrizione la società è idonea al rinnovo dei prezzi del Contratto Enterprise, che si basano solo su Software Assurance.</w:t>
      </w:r>
      <w:r w:rsidRPr="00D87B79">
        <w:rPr>
          <w:rFonts w:cs="Tahoma"/>
        </w:rPr>
        <w:t xml:space="preserve"> </w:t>
      </w:r>
      <w:r w:rsidRPr="00D87B79">
        <w:rPr>
          <w:rFonts w:cs="Tahoma"/>
          <w:lang w:val="it-IT"/>
        </w:rPr>
        <w:t>Le società riceveranno una comunicazione scritta delle opzioni di rinnovo 60 giorni prima della scadenza della loro iscrizione.</w:t>
      </w:r>
      <w:r w:rsidRPr="00D87B79">
        <w:rPr>
          <w:rFonts w:cs="Tahoma"/>
        </w:rPr>
        <w:t xml:space="preserve"> </w:t>
      </w:r>
      <w:r w:rsidRPr="00D87B79">
        <w:rPr>
          <w:rFonts w:cs="Tahoma"/>
          <w:lang w:val="it-IT"/>
        </w:rPr>
        <w:t>Per eseguire il rinnovo, le società dovranno sottoscrivere un’Iscrizione e un Contratto Enterprise 2011 o versione successiva nuovi.</w:t>
      </w:r>
      <w:r w:rsidRPr="00D87B79">
        <w:rPr>
          <w:rFonts w:cs="Tahoma"/>
        </w:rPr>
        <w:t xml:space="preserve"> </w:t>
      </w:r>
      <w:r w:rsidRPr="00D87B79">
        <w:rPr>
          <w:rFonts w:cs="Tahoma"/>
          <w:lang w:val="it-IT"/>
        </w:rPr>
        <w:t>Il periodo di rinnovo avrà inizio il giorno successivo alla scadenza del precedente periodo di validità.</w:t>
      </w:r>
      <w:r w:rsidRPr="00D87B79">
        <w:rPr>
          <w:rFonts w:cs="Tahoma"/>
        </w:rPr>
        <w:t xml:space="preserve"> </w:t>
      </w:r>
    </w:p>
    <w:p w:rsidR="00A92422" w:rsidRPr="00D87B79" w:rsidRDefault="00A92422" w:rsidP="00A92422">
      <w:pPr>
        <w:tabs>
          <w:tab w:val="num" w:pos="0"/>
        </w:tabs>
        <w:rPr>
          <w:rFonts w:cs="Tahoma"/>
        </w:rPr>
      </w:pPr>
    </w:p>
    <w:p w:rsidR="00A92422" w:rsidRPr="00D87B79" w:rsidRDefault="00A92422" w:rsidP="00A92422">
      <w:pPr>
        <w:tabs>
          <w:tab w:val="num" w:pos="0"/>
        </w:tabs>
        <w:rPr>
          <w:rFonts w:cs="Tahoma"/>
        </w:rPr>
      </w:pPr>
      <w:r w:rsidRPr="00D87B79">
        <w:rPr>
          <w:rFonts w:cs="Tahoma"/>
          <w:b/>
          <w:sz w:val="20"/>
          <w:lang w:val="it-IT"/>
        </w:rPr>
        <w:t>Enrollment for Application Platform</w:t>
      </w:r>
      <w:r w:rsidRPr="00D87B79">
        <w:rPr>
          <w:rFonts w:cs="Tahoma"/>
        </w:rPr>
        <w:t xml:space="preserve"> </w:t>
      </w:r>
    </w:p>
    <w:p w:rsidR="00A92422" w:rsidRPr="00D87B79" w:rsidRDefault="00A92422" w:rsidP="00A92422">
      <w:pPr>
        <w:tabs>
          <w:tab w:val="num" w:pos="0"/>
        </w:tabs>
        <w:rPr>
          <w:rFonts w:cs="Tahoma"/>
        </w:rPr>
      </w:pPr>
      <w:r w:rsidRPr="00D87B79">
        <w:rPr>
          <w:rFonts w:cs="Tahoma"/>
          <w:lang w:val="it-IT"/>
        </w:rPr>
        <w:t>Le società potranno ordinare solo Software Assurance per i prodotti disponibili, senza dover contemporaneamente ordinare una nuova Licenza, come previsto nelle condizioni di iscrizione.</w:t>
      </w:r>
    </w:p>
    <w:p w:rsidR="00A92422" w:rsidRPr="002B5063" w:rsidRDefault="00A92422" w:rsidP="00A92422">
      <w:pPr>
        <w:pStyle w:val="Heading3"/>
        <w:rPr>
          <w:rFonts w:ascii="Tahoma" w:hAnsi="Tahoma" w:cs="Tahoma"/>
          <w:sz w:val="18"/>
          <w:szCs w:val="18"/>
        </w:rPr>
      </w:pPr>
    </w:p>
    <w:p w:rsidR="00A92422" w:rsidRPr="00D87B79" w:rsidRDefault="00A92422" w:rsidP="00A92422">
      <w:pPr>
        <w:rPr>
          <w:rFonts w:cs="Tahoma"/>
        </w:rPr>
      </w:pPr>
    </w:p>
    <w:p w:rsidR="00A92422" w:rsidRPr="00D87B79" w:rsidRDefault="00A92422" w:rsidP="00A92422">
      <w:pPr>
        <w:pStyle w:val="Heading4"/>
        <w:ind w:left="360"/>
        <w:rPr>
          <w:rFonts w:ascii="Tahoma" w:hAnsi="Tahoma" w:cs="Tahoma"/>
        </w:rPr>
      </w:pPr>
      <w:bookmarkStart w:id="835" w:name="_Toc323159750"/>
      <w:bookmarkStart w:id="836" w:name="_Toc336338226"/>
      <w:bookmarkStart w:id="837" w:name="_Toc342900278"/>
      <w:bookmarkEnd w:id="835"/>
      <w:bookmarkEnd w:id="836"/>
      <w:r w:rsidRPr="00D87B79">
        <w:rPr>
          <w:rFonts w:ascii="Tahoma" w:hAnsi="Tahoma" w:cs="Tahoma"/>
          <w:sz w:val="24"/>
          <w:lang w:val="it-IT"/>
        </w:rPr>
        <w:t>Rinnovo Incrociato dei Programmi</w:t>
      </w:r>
      <w:bookmarkEnd w:id="837"/>
    </w:p>
    <w:p w:rsidR="00A92422" w:rsidRPr="00D87B79" w:rsidRDefault="00A92422" w:rsidP="00A92422">
      <w:pPr>
        <w:tabs>
          <w:tab w:val="num" w:pos="0"/>
        </w:tabs>
        <w:rPr>
          <w:rFonts w:cs="Tahoma"/>
        </w:rPr>
      </w:pPr>
    </w:p>
    <w:p w:rsidR="00A92422" w:rsidRPr="00D87B79" w:rsidRDefault="00A92422" w:rsidP="00A92422">
      <w:pPr>
        <w:pStyle w:val="AppendIndentSub"/>
        <w:tabs>
          <w:tab w:val="num" w:pos="0"/>
        </w:tabs>
        <w:ind w:left="0"/>
        <w:rPr>
          <w:rFonts w:ascii="Tahoma" w:hAnsi="Tahoma" w:cs="Tahoma"/>
        </w:rPr>
      </w:pPr>
      <w:r w:rsidRPr="00D87B79">
        <w:rPr>
          <w:rFonts w:ascii="Tahoma" w:hAnsi="Tahoma" w:cs="Tahoma"/>
          <w:sz w:val="18"/>
          <w:lang w:val="it-IT"/>
        </w:rPr>
        <w:t>Come eccezione alle regole precedenti le società potranno rinnovare la copertura Software Assurance tramite l’acquisto della stessa ai sensi di un contratto Open Value, Select, Select Plus o iscrizione Enterprise. Per le società che rinnovano Software Assurance ai sensi di un’iscrizione Enterprise esistente, l’eccezione si applica solo ai prodotti aggiuntivi e ai prodotti che non rientrano nell’impegno a livello aziendale.</w:t>
      </w:r>
      <w:r w:rsidRPr="00D87B79">
        <w:rPr>
          <w:rFonts w:ascii="Tahoma" w:hAnsi="Tahoma" w:cs="Tahoma"/>
        </w:rPr>
        <w:t xml:space="preserve"> </w:t>
      </w:r>
      <w:r w:rsidRPr="00D87B79">
        <w:rPr>
          <w:rFonts w:ascii="Tahoma" w:hAnsi="Tahoma" w:cs="Tahoma"/>
          <w:sz w:val="18"/>
          <w:lang w:val="it-IT"/>
        </w:rPr>
        <w:t>Le società dovranno effettuare un ordine di</w:t>
      </w:r>
      <w:r>
        <w:rPr>
          <w:rFonts w:ascii="Tahoma" w:hAnsi="Tahoma" w:cs="Tahoma"/>
          <w:sz w:val="18"/>
          <w:lang w:val="it-IT"/>
        </w:rPr>
        <w:t> </w:t>
      </w:r>
      <w:r w:rsidRPr="00D87B79">
        <w:rPr>
          <w:rFonts w:ascii="Tahoma" w:hAnsi="Tahoma" w:cs="Tahoma"/>
          <w:sz w:val="18"/>
          <w:lang w:val="it-IT"/>
        </w:rPr>
        <w:t>Software Assurance prima della data di scadenza della copertura precedente ai sensi di un contratto o un’iscrizione in essere.</w:t>
      </w:r>
      <w:r w:rsidRPr="00D87B79">
        <w:rPr>
          <w:rFonts w:ascii="Tahoma" w:hAnsi="Tahoma" w:cs="Tahoma"/>
        </w:rPr>
        <w:t xml:space="preserve"> </w:t>
      </w:r>
    </w:p>
    <w:p w:rsidR="00A92422" w:rsidRPr="002B5063" w:rsidRDefault="00A92422" w:rsidP="00A92422">
      <w:pPr>
        <w:pStyle w:val="AppendIndentSub"/>
        <w:tabs>
          <w:tab w:val="num" w:pos="0"/>
        </w:tabs>
        <w:ind w:left="0"/>
        <w:rPr>
          <w:rFonts w:ascii="Tahoma" w:hAnsi="Tahoma" w:cs="Tahoma"/>
          <w:sz w:val="18"/>
          <w:szCs w:val="18"/>
        </w:rPr>
      </w:pPr>
    </w:p>
    <w:p w:rsidR="00A92422" w:rsidRPr="00D87B79" w:rsidRDefault="00A92422" w:rsidP="00A92422">
      <w:pPr>
        <w:pStyle w:val="AppendIndentSub"/>
        <w:tabs>
          <w:tab w:val="num" w:pos="0"/>
        </w:tabs>
        <w:ind w:left="0"/>
        <w:rPr>
          <w:rFonts w:ascii="Tahoma" w:hAnsi="Tahoma" w:cs="Tahoma"/>
        </w:rPr>
      </w:pPr>
      <w:r w:rsidRPr="00D87B79">
        <w:rPr>
          <w:rFonts w:ascii="Tahoma" w:hAnsi="Tahoma" w:cs="Tahoma"/>
          <w:sz w:val="18"/>
          <w:lang w:val="it-IT"/>
        </w:rPr>
        <w:t>Le società che effettuano il rinnovo ai sensi del Programma Open License dovranno effettuare l’ordine entro 90 giorni dalla data di scadenza della copertura precedente.</w:t>
      </w:r>
      <w:r w:rsidRPr="00D87B79">
        <w:rPr>
          <w:rFonts w:ascii="Tahoma" w:hAnsi="Tahoma" w:cs="Tahoma"/>
        </w:rPr>
        <w:t xml:space="preserve"> </w:t>
      </w:r>
      <w:r w:rsidRPr="00D87B79">
        <w:rPr>
          <w:rFonts w:ascii="Tahoma" w:hAnsi="Tahoma" w:cs="Tahoma"/>
          <w:sz w:val="18"/>
          <w:lang w:val="it-IT"/>
        </w:rPr>
        <w:t>In caso di versioni del Contratto del 2008 o precedenti, l’ordine dovrà essere effettuato entro 30 giorni dalla scadenza della copertura precedente (90 giorni se il rinnovo viene effettuato sulla base del Programma Open License).</w:t>
      </w:r>
    </w:p>
    <w:p w:rsidR="00A92422" w:rsidRPr="00D87B79" w:rsidRDefault="00A92422" w:rsidP="00A92422">
      <w:pPr>
        <w:pStyle w:val="AppendIndentSub"/>
        <w:tabs>
          <w:tab w:val="num" w:pos="0"/>
        </w:tabs>
        <w:ind w:left="0"/>
        <w:rPr>
          <w:rFonts w:ascii="Tahoma" w:hAnsi="Tahoma" w:cs="Tahoma"/>
        </w:rPr>
      </w:pPr>
    </w:p>
    <w:p w:rsidR="00A92422" w:rsidRPr="00D87B79" w:rsidRDefault="00A92422" w:rsidP="00A92422">
      <w:pPr>
        <w:pStyle w:val="AppendIndentSub"/>
        <w:tabs>
          <w:tab w:val="num" w:pos="0"/>
        </w:tabs>
        <w:ind w:left="0"/>
        <w:rPr>
          <w:rFonts w:ascii="Tahoma" w:hAnsi="Tahoma" w:cs="Tahoma"/>
        </w:rPr>
      </w:pPr>
      <w:r w:rsidRPr="00D87B79">
        <w:rPr>
          <w:rFonts w:ascii="Tahoma" w:hAnsi="Tahoma" w:cs="Tahoma"/>
          <w:sz w:val="18"/>
          <w:szCs w:val="18"/>
          <w:lang w:val="it-IT"/>
        </w:rPr>
        <w:t>Per tutti i programmi, ad eccezione di Select Plus, l’ordine dovrà riguardare il periodo di validità residuo del contratto</w:t>
      </w:r>
      <w:r>
        <w:rPr>
          <w:rFonts w:ascii="Tahoma" w:hAnsi="Tahoma" w:cs="Tahoma"/>
          <w:sz w:val="18"/>
          <w:szCs w:val="18"/>
          <w:lang w:val="it-IT"/>
        </w:rPr>
        <w:t> </w:t>
      </w:r>
      <w:r w:rsidRPr="00D87B79">
        <w:rPr>
          <w:rFonts w:ascii="Tahoma" w:hAnsi="Tahoma" w:cs="Tahoma"/>
          <w:sz w:val="18"/>
          <w:szCs w:val="18"/>
          <w:lang w:val="it-IT"/>
        </w:rPr>
        <w:t>o dell’iscrizione in essere (ad esempio, SA x il numero di anni residui del periodo di validità dell’iscrizione a</w:t>
      </w:r>
      <w:r>
        <w:rPr>
          <w:rFonts w:ascii="Tahoma" w:hAnsi="Tahoma" w:cs="Tahoma"/>
          <w:sz w:val="18"/>
          <w:szCs w:val="18"/>
          <w:lang w:val="it-IT"/>
        </w:rPr>
        <w:t> </w:t>
      </w:r>
      <w:r w:rsidRPr="00D87B79">
        <w:rPr>
          <w:rFonts w:ascii="Tahoma" w:hAnsi="Tahoma" w:cs="Tahoma"/>
          <w:sz w:val="18"/>
          <w:szCs w:val="18"/>
          <w:lang w:val="it-IT"/>
        </w:rPr>
        <w:t>partire dalla data dell’ordine, incluso l’eventuale anno parziale). In Select Plus il periodo di validità dell’ordine sarà di 36 mesi.</w:t>
      </w:r>
      <w:r w:rsidRPr="00D87B79">
        <w:rPr>
          <w:rFonts w:ascii="Tahoma" w:hAnsi="Tahoma" w:cs="Tahoma"/>
        </w:rPr>
        <w:t xml:space="preserve"> </w:t>
      </w:r>
      <w:r w:rsidRPr="00D87B79">
        <w:rPr>
          <w:rFonts w:ascii="Tahoma" w:hAnsi="Tahoma" w:cs="Tahoma"/>
          <w:sz w:val="18"/>
          <w:lang w:val="it-IT"/>
        </w:rPr>
        <w:t>Poiché i prezzi di Software Assurance non saranno suddivisi in misura proporzionale per l’eventuale anno parziale di copertura, le società dovranno programmare gli ordini tenendo conto delle ricorrenze della data di entrata in vigore del contratto in essere. Per le versioni del Contratto 2008 e precedenti, qualora la copertura venga rinnovata nei 30 giorni precedenti (90 giorni se il rinnovo viene effettuato sulla base del Programma Open License), essa sarà attiva durante il periodo di tempo che intercorre tra la data di scadenza della precedente e la data di inizio di quella nuova. Le società saranno idonee a ricevere gli aggiornamenti resi disponibili durante tale periodo a</w:t>
      </w:r>
      <w:r>
        <w:rPr>
          <w:rFonts w:ascii="Tahoma" w:hAnsi="Tahoma" w:cs="Tahoma"/>
          <w:sz w:val="18"/>
          <w:lang w:val="it-IT"/>
        </w:rPr>
        <w:t> </w:t>
      </w:r>
      <w:r w:rsidRPr="00D87B79">
        <w:rPr>
          <w:rFonts w:ascii="Tahoma" w:hAnsi="Tahoma" w:cs="Tahoma"/>
          <w:sz w:val="18"/>
          <w:lang w:val="it-IT"/>
        </w:rPr>
        <w:t>condizione che la copertura venga rinnovata.</w:t>
      </w:r>
      <w:r w:rsidRPr="00D87B79">
        <w:rPr>
          <w:rFonts w:ascii="Tahoma" w:hAnsi="Tahoma" w:cs="Tahoma"/>
        </w:rPr>
        <w:t> </w:t>
      </w:r>
    </w:p>
    <w:p w:rsidR="00A92422" w:rsidRPr="00D87B79" w:rsidRDefault="00A92422" w:rsidP="00A92422">
      <w:pPr>
        <w:pStyle w:val="AppendixIndent"/>
        <w:tabs>
          <w:tab w:val="num" w:pos="0"/>
        </w:tabs>
        <w:ind w:left="0"/>
        <w:rPr>
          <w:rFonts w:ascii="Tahoma" w:hAnsi="Tahoma" w:cs="Tahoma"/>
        </w:rPr>
      </w:pPr>
    </w:p>
    <w:p w:rsidR="00A92422" w:rsidRPr="00D87B79" w:rsidRDefault="00A92422" w:rsidP="00A92422">
      <w:pPr>
        <w:rPr>
          <w:rFonts w:cs="Tahoma"/>
        </w:rPr>
      </w:pPr>
      <w:r w:rsidRPr="00D87B79">
        <w:rPr>
          <w:rFonts w:cs="Tahoma"/>
        </w:rPr>
        <w:br w:type="page"/>
      </w:r>
    </w:p>
    <w:p w:rsidR="00A92422" w:rsidRPr="00D87B79" w:rsidRDefault="00A92422" w:rsidP="00A92422">
      <w:pPr>
        <w:pStyle w:val="Heading1"/>
      </w:pPr>
      <w:bookmarkStart w:id="838" w:name="_Toc336338227"/>
      <w:bookmarkStart w:id="839" w:name="_Toc342900279"/>
      <w:bookmarkEnd w:id="838"/>
      <w:r w:rsidRPr="00D87B79">
        <w:lastRenderedPageBreak/>
        <w:t>ARTICOLO 7</w:t>
      </w:r>
      <w:r w:rsidRPr="00480790">
        <w:t xml:space="preserve"> – </w:t>
      </w:r>
      <w:r w:rsidRPr="00D87B79">
        <w:t>Vantaggi di Software Assurance (SA) e dei servizi online (OLS)</w:t>
      </w:r>
      <w:bookmarkEnd w:id="839"/>
    </w:p>
    <w:p w:rsidR="00A92422" w:rsidRPr="00D87B79" w:rsidRDefault="00A92422" w:rsidP="00A92422">
      <w:pPr>
        <w:rPr>
          <w:rFonts w:cs="Tahoma"/>
        </w:rPr>
      </w:pPr>
    </w:p>
    <w:p w:rsidR="00A92422" w:rsidRPr="00D87B79" w:rsidRDefault="00A92422" w:rsidP="00A92422">
      <w:pPr>
        <w:spacing w:after="60"/>
        <w:rPr>
          <w:rFonts w:cs="Tahoma"/>
        </w:rPr>
      </w:pPr>
      <w:r w:rsidRPr="00D87B79">
        <w:rPr>
          <w:rFonts w:cs="Tahoma"/>
          <w:lang w:val="it-IT"/>
        </w:rPr>
        <w:t>Nel presente articolo sono illustrati i vantaggi di Software Assurance e dei Servizi Online.</w:t>
      </w:r>
      <w:r w:rsidRPr="00D87B79">
        <w:rPr>
          <w:rFonts w:cs="Tahoma"/>
        </w:rPr>
        <w:t xml:space="preserve"> </w:t>
      </w:r>
    </w:p>
    <w:p w:rsidR="00A92422" w:rsidRPr="00D87B79" w:rsidRDefault="00A92422" w:rsidP="00A92422">
      <w:pPr>
        <w:rPr>
          <w:rFonts w:cs="Tahoma"/>
        </w:rPr>
      </w:pPr>
    </w:p>
    <w:p w:rsidR="00A92422" w:rsidRPr="00D87B79" w:rsidRDefault="00A92422" w:rsidP="00A92422">
      <w:pPr>
        <w:spacing w:after="60"/>
        <w:rPr>
          <w:rFonts w:cs="Tahoma"/>
        </w:rPr>
      </w:pPr>
      <w:r w:rsidRPr="00D87B79">
        <w:rPr>
          <w:rFonts w:cs="Tahoma"/>
          <w:b/>
          <w:lang w:val="it-IT"/>
        </w:rPr>
        <w:t>Vantaggi di Software Assurance:</w:t>
      </w:r>
      <w:r w:rsidRPr="00D87B79">
        <w:rPr>
          <w:rFonts w:cs="Tahoma"/>
          <w:szCs w:val="20"/>
          <w:lang w:eastAsia="ja-JP"/>
        </w:rPr>
        <w:t xml:space="preserve"> </w:t>
      </w:r>
      <w:r w:rsidRPr="00D87B79">
        <w:rPr>
          <w:rFonts w:cs="Tahoma"/>
          <w:szCs w:val="20"/>
          <w:lang w:val="it-IT" w:eastAsia="ja-JP"/>
        </w:rPr>
        <w:t>Questi vantaggi variano in base al prodotto e al pool di prodotti.</w:t>
      </w:r>
      <w:r w:rsidRPr="00D87B79">
        <w:rPr>
          <w:rFonts w:cs="Tahoma"/>
          <w:szCs w:val="20"/>
          <w:lang w:eastAsia="ja-JP"/>
        </w:rPr>
        <w:t xml:space="preserve"> </w:t>
      </w:r>
      <w:r w:rsidRPr="00D87B79">
        <w:rPr>
          <w:rFonts w:cs="Tahoma"/>
          <w:szCs w:val="20"/>
          <w:lang w:val="it-IT" w:eastAsia="ja-JP"/>
        </w:rPr>
        <w:t>L’accesso da</w:t>
      </w:r>
      <w:r>
        <w:rPr>
          <w:rFonts w:cs="Tahoma"/>
          <w:szCs w:val="20"/>
          <w:lang w:val="it-IT" w:eastAsia="ja-JP"/>
        </w:rPr>
        <w:t> </w:t>
      </w:r>
      <w:r w:rsidRPr="00D87B79">
        <w:rPr>
          <w:rFonts w:cs="Tahoma"/>
          <w:szCs w:val="20"/>
          <w:lang w:val="it-IT" w:eastAsia="ja-JP"/>
        </w:rPr>
        <w:t>parte delle società e i relativi diritti di utilizzo dei loro vantaggi di Software Assurance terminano, in genere, alla</w:t>
      </w:r>
      <w:r>
        <w:rPr>
          <w:rFonts w:cs="Tahoma"/>
          <w:szCs w:val="20"/>
          <w:lang w:val="it-IT" w:eastAsia="ja-JP"/>
        </w:rPr>
        <w:t> </w:t>
      </w:r>
      <w:r w:rsidRPr="00D87B79">
        <w:rPr>
          <w:rFonts w:cs="Tahoma"/>
          <w:szCs w:val="20"/>
          <w:lang w:val="it-IT" w:eastAsia="ja-JP"/>
        </w:rPr>
        <w:t>scadenza della copertura Software Assurance.</w:t>
      </w:r>
      <w:r w:rsidRPr="00D87B79">
        <w:rPr>
          <w:rFonts w:cs="Tahoma"/>
          <w:szCs w:val="20"/>
          <w:lang w:eastAsia="ja-JP"/>
        </w:rPr>
        <w:t xml:space="preserve"> </w:t>
      </w:r>
      <w:r w:rsidRPr="00D87B79">
        <w:rPr>
          <w:rFonts w:cs="Tahoma"/>
          <w:szCs w:val="20"/>
          <w:lang w:val="it-IT" w:eastAsia="ja-JP"/>
        </w:rPr>
        <w:t>La maggior parte dei vantaggi Software Assurance viene assegnata all’inizio del periodo di copertura.</w:t>
      </w:r>
      <w:r w:rsidRPr="00D87B79">
        <w:rPr>
          <w:rFonts w:cs="Tahoma"/>
        </w:rPr>
        <w:t xml:space="preserve"> </w:t>
      </w:r>
      <w:r w:rsidRPr="00D87B79">
        <w:rPr>
          <w:rFonts w:cs="Tahoma"/>
          <w:lang w:val="it-IT"/>
        </w:rPr>
        <w:t>Le eventuali modifiche verificatesi durante il periodo di copertura (ad</w:t>
      </w:r>
      <w:r>
        <w:rPr>
          <w:rFonts w:cs="Tahoma"/>
          <w:lang w:val="it-IT"/>
        </w:rPr>
        <w:t> </w:t>
      </w:r>
      <w:r w:rsidRPr="00D87B79">
        <w:rPr>
          <w:rFonts w:cs="Tahoma"/>
          <w:lang w:val="it-IT"/>
        </w:rPr>
        <w:t>esempio acquisti aggiuntivi, resi o transizioni dei servizi online) potranno comportare variazioni nell’idoneità a</w:t>
      </w:r>
      <w:r>
        <w:rPr>
          <w:rFonts w:cs="Tahoma"/>
          <w:lang w:val="it-IT"/>
        </w:rPr>
        <w:t> </w:t>
      </w:r>
      <w:r w:rsidRPr="00D87B79">
        <w:rPr>
          <w:rFonts w:cs="Tahoma"/>
          <w:lang w:val="it-IT"/>
        </w:rPr>
        <w:t>ricevere i vantaggi.</w:t>
      </w:r>
    </w:p>
    <w:p w:rsidR="00A92422" w:rsidRPr="00D87B79" w:rsidRDefault="00A92422" w:rsidP="00A92422">
      <w:pPr>
        <w:rPr>
          <w:rFonts w:cs="Tahoma"/>
        </w:rPr>
      </w:pPr>
    </w:p>
    <w:p w:rsidR="00A92422" w:rsidRPr="00D87B79" w:rsidRDefault="00A92422" w:rsidP="00A92422">
      <w:pPr>
        <w:spacing w:after="60"/>
        <w:rPr>
          <w:rFonts w:cs="Tahoma"/>
        </w:rPr>
      </w:pPr>
      <w:r w:rsidRPr="00D87B79">
        <w:rPr>
          <w:rFonts w:cs="Tahoma"/>
          <w:b/>
          <w:lang w:val="it-IT"/>
        </w:rPr>
        <w:t>Vantaggi dei Servizi Online:</w:t>
      </w:r>
      <w:r w:rsidRPr="00D87B79">
        <w:rPr>
          <w:rFonts w:cs="Tahoma"/>
          <w:szCs w:val="20"/>
          <w:lang w:eastAsia="ja-JP"/>
        </w:rPr>
        <w:t xml:space="preserve"> </w:t>
      </w:r>
      <w:r w:rsidRPr="00D87B79">
        <w:rPr>
          <w:rFonts w:cs="Tahoma"/>
          <w:szCs w:val="20"/>
          <w:lang w:val="it-IT" w:eastAsia="ja-JP"/>
        </w:rPr>
        <w:t>Tali vantaggi variano in base al prodotto.</w:t>
      </w:r>
      <w:r w:rsidRPr="00D87B79">
        <w:rPr>
          <w:rFonts w:cs="Tahoma"/>
        </w:rPr>
        <w:t xml:space="preserve"> </w:t>
      </w:r>
      <w:r w:rsidRPr="00D87B79">
        <w:rPr>
          <w:rFonts w:cs="Tahoma"/>
          <w:lang w:val="it-IT"/>
        </w:rPr>
        <w:t>L’accesso da parte delle società e i relativi diritti di utilizzo dei loro vantaggi dei Servizi Online terminano alla scadenza della rispettiva licenza di abbonamento ai</w:t>
      </w:r>
      <w:r>
        <w:rPr>
          <w:rFonts w:cs="Tahoma"/>
          <w:lang w:val="it-IT"/>
        </w:rPr>
        <w:t> </w:t>
      </w:r>
      <w:r w:rsidRPr="00D87B79">
        <w:rPr>
          <w:rFonts w:cs="Tahoma"/>
          <w:lang w:val="it-IT"/>
        </w:rPr>
        <w:t>servizi online.</w:t>
      </w:r>
      <w:r w:rsidRPr="00D87B79">
        <w:rPr>
          <w:rFonts w:cs="Tahoma"/>
        </w:rPr>
        <w:t xml:space="preserve"> </w:t>
      </w:r>
    </w:p>
    <w:p w:rsidR="00A92422" w:rsidRPr="00D87B79" w:rsidRDefault="00A92422" w:rsidP="00A92422">
      <w:pPr>
        <w:rPr>
          <w:rFonts w:cs="Tahoma"/>
        </w:rPr>
      </w:pPr>
    </w:p>
    <w:p w:rsidR="00A92422" w:rsidRPr="00D87B79" w:rsidRDefault="00A92422" w:rsidP="00A92422">
      <w:pPr>
        <w:spacing w:after="60"/>
        <w:rPr>
          <w:rFonts w:cs="Tahoma"/>
        </w:rPr>
      </w:pPr>
      <w:r w:rsidRPr="00D87B79">
        <w:rPr>
          <w:rFonts w:cs="Tahoma"/>
          <w:szCs w:val="20"/>
          <w:lang w:val="it-IT"/>
        </w:rPr>
        <w:t>Eventuali eccezioni alle regole precedenti sono riportate nelle sezioni seguenti riguardanti i singoli vantaggi.</w:t>
      </w:r>
      <w:r w:rsidRPr="00D87B79">
        <w:rPr>
          <w:rFonts w:cs="Tahoma"/>
          <w:szCs w:val="20"/>
        </w:rPr>
        <w:t xml:space="preserve"> </w:t>
      </w:r>
      <w:r w:rsidRPr="00D87B79">
        <w:rPr>
          <w:rFonts w:cs="Tahoma"/>
          <w:szCs w:val="20"/>
          <w:lang w:val="it-IT"/>
        </w:rPr>
        <w:t>I</w:t>
      </w:r>
      <w:r>
        <w:rPr>
          <w:rFonts w:cs="Tahoma"/>
          <w:szCs w:val="20"/>
          <w:lang w:val="it-IT"/>
        </w:rPr>
        <w:t> </w:t>
      </w:r>
      <w:r w:rsidRPr="00D87B79">
        <w:rPr>
          <w:rFonts w:cs="Tahoma"/>
          <w:szCs w:val="20"/>
          <w:lang w:val="it-IT"/>
        </w:rPr>
        <w:t>vantaggi sono soggetti a modifiche e possono essere interrotti senza preavviso e in qualsiasi momento.</w:t>
      </w:r>
      <w:r w:rsidRPr="00D87B79">
        <w:rPr>
          <w:rFonts w:cs="Tahoma"/>
        </w:rPr>
        <w:t xml:space="preserve"> </w:t>
      </w:r>
      <w:r w:rsidRPr="00D87B79">
        <w:rPr>
          <w:rFonts w:cs="Tahoma"/>
          <w:lang w:val="it-IT"/>
        </w:rPr>
        <w:t>La</w:t>
      </w:r>
      <w:r>
        <w:rPr>
          <w:rFonts w:cs="Tahoma"/>
          <w:lang w:val="it-IT"/>
        </w:rPr>
        <w:t> </w:t>
      </w:r>
      <w:r w:rsidRPr="00D87B79">
        <w:rPr>
          <w:rFonts w:cs="Tahoma"/>
          <w:lang w:val="it-IT"/>
        </w:rPr>
        <w:t>disponibilità dei vantaggi varia in base al programma, alla regione, alle opzioni di adempimento e alla lingua.</w:t>
      </w:r>
      <w:r w:rsidRPr="00D87B79">
        <w:rPr>
          <w:rFonts w:cs="Tahoma"/>
        </w:rPr>
        <w:t xml:space="preserve"> </w:t>
      </w:r>
    </w:p>
    <w:p w:rsidR="00A92422" w:rsidRPr="00D87B79" w:rsidRDefault="00A92422" w:rsidP="00A92422">
      <w:pPr>
        <w:pStyle w:val="AppendixBodyText"/>
        <w:spacing w:after="0"/>
        <w:rPr>
          <w:rFonts w:ascii="Tahoma" w:hAnsi="Tahoma" w:cs="Tahoma"/>
        </w:rPr>
      </w:pPr>
    </w:p>
    <w:p w:rsidR="00A92422" w:rsidRPr="00D87B79" w:rsidRDefault="00A92422" w:rsidP="00A92422">
      <w:pPr>
        <w:pStyle w:val="AppendixBodyText"/>
        <w:rPr>
          <w:rFonts w:ascii="Tahoma" w:hAnsi="Tahoma" w:cs="Tahoma"/>
        </w:rPr>
      </w:pPr>
      <w:r w:rsidRPr="00D87B79">
        <w:rPr>
          <w:rFonts w:ascii="Tahoma" w:hAnsi="Tahoma" w:cs="Tahoma"/>
          <w:sz w:val="18"/>
          <w:lang w:val="it-IT"/>
        </w:rPr>
        <w:t>I vantaggi di Software Assurance e dei Servizi Online sono allocati nei diversi programmi secondo la modalità visualizzata nella seguente tabella:</w:t>
      </w:r>
    </w:p>
    <w:p w:rsidR="00A92422" w:rsidRPr="00D87B79" w:rsidRDefault="00A92422" w:rsidP="00A92422">
      <w:pPr>
        <w:pStyle w:val="AppendixBodyText"/>
        <w:spacing w:after="0"/>
        <w:rPr>
          <w:rFonts w:ascii="Tahoma" w:hAnsi="Tahoma" w:cs="Tahoma"/>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350"/>
        <w:gridCol w:w="1395"/>
        <w:gridCol w:w="1665"/>
        <w:gridCol w:w="2520"/>
        <w:gridCol w:w="1260"/>
      </w:tblGrid>
      <w:tr w:rsidR="00A92422" w:rsidRPr="00D87B79" w:rsidTr="00EA30FC">
        <w:trPr>
          <w:trHeight w:val="178"/>
        </w:trPr>
        <w:tc>
          <w:tcPr>
            <w:tcW w:w="1447" w:type="dxa"/>
            <w:shd w:val="clear" w:color="auto" w:fill="FFCC99"/>
            <w:vAlign w:val="center"/>
          </w:tcPr>
          <w:p w:rsidR="00A92422" w:rsidRPr="00D87B79" w:rsidRDefault="00A92422" w:rsidP="00EA30FC">
            <w:pPr>
              <w:pStyle w:val="AppendixTableHeadings"/>
              <w:jc w:val="left"/>
              <w:rPr>
                <w:rFonts w:ascii="Tahoma" w:hAnsi="Tahoma" w:cs="Tahoma"/>
                <w:sz w:val="20"/>
                <w:szCs w:val="20"/>
              </w:rPr>
            </w:pPr>
            <w:r w:rsidRPr="00D87B79">
              <w:rPr>
                <w:rFonts w:ascii="Tahoma" w:hAnsi="Tahoma" w:cs="Tahoma"/>
                <w:sz w:val="20"/>
                <w:szCs w:val="20"/>
                <w:lang w:val="it-IT"/>
              </w:rPr>
              <w:t>Programmi</w:t>
            </w:r>
          </w:p>
        </w:tc>
        <w:tc>
          <w:tcPr>
            <w:tcW w:w="1350" w:type="dxa"/>
            <w:shd w:val="clear" w:color="auto" w:fill="FFCC99"/>
            <w:vAlign w:val="center"/>
          </w:tcPr>
          <w:p w:rsidR="00A92422" w:rsidRPr="00D87B79" w:rsidRDefault="00A92422" w:rsidP="00EA30FC">
            <w:pPr>
              <w:pStyle w:val="AppendixTableHeadings"/>
              <w:jc w:val="left"/>
              <w:rPr>
                <w:rFonts w:ascii="Tahoma" w:hAnsi="Tahoma" w:cs="Tahoma"/>
                <w:sz w:val="20"/>
                <w:szCs w:val="20"/>
              </w:rPr>
            </w:pPr>
            <w:r w:rsidRPr="00D87B79">
              <w:rPr>
                <w:rFonts w:ascii="Tahoma" w:hAnsi="Tahoma" w:cs="Tahoma"/>
                <w:sz w:val="20"/>
                <w:szCs w:val="20"/>
                <w:lang w:val="it-IT"/>
              </w:rPr>
              <w:t>Licenza Open</w:t>
            </w:r>
          </w:p>
        </w:tc>
        <w:tc>
          <w:tcPr>
            <w:tcW w:w="1395" w:type="dxa"/>
            <w:shd w:val="clear" w:color="auto" w:fill="FFCC99"/>
            <w:vAlign w:val="center"/>
          </w:tcPr>
          <w:p w:rsidR="00A92422" w:rsidRPr="00D87B79" w:rsidRDefault="00A92422" w:rsidP="00EA30FC">
            <w:pPr>
              <w:pStyle w:val="AppendixTableHeadings"/>
              <w:jc w:val="left"/>
              <w:rPr>
                <w:rFonts w:ascii="Tahoma" w:hAnsi="Tahoma" w:cs="Tahoma"/>
                <w:sz w:val="20"/>
                <w:szCs w:val="20"/>
              </w:rPr>
            </w:pPr>
            <w:r w:rsidRPr="00D87B79">
              <w:rPr>
                <w:rFonts w:ascii="Tahoma" w:hAnsi="Tahoma" w:cs="Tahoma"/>
                <w:sz w:val="20"/>
                <w:szCs w:val="20"/>
                <w:lang w:val="it-IT"/>
              </w:rPr>
              <w:t>Open Value</w:t>
            </w:r>
          </w:p>
        </w:tc>
        <w:tc>
          <w:tcPr>
            <w:tcW w:w="1665" w:type="dxa"/>
            <w:shd w:val="clear" w:color="auto" w:fill="FFCC99"/>
            <w:vAlign w:val="center"/>
          </w:tcPr>
          <w:p w:rsidR="00A92422" w:rsidRPr="00D87B79" w:rsidRDefault="00A92422" w:rsidP="00EA30FC">
            <w:pPr>
              <w:pStyle w:val="AppendixTableHeadings"/>
              <w:jc w:val="left"/>
              <w:rPr>
                <w:rFonts w:ascii="Tahoma" w:hAnsi="Tahoma" w:cs="Tahoma"/>
                <w:sz w:val="20"/>
                <w:szCs w:val="20"/>
              </w:rPr>
            </w:pPr>
            <w:r w:rsidRPr="00D87B79">
              <w:rPr>
                <w:rFonts w:ascii="Tahoma" w:hAnsi="Tahoma" w:cs="Tahoma"/>
                <w:sz w:val="20"/>
                <w:szCs w:val="20"/>
                <w:lang w:val="it-IT"/>
              </w:rPr>
              <w:t>Open Value Subscription - Education Solutions</w:t>
            </w:r>
          </w:p>
        </w:tc>
        <w:tc>
          <w:tcPr>
            <w:tcW w:w="2520" w:type="dxa"/>
            <w:shd w:val="clear" w:color="auto" w:fill="FFCC99"/>
            <w:vAlign w:val="center"/>
          </w:tcPr>
          <w:p w:rsidR="00A92422" w:rsidRPr="00D87B79" w:rsidRDefault="00A92422" w:rsidP="00EA30FC">
            <w:pPr>
              <w:pStyle w:val="AppendixTableHeadings"/>
              <w:jc w:val="left"/>
              <w:rPr>
                <w:rFonts w:ascii="Tahoma" w:hAnsi="Tahoma" w:cs="Tahoma"/>
              </w:rPr>
            </w:pPr>
            <w:r w:rsidRPr="00D87B79">
              <w:rPr>
                <w:rFonts w:ascii="Tahoma" w:hAnsi="Tahoma" w:cs="Tahoma"/>
                <w:sz w:val="20"/>
                <w:lang w:val="it-IT"/>
              </w:rPr>
              <w:t>Select*</w:t>
            </w:r>
          </w:p>
          <w:p w:rsidR="00A92422" w:rsidRPr="00D87B79" w:rsidRDefault="00A92422" w:rsidP="00EA30FC">
            <w:pPr>
              <w:pStyle w:val="AppendixTableHeadings"/>
              <w:jc w:val="left"/>
              <w:rPr>
                <w:rFonts w:ascii="Tahoma" w:hAnsi="Tahoma" w:cs="Tahoma"/>
              </w:rPr>
            </w:pPr>
            <w:r w:rsidRPr="00D87B79">
              <w:rPr>
                <w:rFonts w:ascii="Tahoma" w:hAnsi="Tahoma" w:cs="Tahoma"/>
                <w:sz w:val="20"/>
                <w:lang w:val="it-IT"/>
              </w:rPr>
              <w:t>Contratto Enterprise</w:t>
            </w:r>
          </w:p>
          <w:p w:rsidR="00A92422" w:rsidRPr="00D87B79" w:rsidRDefault="00A92422" w:rsidP="00EA30FC">
            <w:pPr>
              <w:pStyle w:val="AppendixTableHeadings"/>
              <w:jc w:val="left"/>
              <w:rPr>
                <w:rFonts w:ascii="Tahoma" w:hAnsi="Tahoma" w:cs="Tahoma"/>
                <w:sz w:val="20"/>
                <w:szCs w:val="20"/>
              </w:rPr>
            </w:pPr>
            <w:r w:rsidRPr="00D87B79">
              <w:rPr>
                <w:rFonts w:ascii="Tahoma" w:hAnsi="Tahoma" w:cs="Tahoma"/>
                <w:sz w:val="20"/>
                <w:lang w:val="it-IT"/>
              </w:rPr>
              <w:t>Enrollment for Education Solutions ai</w:t>
            </w:r>
            <w:r>
              <w:rPr>
                <w:rFonts w:ascii="Tahoma" w:hAnsi="Tahoma" w:cs="Tahoma"/>
                <w:sz w:val="20"/>
                <w:lang w:val="it-IT"/>
              </w:rPr>
              <w:t> </w:t>
            </w:r>
            <w:r w:rsidRPr="00D87B79">
              <w:rPr>
                <w:rFonts w:ascii="Tahoma" w:hAnsi="Tahoma" w:cs="Tahoma"/>
                <w:sz w:val="20"/>
                <w:lang w:val="it-IT"/>
              </w:rPr>
              <w:t>sensi del Contratto Campus e</w:t>
            </w:r>
            <w:r>
              <w:rPr>
                <w:rFonts w:ascii="Tahoma" w:hAnsi="Tahoma" w:cs="Tahoma"/>
                <w:sz w:val="20"/>
                <w:lang w:val="it-IT"/>
              </w:rPr>
              <w:t xml:space="preserve"> </w:t>
            </w:r>
            <w:r w:rsidRPr="00D87B79">
              <w:rPr>
                <w:rFonts w:ascii="Tahoma" w:hAnsi="Tahoma" w:cs="Tahoma"/>
                <w:sz w:val="20"/>
                <w:szCs w:val="20"/>
                <w:lang w:val="it-IT"/>
              </w:rPr>
              <w:t>School</w:t>
            </w:r>
          </w:p>
        </w:tc>
        <w:tc>
          <w:tcPr>
            <w:tcW w:w="1260" w:type="dxa"/>
            <w:shd w:val="clear" w:color="auto" w:fill="FFCC99"/>
            <w:vAlign w:val="center"/>
          </w:tcPr>
          <w:p w:rsidR="00A92422" w:rsidRPr="00D87B79" w:rsidRDefault="00A92422" w:rsidP="00EA30FC">
            <w:pPr>
              <w:pStyle w:val="AppendixTableHeadings"/>
              <w:jc w:val="left"/>
              <w:rPr>
                <w:rFonts w:ascii="Tahoma" w:hAnsi="Tahoma" w:cs="Tahoma"/>
                <w:sz w:val="20"/>
                <w:szCs w:val="20"/>
              </w:rPr>
            </w:pPr>
            <w:r w:rsidRPr="00D87B79">
              <w:rPr>
                <w:rFonts w:ascii="Tahoma" w:hAnsi="Tahoma" w:cs="Tahoma"/>
                <w:sz w:val="20"/>
                <w:szCs w:val="20"/>
                <w:lang w:val="it-IT"/>
              </w:rPr>
              <w:t>Select Plus</w:t>
            </w:r>
          </w:p>
        </w:tc>
      </w:tr>
      <w:tr w:rsidR="00A92422" w:rsidRPr="00D87B79" w:rsidTr="00EA30FC">
        <w:trPr>
          <w:trHeight w:val="369"/>
        </w:trPr>
        <w:tc>
          <w:tcPr>
            <w:tcW w:w="1447" w:type="dxa"/>
            <w:vAlign w:val="center"/>
          </w:tcPr>
          <w:p w:rsidR="00A92422" w:rsidRPr="00D87B79" w:rsidRDefault="00A92422" w:rsidP="00EA30FC">
            <w:pPr>
              <w:pStyle w:val="AppendixTableText"/>
              <w:rPr>
                <w:rFonts w:ascii="Tahoma" w:hAnsi="Tahoma" w:cs="Tahoma"/>
                <w:szCs w:val="20"/>
              </w:rPr>
            </w:pPr>
            <w:r w:rsidRPr="00D87B79">
              <w:rPr>
                <w:rFonts w:ascii="Tahoma" w:hAnsi="Tahoma" w:cs="Tahoma"/>
                <w:szCs w:val="20"/>
                <w:lang w:val="it-IT"/>
              </w:rPr>
              <w:t>I vantaggi sono</w:t>
            </w:r>
            <w:r>
              <w:rPr>
                <w:rFonts w:ascii="Tahoma" w:hAnsi="Tahoma" w:cs="Tahoma"/>
                <w:szCs w:val="20"/>
                <w:lang w:val="it-IT"/>
              </w:rPr>
              <w:t> </w:t>
            </w:r>
            <w:r w:rsidRPr="00D87B79">
              <w:rPr>
                <w:rFonts w:ascii="Tahoma" w:hAnsi="Tahoma" w:cs="Tahoma"/>
                <w:szCs w:val="20"/>
                <w:lang w:val="it-IT"/>
              </w:rPr>
              <w:t>disponibili in base a:</w:t>
            </w:r>
          </w:p>
        </w:tc>
        <w:tc>
          <w:tcPr>
            <w:tcW w:w="1350" w:type="dxa"/>
            <w:vAlign w:val="center"/>
          </w:tcPr>
          <w:p w:rsidR="00A92422" w:rsidRPr="00D87B79" w:rsidRDefault="00A92422" w:rsidP="00EA30FC">
            <w:pPr>
              <w:pStyle w:val="AppendixTableText"/>
              <w:rPr>
                <w:rFonts w:ascii="Tahoma" w:hAnsi="Tahoma" w:cs="Tahoma"/>
                <w:szCs w:val="20"/>
              </w:rPr>
            </w:pPr>
            <w:r w:rsidRPr="00D87B79">
              <w:rPr>
                <w:rFonts w:ascii="Tahoma" w:hAnsi="Tahoma" w:cs="Tahoma"/>
                <w:szCs w:val="20"/>
                <w:lang w:val="it-IT"/>
              </w:rPr>
              <w:t>Numero di</w:t>
            </w:r>
            <w:r>
              <w:rPr>
                <w:rFonts w:ascii="Tahoma" w:hAnsi="Tahoma" w:cs="Tahoma"/>
                <w:szCs w:val="20"/>
                <w:lang w:val="it-IT"/>
              </w:rPr>
              <w:t> </w:t>
            </w:r>
            <w:r w:rsidRPr="00D87B79">
              <w:rPr>
                <w:rFonts w:ascii="Tahoma" w:hAnsi="Tahoma" w:cs="Tahoma"/>
                <w:szCs w:val="20"/>
                <w:lang w:val="it-IT"/>
              </w:rPr>
              <w:t>licenza</w:t>
            </w:r>
          </w:p>
        </w:tc>
        <w:tc>
          <w:tcPr>
            <w:tcW w:w="1395" w:type="dxa"/>
            <w:vAlign w:val="center"/>
          </w:tcPr>
          <w:p w:rsidR="00A92422" w:rsidRPr="00D87B79" w:rsidRDefault="00A92422" w:rsidP="00EA30FC">
            <w:pPr>
              <w:pStyle w:val="AppendixTableText"/>
              <w:rPr>
                <w:rFonts w:ascii="Tahoma" w:hAnsi="Tahoma" w:cs="Tahoma"/>
                <w:szCs w:val="20"/>
              </w:rPr>
            </w:pPr>
            <w:r w:rsidRPr="00D87B79">
              <w:rPr>
                <w:rFonts w:ascii="Tahoma" w:hAnsi="Tahoma" w:cs="Tahoma"/>
                <w:szCs w:val="20"/>
                <w:lang w:val="it-IT"/>
              </w:rPr>
              <w:t>Contratto</w:t>
            </w:r>
          </w:p>
        </w:tc>
        <w:tc>
          <w:tcPr>
            <w:tcW w:w="1665" w:type="dxa"/>
            <w:vAlign w:val="center"/>
          </w:tcPr>
          <w:p w:rsidR="00A92422" w:rsidRPr="00D87B79" w:rsidRDefault="00A92422" w:rsidP="00EA30FC">
            <w:pPr>
              <w:pStyle w:val="AppendixTableText"/>
              <w:rPr>
                <w:rFonts w:ascii="Tahoma" w:hAnsi="Tahoma" w:cs="Tahoma"/>
                <w:szCs w:val="20"/>
              </w:rPr>
            </w:pPr>
            <w:r w:rsidRPr="00D87B79">
              <w:rPr>
                <w:rFonts w:ascii="Tahoma" w:hAnsi="Tahoma" w:cs="Tahoma"/>
                <w:szCs w:val="20"/>
                <w:lang w:val="it-IT"/>
              </w:rPr>
              <w:t>Contratto</w:t>
            </w:r>
          </w:p>
        </w:tc>
        <w:tc>
          <w:tcPr>
            <w:tcW w:w="2520" w:type="dxa"/>
            <w:vAlign w:val="center"/>
          </w:tcPr>
          <w:p w:rsidR="00A92422" w:rsidRPr="00D87B79" w:rsidRDefault="00A92422" w:rsidP="00EA30FC">
            <w:pPr>
              <w:pStyle w:val="AppendixTableText"/>
              <w:rPr>
                <w:rFonts w:ascii="Tahoma" w:hAnsi="Tahoma" w:cs="Tahoma"/>
                <w:szCs w:val="20"/>
              </w:rPr>
            </w:pPr>
            <w:r w:rsidRPr="00D87B79">
              <w:rPr>
                <w:rFonts w:ascii="Tahoma" w:hAnsi="Tahoma" w:cs="Tahoma"/>
                <w:szCs w:val="20"/>
                <w:lang w:val="it-IT"/>
              </w:rPr>
              <w:t>Qualificante</w:t>
            </w:r>
          </w:p>
        </w:tc>
        <w:tc>
          <w:tcPr>
            <w:tcW w:w="1260" w:type="dxa"/>
            <w:vAlign w:val="center"/>
          </w:tcPr>
          <w:p w:rsidR="00A92422" w:rsidRPr="00D87B79" w:rsidRDefault="00A92422" w:rsidP="00EA30FC">
            <w:pPr>
              <w:pStyle w:val="AppendixTableText"/>
              <w:rPr>
                <w:rFonts w:ascii="Tahoma" w:hAnsi="Tahoma" w:cs="Tahoma"/>
                <w:szCs w:val="20"/>
              </w:rPr>
            </w:pPr>
            <w:r w:rsidRPr="00D87B79">
              <w:rPr>
                <w:rFonts w:ascii="Tahoma" w:hAnsi="Tahoma" w:cs="Tahoma"/>
                <w:szCs w:val="20"/>
                <w:lang w:val="it-IT"/>
              </w:rPr>
              <w:t>Consociata Registrata</w:t>
            </w:r>
          </w:p>
        </w:tc>
      </w:tr>
    </w:tbl>
    <w:p w:rsidR="00A92422" w:rsidRPr="00D87B79" w:rsidRDefault="00A92422" w:rsidP="00A92422">
      <w:pPr>
        <w:pStyle w:val="AppendixBodyText"/>
        <w:ind w:right="396"/>
        <w:rPr>
          <w:rFonts w:ascii="Tahoma" w:hAnsi="Tahoma" w:cs="Tahoma"/>
        </w:rPr>
      </w:pPr>
      <w:r w:rsidRPr="00D87B79">
        <w:rPr>
          <w:rFonts w:ascii="Tahoma" w:hAnsi="Tahoma" w:cs="Tahoma"/>
          <w:b/>
          <w:i/>
          <w:sz w:val="16"/>
          <w:u w:val="single"/>
          <w:lang w:val="it-IT"/>
        </w:rPr>
        <w:t>Nota</w:t>
      </w:r>
      <w:r w:rsidRPr="00091F74">
        <w:rPr>
          <w:rFonts w:ascii="Tahoma" w:hAnsi="Tahoma" w:cs="Tahoma"/>
          <w:b/>
          <w:i/>
          <w:sz w:val="16"/>
          <w:lang w:val="it-IT"/>
        </w:rPr>
        <w:t>:</w:t>
      </w:r>
      <w:r w:rsidRPr="00D87B79">
        <w:rPr>
          <w:rFonts w:ascii="Tahoma" w:hAnsi="Tahoma" w:cs="Tahoma"/>
          <w:i/>
          <w:sz w:val="16"/>
          <w:szCs w:val="16"/>
        </w:rPr>
        <w:t xml:space="preserve"> </w:t>
      </w:r>
      <w:r w:rsidRPr="00D87B79">
        <w:rPr>
          <w:rFonts w:ascii="Tahoma" w:hAnsi="Tahoma" w:cs="Tahoma"/>
          <w:i/>
          <w:sz w:val="16"/>
          <w:lang w:val="it-IT"/>
        </w:rPr>
        <w:t>*le società che stipulano Contratti Enterprise Volume Licensing per la sanità canadese riceveranno vantaggi di SA conformi ai vantaggi SA disponibili per le società che acquistano prodotti attraverso Microsoft Open Value.</w:t>
      </w:r>
    </w:p>
    <w:p w:rsidR="00A92422" w:rsidRPr="00F46297" w:rsidRDefault="00A92422" w:rsidP="00A92422">
      <w:pPr>
        <w:pStyle w:val="AppendixBodyText"/>
        <w:spacing w:after="0"/>
        <w:rPr>
          <w:rFonts w:ascii="Tahoma" w:hAnsi="Tahoma" w:cs="Tahoma"/>
          <w:sz w:val="18"/>
          <w:szCs w:val="18"/>
        </w:rPr>
      </w:pPr>
    </w:p>
    <w:p w:rsidR="00A92422" w:rsidRPr="00D87B79" w:rsidRDefault="00A92422" w:rsidP="00A92422">
      <w:pPr>
        <w:pStyle w:val="AppendixBodyText"/>
        <w:rPr>
          <w:rFonts w:ascii="Tahoma" w:hAnsi="Tahoma" w:cs="Tahoma"/>
        </w:rPr>
      </w:pPr>
      <w:r w:rsidRPr="00D87B79">
        <w:rPr>
          <w:rFonts w:ascii="Tahoma" w:hAnsi="Tahoma" w:cs="Tahoma"/>
          <w:sz w:val="18"/>
          <w:lang w:val="it-IT"/>
        </w:rPr>
        <w:t>Nella tabella che segue sono illustrati i vantaggi di Software Assurance e dei Servizi Online.</w:t>
      </w:r>
      <w:r w:rsidRPr="00D87B79">
        <w:rPr>
          <w:rFonts w:ascii="Tahoma" w:hAnsi="Tahoma" w:cs="Tahoma"/>
        </w:rPr>
        <w:t xml:space="preserve"> </w:t>
      </w:r>
      <w:r w:rsidRPr="00D87B79">
        <w:rPr>
          <w:rFonts w:ascii="Tahoma" w:hAnsi="Tahoma" w:cs="Tahoma"/>
          <w:sz w:val="18"/>
          <w:lang w:val="it-IT"/>
        </w:rPr>
        <w:t>Alcuni vantaggi corrispondono a licenze individuali per le quali è stata acquistata la copertura Software Assurance.</w:t>
      </w:r>
      <w:r w:rsidRPr="00D87B79">
        <w:rPr>
          <w:rFonts w:ascii="Tahoma" w:hAnsi="Tahoma" w:cs="Tahoma"/>
        </w:rPr>
        <w:t xml:space="preserve"> </w:t>
      </w:r>
      <w:r w:rsidRPr="00D87B79">
        <w:rPr>
          <w:rFonts w:ascii="Tahoma" w:hAnsi="Tahoma" w:cs="Tahoma"/>
          <w:sz w:val="18"/>
          <w:lang w:val="it-IT"/>
        </w:rPr>
        <w:t>La copertura</w:t>
      </w:r>
      <w:r>
        <w:rPr>
          <w:rFonts w:ascii="Tahoma" w:hAnsi="Tahoma" w:cs="Tahoma"/>
          <w:sz w:val="18"/>
          <w:lang w:val="it-IT"/>
        </w:rPr>
        <w:t> </w:t>
      </w:r>
      <w:r w:rsidRPr="00D87B79">
        <w:rPr>
          <w:rFonts w:ascii="Tahoma" w:hAnsi="Tahoma" w:cs="Tahoma"/>
          <w:sz w:val="18"/>
          <w:lang w:val="it-IT"/>
        </w:rPr>
        <w:t>Software Assurance attiva o altra protezione dell’aggiornamento per qualsiasi prodotto qualificante, indipendentemente dalla versione del prodotto in uso presso la società, rende idonea la società a ottenere tali vantaggi.</w:t>
      </w:r>
      <w:r w:rsidRPr="00D87B79">
        <w:rPr>
          <w:rFonts w:ascii="Tahoma" w:hAnsi="Tahoma" w:cs="Tahoma"/>
        </w:rPr>
        <w:t xml:space="preserve"> </w:t>
      </w:r>
      <w:r w:rsidRPr="00D87B79">
        <w:rPr>
          <w:rFonts w:ascii="Tahoma" w:hAnsi="Tahoma" w:cs="Tahoma"/>
          <w:sz w:val="18"/>
          <w:lang w:val="it-IT"/>
        </w:rPr>
        <w:t>I prodotti qualificanti sono indicati nella sezione relativa a ogni prodotto.</w:t>
      </w:r>
      <w:r w:rsidRPr="00D87B79">
        <w:rPr>
          <w:rFonts w:ascii="Tahoma" w:hAnsi="Tahoma" w:cs="Tahoma"/>
        </w:rPr>
        <w:t xml:space="preserve"> </w:t>
      </w:r>
      <w:r w:rsidRPr="00D87B79">
        <w:rPr>
          <w:rFonts w:ascii="Tahoma" w:hAnsi="Tahoma" w:cs="Tahoma"/>
          <w:sz w:val="18"/>
          <w:lang w:val="it-IT"/>
        </w:rPr>
        <w:t>Alcuni vantaggi sono concessi sulla base della spesa SA effettuata dalla società per un determinato gruppo di prodotti qualificanti all’interno di un pool.</w:t>
      </w:r>
      <w:r w:rsidRPr="00D87B79">
        <w:rPr>
          <w:rFonts w:ascii="Tahoma" w:hAnsi="Tahoma" w:cs="Tahoma"/>
        </w:rPr>
        <w:t xml:space="preserve"> </w:t>
      </w:r>
      <w:r w:rsidRPr="00D87B79">
        <w:rPr>
          <w:rFonts w:ascii="Tahoma" w:hAnsi="Tahoma" w:cs="Tahoma"/>
          <w:sz w:val="18"/>
          <w:lang w:val="it-IT"/>
        </w:rPr>
        <w:t>A questo proposito, “spesa SA” non significa letteralmente i soldi effettivi spesi dalla società.</w:t>
      </w:r>
      <w:r w:rsidRPr="00D87B79">
        <w:rPr>
          <w:rFonts w:ascii="Tahoma" w:hAnsi="Tahoma" w:cs="Tahoma"/>
        </w:rPr>
        <w:t xml:space="preserve"> </w:t>
      </w:r>
      <w:r w:rsidRPr="00D87B79">
        <w:rPr>
          <w:rFonts w:ascii="Tahoma" w:hAnsi="Tahoma" w:cs="Tahoma"/>
          <w:sz w:val="18"/>
          <w:lang w:val="it-IT"/>
        </w:rPr>
        <w:t>Al contrario, indica l’importo approssimativo della spesa che una società ha sostenuto per fornire la copertura Software Assurance a tali prodotti ai sensi dell’iscrizione Select o Enterprise, della registrazione Select Plus o del contratto Open (ad esempio, per gli acquisti solo di SA e gli acquisti del componente SA di L&amp;SA).</w:t>
      </w:r>
      <w:r w:rsidRPr="00D87B79">
        <w:rPr>
          <w:rFonts w:ascii="Tahoma" w:hAnsi="Tahoma" w:cs="Tahoma"/>
        </w:rPr>
        <w:t xml:space="preserve"> </w:t>
      </w:r>
      <w:r w:rsidRPr="00D87B79">
        <w:rPr>
          <w:rFonts w:ascii="Tahoma" w:hAnsi="Tahoma" w:cs="Tahoma"/>
          <w:sz w:val="18"/>
          <w:lang w:val="it-IT"/>
        </w:rPr>
        <w:t>Per le società che partecipano ai programmi “subscription”, rappresenta l’importo approssimativo della spesa totale che la società ha dovuto affrontare per ottenere in licenza tali prodotti ai sensi della sua iscrizione o del suo contratto.</w:t>
      </w:r>
      <w:r w:rsidRPr="00D87B79">
        <w:rPr>
          <w:rFonts w:ascii="Tahoma" w:hAnsi="Tahoma" w:cs="Tahoma"/>
        </w:rPr>
        <w:t xml:space="preserve"> </w:t>
      </w:r>
      <w:r w:rsidRPr="00D87B79">
        <w:rPr>
          <w:rFonts w:ascii="Tahoma" w:hAnsi="Tahoma" w:cs="Tahoma"/>
          <w:sz w:val="18"/>
          <w:lang w:val="it-IT"/>
        </w:rPr>
        <w:t>Altri vantaggi corrispondono alla Partecipazione a Software Assurance; tale Partecipazione per il pool di prodotti applicabili rende idonea la società a</w:t>
      </w:r>
      <w:r>
        <w:rPr>
          <w:rFonts w:ascii="Tahoma" w:hAnsi="Tahoma" w:cs="Tahoma"/>
          <w:sz w:val="18"/>
          <w:lang w:val="it-IT"/>
        </w:rPr>
        <w:t> </w:t>
      </w:r>
      <w:r w:rsidRPr="00D87B79">
        <w:rPr>
          <w:rFonts w:ascii="Tahoma" w:hAnsi="Tahoma" w:cs="Tahoma"/>
          <w:sz w:val="18"/>
          <w:lang w:val="it-IT"/>
        </w:rPr>
        <w:t>ricevere questi vantaggi.</w:t>
      </w:r>
    </w:p>
    <w:p w:rsidR="00A92422" w:rsidRDefault="00A92422" w:rsidP="00A92422">
      <w:pPr>
        <w:pStyle w:val="AppendixBodyText"/>
        <w:spacing w:after="0"/>
        <w:rPr>
          <w:rFonts w:ascii="Tahoma" w:hAnsi="Tahoma" w:cs="Tahoma"/>
        </w:rPr>
      </w:pPr>
    </w:p>
    <w:p w:rsidR="00A92422" w:rsidRPr="00D87B79" w:rsidRDefault="00A92422" w:rsidP="00A92422">
      <w:pPr>
        <w:pStyle w:val="AppendixBodyText"/>
        <w:spacing w:after="0"/>
        <w:rPr>
          <w:rFonts w:ascii="Tahoma" w:hAnsi="Tahoma" w:cs="Tahoma"/>
        </w:rPr>
      </w:pP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A92422" w:rsidRPr="00D87B79" w:rsidTr="00EA30FC">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bottom"/>
          </w:tcPr>
          <w:p w:rsidR="00A92422" w:rsidRPr="00D87B79" w:rsidRDefault="00A92422" w:rsidP="00EA30FC">
            <w:pPr>
              <w:pStyle w:val="AppendixTableHeadings"/>
              <w:rPr>
                <w:rFonts w:ascii="Tahoma" w:hAnsi="Tahoma" w:cs="Tahoma"/>
                <w:sz w:val="20"/>
                <w:szCs w:val="20"/>
              </w:rPr>
            </w:pPr>
            <w:r w:rsidRPr="00D87B79">
              <w:rPr>
                <w:rFonts w:ascii="Tahoma" w:hAnsi="Tahoma" w:cs="Tahoma"/>
                <w:sz w:val="20"/>
                <w:szCs w:val="20"/>
                <w:lang w:val="it-IT"/>
              </w:rPr>
              <w:lastRenderedPageBreak/>
              <w:t>Benefici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A92422" w:rsidRPr="00D87B79" w:rsidRDefault="00A92422" w:rsidP="00EA30FC">
            <w:pPr>
              <w:pStyle w:val="AppendixTableHeadings"/>
              <w:rPr>
                <w:rFonts w:ascii="Tahoma" w:hAnsi="Tahoma" w:cs="Tahoma"/>
                <w:sz w:val="20"/>
                <w:szCs w:val="20"/>
              </w:rPr>
            </w:pPr>
            <w:r w:rsidRPr="00D87B79">
              <w:rPr>
                <w:rFonts w:ascii="Tahoma" w:hAnsi="Tahoma" w:cs="Tahoma"/>
                <w:sz w:val="20"/>
                <w:szCs w:val="20"/>
                <w:lang w:val="it-IT"/>
              </w:rPr>
              <w:t>Pool di Applicazioni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A92422" w:rsidRPr="00D87B79" w:rsidRDefault="00A92422" w:rsidP="00EA30FC">
            <w:pPr>
              <w:pStyle w:val="AppendixTableHeadings"/>
              <w:rPr>
                <w:rFonts w:ascii="Tahoma" w:hAnsi="Tahoma" w:cs="Tahoma"/>
                <w:sz w:val="20"/>
                <w:szCs w:val="20"/>
              </w:rPr>
            </w:pPr>
            <w:r w:rsidRPr="00D87B79">
              <w:rPr>
                <w:rFonts w:ascii="Tahoma" w:hAnsi="Tahoma" w:cs="Tahoma"/>
                <w:sz w:val="20"/>
                <w:szCs w:val="20"/>
                <w:lang w:val="it-IT"/>
              </w:rPr>
              <w:t>Pool di Sistemi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A92422" w:rsidRPr="00D87B79" w:rsidRDefault="00A92422" w:rsidP="00EA30FC">
            <w:pPr>
              <w:pStyle w:val="AppendixTableHeadings"/>
              <w:rPr>
                <w:rFonts w:ascii="Tahoma" w:hAnsi="Tahoma" w:cs="Tahoma"/>
                <w:sz w:val="20"/>
                <w:szCs w:val="20"/>
              </w:rPr>
            </w:pPr>
            <w:r w:rsidRPr="00D87B79">
              <w:rPr>
                <w:rFonts w:ascii="Tahoma" w:hAnsi="Tahoma" w:cs="Tahoma"/>
                <w:sz w:val="20"/>
                <w:szCs w:val="20"/>
                <w:lang w:val="it-IT"/>
              </w:rPr>
              <w:t>Pool di Server</w:t>
            </w:r>
            <w:r w:rsidRPr="00D87B79">
              <w:rPr>
                <w:rFonts w:ascii="Tahoma" w:hAnsi="Tahoma" w:cs="Tahoma"/>
                <w:sz w:val="20"/>
                <w:szCs w:val="20"/>
              </w:rPr>
              <w:t xml:space="preserve"> </w:t>
            </w:r>
          </w:p>
        </w:tc>
        <w:tc>
          <w:tcPr>
            <w:tcW w:w="1530" w:type="dxa"/>
            <w:tcBorders>
              <w:top w:val="single" w:sz="8" w:space="0" w:color="auto"/>
              <w:left w:val="single" w:sz="8" w:space="0" w:color="auto"/>
              <w:bottom w:val="single" w:sz="8" w:space="0" w:color="auto"/>
              <w:right w:val="single" w:sz="8" w:space="0" w:color="auto"/>
            </w:tcBorders>
            <w:shd w:val="clear" w:color="auto" w:fill="FFCC99"/>
          </w:tcPr>
          <w:p w:rsidR="00A92422" w:rsidRPr="00D87B79" w:rsidRDefault="00A92422" w:rsidP="00EA30FC">
            <w:pPr>
              <w:pStyle w:val="AppendixTableHeadings"/>
              <w:rPr>
                <w:rFonts w:ascii="Tahoma" w:hAnsi="Tahoma" w:cs="Tahoma"/>
                <w:sz w:val="20"/>
                <w:szCs w:val="20"/>
              </w:rPr>
            </w:pPr>
            <w:r w:rsidRPr="00D87B79">
              <w:rPr>
                <w:rFonts w:ascii="Tahoma" w:hAnsi="Tahoma" w:cs="Tahoma"/>
                <w:sz w:val="20"/>
                <w:lang w:val="it-IT"/>
              </w:rPr>
              <w:t>Windows Intune (Per Dispositivo)</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bottom"/>
          </w:tcPr>
          <w:p w:rsidR="00A92422" w:rsidRPr="00D87B79" w:rsidRDefault="00A92422" w:rsidP="00EA30FC">
            <w:pPr>
              <w:pStyle w:val="AppendixTableHeadings"/>
              <w:rPr>
                <w:rFonts w:ascii="Tahoma" w:hAnsi="Tahoma" w:cs="Tahoma"/>
                <w:sz w:val="20"/>
                <w:szCs w:val="20"/>
              </w:rPr>
            </w:pPr>
            <w:r w:rsidRPr="00D87B79">
              <w:rPr>
                <w:rFonts w:ascii="Tahoma" w:hAnsi="Tahoma" w:cs="Tahoma"/>
                <w:sz w:val="20"/>
                <w:szCs w:val="20"/>
                <w:lang w:val="it-IT"/>
              </w:rPr>
              <w:t>Office 365</w:t>
            </w:r>
          </w:p>
        </w:tc>
      </w:tr>
      <w:tr w:rsidR="00A92422" w:rsidRPr="00D87B79" w:rsidTr="00EA30FC">
        <w:trPr>
          <w:trHeight w:val="255"/>
        </w:trPr>
        <w:tc>
          <w:tcPr>
            <w:tcW w:w="2167" w:type="dxa"/>
            <w:tcBorders>
              <w:top w:val="single" w:sz="8" w:space="0" w:color="auto"/>
              <w:left w:val="single" w:sz="4" w:space="0" w:color="auto"/>
              <w:bottom w:val="single" w:sz="4" w:space="0" w:color="auto"/>
              <w:right w:val="single" w:sz="4" w:space="0" w:color="auto"/>
            </w:tcBorders>
            <w:vAlign w:val="bottom"/>
          </w:tcPr>
          <w:p w:rsidR="00A92422" w:rsidRPr="00D87B79" w:rsidRDefault="00A92422" w:rsidP="00EA30FC">
            <w:pPr>
              <w:pStyle w:val="AppendixTableText"/>
              <w:jc w:val="left"/>
              <w:rPr>
                <w:rFonts w:ascii="Tahoma" w:hAnsi="Tahoma" w:cs="Tahoma"/>
              </w:rPr>
            </w:pPr>
            <w:r w:rsidRPr="00D87B79">
              <w:rPr>
                <w:rFonts w:ascii="Tahoma" w:hAnsi="Tahoma" w:cs="Tahoma"/>
                <w:lang w:val="it-IT"/>
              </w:rPr>
              <w:t>Diritti su Versioni Nuove</w:t>
            </w:r>
          </w:p>
        </w:tc>
        <w:tc>
          <w:tcPr>
            <w:tcW w:w="1530" w:type="dxa"/>
            <w:tcBorders>
              <w:top w:val="single" w:sz="8" w:space="0" w:color="auto"/>
              <w:left w:val="nil"/>
              <w:bottom w:val="single" w:sz="4" w:space="0" w:color="auto"/>
              <w:right w:val="single" w:sz="4" w:space="0" w:color="auto"/>
            </w:tcBorders>
            <w:vAlign w:val="bottom"/>
          </w:tcPr>
          <w:p w:rsidR="00A92422" w:rsidRPr="00D87B79" w:rsidRDefault="00A92422" w:rsidP="00EA30FC">
            <w:pPr>
              <w:pStyle w:val="AppendixTableText"/>
              <w:rPr>
                <w:rFonts w:ascii="Tahoma" w:hAnsi="Tahoma" w:cs="Tahoma"/>
              </w:rPr>
            </w:pPr>
            <w:r w:rsidRPr="00D87B79">
              <w:rPr>
                <w:rFonts w:ascii="Tahoma" w:hAnsi="Tahoma" w:cs="Tahoma"/>
                <w:lang w:val="it-IT"/>
              </w:rPr>
              <w:t>Sì</w:t>
            </w:r>
          </w:p>
        </w:tc>
        <w:tc>
          <w:tcPr>
            <w:tcW w:w="1530" w:type="dxa"/>
            <w:tcBorders>
              <w:top w:val="single" w:sz="8" w:space="0" w:color="auto"/>
              <w:left w:val="nil"/>
              <w:bottom w:val="single" w:sz="4" w:space="0" w:color="auto"/>
              <w:right w:val="single" w:sz="4" w:space="0" w:color="auto"/>
            </w:tcBorders>
            <w:vAlign w:val="bottom"/>
          </w:tcPr>
          <w:p w:rsidR="00A92422" w:rsidRPr="00D87B79" w:rsidRDefault="00A92422" w:rsidP="00EA30FC">
            <w:pPr>
              <w:pStyle w:val="AppendixTableText"/>
              <w:rPr>
                <w:rFonts w:ascii="Tahoma" w:hAnsi="Tahoma" w:cs="Tahoma"/>
              </w:rPr>
            </w:pPr>
            <w:r w:rsidRPr="00D87B79">
              <w:rPr>
                <w:rFonts w:ascii="Tahoma" w:hAnsi="Tahoma" w:cs="Tahoma"/>
                <w:lang w:val="it-IT"/>
              </w:rPr>
              <w:t>Sì</w:t>
            </w:r>
          </w:p>
        </w:tc>
        <w:tc>
          <w:tcPr>
            <w:tcW w:w="1530" w:type="dxa"/>
            <w:tcBorders>
              <w:top w:val="single" w:sz="8" w:space="0" w:color="auto"/>
              <w:left w:val="nil"/>
              <w:bottom w:val="single" w:sz="4" w:space="0" w:color="auto"/>
              <w:right w:val="single" w:sz="4" w:space="0" w:color="auto"/>
            </w:tcBorders>
            <w:vAlign w:val="bottom"/>
          </w:tcPr>
          <w:p w:rsidR="00A92422" w:rsidRPr="00D87B79" w:rsidRDefault="00A92422" w:rsidP="00EA30FC">
            <w:pPr>
              <w:pStyle w:val="AppendixTableText"/>
              <w:rPr>
                <w:rFonts w:ascii="Tahoma" w:hAnsi="Tahoma" w:cs="Tahoma"/>
              </w:rPr>
            </w:pPr>
            <w:r w:rsidRPr="00D87B79">
              <w:rPr>
                <w:rFonts w:ascii="Tahoma" w:hAnsi="Tahoma" w:cs="Tahoma"/>
                <w:lang w:val="it-IT"/>
              </w:rPr>
              <w:t>Sì</w:t>
            </w:r>
          </w:p>
        </w:tc>
        <w:tc>
          <w:tcPr>
            <w:tcW w:w="1530" w:type="dxa"/>
            <w:tcBorders>
              <w:top w:val="single" w:sz="8" w:space="0" w:color="auto"/>
              <w:left w:val="nil"/>
              <w:bottom w:val="single" w:sz="4" w:space="0" w:color="auto"/>
              <w:right w:val="single" w:sz="4" w:space="0" w:color="auto"/>
            </w:tcBorders>
          </w:tcPr>
          <w:p w:rsidR="00A92422" w:rsidRPr="00D87B79" w:rsidRDefault="00A92422" w:rsidP="00EA30FC">
            <w:pPr>
              <w:pStyle w:val="AppendixTableText"/>
              <w:rPr>
                <w:rFonts w:ascii="Tahoma" w:hAnsi="Tahoma" w:cs="Tahoma"/>
              </w:rPr>
            </w:pPr>
            <w:r w:rsidRPr="00D87B79">
              <w:rPr>
                <w:rFonts w:ascii="Tahoma" w:hAnsi="Tahoma" w:cs="Tahoma"/>
                <w:lang w:val="it-IT"/>
              </w:rPr>
              <w:t>Sì</w:t>
            </w:r>
          </w:p>
        </w:tc>
        <w:tc>
          <w:tcPr>
            <w:tcW w:w="1440" w:type="dxa"/>
            <w:tcBorders>
              <w:top w:val="single" w:sz="8" w:space="0" w:color="auto"/>
              <w:left w:val="nil"/>
              <w:bottom w:val="single" w:sz="4" w:space="0" w:color="auto"/>
              <w:right w:val="single" w:sz="4" w:space="0" w:color="auto"/>
            </w:tcBorders>
          </w:tcPr>
          <w:p w:rsidR="00A92422" w:rsidRPr="00D87B79" w:rsidRDefault="00A92422" w:rsidP="00EA30FC">
            <w:pPr>
              <w:pStyle w:val="AppendixTableText"/>
              <w:rPr>
                <w:rFonts w:ascii="Tahoma" w:hAnsi="Tahoma" w:cs="Tahoma"/>
              </w:rPr>
            </w:pPr>
            <w:r w:rsidRPr="00D87B79">
              <w:rPr>
                <w:rFonts w:ascii="Tahoma" w:hAnsi="Tahoma" w:cs="Tahoma"/>
                <w:lang w:val="it-IT"/>
              </w:rPr>
              <w:t>Sì</w:t>
            </w:r>
          </w:p>
        </w:tc>
      </w:tr>
      <w:tr w:rsidR="00A92422" w:rsidRPr="00D87B79" w:rsidTr="00EA30F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A92422" w:rsidRPr="00D87B79" w:rsidRDefault="00A92422" w:rsidP="00EA30FC">
            <w:pPr>
              <w:pStyle w:val="AppendixTableText"/>
              <w:jc w:val="left"/>
              <w:rPr>
                <w:rFonts w:ascii="Tahoma" w:hAnsi="Tahoma" w:cs="Tahoma"/>
              </w:rPr>
            </w:pPr>
            <w:r w:rsidRPr="00D87B79">
              <w:rPr>
                <w:rFonts w:ascii="Tahoma" w:hAnsi="Tahoma" w:cs="Tahoma"/>
                <w:lang w:val="it-IT"/>
              </w:rPr>
              <w:t>Office Multi Language Pack</w:t>
            </w:r>
          </w:p>
        </w:tc>
        <w:tc>
          <w:tcPr>
            <w:tcW w:w="1530" w:type="dxa"/>
            <w:tcBorders>
              <w:top w:val="single" w:sz="6" w:space="0" w:color="auto"/>
              <w:left w:val="single" w:sz="6" w:space="0" w:color="auto"/>
              <w:bottom w:val="single" w:sz="6" w:space="0" w:color="auto"/>
              <w:right w:val="single" w:sz="6" w:space="0" w:color="auto"/>
            </w:tcBorders>
            <w:vAlign w:val="center"/>
          </w:tcPr>
          <w:p w:rsidR="00A92422" w:rsidRPr="00D87B79" w:rsidRDefault="00A92422" w:rsidP="00EA30FC">
            <w:pPr>
              <w:pStyle w:val="AppendixTableText"/>
              <w:rPr>
                <w:rFonts w:ascii="Tahoma" w:hAnsi="Tahoma" w:cs="Tahoma"/>
              </w:rPr>
            </w:pPr>
            <w:r w:rsidRPr="00D87B79">
              <w:rPr>
                <w:rFonts w:ascii="Tahoma" w:hAnsi="Tahoma" w:cs="Tahoma"/>
                <w:lang w:val="it-IT"/>
              </w:rPr>
              <w:t>Sì</w:t>
            </w:r>
          </w:p>
        </w:tc>
        <w:tc>
          <w:tcPr>
            <w:tcW w:w="1530" w:type="dxa"/>
            <w:tcBorders>
              <w:top w:val="single" w:sz="6" w:space="0" w:color="auto"/>
              <w:left w:val="single" w:sz="6" w:space="0" w:color="auto"/>
              <w:bottom w:val="single" w:sz="6" w:space="0" w:color="auto"/>
              <w:right w:val="single" w:sz="6" w:space="0" w:color="auto"/>
            </w:tcBorders>
            <w:vAlign w:val="bottom"/>
          </w:tcPr>
          <w:p w:rsidR="00A92422" w:rsidRPr="00D87B79" w:rsidRDefault="00A92422" w:rsidP="00EA30FC">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rsidR="00A92422" w:rsidRPr="00D87B79" w:rsidRDefault="00A92422" w:rsidP="00EA30FC">
            <w:pPr>
              <w:pStyle w:val="AppendixTableText"/>
              <w:rPr>
                <w:rStyle w:val="CommentReference"/>
                <w:rFonts w:ascii="Tahoma" w:hAnsi="Tahoma" w:cs="Tahoma"/>
                <w:sz w:val="18"/>
              </w:rPr>
            </w:pPr>
          </w:p>
        </w:tc>
        <w:tc>
          <w:tcPr>
            <w:tcW w:w="1530" w:type="dxa"/>
            <w:tcBorders>
              <w:top w:val="single" w:sz="6" w:space="0" w:color="auto"/>
              <w:left w:val="single" w:sz="6" w:space="0" w:color="auto"/>
              <w:bottom w:val="single" w:sz="6" w:space="0" w:color="auto"/>
              <w:right w:val="single" w:sz="4" w:space="0" w:color="auto"/>
            </w:tcBorders>
          </w:tcPr>
          <w:p w:rsidR="00A92422" w:rsidRPr="00D87B79" w:rsidRDefault="00A92422" w:rsidP="00EA30FC">
            <w:pPr>
              <w:pStyle w:val="AppendixTableText"/>
              <w:rPr>
                <w:rStyle w:val="CommentReference"/>
                <w:rFonts w:ascii="Tahoma" w:hAnsi="Tahoma" w:cs="Tahoma"/>
                <w:sz w:val="18"/>
              </w:rPr>
            </w:pPr>
          </w:p>
        </w:tc>
        <w:tc>
          <w:tcPr>
            <w:tcW w:w="1440" w:type="dxa"/>
            <w:tcBorders>
              <w:top w:val="single" w:sz="6" w:space="0" w:color="auto"/>
              <w:left w:val="single" w:sz="6" w:space="0" w:color="auto"/>
              <w:bottom w:val="single" w:sz="6" w:space="0" w:color="auto"/>
              <w:right w:val="single" w:sz="4" w:space="0" w:color="auto"/>
            </w:tcBorders>
          </w:tcPr>
          <w:p w:rsidR="00A92422" w:rsidRPr="00D87B79" w:rsidRDefault="00A92422" w:rsidP="00EA30FC">
            <w:pPr>
              <w:pStyle w:val="AppendixTableText"/>
              <w:rPr>
                <w:rStyle w:val="CommentReference"/>
                <w:rFonts w:ascii="Tahoma" w:hAnsi="Tahoma" w:cs="Tahoma"/>
                <w:sz w:val="18"/>
              </w:rPr>
            </w:pPr>
            <w:r w:rsidRPr="00D87B79">
              <w:rPr>
                <w:rFonts w:ascii="Tahoma" w:hAnsi="Tahoma" w:cs="Tahoma"/>
                <w:lang w:val="it-IT"/>
              </w:rPr>
              <w:t>Sì</w:t>
            </w:r>
          </w:p>
        </w:tc>
      </w:tr>
      <w:tr w:rsidR="00A92422" w:rsidRPr="00D87B79" w:rsidTr="00EA30F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A92422" w:rsidRPr="00D87B79" w:rsidRDefault="00A92422" w:rsidP="00EA30FC">
            <w:pPr>
              <w:pStyle w:val="AppendixTableText"/>
              <w:jc w:val="left"/>
              <w:rPr>
                <w:rFonts w:ascii="Tahoma" w:hAnsi="Tahoma" w:cs="Tahoma"/>
              </w:rPr>
            </w:pPr>
            <w:r w:rsidRPr="00D87B79">
              <w:rPr>
                <w:rFonts w:ascii="Tahoma" w:hAnsi="Tahoma" w:cs="Tahoma"/>
                <w:lang w:val="it-IT"/>
              </w:rPr>
              <w:t>Planning Services</w:t>
            </w:r>
          </w:p>
        </w:tc>
        <w:tc>
          <w:tcPr>
            <w:tcW w:w="1530" w:type="dxa"/>
            <w:tcBorders>
              <w:top w:val="single" w:sz="6" w:space="0" w:color="auto"/>
              <w:left w:val="single" w:sz="6" w:space="0" w:color="auto"/>
              <w:bottom w:val="single" w:sz="6" w:space="0" w:color="auto"/>
              <w:right w:val="single" w:sz="6" w:space="0" w:color="auto"/>
            </w:tcBorders>
            <w:vAlign w:val="center"/>
          </w:tcPr>
          <w:p w:rsidR="00A92422" w:rsidRPr="00D87B79" w:rsidRDefault="00A92422" w:rsidP="00EA30FC">
            <w:pPr>
              <w:pStyle w:val="AppendixTableText"/>
              <w:rPr>
                <w:rFonts w:ascii="Tahoma" w:hAnsi="Tahoma" w:cs="Tahoma"/>
              </w:rPr>
            </w:pPr>
            <w:r w:rsidRPr="00D87B79">
              <w:rPr>
                <w:rFonts w:ascii="Tahoma" w:hAnsi="Tahoma" w:cs="Tahoma"/>
                <w:lang w:val="it-IT"/>
              </w:rPr>
              <w:t>Sì</w:t>
            </w:r>
          </w:p>
        </w:tc>
        <w:tc>
          <w:tcPr>
            <w:tcW w:w="1530" w:type="dxa"/>
            <w:tcBorders>
              <w:top w:val="single" w:sz="6" w:space="0" w:color="auto"/>
              <w:left w:val="single" w:sz="6" w:space="0" w:color="auto"/>
              <w:bottom w:val="single" w:sz="6" w:space="0" w:color="auto"/>
              <w:right w:val="single" w:sz="6" w:space="0" w:color="auto"/>
            </w:tcBorders>
            <w:vAlign w:val="bottom"/>
          </w:tcPr>
          <w:p w:rsidR="00A92422" w:rsidRPr="00D87B79" w:rsidRDefault="00A92422" w:rsidP="00EA30FC">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rsidR="00A92422" w:rsidRPr="00D87B79" w:rsidRDefault="00A92422" w:rsidP="00EA30FC">
            <w:pPr>
              <w:pStyle w:val="AppendixTableText"/>
              <w:rPr>
                <w:rStyle w:val="CommentReference"/>
                <w:rFonts w:ascii="Tahoma" w:hAnsi="Tahoma" w:cs="Tahoma"/>
                <w:sz w:val="18"/>
              </w:rPr>
            </w:pPr>
            <w:r w:rsidRPr="00D87B79">
              <w:rPr>
                <w:rStyle w:val="CommentReference"/>
                <w:rFonts w:ascii="Tahoma" w:hAnsi="Tahoma" w:cs="Tahoma"/>
                <w:sz w:val="18"/>
                <w:lang w:val="it-IT"/>
              </w:rPr>
              <w:t>Sì</w:t>
            </w:r>
          </w:p>
        </w:tc>
        <w:tc>
          <w:tcPr>
            <w:tcW w:w="1530" w:type="dxa"/>
            <w:tcBorders>
              <w:top w:val="single" w:sz="6" w:space="0" w:color="auto"/>
              <w:left w:val="single" w:sz="6" w:space="0" w:color="auto"/>
              <w:bottom w:val="single" w:sz="6" w:space="0" w:color="auto"/>
              <w:right w:val="single" w:sz="4" w:space="0" w:color="auto"/>
            </w:tcBorders>
          </w:tcPr>
          <w:p w:rsidR="00A92422" w:rsidRPr="00D87B79" w:rsidRDefault="00A92422" w:rsidP="00EA30FC">
            <w:pPr>
              <w:pStyle w:val="AppendixTableText"/>
              <w:rPr>
                <w:rStyle w:val="CommentReference"/>
                <w:rFonts w:ascii="Tahoma" w:hAnsi="Tahoma" w:cs="Tahoma"/>
                <w:sz w:val="18"/>
              </w:rPr>
            </w:pPr>
          </w:p>
        </w:tc>
        <w:tc>
          <w:tcPr>
            <w:tcW w:w="1440" w:type="dxa"/>
            <w:tcBorders>
              <w:top w:val="single" w:sz="6" w:space="0" w:color="auto"/>
              <w:left w:val="single" w:sz="6" w:space="0" w:color="auto"/>
              <w:bottom w:val="single" w:sz="6" w:space="0" w:color="auto"/>
              <w:right w:val="single" w:sz="4" w:space="0" w:color="auto"/>
            </w:tcBorders>
          </w:tcPr>
          <w:p w:rsidR="00A92422" w:rsidRPr="00D87B79" w:rsidRDefault="00A92422" w:rsidP="00EA30FC">
            <w:pPr>
              <w:pStyle w:val="AppendixTableText"/>
              <w:rPr>
                <w:rStyle w:val="CommentReference"/>
                <w:rFonts w:ascii="Tahoma" w:hAnsi="Tahoma" w:cs="Tahoma"/>
                <w:sz w:val="18"/>
              </w:rPr>
            </w:pPr>
          </w:p>
        </w:tc>
      </w:tr>
      <w:tr w:rsidR="00A92422" w:rsidRPr="00D87B79" w:rsidTr="00EA30FC">
        <w:trPr>
          <w:trHeight w:val="255"/>
        </w:trPr>
        <w:tc>
          <w:tcPr>
            <w:tcW w:w="2167" w:type="dxa"/>
            <w:tcBorders>
              <w:top w:val="nil"/>
              <w:left w:val="single" w:sz="4" w:space="0" w:color="auto"/>
              <w:bottom w:val="single" w:sz="4" w:space="0" w:color="auto"/>
              <w:right w:val="single" w:sz="4" w:space="0" w:color="auto"/>
            </w:tcBorders>
            <w:vAlign w:val="bottom"/>
          </w:tcPr>
          <w:p w:rsidR="00A92422" w:rsidRPr="00D87B79" w:rsidRDefault="00A92422" w:rsidP="00EA30FC">
            <w:pPr>
              <w:pStyle w:val="AppendixTableText"/>
              <w:jc w:val="left"/>
              <w:rPr>
                <w:rFonts w:ascii="Tahoma" w:hAnsi="Tahoma" w:cs="Tahoma"/>
              </w:rPr>
            </w:pPr>
            <w:r w:rsidRPr="00D87B79">
              <w:rPr>
                <w:rFonts w:ascii="Tahoma" w:hAnsi="Tahoma" w:cs="Tahoma"/>
                <w:lang w:val="it-IT"/>
              </w:rPr>
              <w:t>Windows 8 Enterprise</w:t>
            </w:r>
          </w:p>
        </w:tc>
        <w:tc>
          <w:tcPr>
            <w:tcW w:w="1530" w:type="dxa"/>
            <w:tcBorders>
              <w:top w:val="nil"/>
              <w:left w:val="nil"/>
              <w:bottom w:val="single" w:sz="4" w:space="0" w:color="auto"/>
              <w:right w:val="single" w:sz="4" w:space="0" w:color="auto"/>
            </w:tcBorders>
            <w:vAlign w:val="bottom"/>
          </w:tcPr>
          <w:p w:rsidR="00A92422" w:rsidRPr="00D87B79" w:rsidRDefault="00A92422" w:rsidP="00EA30FC">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A92422" w:rsidRPr="00D87B79" w:rsidRDefault="00A92422" w:rsidP="00EA30FC">
            <w:pPr>
              <w:pStyle w:val="AppendixTableText"/>
              <w:rPr>
                <w:rFonts w:ascii="Tahoma" w:hAnsi="Tahoma" w:cs="Tahoma"/>
              </w:rPr>
            </w:pPr>
            <w:r w:rsidRPr="00D87B79">
              <w:rPr>
                <w:rFonts w:ascii="Tahoma" w:hAnsi="Tahoma" w:cs="Tahoma"/>
                <w:lang w:val="it-IT"/>
              </w:rPr>
              <w:t>Sì</w:t>
            </w:r>
          </w:p>
        </w:tc>
        <w:tc>
          <w:tcPr>
            <w:tcW w:w="1530" w:type="dxa"/>
            <w:tcBorders>
              <w:top w:val="nil"/>
              <w:left w:val="nil"/>
              <w:bottom w:val="single" w:sz="4" w:space="0" w:color="auto"/>
              <w:right w:val="single" w:sz="4" w:space="0" w:color="auto"/>
            </w:tcBorders>
            <w:vAlign w:val="bottom"/>
          </w:tcPr>
          <w:p w:rsidR="00A92422" w:rsidRPr="00D87B79" w:rsidRDefault="00A92422" w:rsidP="00EA30FC">
            <w:pPr>
              <w:pStyle w:val="AppendixTableText"/>
              <w:rPr>
                <w:rFonts w:ascii="Tahoma" w:hAnsi="Tahoma" w:cs="Tahoma"/>
              </w:rPr>
            </w:pPr>
          </w:p>
        </w:tc>
        <w:tc>
          <w:tcPr>
            <w:tcW w:w="1530" w:type="dxa"/>
            <w:tcBorders>
              <w:top w:val="nil"/>
              <w:left w:val="nil"/>
              <w:bottom w:val="single" w:sz="4" w:space="0" w:color="auto"/>
              <w:right w:val="single" w:sz="4" w:space="0" w:color="auto"/>
            </w:tcBorders>
          </w:tcPr>
          <w:p w:rsidR="00A92422" w:rsidRPr="00D87B79" w:rsidRDefault="00A92422" w:rsidP="00EA30FC">
            <w:pPr>
              <w:pStyle w:val="AppendixTableText"/>
              <w:rPr>
                <w:rFonts w:ascii="Tahoma" w:hAnsi="Tahoma" w:cs="Tahoma"/>
              </w:rPr>
            </w:pPr>
            <w:r w:rsidRPr="00D87B79">
              <w:rPr>
                <w:rFonts w:ascii="Tahoma" w:hAnsi="Tahoma" w:cs="Tahoma"/>
                <w:lang w:val="it-IT"/>
              </w:rPr>
              <w:t>Sì</w:t>
            </w:r>
          </w:p>
        </w:tc>
        <w:tc>
          <w:tcPr>
            <w:tcW w:w="1440" w:type="dxa"/>
            <w:tcBorders>
              <w:top w:val="nil"/>
              <w:left w:val="nil"/>
              <w:bottom w:val="single" w:sz="4" w:space="0" w:color="auto"/>
              <w:right w:val="single" w:sz="4" w:space="0" w:color="auto"/>
            </w:tcBorders>
          </w:tcPr>
          <w:p w:rsidR="00A92422" w:rsidRPr="00D87B79" w:rsidRDefault="00A92422" w:rsidP="00EA30FC">
            <w:pPr>
              <w:pStyle w:val="AppendixTableText"/>
              <w:rPr>
                <w:rFonts w:ascii="Tahoma" w:hAnsi="Tahoma" w:cs="Tahoma"/>
              </w:rPr>
            </w:pPr>
          </w:p>
        </w:tc>
      </w:tr>
      <w:tr w:rsidR="00A92422" w:rsidRPr="00D87B79" w:rsidTr="00EA30FC">
        <w:trPr>
          <w:trHeight w:val="255"/>
        </w:trPr>
        <w:tc>
          <w:tcPr>
            <w:tcW w:w="2167" w:type="dxa"/>
            <w:tcBorders>
              <w:top w:val="nil"/>
              <w:left w:val="single" w:sz="4" w:space="0" w:color="auto"/>
              <w:bottom w:val="single" w:sz="4" w:space="0" w:color="auto"/>
              <w:right w:val="single" w:sz="4" w:space="0" w:color="auto"/>
            </w:tcBorders>
            <w:vAlign w:val="bottom"/>
          </w:tcPr>
          <w:p w:rsidR="00A92422" w:rsidRPr="00D87B79" w:rsidRDefault="00A92422" w:rsidP="00EA30FC">
            <w:pPr>
              <w:pStyle w:val="AppendixTableText"/>
              <w:jc w:val="left"/>
              <w:rPr>
                <w:rFonts w:ascii="Tahoma" w:hAnsi="Tahoma" w:cs="Tahoma"/>
              </w:rPr>
            </w:pPr>
            <w:r w:rsidRPr="00D87B79">
              <w:rPr>
                <w:rFonts w:ascii="Tahoma" w:hAnsi="Tahoma" w:cs="Tahoma"/>
                <w:lang w:val="it-IT"/>
              </w:rPr>
              <w:t>Voucher Corsi</w:t>
            </w:r>
          </w:p>
        </w:tc>
        <w:tc>
          <w:tcPr>
            <w:tcW w:w="1530" w:type="dxa"/>
            <w:tcBorders>
              <w:top w:val="nil"/>
              <w:left w:val="nil"/>
              <w:bottom w:val="single" w:sz="4" w:space="0" w:color="auto"/>
              <w:right w:val="single" w:sz="4" w:space="0" w:color="auto"/>
            </w:tcBorders>
            <w:vAlign w:val="bottom"/>
          </w:tcPr>
          <w:p w:rsidR="00A92422" w:rsidRPr="00D87B79" w:rsidRDefault="00A92422" w:rsidP="00EA30FC">
            <w:pPr>
              <w:pStyle w:val="AppendixTableText"/>
              <w:rPr>
                <w:rFonts w:ascii="Tahoma" w:hAnsi="Tahoma" w:cs="Tahoma"/>
              </w:rPr>
            </w:pPr>
            <w:r w:rsidRPr="00D87B79">
              <w:rPr>
                <w:rFonts w:ascii="Tahoma" w:hAnsi="Tahoma" w:cs="Tahoma"/>
                <w:lang w:val="it-IT"/>
              </w:rPr>
              <w:t>Sì</w:t>
            </w:r>
          </w:p>
        </w:tc>
        <w:tc>
          <w:tcPr>
            <w:tcW w:w="1530" w:type="dxa"/>
            <w:tcBorders>
              <w:top w:val="nil"/>
              <w:left w:val="nil"/>
              <w:bottom w:val="single" w:sz="4" w:space="0" w:color="auto"/>
              <w:right w:val="single" w:sz="4" w:space="0" w:color="auto"/>
            </w:tcBorders>
            <w:vAlign w:val="bottom"/>
          </w:tcPr>
          <w:p w:rsidR="00A92422" w:rsidRPr="00D87B79" w:rsidRDefault="00A92422" w:rsidP="00EA30FC">
            <w:pPr>
              <w:pStyle w:val="AppendixTableText"/>
              <w:rPr>
                <w:rFonts w:ascii="Tahoma" w:hAnsi="Tahoma" w:cs="Tahoma"/>
              </w:rPr>
            </w:pPr>
            <w:r w:rsidRPr="00D87B79">
              <w:rPr>
                <w:rFonts w:ascii="Tahoma" w:hAnsi="Tahoma" w:cs="Tahoma"/>
                <w:lang w:val="it-IT"/>
              </w:rPr>
              <w:t>Sì</w:t>
            </w:r>
          </w:p>
        </w:tc>
        <w:tc>
          <w:tcPr>
            <w:tcW w:w="1530" w:type="dxa"/>
            <w:tcBorders>
              <w:top w:val="nil"/>
              <w:left w:val="nil"/>
              <w:bottom w:val="single" w:sz="4" w:space="0" w:color="auto"/>
              <w:right w:val="single" w:sz="4" w:space="0" w:color="auto"/>
            </w:tcBorders>
            <w:vAlign w:val="bottom"/>
          </w:tcPr>
          <w:p w:rsidR="00A92422" w:rsidRPr="00D87B79" w:rsidRDefault="00A92422" w:rsidP="00EA30FC">
            <w:pPr>
              <w:pStyle w:val="AppendixTableText"/>
              <w:rPr>
                <w:rFonts w:ascii="Tahoma" w:hAnsi="Tahoma" w:cs="Tahoma"/>
              </w:rPr>
            </w:pPr>
          </w:p>
        </w:tc>
        <w:tc>
          <w:tcPr>
            <w:tcW w:w="1530" w:type="dxa"/>
            <w:tcBorders>
              <w:top w:val="nil"/>
              <w:left w:val="nil"/>
              <w:bottom w:val="single" w:sz="4" w:space="0" w:color="auto"/>
              <w:right w:val="single" w:sz="4" w:space="0" w:color="auto"/>
            </w:tcBorders>
          </w:tcPr>
          <w:p w:rsidR="00A92422" w:rsidRPr="00D87B79" w:rsidRDefault="00A92422" w:rsidP="00EA30FC">
            <w:pPr>
              <w:pStyle w:val="AppendixTableText"/>
              <w:rPr>
                <w:rFonts w:ascii="Tahoma" w:hAnsi="Tahoma" w:cs="Tahoma"/>
              </w:rPr>
            </w:pPr>
          </w:p>
        </w:tc>
        <w:tc>
          <w:tcPr>
            <w:tcW w:w="1440" w:type="dxa"/>
            <w:tcBorders>
              <w:top w:val="nil"/>
              <w:left w:val="nil"/>
              <w:bottom w:val="single" w:sz="4" w:space="0" w:color="auto"/>
              <w:right w:val="single" w:sz="4" w:space="0" w:color="auto"/>
            </w:tcBorders>
          </w:tcPr>
          <w:p w:rsidR="00A92422" w:rsidRPr="00D87B79" w:rsidRDefault="00A92422" w:rsidP="00EA30FC">
            <w:pPr>
              <w:pStyle w:val="AppendixTableText"/>
              <w:rPr>
                <w:rFonts w:ascii="Tahoma" w:hAnsi="Tahoma" w:cs="Tahoma"/>
              </w:rPr>
            </w:pPr>
          </w:p>
        </w:tc>
      </w:tr>
      <w:tr w:rsidR="00A92422" w:rsidRPr="00D87B79" w:rsidTr="00EA30FC">
        <w:trPr>
          <w:trHeight w:val="255"/>
        </w:trPr>
        <w:tc>
          <w:tcPr>
            <w:tcW w:w="2167" w:type="dxa"/>
            <w:tcBorders>
              <w:top w:val="nil"/>
              <w:left w:val="single" w:sz="4" w:space="0" w:color="auto"/>
              <w:bottom w:val="single" w:sz="4" w:space="0" w:color="auto"/>
              <w:right w:val="single" w:sz="4" w:space="0" w:color="auto"/>
            </w:tcBorders>
            <w:vAlign w:val="bottom"/>
          </w:tcPr>
          <w:p w:rsidR="00A92422" w:rsidRPr="00D87B79" w:rsidRDefault="00A92422" w:rsidP="00EA30FC">
            <w:pPr>
              <w:pStyle w:val="AppendixTableText"/>
              <w:jc w:val="left"/>
              <w:rPr>
                <w:rFonts w:ascii="Tahoma" w:hAnsi="Tahoma" w:cs="Tahoma"/>
              </w:rPr>
            </w:pPr>
            <w:r w:rsidRPr="00D87B79">
              <w:rPr>
                <w:rFonts w:ascii="Tahoma" w:hAnsi="Tahoma" w:cs="Tahoma"/>
                <w:lang w:val="it-IT"/>
              </w:rPr>
              <w:t>E-Learning</w:t>
            </w:r>
          </w:p>
        </w:tc>
        <w:tc>
          <w:tcPr>
            <w:tcW w:w="1530" w:type="dxa"/>
            <w:tcBorders>
              <w:top w:val="nil"/>
              <w:left w:val="nil"/>
              <w:bottom w:val="single" w:sz="4" w:space="0" w:color="auto"/>
              <w:right w:val="single" w:sz="4" w:space="0" w:color="auto"/>
            </w:tcBorders>
            <w:vAlign w:val="bottom"/>
          </w:tcPr>
          <w:p w:rsidR="00A92422" w:rsidRPr="00D87B79" w:rsidRDefault="00A92422" w:rsidP="00EA30FC">
            <w:pPr>
              <w:pStyle w:val="AppendixTableText"/>
              <w:rPr>
                <w:rFonts w:ascii="Tahoma" w:hAnsi="Tahoma" w:cs="Tahoma"/>
              </w:rPr>
            </w:pPr>
            <w:r w:rsidRPr="00D87B79">
              <w:rPr>
                <w:rFonts w:ascii="Tahoma" w:hAnsi="Tahoma" w:cs="Tahoma"/>
                <w:lang w:val="it-IT"/>
              </w:rPr>
              <w:t>Sì</w:t>
            </w:r>
          </w:p>
        </w:tc>
        <w:tc>
          <w:tcPr>
            <w:tcW w:w="1530" w:type="dxa"/>
            <w:tcBorders>
              <w:top w:val="nil"/>
              <w:left w:val="nil"/>
              <w:bottom w:val="single" w:sz="4" w:space="0" w:color="auto"/>
              <w:right w:val="single" w:sz="4" w:space="0" w:color="auto"/>
            </w:tcBorders>
            <w:vAlign w:val="bottom"/>
          </w:tcPr>
          <w:p w:rsidR="00A92422" w:rsidRPr="00D87B79" w:rsidRDefault="00A92422" w:rsidP="00EA30FC">
            <w:pPr>
              <w:pStyle w:val="AppendixTableText"/>
              <w:rPr>
                <w:rFonts w:ascii="Tahoma" w:hAnsi="Tahoma" w:cs="Tahoma"/>
              </w:rPr>
            </w:pPr>
            <w:r w:rsidRPr="00D87B79">
              <w:rPr>
                <w:rFonts w:ascii="Tahoma" w:hAnsi="Tahoma" w:cs="Tahoma"/>
                <w:lang w:val="it-IT"/>
              </w:rPr>
              <w:t>Sì</w:t>
            </w:r>
          </w:p>
        </w:tc>
        <w:tc>
          <w:tcPr>
            <w:tcW w:w="1530" w:type="dxa"/>
            <w:tcBorders>
              <w:top w:val="nil"/>
              <w:left w:val="nil"/>
              <w:bottom w:val="single" w:sz="4" w:space="0" w:color="auto"/>
              <w:right w:val="single" w:sz="4" w:space="0" w:color="auto"/>
            </w:tcBorders>
            <w:vAlign w:val="bottom"/>
          </w:tcPr>
          <w:p w:rsidR="00A92422" w:rsidRPr="00D87B79" w:rsidRDefault="00A92422" w:rsidP="00EA30FC">
            <w:pPr>
              <w:pStyle w:val="AppendixTableText"/>
              <w:rPr>
                <w:rFonts w:ascii="Tahoma" w:hAnsi="Tahoma" w:cs="Tahoma"/>
              </w:rPr>
            </w:pPr>
            <w:r w:rsidRPr="00D87B79">
              <w:rPr>
                <w:rFonts w:ascii="Tahoma" w:hAnsi="Tahoma" w:cs="Tahoma"/>
                <w:lang w:val="it-IT"/>
              </w:rPr>
              <w:t>Sì</w:t>
            </w:r>
          </w:p>
        </w:tc>
        <w:tc>
          <w:tcPr>
            <w:tcW w:w="1530" w:type="dxa"/>
            <w:tcBorders>
              <w:top w:val="nil"/>
              <w:left w:val="nil"/>
              <w:bottom w:val="single" w:sz="4" w:space="0" w:color="auto"/>
              <w:right w:val="single" w:sz="4" w:space="0" w:color="auto"/>
            </w:tcBorders>
          </w:tcPr>
          <w:p w:rsidR="00A92422" w:rsidRPr="00D87B79" w:rsidRDefault="00A92422" w:rsidP="00EA30FC">
            <w:pPr>
              <w:pStyle w:val="AppendixTableText"/>
              <w:rPr>
                <w:rFonts w:ascii="Tahoma" w:hAnsi="Tahoma" w:cs="Tahoma"/>
              </w:rPr>
            </w:pPr>
            <w:r w:rsidRPr="00D87B79">
              <w:rPr>
                <w:rFonts w:ascii="Tahoma" w:hAnsi="Tahoma" w:cs="Tahoma"/>
                <w:lang w:val="it-IT"/>
              </w:rPr>
              <w:t>Sì</w:t>
            </w:r>
          </w:p>
        </w:tc>
        <w:tc>
          <w:tcPr>
            <w:tcW w:w="1440" w:type="dxa"/>
            <w:tcBorders>
              <w:top w:val="nil"/>
              <w:left w:val="nil"/>
              <w:bottom w:val="single" w:sz="4" w:space="0" w:color="auto"/>
              <w:right w:val="single" w:sz="4" w:space="0" w:color="auto"/>
            </w:tcBorders>
          </w:tcPr>
          <w:p w:rsidR="00A92422" w:rsidRPr="00D87B79" w:rsidRDefault="00A92422" w:rsidP="00EA30FC">
            <w:pPr>
              <w:pStyle w:val="AppendixTableText"/>
              <w:rPr>
                <w:rFonts w:ascii="Tahoma" w:hAnsi="Tahoma" w:cs="Tahoma"/>
              </w:rPr>
            </w:pPr>
            <w:r w:rsidRPr="00D87B79">
              <w:rPr>
                <w:rFonts w:ascii="Tahoma" w:hAnsi="Tahoma" w:cs="Tahoma"/>
                <w:lang w:val="it-IT"/>
              </w:rPr>
              <w:t>Sì</w:t>
            </w:r>
          </w:p>
        </w:tc>
      </w:tr>
      <w:tr w:rsidR="00A92422" w:rsidRPr="00D87B79" w:rsidTr="00EA30FC">
        <w:trPr>
          <w:trHeight w:val="255"/>
        </w:trPr>
        <w:tc>
          <w:tcPr>
            <w:tcW w:w="2167" w:type="dxa"/>
            <w:tcBorders>
              <w:top w:val="nil"/>
              <w:left w:val="single" w:sz="4" w:space="0" w:color="auto"/>
              <w:bottom w:val="single" w:sz="4" w:space="0" w:color="auto"/>
              <w:right w:val="single" w:sz="4" w:space="0" w:color="auto"/>
            </w:tcBorders>
            <w:vAlign w:val="bottom"/>
          </w:tcPr>
          <w:p w:rsidR="00A92422" w:rsidRPr="00D87B79" w:rsidRDefault="00A92422" w:rsidP="00EA30FC">
            <w:pPr>
              <w:pStyle w:val="AppendixTableText"/>
              <w:jc w:val="left"/>
              <w:rPr>
                <w:rFonts w:ascii="Tahoma" w:hAnsi="Tahoma" w:cs="Tahoma"/>
              </w:rPr>
            </w:pPr>
            <w:r w:rsidRPr="00D87B79">
              <w:rPr>
                <w:rFonts w:ascii="Tahoma" w:hAnsi="Tahoma" w:cs="Tahoma"/>
                <w:lang w:val="it-IT"/>
              </w:rPr>
              <w:t>Home Use Program</w:t>
            </w:r>
          </w:p>
        </w:tc>
        <w:tc>
          <w:tcPr>
            <w:tcW w:w="1530" w:type="dxa"/>
            <w:tcBorders>
              <w:top w:val="nil"/>
              <w:left w:val="nil"/>
              <w:bottom w:val="single" w:sz="4" w:space="0" w:color="auto"/>
              <w:right w:val="single" w:sz="4" w:space="0" w:color="auto"/>
            </w:tcBorders>
            <w:vAlign w:val="bottom"/>
          </w:tcPr>
          <w:p w:rsidR="00A92422" w:rsidRPr="00D87B79" w:rsidRDefault="00A92422" w:rsidP="00EA30FC">
            <w:pPr>
              <w:pStyle w:val="AppendixTableText"/>
              <w:rPr>
                <w:rFonts w:ascii="Tahoma" w:hAnsi="Tahoma" w:cs="Tahoma"/>
              </w:rPr>
            </w:pPr>
            <w:r w:rsidRPr="00D87B79">
              <w:rPr>
                <w:rFonts w:ascii="Tahoma" w:hAnsi="Tahoma" w:cs="Tahoma"/>
                <w:lang w:val="it-IT"/>
              </w:rPr>
              <w:t>Sì</w:t>
            </w:r>
          </w:p>
        </w:tc>
        <w:tc>
          <w:tcPr>
            <w:tcW w:w="1530" w:type="dxa"/>
            <w:tcBorders>
              <w:top w:val="nil"/>
              <w:left w:val="nil"/>
              <w:bottom w:val="single" w:sz="4" w:space="0" w:color="auto"/>
              <w:right w:val="single" w:sz="4" w:space="0" w:color="auto"/>
            </w:tcBorders>
            <w:vAlign w:val="bottom"/>
          </w:tcPr>
          <w:p w:rsidR="00A92422" w:rsidRPr="00D87B79" w:rsidRDefault="00A92422" w:rsidP="00EA30FC">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A92422" w:rsidRPr="00D87B79" w:rsidRDefault="00A92422" w:rsidP="00EA30FC">
            <w:pPr>
              <w:pStyle w:val="AppendixTableText"/>
              <w:rPr>
                <w:rFonts w:ascii="Tahoma" w:hAnsi="Tahoma" w:cs="Tahoma"/>
              </w:rPr>
            </w:pPr>
          </w:p>
        </w:tc>
        <w:tc>
          <w:tcPr>
            <w:tcW w:w="1530" w:type="dxa"/>
            <w:tcBorders>
              <w:top w:val="nil"/>
              <w:left w:val="nil"/>
              <w:bottom w:val="single" w:sz="4" w:space="0" w:color="auto"/>
              <w:right w:val="single" w:sz="4" w:space="0" w:color="auto"/>
            </w:tcBorders>
          </w:tcPr>
          <w:p w:rsidR="00A92422" w:rsidRPr="00D87B79" w:rsidRDefault="00A92422" w:rsidP="00EA30FC">
            <w:pPr>
              <w:pStyle w:val="AppendixTableText"/>
              <w:rPr>
                <w:rFonts w:ascii="Tahoma" w:hAnsi="Tahoma" w:cs="Tahoma"/>
              </w:rPr>
            </w:pPr>
          </w:p>
        </w:tc>
        <w:tc>
          <w:tcPr>
            <w:tcW w:w="1440" w:type="dxa"/>
            <w:tcBorders>
              <w:top w:val="nil"/>
              <w:left w:val="nil"/>
              <w:bottom w:val="single" w:sz="4" w:space="0" w:color="auto"/>
              <w:right w:val="single" w:sz="4" w:space="0" w:color="auto"/>
            </w:tcBorders>
          </w:tcPr>
          <w:p w:rsidR="00A92422" w:rsidRPr="00D87B79" w:rsidRDefault="00A92422" w:rsidP="00EA30FC">
            <w:pPr>
              <w:pStyle w:val="AppendixTableText"/>
              <w:rPr>
                <w:rFonts w:ascii="Tahoma" w:hAnsi="Tahoma" w:cs="Tahoma"/>
              </w:rPr>
            </w:pPr>
          </w:p>
        </w:tc>
      </w:tr>
      <w:tr w:rsidR="00A92422" w:rsidRPr="00D87B79" w:rsidTr="00EA30FC">
        <w:trPr>
          <w:trHeight w:val="255"/>
        </w:trPr>
        <w:tc>
          <w:tcPr>
            <w:tcW w:w="2167" w:type="dxa"/>
            <w:tcBorders>
              <w:top w:val="nil"/>
              <w:left w:val="single" w:sz="4" w:space="0" w:color="auto"/>
              <w:bottom w:val="single" w:sz="4" w:space="0" w:color="auto"/>
              <w:right w:val="single" w:sz="4" w:space="0" w:color="auto"/>
            </w:tcBorders>
            <w:vAlign w:val="bottom"/>
          </w:tcPr>
          <w:p w:rsidR="00A92422" w:rsidRPr="00D87B79" w:rsidRDefault="00A92422" w:rsidP="00EA30FC">
            <w:pPr>
              <w:pStyle w:val="AppendixTableText"/>
              <w:jc w:val="left"/>
              <w:rPr>
                <w:rFonts w:ascii="Tahoma" w:hAnsi="Tahoma" w:cs="Tahoma"/>
              </w:rPr>
            </w:pPr>
            <w:r w:rsidRPr="00D87B79">
              <w:rPr>
                <w:rFonts w:ascii="Tahoma" w:hAnsi="Tahoma" w:cs="Tahoma"/>
                <w:lang w:val="it-IT"/>
              </w:rPr>
              <w:t>Enterprise Source Licensing Program</w:t>
            </w:r>
          </w:p>
        </w:tc>
        <w:tc>
          <w:tcPr>
            <w:tcW w:w="1530" w:type="dxa"/>
            <w:tcBorders>
              <w:top w:val="nil"/>
              <w:left w:val="nil"/>
              <w:bottom w:val="single" w:sz="4" w:space="0" w:color="auto"/>
              <w:right w:val="single" w:sz="4" w:space="0" w:color="auto"/>
            </w:tcBorders>
            <w:vAlign w:val="bottom"/>
          </w:tcPr>
          <w:p w:rsidR="00A92422" w:rsidRPr="00D87B79" w:rsidRDefault="00A92422" w:rsidP="00EA30FC">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A92422" w:rsidRPr="00D87B79" w:rsidRDefault="00A92422" w:rsidP="00EA30FC">
            <w:pPr>
              <w:pStyle w:val="AppendixTableText"/>
              <w:rPr>
                <w:rFonts w:ascii="Tahoma" w:hAnsi="Tahoma" w:cs="Tahoma"/>
              </w:rPr>
            </w:pPr>
            <w:r w:rsidRPr="00D87B79">
              <w:rPr>
                <w:rFonts w:ascii="Tahoma" w:hAnsi="Tahoma" w:cs="Tahoma"/>
                <w:lang w:val="it-IT"/>
              </w:rPr>
              <w:t>Sì</w:t>
            </w:r>
          </w:p>
        </w:tc>
        <w:tc>
          <w:tcPr>
            <w:tcW w:w="1530" w:type="dxa"/>
            <w:tcBorders>
              <w:top w:val="nil"/>
              <w:left w:val="nil"/>
              <w:bottom w:val="single" w:sz="4" w:space="0" w:color="auto"/>
              <w:right w:val="single" w:sz="4" w:space="0" w:color="auto"/>
            </w:tcBorders>
            <w:vAlign w:val="bottom"/>
          </w:tcPr>
          <w:p w:rsidR="00A92422" w:rsidRPr="00D87B79" w:rsidRDefault="00A92422" w:rsidP="00EA30FC">
            <w:pPr>
              <w:pStyle w:val="AppendixTableText"/>
              <w:rPr>
                <w:rFonts w:ascii="Tahoma" w:hAnsi="Tahoma" w:cs="Tahoma"/>
              </w:rPr>
            </w:pPr>
          </w:p>
        </w:tc>
        <w:tc>
          <w:tcPr>
            <w:tcW w:w="1530" w:type="dxa"/>
            <w:tcBorders>
              <w:top w:val="nil"/>
              <w:left w:val="nil"/>
              <w:bottom w:val="single" w:sz="4" w:space="0" w:color="auto"/>
              <w:right w:val="single" w:sz="4" w:space="0" w:color="auto"/>
            </w:tcBorders>
          </w:tcPr>
          <w:p w:rsidR="00A92422" w:rsidRPr="00D87B79" w:rsidRDefault="00A92422" w:rsidP="00EA30FC">
            <w:pPr>
              <w:pStyle w:val="AppendixTableText"/>
              <w:rPr>
                <w:rFonts w:ascii="Tahoma" w:hAnsi="Tahoma" w:cs="Tahoma"/>
              </w:rPr>
            </w:pPr>
          </w:p>
        </w:tc>
        <w:tc>
          <w:tcPr>
            <w:tcW w:w="1440" w:type="dxa"/>
            <w:tcBorders>
              <w:top w:val="nil"/>
              <w:left w:val="nil"/>
              <w:bottom w:val="single" w:sz="4" w:space="0" w:color="auto"/>
              <w:right w:val="single" w:sz="4" w:space="0" w:color="auto"/>
            </w:tcBorders>
          </w:tcPr>
          <w:p w:rsidR="00A92422" w:rsidRPr="00D87B79" w:rsidRDefault="00A92422" w:rsidP="00EA30FC">
            <w:pPr>
              <w:pStyle w:val="AppendixTableText"/>
              <w:rPr>
                <w:rFonts w:ascii="Tahoma" w:hAnsi="Tahoma" w:cs="Tahoma"/>
              </w:rPr>
            </w:pPr>
          </w:p>
        </w:tc>
      </w:tr>
      <w:tr w:rsidR="00A92422" w:rsidRPr="00D87B79" w:rsidTr="00EA30F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A92422" w:rsidRPr="00D87B79" w:rsidRDefault="00A92422" w:rsidP="00EA30FC">
            <w:pPr>
              <w:pStyle w:val="AppendixTableText"/>
              <w:jc w:val="left"/>
              <w:rPr>
                <w:rFonts w:ascii="Tahoma" w:hAnsi="Tahoma" w:cs="Tahoma"/>
              </w:rPr>
            </w:pPr>
            <w:r w:rsidRPr="00D87B79">
              <w:rPr>
                <w:rFonts w:ascii="Tahoma" w:hAnsi="Tahoma" w:cs="Tahoma"/>
                <w:lang w:val="it-IT"/>
              </w:rPr>
              <w:t>Supporto per la Risoluzione dei Problemi 24x7</w:t>
            </w:r>
          </w:p>
        </w:tc>
        <w:tc>
          <w:tcPr>
            <w:tcW w:w="1530" w:type="dxa"/>
            <w:tcBorders>
              <w:top w:val="single" w:sz="6" w:space="0" w:color="auto"/>
              <w:left w:val="single" w:sz="6" w:space="0" w:color="auto"/>
              <w:bottom w:val="single" w:sz="6" w:space="0" w:color="auto"/>
              <w:right w:val="single" w:sz="6" w:space="0" w:color="auto"/>
            </w:tcBorders>
            <w:vAlign w:val="center"/>
          </w:tcPr>
          <w:p w:rsidR="00A92422" w:rsidRPr="00D87B79" w:rsidRDefault="00A92422" w:rsidP="00EA30FC">
            <w:pPr>
              <w:pStyle w:val="AppendixTableText"/>
              <w:rPr>
                <w:rFonts w:ascii="Tahoma" w:hAnsi="Tahoma" w:cs="Tahoma"/>
              </w:rPr>
            </w:pPr>
            <w:r w:rsidRPr="00D87B79">
              <w:rPr>
                <w:rFonts w:ascii="Tahoma" w:hAnsi="Tahoma" w:cs="Tahoma"/>
                <w:lang w:val="it-IT"/>
              </w:rPr>
              <w:t>Sì</w:t>
            </w:r>
          </w:p>
        </w:tc>
        <w:tc>
          <w:tcPr>
            <w:tcW w:w="1530" w:type="dxa"/>
            <w:tcBorders>
              <w:top w:val="single" w:sz="6" w:space="0" w:color="auto"/>
              <w:left w:val="single" w:sz="6" w:space="0" w:color="auto"/>
              <w:bottom w:val="single" w:sz="6" w:space="0" w:color="auto"/>
              <w:right w:val="single" w:sz="6" w:space="0" w:color="auto"/>
            </w:tcBorders>
            <w:vAlign w:val="center"/>
          </w:tcPr>
          <w:p w:rsidR="00A92422" w:rsidRPr="00D87B79" w:rsidRDefault="00A92422" w:rsidP="00EA30FC">
            <w:pPr>
              <w:pStyle w:val="AppendixTableText"/>
              <w:rPr>
                <w:rFonts w:ascii="Tahoma" w:hAnsi="Tahoma" w:cs="Tahoma"/>
              </w:rPr>
            </w:pPr>
            <w:r w:rsidRPr="00D87B79">
              <w:rPr>
                <w:rFonts w:ascii="Tahoma" w:hAnsi="Tahoma" w:cs="Tahoma"/>
                <w:lang w:val="it-IT"/>
              </w:rPr>
              <w:t>Sì</w:t>
            </w:r>
          </w:p>
        </w:tc>
        <w:tc>
          <w:tcPr>
            <w:tcW w:w="1530" w:type="dxa"/>
            <w:tcBorders>
              <w:top w:val="single" w:sz="6" w:space="0" w:color="auto"/>
              <w:left w:val="single" w:sz="6" w:space="0" w:color="auto"/>
              <w:bottom w:val="single" w:sz="6" w:space="0" w:color="auto"/>
              <w:right w:val="single" w:sz="4" w:space="0" w:color="auto"/>
            </w:tcBorders>
            <w:vAlign w:val="center"/>
          </w:tcPr>
          <w:p w:rsidR="00A92422" w:rsidRPr="00D87B79" w:rsidRDefault="00A92422" w:rsidP="00EA30FC">
            <w:pPr>
              <w:pStyle w:val="AppendixTableText"/>
              <w:rPr>
                <w:rStyle w:val="CommentReference"/>
                <w:rFonts w:ascii="Tahoma" w:hAnsi="Tahoma" w:cs="Tahoma"/>
                <w:sz w:val="18"/>
              </w:rPr>
            </w:pPr>
            <w:r w:rsidRPr="00D87B79">
              <w:rPr>
                <w:rFonts w:ascii="Tahoma" w:hAnsi="Tahoma" w:cs="Tahoma"/>
                <w:lang w:val="it-IT"/>
              </w:rPr>
              <w:t>Sì</w:t>
            </w:r>
          </w:p>
        </w:tc>
        <w:tc>
          <w:tcPr>
            <w:tcW w:w="1530" w:type="dxa"/>
            <w:tcBorders>
              <w:top w:val="single" w:sz="6" w:space="0" w:color="auto"/>
              <w:left w:val="single" w:sz="6" w:space="0" w:color="auto"/>
              <w:bottom w:val="single" w:sz="6" w:space="0" w:color="auto"/>
              <w:right w:val="single" w:sz="4" w:space="0" w:color="auto"/>
            </w:tcBorders>
          </w:tcPr>
          <w:p w:rsidR="00A92422" w:rsidRPr="00D87B79" w:rsidRDefault="00A92422" w:rsidP="00EA30FC">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tcPr>
          <w:p w:rsidR="00A92422" w:rsidRPr="00D87B79" w:rsidRDefault="00A92422" w:rsidP="00EA30FC">
            <w:pPr>
              <w:pStyle w:val="AppendixTableText"/>
              <w:rPr>
                <w:rFonts w:ascii="Tahoma" w:hAnsi="Tahoma" w:cs="Tahoma"/>
              </w:rPr>
            </w:pPr>
          </w:p>
        </w:tc>
      </w:tr>
      <w:tr w:rsidR="00A92422" w:rsidRPr="00D87B79" w:rsidTr="00EA30FC">
        <w:trPr>
          <w:trHeight w:val="255"/>
        </w:trPr>
        <w:tc>
          <w:tcPr>
            <w:tcW w:w="2167" w:type="dxa"/>
            <w:tcBorders>
              <w:top w:val="nil"/>
              <w:left w:val="single" w:sz="4" w:space="0" w:color="auto"/>
              <w:bottom w:val="single" w:sz="4" w:space="0" w:color="auto"/>
              <w:right w:val="single" w:sz="4" w:space="0" w:color="auto"/>
            </w:tcBorders>
            <w:vAlign w:val="bottom"/>
          </w:tcPr>
          <w:p w:rsidR="00A92422" w:rsidRPr="00D87B79" w:rsidRDefault="00A92422" w:rsidP="00EA30FC">
            <w:pPr>
              <w:pStyle w:val="AppendixTableText"/>
              <w:jc w:val="left"/>
              <w:rPr>
                <w:rFonts w:ascii="Tahoma" w:hAnsi="Tahoma" w:cs="Tahoma"/>
              </w:rPr>
            </w:pPr>
            <w:r w:rsidRPr="00D87B79">
              <w:rPr>
                <w:rFonts w:ascii="Tahoma" w:hAnsi="Tahoma" w:cs="Tahoma"/>
                <w:lang w:val="it-IT"/>
              </w:rPr>
              <w:t>System Center Advisor</w:t>
            </w:r>
          </w:p>
        </w:tc>
        <w:tc>
          <w:tcPr>
            <w:tcW w:w="1530" w:type="dxa"/>
            <w:tcBorders>
              <w:top w:val="nil"/>
              <w:left w:val="nil"/>
              <w:bottom w:val="single" w:sz="4" w:space="0" w:color="auto"/>
              <w:right w:val="single" w:sz="4" w:space="0" w:color="auto"/>
            </w:tcBorders>
            <w:vAlign w:val="bottom"/>
          </w:tcPr>
          <w:p w:rsidR="00A92422" w:rsidRPr="00D87B79" w:rsidRDefault="00A92422" w:rsidP="00EA30FC">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A92422" w:rsidRPr="00D87B79" w:rsidRDefault="00A92422" w:rsidP="00EA30FC">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A92422" w:rsidRPr="00D87B79" w:rsidRDefault="00A92422" w:rsidP="00EA30FC">
            <w:pPr>
              <w:pStyle w:val="AppendixTableText"/>
              <w:rPr>
                <w:rFonts w:ascii="Tahoma" w:hAnsi="Tahoma" w:cs="Tahoma"/>
              </w:rPr>
            </w:pPr>
            <w:r w:rsidRPr="00D87B79">
              <w:rPr>
                <w:rFonts w:ascii="Tahoma" w:hAnsi="Tahoma" w:cs="Tahoma"/>
                <w:lang w:val="it-IT"/>
              </w:rPr>
              <w:t>Sì</w:t>
            </w:r>
          </w:p>
        </w:tc>
        <w:tc>
          <w:tcPr>
            <w:tcW w:w="1530" w:type="dxa"/>
            <w:tcBorders>
              <w:top w:val="nil"/>
              <w:left w:val="nil"/>
              <w:bottom w:val="single" w:sz="4" w:space="0" w:color="auto"/>
              <w:right w:val="single" w:sz="4" w:space="0" w:color="auto"/>
            </w:tcBorders>
          </w:tcPr>
          <w:p w:rsidR="00A92422" w:rsidRPr="00D87B79" w:rsidRDefault="00A92422" w:rsidP="00EA30FC">
            <w:pPr>
              <w:pStyle w:val="AppendixTableText"/>
              <w:rPr>
                <w:rFonts w:ascii="Tahoma" w:hAnsi="Tahoma" w:cs="Tahoma"/>
              </w:rPr>
            </w:pPr>
          </w:p>
        </w:tc>
        <w:tc>
          <w:tcPr>
            <w:tcW w:w="1440" w:type="dxa"/>
            <w:tcBorders>
              <w:top w:val="nil"/>
              <w:left w:val="nil"/>
              <w:bottom w:val="single" w:sz="4" w:space="0" w:color="auto"/>
              <w:right w:val="single" w:sz="4" w:space="0" w:color="auto"/>
            </w:tcBorders>
          </w:tcPr>
          <w:p w:rsidR="00A92422" w:rsidRPr="00D87B79" w:rsidRDefault="00A92422" w:rsidP="00EA30FC">
            <w:pPr>
              <w:pStyle w:val="AppendixTableText"/>
              <w:rPr>
                <w:rFonts w:ascii="Tahoma" w:hAnsi="Tahoma" w:cs="Tahoma"/>
              </w:rPr>
            </w:pPr>
          </w:p>
        </w:tc>
      </w:tr>
      <w:tr w:rsidR="00A92422" w:rsidRPr="00D87B79" w:rsidTr="00EA30FC">
        <w:trPr>
          <w:trHeight w:val="255"/>
        </w:trPr>
        <w:tc>
          <w:tcPr>
            <w:tcW w:w="2167" w:type="dxa"/>
            <w:tcBorders>
              <w:top w:val="nil"/>
              <w:left w:val="single" w:sz="4" w:space="0" w:color="auto"/>
              <w:bottom w:val="single" w:sz="4" w:space="0" w:color="auto"/>
              <w:right w:val="single" w:sz="4" w:space="0" w:color="auto"/>
            </w:tcBorders>
            <w:vAlign w:val="bottom"/>
          </w:tcPr>
          <w:p w:rsidR="00A92422" w:rsidRPr="00D87B79" w:rsidRDefault="00A92422" w:rsidP="00EA30FC">
            <w:pPr>
              <w:pStyle w:val="AppendixTableText"/>
              <w:jc w:val="left"/>
              <w:rPr>
                <w:rFonts w:ascii="Tahoma" w:hAnsi="Tahoma" w:cs="Tahoma"/>
              </w:rPr>
            </w:pPr>
            <w:r w:rsidRPr="00D87B79">
              <w:rPr>
                <w:rFonts w:ascii="Tahoma" w:hAnsi="Tahoma" w:cs="Tahoma"/>
                <w:lang w:val="it-IT"/>
              </w:rPr>
              <w:t>Back-up per Ripristino di Emergenza “a Freddo”</w:t>
            </w:r>
          </w:p>
        </w:tc>
        <w:tc>
          <w:tcPr>
            <w:tcW w:w="1530" w:type="dxa"/>
            <w:tcBorders>
              <w:top w:val="nil"/>
              <w:left w:val="nil"/>
              <w:bottom w:val="single" w:sz="4" w:space="0" w:color="auto"/>
              <w:right w:val="single" w:sz="4" w:space="0" w:color="auto"/>
            </w:tcBorders>
            <w:vAlign w:val="bottom"/>
          </w:tcPr>
          <w:p w:rsidR="00A92422" w:rsidRPr="00D87B79" w:rsidRDefault="00A92422" w:rsidP="00EA30FC">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A92422" w:rsidRPr="00D87B79" w:rsidRDefault="00A92422" w:rsidP="00EA30FC">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A92422" w:rsidRPr="00D87B79" w:rsidRDefault="00A92422" w:rsidP="00EA30FC">
            <w:pPr>
              <w:pStyle w:val="AppendixTableText"/>
              <w:rPr>
                <w:rFonts w:ascii="Tahoma" w:hAnsi="Tahoma" w:cs="Tahoma"/>
              </w:rPr>
            </w:pPr>
            <w:r w:rsidRPr="00D87B79">
              <w:rPr>
                <w:rFonts w:ascii="Tahoma" w:hAnsi="Tahoma" w:cs="Tahoma"/>
                <w:lang w:val="it-IT"/>
              </w:rPr>
              <w:t>Sì</w:t>
            </w:r>
          </w:p>
        </w:tc>
        <w:tc>
          <w:tcPr>
            <w:tcW w:w="1530" w:type="dxa"/>
            <w:tcBorders>
              <w:top w:val="nil"/>
              <w:left w:val="nil"/>
              <w:bottom w:val="single" w:sz="4" w:space="0" w:color="auto"/>
              <w:right w:val="single" w:sz="4" w:space="0" w:color="auto"/>
            </w:tcBorders>
          </w:tcPr>
          <w:p w:rsidR="00A92422" w:rsidRPr="00D87B79" w:rsidRDefault="00A92422" w:rsidP="00EA30FC">
            <w:pPr>
              <w:pStyle w:val="AppendixTableText"/>
              <w:rPr>
                <w:rFonts w:ascii="Tahoma" w:hAnsi="Tahoma" w:cs="Tahoma"/>
              </w:rPr>
            </w:pPr>
          </w:p>
        </w:tc>
        <w:tc>
          <w:tcPr>
            <w:tcW w:w="1440" w:type="dxa"/>
            <w:tcBorders>
              <w:top w:val="nil"/>
              <w:left w:val="nil"/>
              <w:bottom w:val="single" w:sz="4" w:space="0" w:color="auto"/>
              <w:right w:val="single" w:sz="4" w:space="0" w:color="auto"/>
            </w:tcBorders>
          </w:tcPr>
          <w:p w:rsidR="00A92422" w:rsidRPr="00D87B79" w:rsidRDefault="00A92422" w:rsidP="00EA30FC">
            <w:pPr>
              <w:pStyle w:val="AppendixTableText"/>
              <w:rPr>
                <w:rFonts w:ascii="Tahoma" w:hAnsi="Tahoma" w:cs="Tahoma"/>
              </w:rPr>
            </w:pPr>
          </w:p>
        </w:tc>
      </w:tr>
      <w:tr w:rsidR="00A92422" w:rsidRPr="00D87B79" w:rsidTr="00EA30FC">
        <w:trPr>
          <w:trHeight w:val="255"/>
        </w:trPr>
        <w:tc>
          <w:tcPr>
            <w:tcW w:w="2167" w:type="dxa"/>
            <w:tcBorders>
              <w:top w:val="single" w:sz="4" w:space="0" w:color="auto"/>
              <w:left w:val="single" w:sz="4" w:space="0" w:color="auto"/>
              <w:bottom w:val="single" w:sz="4" w:space="0" w:color="auto"/>
              <w:right w:val="single" w:sz="4" w:space="0" w:color="auto"/>
            </w:tcBorders>
            <w:vAlign w:val="bottom"/>
          </w:tcPr>
          <w:p w:rsidR="00A92422" w:rsidRPr="00D87B79" w:rsidRDefault="00A92422" w:rsidP="00EA30FC">
            <w:pPr>
              <w:pStyle w:val="AppendixTableText"/>
              <w:jc w:val="left"/>
              <w:rPr>
                <w:rFonts w:ascii="Tahoma" w:hAnsi="Tahoma" w:cs="Tahoma"/>
              </w:rPr>
            </w:pPr>
            <w:r w:rsidRPr="00D87B79">
              <w:rPr>
                <w:rFonts w:ascii="Tahoma" w:hAnsi="Tahoma" w:cs="Tahoma"/>
                <w:lang w:val="it-IT"/>
              </w:rPr>
              <w:t>Servizi in Abbonamento TechNet SA</w:t>
            </w:r>
          </w:p>
        </w:tc>
        <w:tc>
          <w:tcPr>
            <w:tcW w:w="1530" w:type="dxa"/>
            <w:tcBorders>
              <w:top w:val="single" w:sz="4" w:space="0" w:color="auto"/>
              <w:left w:val="nil"/>
              <w:bottom w:val="single" w:sz="4" w:space="0" w:color="auto"/>
              <w:right w:val="single" w:sz="4" w:space="0" w:color="auto"/>
            </w:tcBorders>
            <w:vAlign w:val="bottom"/>
          </w:tcPr>
          <w:p w:rsidR="00A92422" w:rsidRPr="00D87B79" w:rsidRDefault="00A92422" w:rsidP="00EA30FC">
            <w:pPr>
              <w:pStyle w:val="AppendixTableText"/>
              <w:rPr>
                <w:rFonts w:ascii="Tahoma" w:hAnsi="Tahoma" w:cs="Tahoma"/>
              </w:rPr>
            </w:pPr>
            <w:r w:rsidRPr="00D87B79">
              <w:rPr>
                <w:rFonts w:ascii="Tahoma" w:hAnsi="Tahoma" w:cs="Tahoma"/>
                <w:lang w:val="it-IT"/>
              </w:rPr>
              <w:t>Sì</w:t>
            </w:r>
          </w:p>
        </w:tc>
        <w:tc>
          <w:tcPr>
            <w:tcW w:w="1530" w:type="dxa"/>
            <w:tcBorders>
              <w:top w:val="single" w:sz="4" w:space="0" w:color="auto"/>
              <w:left w:val="nil"/>
              <w:bottom w:val="single" w:sz="4" w:space="0" w:color="auto"/>
              <w:right w:val="single" w:sz="4" w:space="0" w:color="auto"/>
            </w:tcBorders>
            <w:vAlign w:val="bottom"/>
          </w:tcPr>
          <w:p w:rsidR="00A92422" w:rsidRPr="00D87B79" w:rsidRDefault="00A92422" w:rsidP="00EA30FC">
            <w:pPr>
              <w:pStyle w:val="AppendixTableText"/>
              <w:rPr>
                <w:rFonts w:ascii="Tahoma" w:hAnsi="Tahoma" w:cs="Tahoma"/>
              </w:rPr>
            </w:pPr>
            <w:r w:rsidRPr="00D87B79">
              <w:rPr>
                <w:rFonts w:ascii="Tahoma" w:hAnsi="Tahoma" w:cs="Tahoma"/>
                <w:lang w:val="it-IT"/>
              </w:rPr>
              <w:t>Sì</w:t>
            </w:r>
          </w:p>
        </w:tc>
        <w:tc>
          <w:tcPr>
            <w:tcW w:w="1530" w:type="dxa"/>
            <w:tcBorders>
              <w:top w:val="single" w:sz="4" w:space="0" w:color="auto"/>
              <w:left w:val="nil"/>
              <w:bottom w:val="single" w:sz="4" w:space="0" w:color="auto"/>
              <w:right w:val="single" w:sz="4" w:space="0" w:color="auto"/>
            </w:tcBorders>
            <w:vAlign w:val="bottom"/>
          </w:tcPr>
          <w:p w:rsidR="00A92422" w:rsidRPr="00D87B79" w:rsidRDefault="00A92422" w:rsidP="00EA30FC">
            <w:pPr>
              <w:pStyle w:val="AppendixTableText"/>
              <w:rPr>
                <w:rFonts w:ascii="Tahoma" w:hAnsi="Tahoma" w:cs="Tahoma"/>
              </w:rPr>
            </w:pPr>
            <w:r w:rsidRPr="00D87B79">
              <w:rPr>
                <w:rFonts w:ascii="Tahoma" w:hAnsi="Tahoma" w:cs="Tahoma"/>
                <w:lang w:val="it-IT"/>
              </w:rPr>
              <w:t>Sì</w:t>
            </w:r>
          </w:p>
        </w:tc>
        <w:tc>
          <w:tcPr>
            <w:tcW w:w="1530" w:type="dxa"/>
            <w:tcBorders>
              <w:top w:val="single" w:sz="4" w:space="0" w:color="auto"/>
              <w:left w:val="nil"/>
              <w:bottom w:val="single" w:sz="4" w:space="0" w:color="auto"/>
              <w:right w:val="single" w:sz="4" w:space="0" w:color="auto"/>
            </w:tcBorders>
          </w:tcPr>
          <w:p w:rsidR="00A92422" w:rsidRPr="00D87B79" w:rsidRDefault="00A92422" w:rsidP="00EA30FC">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tcPr>
          <w:p w:rsidR="00A92422" w:rsidRPr="00D87B79" w:rsidRDefault="00A92422" w:rsidP="00EA30FC">
            <w:pPr>
              <w:pStyle w:val="AppendixTableText"/>
              <w:rPr>
                <w:rFonts w:ascii="Tahoma" w:hAnsi="Tahoma" w:cs="Tahoma"/>
              </w:rPr>
            </w:pPr>
          </w:p>
        </w:tc>
      </w:tr>
      <w:tr w:rsidR="00A92422" w:rsidRPr="00D87B79" w:rsidTr="00EA30FC">
        <w:trPr>
          <w:trHeight w:val="255"/>
        </w:trPr>
        <w:tc>
          <w:tcPr>
            <w:tcW w:w="2167" w:type="dxa"/>
            <w:tcBorders>
              <w:top w:val="nil"/>
              <w:left w:val="single" w:sz="4" w:space="0" w:color="auto"/>
              <w:bottom w:val="single" w:sz="4" w:space="0" w:color="auto"/>
              <w:right w:val="single" w:sz="4" w:space="0" w:color="auto"/>
            </w:tcBorders>
            <w:vAlign w:val="bottom"/>
          </w:tcPr>
          <w:p w:rsidR="00A92422" w:rsidRPr="00D87B79" w:rsidRDefault="00A92422" w:rsidP="00EA30FC">
            <w:pPr>
              <w:pStyle w:val="AppendixTableText"/>
              <w:jc w:val="left"/>
              <w:rPr>
                <w:rFonts w:ascii="Tahoma" w:hAnsi="Tahoma" w:cs="Tahoma"/>
              </w:rPr>
            </w:pPr>
            <w:r w:rsidRPr="00D87B79">
              <w:rPr>
                <w:rFonts w:ascii="Tahoma" w:hAnsi="Tahoma" w:cs="Tahoma"/>
                <w:lang w:val="it-IT"/>
              </w:rPr>
              <w:t>TechNet Plus Direct</w:t>
            </w:r>
          </w:p>
        </w:tc>
        <w:tc>
          <w:tcPr>
            <w:tcW w:w="1530" w:type="dxa"/>
            <w:tcBorders>
              <w:top w:val="nil"/>
              <w:left w:val="nil"/>
              <w:bottom w:val="single" w:sz="4" w:space="0" w:color="auto"/>
              <w:right w:val="single" w:sz="4" w:space="0" w:color="auto"/>
            </w:tcBorders>
            <w:vAlign w:val="bottom"/>
          </w:tcPr>
          <w:p w:rsidR="00A92422" w:rsidRPr="00D87B79" w:rsidRDefault="00A92422" w:rsidP="00EA30FC">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A92422" w:rsidRPr="00D87B79" w:rsidRDefault="00A92422" w:rsidP="00EA30FC">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A92422" w:rsidRPr="00D87B79" w:rsidRDefault="00A92422" w:rsidP="00EA30FC">
            <w:pPr>
              <w:pStyle w:val="AppendixTableText"/>
              <w:rPr>
                <w:rFonts w:ascii="Tahoma" w:hAnsi="Tahoma" w:cs="Tahoma"/>
              </w:rPr>
            </w:pPr>
            <w:r w:rsidRPr="00D87B79">
              <w:rPr>
                <w:rFonts w:ascii="Tahoma" w:hAnsi="Tahoma" w:cs="Tahoma"/>
                <w:lang w:val="it-IT"/>
              </w:rPr>
              <w:t>Sì</w:t>
            </w:r>
          </w:p>
        </w:tc>
        <w:tc>
          <w:tcPr>
            <w:tcW w:w="1530" w:type="dxa"/>
            <w:tcBorders>
              <w:top w:val="nil"/>
              <w:left w:val="nil"/>
              <w:bottom w:val="single" w:sz="4" w:space="0" w:color="auto"/>
              <w:right w:val="single" w:sz="4" w:space="0" w:color="auto"/>
            </w:tcBorders>
          </w:tcPr>
          <w:p w:rsidR="00A92422" w:rsidRPr="00D87B79" w:rsidRDefault="00A92422" w:rsidP="00EA30FC">
            <w:pPr>
              <w:pStyle w:val="AppendixTableText"/>
              <w:rPr>
                <w:rFonts w:ascii="Tahoma" w:hAnsi="Tahoma" w:cs="Tahoma"/>
              </w:rPr>
            </w:pPr>
          </w:p>
        </w:tc>
        <w:tc>
          <w:tcPr>
            <w:tcW w:w="1440" w:type="dxa"/>
            <w:tcBorders>
              <w:top w:val="nil"/>
              <w:left w:val="nil"/>
              <w:bottom w:val="single" w:sz="4" w:space="0" w:color="auto"/>
              <w:right w:val="single" w:sz="4" w:space="0" w:color="auto"/>
            </w:tcBorders>
          </w:tcPr>
          <w:p w:rsidR="00A92422" w:rsidRPr="00D87B79" w:rsidRDefault="00A92422" w:rsidP="00EA30FC">
            <w:pPr>
              <w:pStyle w:val="AppendixTableText"/>
              <w:rPr>
                <w:rFonts w:ascii="Tahoma" w:hAnsi="Tahoma" w:cs="Tahoma"/>
              </w:rPr>
            </w:pPr>
          </w:p>
        </w:tc>
      </w:tr>
      <w:tr w:rsidR="00A92422" w:rsidRPr="00D87B79" w:rsidTr="00EA30FC">
        <w:trPr>
          <w:trHeight w:val="246"/>
        </w:trPr>
        <w:tc>
          <w:tcPr>
            <w:tcW w:w="2167" w:type="dxa"/>
            <w:tcBorders>
              <w:top w:val="single" w:sz="6" w:space="0" w:color="auto"/>
              <w:left w:val="single" w:sz="4" w:space="0" w:color="auto"/>
              <w:bottom w:val="single" w:sz="6" w:space="0" w:color="auto"/>
              <w:right w:val="single" w:sz="6" w:space="0" w:color="auto"/>
            </w:tcBorders>
            <w:vAlign w:val="bottom"/>
          </w:tcPr>
          <w:p w:rsidR="00A92422" w:rsidRPr="00D87B79" w:rsidRDefault="00A92422" w:rsidP="00EA30FC">
            <w:pPr>
              <w:pStyle w:val="AppendixTableText"/>
              <w:jc w:val="left"/>
              <w:rPr>
                <w:rFonts w:ascii="Tahoma" w:hAnsi="Tahoma" w:cs="Tahoma"/>
              </w:rPr>
            </w:pPr>
            <w:r w:rsidRPr="00D87B79">
              <w:rPr>
                <w:rFonts w:ascii="Tahoma" w:hAnsi="Tahoma" w:cs="Tahoma"/>
                <w:lang w:val="it-IT"/>
              </w:rPr>
              <w:t>Windows Thin PC</w:t>
            </w:r>
          </w:p>
        </w:tc>
        <w:tc>
          <w:tcPr>
            <w:tcW w:w="1530" w:type="dxa"/>
            <w:tcBorders>
              <w:top w:val="single" w:sz="6" w:space="0" w:color="auto"/>
              <w:left w:val="single" w:sz="6" w:space="0" w:color="auto"/>
              <w:bottom w:val="single" w:sz="6" w:space="0" w:color="auto"/>
              <w:right w:val="single" w:sz="6" w:space="0" w:color="auto"/>
            </w:tcBorders>
            <w:vAlign w:val="bottom"/>
          </w:tcPr>
          <w:p w:rsidR="00A92422" w:rsidRPr="00D87B79" w:rsidRDefault="00A92422" w:rsidP="00EA30FC">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rsidR="00A92422" w:rsidRPr="00D87B79" w:rsidRDefault="00A92422" w:rsidP="00EA30FC">
            <w:pPr>
              <w:pStyle w:val="AppendixTableText"/>
              <w:rPr>
                <w:rFonts w:ascii="Tahoma" w:hAnsi="Tahoma" w:cs="Tahoma"/>
              </w:rPr>
            </w:pPr>
            <w:r w:rsidRPr="00D87B79">
              <w:rPr>
                <w:rFonts w:ascii="Tahoma" w:hAnsi="Tahoma" w:cs="Tahoma"/>
                <w:lang w:val="it-IT"/>
              </w:rPr>
              <w:t>Sì</w:t>
            </w:r>
          </w:p>
        </w:tc>
        <w:tc>
          <w:tcPr>
            <w:tcW w:w="1530" w:type="dxa"/>
            <w:tcBorders>
              <w:top w:val="single" w:sz="6" w:space="0" w:color="auto"/>
              <w:left w:val="single" w:sz="6" w:space="0" w:color="auto"/>
              <w:bottom w:val="single" w:sz="6" w:space="0" w:color="auto"/>
              <w:right w:val="single" w:sz="4" w:space="0" w:color="auto"/>
            </w:tcBorders>
            <w:vAlign w:val="bottom"/>
          </w:tcPr>
          <w:p w:rsidR="00A92422" w:rsidRPr="00D87B79" w:rsidRDefault="00A92422" w:rsidP="00EA30FC">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rsidR="00A92422" w:rsidRPr="00D87B79" w:rsidRDefault="00A92422" w:rsidP="00EA30FC">
            <w:pPr>
              <w:pStyle w:val="AppendixTableText"/>
              <w:rPr>
                <w:rFonts w:ascii="Tahoma" w:hAnsi="Tahoma" w:cs="Tahoma"/>
              </w:rPr>
            </w:pPr>
            <w:r w:rsidRPr="00D87B79">
              <w:rPr>
                <w:rFonts w:ascii="Tahoma" w:hAnsi="Tahoma" w:cs="Tahoma"/>
                <w:lang w:val="it-IT"/>
              </w:rPr>
              <w:t>Sì</w:t>
            </w:r>
          </w:p>
        </w:tc>
        <w:tc>
          <w:tcPr>
            <w:tcW w:w="1440" w:type="dxa"/>
            <w:tcBorders>
              <w:top w:val="single" w:sz="6" w:space="0" w:color="auto"/>
              <w:left w:val="single" w:sz="6" w:space="0" w:color="auto"/>
              <w:bottom w:val="single" w:sz="6" w:space="0" w:color="auto"/>
              <w:right w:val="single" w:sz="4" w:space="0" w:color="auto"/>
            </w:tcBorders>
            <w:vAlign w:val="bottom"/>
          </w:tcPr>
          <w:p w:rsidR="00A92422" w:rsidRPr="00D87B79" w:rsidRDefault="00A92422" w:rsidP="00EA30FC">
            <w:pPr>
              <w:pStyle w:val="AppendixTableText"/>
              <w:rPr>
                <w:rFonts w:ascii="Tahoma" w:hAnsi="Tahoma" w:cs="Tahoma"/>
              </w:rPr>
            </w:pPr>
          </w:p>
        </w:tc>
      </w:tr>
      <w:tr w:rsidR="00A92422" w:rsidRPr="00D87B79" w:rsidTr="00EA30F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A92422" w:rsidRPr="00D87B79" w:rsidRDefault="00A92422" w:rsidP="00EA30FC">
            <w:pPr>
              <w:pStyle w:val="AppendixTableText"/>
              <w:jc w:val="left"/>
              <w:rPr>
                <w:rFonts w:ascii="Tahoma" w:hAnsi="Tahoma" w:cs="Tahoma"/>
              </w:rPr>
            </w:pPr>
            <w:r w:rsidRPr="00D87B79">
              <w:rPr>
                <w:rFonts w:ascii="Tahoma" w:hAnsi="Tahoma" w:cs="Tahoma"/>
                <w:lang w:val="it-IT"/>
              </w:rPr>
              <w:t>Supporto HotFix Esteso</w:t>
            </w:r>
          </w:p>
        </w:tc>
        <w:tc>
          <w:tcPr>
            <w:tcW w:w="1530" w:type="dxa"/>
            <w:tcBorders>
              <w:top w:val="single" w:sz="6" w:space="0" w:color="auto"/>
              <w:left w:val="single" w:sz="6" w:space="0" w:color="auto"/>
              <w:bottom w:val="single" w:sz="6" w:space="0" w:color="auto"/>
              <w:right w:val="single" w:sz="6" w:space="0" w:color="auto"/>
            </w:tcBorders>
            <w:vAlign w:val="bottom"/>
          </w:tcPr>
          <w:p w:rsidR="00A92422" w:rsidRPr="00D87B79" w:rsidRDefault="00A92422" w:rsidP="00EA30FC">
            <w:pPr>
              <w:pStyle w:val="AppendixTableText"/>
              <w:rPr>
                <w:rFonts w:ascii="Tahoma" w:hAnsi="Tahoma" w:cs="Tahoma"/>
              </w:rPr>
            </w:pPr>
            <w:r w:rsidRPr="00D87B79">
              <w:rPr>
                <w:rFonts w:ascii="Tahoma" w:hAnsi="Tahoma" w:cs="Tahoma"/>
                <w:lang w:val="it-IT"/>
              </w:rPr>
              <w:t>Sì</w:t>
            </w:r>
          </w:p>
        </w:tc>
        <w:tc>
          <w:tcPr>
            <w:tcW w:w="1530" w:type="dxa"/>
            <w:tcBorders>
              <w:top w:val="single" w:sz="6" w:space="0" w:color="auto"/>
              <w:left w:val="single" w:sz="6" w:space="0" w:color="auto"/>
              <w:bottom w:val="single" w:sz="6" w:space="0" w:color="auto"/>
              <w:right w:val="single" w:sz="6" w:space="0" w:color="auto"/>
            </w:tcBorders>
            <w:vAlign w:val="bottom"/>
          </w:tcPr>
          <w:p w:rsidR="00A92422" w:rsidRPr="00D87B79" w:rsidRDefault="00A92422" w:rsidP="00EA30FC">
            <w:pPr>
              <w:pStyle w:val="AppendixTableText"/>
              <w:rPr>
                <w:rFonts w:ascii="Tahoma" w:hAnsi="Tahoma" w:cs="Tahoma"/>
              </w:rPr>
            </w:pPr>
            <w:r w:rsidRPr="00D87B79">
              <w:rPr>
                <w:rFonts w:ascii="Tahoma" w:hAnsi="Tahoma" w:cs="Tahoma"/>
                <w:lang w:val="it-IT"/>
              </w:rPr>
              <w:t>Sì</w:t>
            </w:r>
          </w:p>
        </w:tc>
        <w:tc>
          <w:tcPr>
            <w:tcW w:w="1530" w:type="dxa"/>
            <w:tcBorders>
              <w:top w:val="single" w:sz="6" w:space="0" w:color="auto"/>
              <w:left w:val="single" w:sz="6" w:space="0" w:color="auto"/>
              <w:bottom w:val="single" w:sz="6" w:space="0" w:color="auto"/>
              <w:right w:val="single" w:sz="4" w:space="0" w:color="auto"/>
            </w:tcBorders>
            <w:vAlign w:val="bottom"/>
          </w:tcPr>
          <w:p w:rsidR="00A92422" w:rsidRPr="00D87B79" w:rsidRDefault="00A92422" w:rsidP="00EA30FC">
            <w:pPr>
              <w:pStyle w:val="AppendixTableText"/>
              <w:rPr>
                <w:rStyle w:val="CommentReference"/>
                <w:rFonts w:ascii="Tahoma" w:hAnsi="Tahoma" w:cs="Tahoma"/>
                <w:sz w:val="18"/>
              </w:rPr>
            </w:pPr>
            <w:r w:rsidRPr="00D87B79">
              <w:rPr>
                <w:rFonts w:ascii="Tahoma" w:hAnsi="Tahoma" w:cs="Tahoma"/>
                <w:lang w:val="it-IT"/>
              </w:rPr>
              <w:t>Sì</w:t>
            </w:r>
          </w:p>
        </w:tc>
        <w:tc>
          <w:tcPr>
            <w:tcW w:w="1530" w:type="dxa"/>
            <w:tcBorders>
              <w:top w:val="single" w:sz="6" w:space="0" w:color="auto"/>
              <w:left w:val="single" w:sz="6" w:space="0" w:color="auto"/>
              <w:bottom w:val="single" w:sz="6" w:space="0" w:color="auto"/>
              <w:right w:val="single" w:sz="4" w:space="0" w:color="auto"/>
            </w:tcBorders>
          </w:tcPr>
          <w:p w:rsidR="00A92422" w:rsidRPr="00D87B79" w:rsidRDefault="00A92422" w:rsidP="00EA30FC">
            <w:pPr>
              <w:pStyle w:val="AppendixTableText"/>
              <w:rPr>
                <w:rFonts w:ascii="Tahoma" w:hAnsi="Tahoma" w:cs="Tahoma"/>
              </w:rPr>
            </w:pPr>
            <w:r w:rsidRPr="00D87B79">
              <w:rPr>
                <w:rFonts w:ascii="Tahoma" w:hAnsi="Tahoma" w:cs="Tahoma"/>
                <w:lang w:val="it-IT"/>
              </w:rPr>
              <w:t>Sì</w:t>
            </w:r>
          </w:p>
        </w:tc>
        <w:tc>
          <w:tcPr>
            <w:tcW w:w="1440" w:type="dxa"/>
            <w:tcBorders>
              <w:top w:val="single" w:sz="6" w:space="0" w:color="auto"/>
              <w:left w:val="single" w:sz="6" w:space="0" w:color="auto"/>
              <w:bottom w:val="single" w:sz="6" w:space="0" w:color="auto"/>
              <w:right w:val="single" w:sz="4" w:space="0" w:color="auto"/>
            </w:tcBorders>
          </w:tcPr>
          <w:p w:rsidR="00A92422" w:rsidRPr="00D87B79" w:rsidRDefault="00A92422" w:rsidP="00EA30FC">
            <w:pPr>
              <w:pStyle w:val="AppendixTableText"/>
              <w:rPr>
                <w:rFonts w:ascii="Tahoma" w:hAnsi="Tahoma" w:cs="Tahoma"/>
              </w:rPr>
            </w:pPr>
          </w:p>
        </w:tc>
      </w:tr>
      <w:tr w:rsidR="00A92422" w:rsidRPr="00D87B79" w:rsidTr="00EA30F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A92422" w:rsidRPr="00D87B79" w:rsidRDefault="00A92422" w:rsidP="00EA30FC">
            <w:pPr>
              <w:pStyle w:val="AppendixTableText"/>
              <w:jc w:val="left"/>
              <w:rPr>
                <w:rFonts w:ascii="Tahoma" w:hAnsi="Tahoma" w:cs="Tahoma"/>
                <w:color w:val="000000"/>
              </w:rPr>
            </w:pPr>
            <w:r w:rsidRPr="00D87B79">
              <w:rPr>
                <w:rFonts w:ascii="Tahoma" w:hAnsi="Tahoma" w:cs="Tahoma"/>
                <w:color w:val="000000"/>
                <w:lang w:val="it-IT"/>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bottom"/>
          </w:tcPr>
          <w:p w:rsidR="00A92422" w:rsidRPr="00D87B79" w:rsidRDefault="00A92422" w:rsidP="00EA30FC">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rsidR="00A92422" w:rsidRPr="00D87B79" w:rsidRDefault="00A92422" w:rsidP="00EA30FC">
            <w:pPr>
              <w:pStyle w:val="AppendixTableText"/>
              <w:spacing w:after="120"/>
              <w:rPr>
                <w:rFonts w:ascii="Tahoma" w:hAnsi="Tahoma" w:cs="Tahoma"/>
                <w:color w:val="000000"/>
              </w:rPr>
            </w:pPr>
            <w:r w:rsidRPr="00D87B79">
              <w:rPr>
                <w:rFonts w:ascii="Tahoma" w:hAnsi="Tahoma" w:cs="Tahoma"/>
                <w:color w:val="000000"/>
                <w:lang w:val="it-IT"/>
              </w:rPr>
              <w:t>Sì</w:t>
            </w:r>
          </w:p>
        </w:tc>
        <w:tc>
          <w:tcPr>
            <w:tcW w:w="1530" w:type="dxa"/>
            <w:tcBorders>
              <w:top w:val="single" w:sz="6" w:space="0" w:color="auto"/>
              <w:left w:val="single" w:sz="6" w:space="0" w:color="auto"/>
              <w:bottom w:val="single" w:sz="6" w:space="0" w:color="auto"/>
              <w:right w:val="single" w:sz="4" w:space="0" w:color="auto"/>
            </w:tcBorders>
            <w:vAlign w:val="bottom"/>
          </w:tcPr>
          <w:p w:rsidR="00A92422" w:rsidRPr="00D87B79" w:rsidRDefault="00A92422" w:rsidP="00EA30FC">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rsidR="00A92422" w:rsidRPr="00D87B79" w:rsidRDefault="00A92422" w:rsidP="00EA30FC">
            <w:pPr>
              <w:pStyle w:val="AppendixTableText"/>
              <w:spacing w:before="120"/>
              <w:rPr>
                <w:rFonts w:ascii="Tahoma" w:hAnsi="Tahoma" w:cs="Tahoma"/>
                <w:color w:val="000000"/>
              </w:rPr>
            </w:pPr>
            <w:r w:rsidRPr="00D87B79">
              <w:rPr>
                <w:rFonts w:ascii="Tahoma" w:hAnsi="Tahoma" w:cs="Tahoma"/>
                <w:color w:val="000000"/>
                <w:lang w:val="it-IT"/>
              </w:rPr>
              <w:t>Sì</w:t>
            </w:r>
          </w:p>
        </w:tc>
        <w:tc>
          <w:tcPr>
            <w:tcW w:w="1440" w:type="dxa"/>
            <w:tcBorders>
              <w:top w:val="single" w:sz="6" w:space="0" w:color="auto"/>
              <w:left w:val="single" w:sz="6" w:space="0" w:color="auto"/>
              <w:bottom w:val="single" w:sz="6" w:space="0" w:color="auto"/>
              <w:right w:val="single" w:sz="4" w:space="0" w:color="auto"/>
            </w:tcBorders>
          </w:tcPr>
          <w:p w:rsidR="00A92422" w:rsidRPr="00D87B79" w:rsidRDefault="00A92422" w:rsidP="00EA30FC">
            <w:pPr>
              <w:pStyle w:val="AppendixTableText"/>
              <w:spacing w:before="120"/>
              <w:rPr>
                <w:rFonts w:ascii="Tahoma" w:hAnsi="Tahoma" w:cs="Tahoma"/>
                <w:color w:val="000000"/>
              </w:rPr>
            </w:pPr>
          </w:p>
        </w:tc>
      </w:tr>
      <w:tr w:rsidR="00A92422" w:rsidRPr="00D87B79" w:rsidTr="00EA30F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A92422" w:rsidRPr="00D87B79" w:rsidRDefault="00A92422" w:rsidP="00EA30FC">
            <w:pPr>
              <w:pStyle w:val="AppendixTableText"/>
              <w:jc w:val="left"/>
              <w:rPr>
                <w:rFonts w:ascii="Tahoma" w:hAnsi="Tahoma" w:cs="Tahoma"/>
                <w:color w:val="000000"/>
              </w:rPr>
            </w:pPr>
            <w:r w:rsidRPr="00D87B79">
              <w:rPr>
                <w:rFonts w:ascii="Tahoma" w:hAnsi="Tahoma" w:cs="Tahoma"/>
                <w:color w:val="000000"/>
                <w:lang w:val="it-IT"/>
              </w:rPr>
              <w:t>Diritti di Virtualizzazione per Windows Desktops</w:t>
            </w:r>
          </w:p>
        </w:tc>
        <w:tc>
          <w:tcPr>
            <w:tcW w:w="1530" w:type="dxa"/>
            <w:tcBorders>
              <w:top w:val="single" w:sz="6" w:space="0" w:color="auto"/>
              <w:left w:val="single" w:sz="6" w:space="0" w:color="auto"/>
              <w:bottom w:val="single" w:sz="6" w:space="0" w:color="auto"/>
              <w:right w:val="single" w:sz="6" w:space="0" w:color="auto"/>
            </w:tcBorders>
            <w:vAlign w:val="bottom"/>
          </w:tcPr>
          <w:p w:rsidR="00A92422" w:rsidRPr="00D87B79" w:rsidRDefault="00A92422" w:rsidP="00EA30FC">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rsidR="00A92422" w:rsidRPr="00D87B79" w:rsidRDefault="00A92422" w:rsidP="00EA30FC">
            <w:pPr>
              <w:pStyle w:val="AppendixTableText"/>
              <w:spacing w:after="120"/>
              <w:rPr>
                <w:rFonts w:ascii="Tahoma" w:hAnsi="Tahoma" w:cs="Tahoma"/>
                <w:color w:val="000000"/>
              </w:rPr>
            </w:pPr>
            <w:r w:rsidRPr="00D87B79">
              <w:rPr>
                <w:rFonts w:ascii="Tahoma" w:hAnsi="Tahoma" w:cs="Tahoma"/>
                <w:color w:val="000000"/>
                <w:lang w:val="it-IT"/>
              </w:rPr>
              <w:t>Sì</w:t>
            </w:r>
          </w:p>
        </w:tc>
        <w:tc>
          <w:tcPr>
            <w:tcW w:w="1530" w:type="dxa"/>
            <w:tcBorders>
              <w:top w:val="single" w:sz="6" w:space="0" w:color="auto"/>
              <w:left w:val="single" w:sz="6" w:space="0" w:color="auto"/>
              <w:bottom w:val="single" w:sz="6" w:space="0" w:color="auto"/>
              <w:right w:val="single" w:sz="4" w:space="0" w:color="auto"/>
            </w:tcBorders>
            <w:vAlign w:val="bottom"/>
          </w:tcPr>
          <w:p w:rsidR="00A92422" w:rsidRPr="00D87B79" w:rsidRDefault="00A92422" w:rsidP="00EA30FC">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rsidR="00A92422" w:rsidRPr="00D87B79" w:rsidRDefault="00A92422" w:rsidP="00EA30FC">
            <w:pPr>
              <w:pStyle w:val="AppendixTableText"/>
              <w:spacing w:before="120"/>
              <w:rPr>
                <w:rFonts w:ascii="Tahoma" w:hAnsi="Tahoma" w:cs="Tahoma"/>
                <w:color w:val="000000"/>
              </w:rPr>
            </w:pPr>
            <w:r w:rsidRPr="00D87B79">
              <w:rPr>
                <w:rFonts w:ascii="Tahoma" w:hAnsi="Tahoma" w:cs="Tahoma"/>
                <w:color w:val="000000"/>
                <w:lang w:val="it-IT"/>
              </w:rPr>
              <w:t>Sì</w:t>
            </w:r>
          </w:p>
        </w:tc>
        <w:tc>
          <w:tcPr>
            <w:tcW w:w="1440" w:type="dxa"/>
            <w:tcBorders>
              <w:top w:val="single" w:sz="6" w:space="0" w:color="auto"/>
              <w:left w:val="single" w:sz="6" w:space="0" w:color="auto"/>
              <w:bottom w:val="single" w:sz="6" w:space="0" w:color="auto"/>
              <w:right w:val="single" w:sz="4" w:space="0" w:color="auto"/>
            </w:tcBorders>
          </w:tcPr>
          <w:p w:rsidR="00A92422" w:rsidRPr="00D87B79" w:rsidRDefault="00A92422" w:rsidP="00EA30FC">
            <w:pPr>
              <w:pStyle w:val="AppendixTableText"/>
              <w:spacing w:before="120"/>
              <w:rPr>
                <w:rFonts w:ascii="Tahoma" w:hAnsi="Tahoma" w:cs="Tahoma"/>
                <w:color w:val="000000"/>
              </w:rPr>
            </w:pPr>
          </w:p>
        </w:tc>
      </w:tr>
      <w:tr w:rsidR="00A92422" w:rsidRPr="00D87B79" w:rsidTr="00EA30F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A92422" w:rsidRPr="00D87B79" w:rsidRDefault="00A92422" w:rsidP="00EA30FC">
            <w:pPr>
              <w:pStyle w:val="AppendixTableText"/>
              <w:jc w:val="left"/>
              <w:rPr>
                <w:rFonts w:ascii="Tahoma" w:hAnsi="Tahoma" w:cs="Tahoma"/>
                <w:color w:val="000000"/>
              </w:rPr>
            </w:pPr>
            <w:r w:rsidRPr="00D87B79">
              <w:rPr>
                <w:rFonts w:ascii="Tahoma" w:hAnsi="Tahoma" w:cs="Tahoma"/>
                <w:color w:val="000000"/>
                <w:lang w:val="it-IT"/>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bottom"/>
          </w:tcPr>
          <w:p w:rsidR="00A92422" w:rsidRPr="00D87B79" w:rsidRDefault="00A92422" w:rsidP="00EA30FC">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rsidR="00A92422" w:rsidRPr="00D87B79" w:rsidRDefault="00A92422" w:rsidP="00EA30FC">
            <w:pPr>
              <w:pStyle w:val="AppendixTableText"/>
              <w:spacing w:after="120"/>
              <w:rPr>
                <w:rFonts w:ascii="Tahoma" w:hAnsi="Tahoma" w:cs="Tahoma"/>
                <w:color w:val="000000"/>
              </w:rPr>
            </w:pPr>
            <w:r w:rsidRPr="00D87B79">
              <w:rPr>
                <w:rFonts w:ascii="Tahoma" w:hAnsi="Tahoma" w:cs="Tahoma"/>
                <w:color w:val="000000"/>
                <w:lang w:val="it-IT"/>
              </w:rPr>
              <w:t>Sì</w:t>
            </w:r>
          </w:p>
        </w:tc>
        <w:tc>
          <w:tcPr>
            <w:tcW w:w="1530" w:type="dxa"/>
            <w:tcBorders>
              <w:top w:val="single" w:sz="6" w:space="0" w:color="auto"/>
              <w:left w:val="single" w:sz="6" w:space="0" w:color="auto"/>
              <w:bottom w:val="single" w:sz="6" w:space="0" w:color="auto"/>
              <w:right w:val="single" w:sz="4" w:space="0" w:color="auto"/>
            </w:tcBorders>
            <w:vAlign w:val="bottom"/>
          </w:tcPr>
          <w:p w:rsidR="00A92422" w:rsidRPr="00D87B79" w:rsidRDefault="00A92422" w:rsidP="00EA30FC">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rsidR="00A92422" w:rsidRPr="00D87B79" w:rsidRDefault="00A92422" w:rsidP="00EA30FC">
            <w:pPr>
              <w:pStyle w:val="AppendixTableText"/>
              <w:spacing w:before="120"/>
              <w:rPr>
                <w:rFonts w:ascii="Tahoma" w:hAnsi="Tahoma" w:cs="Tahoma"/>
                <w:color w:val="000000"/>
              </w:rPr>
            </w:pPr>
            <w:r w:rsidRPr="00D87B79">
              <w:rPr>
                <w:rFonts w:ascii="Tahoma" w:hAnsi="Tahoma" w:cs="Tahoma"/>
                <w:color w:val="000000"/>
                <w:lang w:val="it-IT"/>
              </w:rPr>
              <w:t>Sì</w:t>
            </w:r>
          </w:p>
        </w:tc>
        <w:tc>
          <w:tcPr>
            <w:tcW w:w="1440" w:type="dxa"/>
            <w:tcBorders>
              <w:top w:val="single" w:sz="6" w:space="0" w:color="auto"/>
              <w:left w:val="single" w:sz="6" w:space="0" w:color="auto"/>
              <w:bottom w:val="single" w:sz="6" w:space="0" w:color="auto"/>
              <w:right w:val="single" w:sz="4" w:space="0" w:color="auto"/>
            </w:tcBorders>
          </w:tcPr>
          <w:p w:rsidR="00A92422" w:rsidRPr="00D87B79" w:rsidRDefault="00A92422" w:rsidP="00EA30FC">
            <w:pPr>
              <w:pStyle w:val="AppendixTableText"/>
              <w:spacing w:before="120"/>
              <w:rPr>
                <w:rFonts w:ascii="Tahoma" w:hAnsi="Tahoma" w:cs="Tahoma"/>
                <w:color w:val="000000"/>
              </w:rPr>
            </w:pPr>
          </w:p>
        </w:tc>
      </w:tr>
      <w:tr w:rsidR="00A92422" w:rsidRPr="00D87B79" w:rsidTr="00EA30F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A92422" w:rsidRPr="00D87B79" w:rsidRDefault="00A92422" w:rsidP="00EA30FC">
            <w:pPr>
              <w:pStyle w:val="AppendixTableText"/>
              <w:jc w:val="left"/>
              <w:rPr>
                <w:rFonts w:ascii="Tahoma" w:hAnsi="Tahoma" w:cs="Tahoma"/>
              </w:rPr>
            </w:pPr>
            <w:r w:rsidRPr="00D87B79">
              <w:rPr>
                <w:rFonts w:ascii="Tahoma" w:hAnsi="Tahoma" w:cs="Tahoma"/>
                <w:lang w:val="it-IT"/>
              </w:rPr>
              <w:t>Licenza Step-Up</w:t>
            </w:r>
          </w:p>
        </w:tc>
        <w:tc>
          <w:tcPr>
            <w:tcW w:w="1530" w:type="dxa"/>
            <w:tcBorders>
              <w:top w:val="single" w:sz="6" w:space="0" w:color="auto"/>
              <w:left w:val="single" w:sz="6" w:space="0" w:color="auto"/>
              <w:bottom w:val="single" w:sz="6" w:space="0" w:color="auto"/>
              <w:right w:val="single" w:sz="6" w:space="0" w:color="auto"/>
            </w:tcBorders>
            <w:vAlign w:val="bottom"/>
          </w:tcPr>
          <w:p w:rsidR="00A92422" w:rsidRPr="00D87B79" w:rsidRDefault="00A92422" w:rsidP="00EA30FC">
            <w:pPr>
              <w:pStyle w:val="AppendixTableText"/>
              <w:rPr>
                <w:rFonts w:ascii="Tahoma" w:hAnsi="Tahoma" w:cs="Tahoma"/>
              </w:rPr>
            </w:pPr>
            <w:r w:rsidRPr="00D87B79">
              <w:rPr>
                <w:rFonts w:ascii="Tahoma" w:hAnsi="Tahoma" w:cs="Tahoma"/>
                <w:lang w:val="it-IT"/>
              </w:rPr>
              <w:t>Sì</w:t>
            </w:r>
          </w:p>
        </w:tc>
        <w:tc>
          <w:tcPr>
            <w:tcW w:w="1530" w:type="dxa"/>
            <w:tcBorders>
              <w:top w:val="single" w:sz="6" w:space="0" w:color="auto"/>
              <w:left w:val="single" w:sz="6" w:space="0" w:color="auto"/>
              <w:bottom w:val="single" w:sz="6" w:space="0" w:color="auto"/>
              <w:right w:val="single" w:sz="6" w:space="0" w:color="auto"/>
            </w:tcBorders>
            <w:vAlign w:val="bottom"/>
          </w:tcPr>
          <w:p w:rsidR="00A92422" w:rsidRPr="00D87B79" w:rsidRDefault="00A92422" w:rsidP="00EA30FC">
            <w:pPr>
              <w:pStyle w:val="AppendixTableText"/>
              <w:rPr>
                <w:rFonts w:ascii="Tahoma" w:hAnsi="Tahoma" w:cs="Tahoma"/>
              </w:rPr>
            </w:pPr>
            <w:r w:rsidRPr="00D87B79">
              <w:rPr>
                <w:rFonts w:ascii="Tahoma" w:hAnsi="Tahoma" w:cs="Tahoma"/>
                <w:lang w:val="it-IT"/>
              </w:rPr>
              <w:t>No</w:t>
            </w:r>
          </w:p>
        </w:tc>
        <w:tc>
          <w:tcPr>
            <w:tcW w:w="1530" w:type="dxa"/>
            <w:tcBorders>
              <w:top w:val="single" w:sz="6" w:space="0" w:color="auto"/>
              <w:left w:val="single" w:sz="6" w:space="0" w:color="auto"/>
              <w:bottom w:val="single" w:sz="6" w:space="0" w:color="auto"/>
              <w:right w:val="single" w:sz="4" w:space="0" w:color="auto"/>
            </w:tcBorders>
            <w:vAlign w:val="bottom"/>
          </w:tcPr>
          <w:p w:rsidR="00A92422" w:rsidRPr="00D87B79" w:rsidRDefault="00A92422" w:rsidP="00EA30FC">
            <w:pPr>
              <w:pStyle w:val="AppendixTableText"/>
              <w:rPr>
                <w:rFonts w:ascii="Tahoma" w:hAnsi="Tahoma" w:cs="Tahoma"/>
              </w:rPr>
            </w:pPr>
            <w:r w:rsidRPr="00D87B79">
              <w:rPr>
                <w:rFonts w:ascii="Tahoma" w:hAnsi="Tahoma" w:cs="Tahoma"/>
                <w:lang w:val="it-IT"/>
              </w:rPr>
              <w:t>Sì</w:t>
            </w:r>
          </w:p>
        </w:tc>
        <w:tc>
          <w:tcPr>
            <w:tcW w:w="1530" w:type="dxa"/>
            <w:tcBorders>
              <w:top w:val="single" w:sz="6" w:space="0" w:color="auto"/>
              <w:left w:val="single" w:sz="6" w:space="0" w:color="auto"/>
              <w:bottom w:val="single" w:sz="6" w:space="0" w:color="auto"/>
              <w:right w:val="single" w:sz="4" w:space="0" w:color="auto"/>
            </w:tcBorders>
          </w:tcPr>
          <w:p w:rsidR="00A92422" w:rsidRPr="00D87B79" w:rsidRDefault="00A92422" w:rsidP="00EA30FC">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tcPr>
          <w:p w:rsidR="00A92422" w:rsidRPr="00D87B79" w:rsidRDefault="00A92422" w:rsidP="00EA30FC">
            <w:pPr>
              <w:pStyle w:val="AppendixTableText"/>
              <w:rPr>
                <w:rFonts w:ascii="Tahoma" w:hAnsi="Tahoma" w:cs="Tahoma"/>
              </w:rPr>
            </w:pPr>
          </w:p>
        </w:tc>
      </w:tr>
      <w:tr w:rsidR="00A92422" w:rsidRPr="00D87B79" w:rsidTr="00EA30F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A92422" w:rsidRPr="00D87B79" w:rsidRDefault="00A92422" w:rsidP="00EA30FC">
            <w:pPr>
              <w:pStyle w:val="AppendixTableText"/>
              <w:jc w:val="left"/>
              <w:rPr>
                <w:rFonts w:ascii="Tahoma" w:hAnsi="Tahoma" w:cs="Tahoma"/>
              </w:rPr>
            </w:pPr>
            <w:r w:rsidRPr="00D87B79">
              <w:rPr>
                <w:rFonts w:ascii="Tahoma" w:hAnsi="Tahoma" w:cs="Tahoma"/>
                <w:lang w:val="it-IT"/>
              </w:rPr>
              <w:t>Windows 8 Enterprise Sideloading</w:t>
            </w:r>
          </w:p>
        </w:tc>
        <w:tc>
          <w:tcPr>
            <w:tcW w:w="1530" w:type="dxa"/>
            <w:tcBorders>
              <w:top w:val="single" w:sz="6" w:space="0" w:color="auto"/>
              <w:left w:val="single" w:sz="6" w:space="0" w:color="auto"/>
              <w:bottom w:val="single" w:sz="6" w:space="0" w:color="auto"/>
              <w:right w:val="single" w:sz="6" w:space="0" w:color="auto"/>
            </w:tcBorders>
            <w:vAlign w:val="bottom"/>
          </w:tcPr>
          <w:p w:rsidR="00A92422" w:rsidRPr="00D87B79" w:rsidRDefault="00A92422" w:rsidP="00EA30FC">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rsidR="00A92422" w:rsidRPr="00D87B79" w:rsidRDefault="00A92422" w:rsidP="00EA30FC">
            <w:pPr>
              <w:pStyle w:val="AppendixTableText"/>
              <w:rPr>
                <w:rFonts w:ascii="Tahoma" w:hAnsi="Tahoma" w:cs="Tahoma"/>
              </w:rPr>
            </w:pPr>
            <w:r w:rsidRPr="00D87B79">
              <w:rPr>
                <w:rFonts w:ascii="Tahoma" w:hAnsi="Tahoma" w:cs="Tahoma"/>
                <w:lang w:val="it-IT"/>
              </w:rPr>
              <w:t>Sì</w:t>
            </w:r>
          </w:p>
        </w:tc>
        <w:tc>
          <w:tcPr>
            <w:tcW w:w="1530" w:type="dxa"/>
            <w:tcBorders>
              <w:top w:val="single" w:sz="6" w:space="0" w:color="auto"/>
              <w:left w:val="single" w:sz="6" w:space="0" w:color="auto"/>
              <w:bottom w:val="single" w:sz="6" w:space="0" w:color="auto"/>
              <w:right w:val="single" w:sz="4" w:space="0" w:color="auto"/>
            </w:tcBorders>
            <w:vAlign w:val="bottom"/>
          </w:tcPr>
          <w:p w:rsidR="00A92422" w:rsidRPr="00D87B79" w:rsidRDefault="00A92422" w:rsidP="00EA30FC">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rsidR="00A92422" w:rsidRPr="00D87B79" w:rsidRDefault="00A92422" w:rsidP="00EA30FC">
            <w:pPr>
              <w:pStyle w:val="AppendixTableText"/>
              <w:rPr>
                <w:rFonts w:ascii="Tahoma" w:hAnsi="Tahoma" w:cs="Tahoma"/>
              </w:rPr>
            </w:pPr>
            <w:r w:rsidRPr="00D87B79">
              <w:rPr>
                <w:rFonts w:ascii="Tahoma" w:hAnsi="Tahoma" w:cs="Tahoma"/>
                <w:lang w:val="it-IT"/>
              </w:rPr>
              <w:t>Sì</w:t>
            </w:r>
          </w:p>
        </w:tc>
        <w:tc>
          <w:tcPr>
            <w:tcW w:w="1440" w:type="dxa"/>
            <w:tcBorders>
              <w:top w:val="single" w:sz="6" w:space="0" w:color="auto"/>
              <w:left w:val="single" w:sz="6" w:space="0" w:color="auto"/>
              <w:bottom w:val="single" w:sz="6" w:space="0" w:color="auto"/>
              <w:right w:val="single" w:sz="4" w:space="0" w:color="auto"/>
            </w:tcBorders>
          </w:tcPr>
          <w:p w:rsidR="00A92422" w:rsidRPr="00D87B79" w:rsidRDefault="00A92422" w:rsidP="00EA30FC">
            <w:pPr>
              <w:pStyle w:val="AppendixTableText"/>
              <w:rPr>
                <w:rFonts w:ascii="Tahoma" w:hAnsi="Tahoma" w:cs="Tahoma"/>
              </w:rPr>
            </w:pPr>
          </w:p>
        </w:tc>
      </w:tr>
      <w:tr w:rsidR="00A92422" w:rsidRPr="00D87B79" w:rsidTr="00EA30F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A92422" w:rsidRPr="00D87B79" w:rsidRDefault="00A92422" w:rsidP="00EA30FC">
            <w:pPr>
              <w:pStyle w:val="AppendixTableText"/>
              <w:jc w:val="left"/>
              <w:rPr>
                <w:rFonts w:ascii="Tahoma" w:hAnsi="Tahoma" w:cs="Tahoma"/>
              </w:rPr>
            </w:pPr>
            <w:r w:rsidRPr="00D87B79">
              <w:rPr>
                <w:rFonts w:ascii="Tahoma" w:hAnsi="Tahoma" w:cs="Tahoma"/>
                <w:lang w:val="it-IT"/>
              </w:rPr>
              <w:t>Licenza “Subscription” per Windows Companion</w:t>
            </w:r>
          </w:p>
        </w:tc>
        <w:tc>
          <w:tcPr>
            <w:tcW w:w="1530" w:type="dxa"/>
            <w:tcBorders>
              <w:top w:val="single" w:sz="6" w:space="0" w:color="auto"/>
              <w:left w:val="single" w:sz="6" w:space="0" w:color="auto"/>
              <w:bottom w:val="single" w:sz="6" w:space="0" w:color="auto"/>
              <w:right w:val="single" w:sz="6" w:space="0" w:color="auto"/>
            </w:tcBorders>
            <w:vAlign w:val="bottom"/>
          </w:tcPr>
          <w:p w:rsidR="00A92422" w:rsidRPr="00D87B79" w:rsidRDefault="00A92422" w:rsidP="00EA30FC">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rsidR="00A92422" w:rsidRPr="00D87B79" w:rsidRDefault="00A92422" w:rsidP="00EA30FC">
            <w:pPr>
              <w:pStyle w:val="AppendixTableText"/>
              <w:rPr>
                <w:rFonts w:ascii="Tahoma" w:hAnsi="Tahoma" w:cs="Tahoma"/>
              </w:rPr>
            </w:pPr>
            <w:r w:rsidRPr="00D87B79">
              <w:rPr>
                <w:rFonts w:ascii="Tahoma" w:hAnsi="Tahoma" w:cs="Tahoma"/>
                <w:lang w:val="it-IT"/>
              </w:rPr>
              <w:t>Sì</w:t>
            </w:r>
          </w:p>
        </w:tc>
        <w:tc>
          <w:tcPr>
            <w:tcW w:w="1530" w:type="dxa"/>
            <w:tcBorders>
              <w:top w:val="single" w:sz="6" w:space="0" w:color="auto"/>
              <w:left w:val="single" w:sz="6" w:space="0" w:color="auto"/>
              <w:bottom w:val="single" w:sz="6" w:space="0" w:color="auto"/>
              <w:right w:val="single" w:sz="4" w:space="0" w:color="auto"/>
            </w:tcBorders>
            <w:vAlign w:val="bottom"/>
          </w:tcPr>
          <w:p w:rsidR="00A92422" w:rsidRPr="00D87B79" w:rsidRDefault="00A92422" w:rsidP="00EA30FC">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rsidR="00A92422" w:rsidRPr="00D87B79" w:rsidRDefault="00A92422" w:rsidP="00EA30FC">
            <w:pPr>
              <w:pStyle w:val="AppendixTableText"/>
              <w:rPr>
                <w:rFonts w:ascii="Tahoma" w:hAnsi="Tahoma" w:cs="Tahoma"/>
              </w:rPr>
            </w:pPr>
            <w:r w:rsidRPr="00D87B79">
              <w:rPr>
                <w:rFonts w:ascii="Tahoma" w:hAnsi="Tahoma" w:cs="Tahoma"/>
                <w:lang w:val="it-IT"/>
              </w:rPr>
              <w:t>Sì</w:t>
            </w:r>
          </w:p>
        </w:tc>
        <w:tc>
          <w:tcPr>
            <w:tcW w:w="1440" w:type="dxa"/>
            <w:tcBorders>
              <w:top w:val="single" w:sz="6" w:space="0" w:color="auto"/>
              <w:left w:val="single" w:sz="6" w:space="0" w:color="auto"/>
              <w:bottom w:val="single" w:sz="6" w:space="0" w:color="auto"/>
              <w:right w:val="single" w:sz="4" w:space="0" w:color="auto"/>
            </w:tcBorders>
          </w:tcPr>
          <w:p w:rsidR="00A92422" w:rsidRPr="00D87B79" w:rsidRDefault="00A92422" w:rsidP="00EA30FC">
            <w:pPr>
              <w:pStyle w:val="AppendixTableText"/>
              <w:rPr>
                <w:rFonts w:ascii="Tahoma" w:hAnsi="Tahoma" w:cs="Tahoma"/>
              </w:rPr>
            </w:pPr>
          </w:p>
        </w:tc>
      </w:tr>
    </w:tbl>
    <w:p w:rsidR="00A92422" w:rsidRPr="00D87B79" w:rsidRDefault="00A92422" w:rsidP="00A92422">
      <w:pPr>
        <w:pStyle w:val="AppendixBodyText"/>
        <w:ind w:right="180"/>
        <w:rPr>
          <w:rFonts w:ascii="Tahoma" w:hAnsi="Tahoma" w:cs="Tahoma"/>
        </w:rPr>
      </w:pPr>
      <w:r w:rsidRPr="00D87B79">
        <w:rPr>
          <w:rFonts w:ascii="Tahoma" w:hAnsi="Tahoma" w:cs="Tahoma"/>
          <w:i/>
          <w:sz w:val="16"/>
          <w:lang w:val="it-IT"/>
        </w:rPr>
        <w:t>*Sì nella tabella significa Partecipazione a Software Assurance. L’acquisto di Software Assurance, la spesa SA per i prodotti qualificanti all’interno del pool indicato o l’acquisto di famiglie di prodotti Windows Intune (Per Dispositivo)/Office 365 qualificanti rendono idonea la società a ottenere il vantaggio.</w:t>
      </w:r>
    </w:p>
    <w:p w:rsidR="00A92422" w:rsidRPr="00D87B79" w:rsidRDefault="00A92422" w:rsidP="00A92422">
      <w:pPr>
        <w:pStyle w:val="AppendixBodyText"/>
        <w:ind w:right="180"/>
        <w:rPr>
          <w:rFonts w:ascii="Tahoma" w:hAnsi="Tahoma" w:cs="Tahoma"/>
        </w:rPr>
      </w:pPr>
      <w:r w:rsidRPr="00D87B79">
        <w:rPr>
          <w:rFonts w:ascii="Tahoma" w:hAnsi="Tahoma" w:cs="Tahoma"/>
          <w:i/>
          <w:sz w:val="16"/>
          <w:lang w:val="it-IT"/>
        </w:rPr>
        <w:t>*Microsoft potrà trattenere o interrompere, in qualsiasi momento, i vantaggi relativi alla Partecipazione a Software Assurance disponibili ai sensi della quarta iscrizione e di ogni iscrizione successiva in base al medesimo contratto Select, qualora tale azione sia ragionevole dal punto di vista commerciale.</w:t>
      </w:r>
    </w:p>
    <w:p w:rsidR="00A92422" w:rsidRPr="00D87B79" w:rsidRDefault="00A92422" w:rsidP="00A92422">
      <w:pPr>
        <w:pStyle w:val="AppendixBodyText"/>
        <w:rPr>
          <w:rFonts w:ascii="Tahoma" w:hAnsi="Tahoma" w:cs="Tahoma"/>
        </w:rPr>
      </w:pPr>
      <w:r w:rsidRPr="00D87B79">
        <w:rPr>
          <w:rFonts w:ascii="Tahoma" w:hAnsi="Tahoma" w:cs="Tahoma"/>
          <w:i/>
          <w:sz w:val="16"/>
          <w:lang w:val="it-IT"/>
        </w:rPr>
        <w:t>***Generalmente, le offerte di sottoscrizione che includono componenti software che contengono software con versione includeranno i diritti delle nuove versioni per tali componenti.</w:t>
      </w:r>
    </w:p>
    <w:p w:rsidR="00A92422" w:rsidRDefault="00A92422" w:rsidP="00A92422">
      <w:pPr>
        <w:pStyle w:val="AppendixBodyText"/>
        <w:spacing w:after="0"/>
        <w:rPr>
          <w:rFonts w:ascii="Tahoma" w:hAnsi="Tahoma" w:cs="Tahoma"/>
        </w:rPr>
      </w:pPr>
    </w:p>
    <w:p w:rsidR="00A92422" w:rsidRDefault="00A92422" w:rsidP="00A92422">
      <w:pPr>
        <w:pStyle w:val="AppendixBodyText"/>
        <w:spacing w:after="0"/>
        <w:rPr>
          <w:rFonts w:ascii="Tahoma" w:hAnsi="Tahoma" w:cs="Tahoma"/>
        </w:rPr>
      </w:pPr>
    </w:p>
    <w:p w:rsidR="00A92422" w:rsidRDefault="00A92422" w:rsidP="00A92422">
      <w:pPr>
        <w:pStyle w:val="AppendixBodyText"/>
        <w:spacing w:after="0"/>
        <w:rPr>
          <w:rFonts w:ascii="Tahoma" w:hAnsi="Tahoma" w:cs="Tahoma"/>
        </w:rPr>
      </w:pPr>
    </w:p>
    <w:p w:rsidR="00A92422" w:rsidRDefault="00A92422" w:rsidP="00A92422">
      <w:pPr>
        <w:pStyle w:val="AppendixBodyText"/>
        <w:spacing w:after="0"/>
        <w:rPr>
          <w:rFonts w:ascii="Tahoma" w:hAnsi="Tahoma" w:cs="Tahoma"/>
        </w:rPr>
      </w:pPr>
    </w:p>
    <w:p w:rsidR="00A92422" w:rsidRDefault="00A92422" w:rsidP="00A92422">
      <w:pPr>
        <w:pStyle w:val="AppendixBodyText"/>
        <w:spacing w:after="0"/>
        <w:rPr>
          <w:rFonts w:ascii="Tahoma" w:hAnsi="Tahoma" w:cs="Tahoma"/>
        </w:rPr>
      </w:pPr>
    </w:p>
    <w:p w:rsidR="00A92422" w:rsidRDefault="00A92422" w:rsidP="00A92422">
      <w:pPr>
        <w:pStyle w:val="AppendixBodyText"/>
        <w:spacing w:after="0"/>
        <w:rPr>
          <w:rFonts w:ascii="Tahoma" w:hAnsi="Tahoma" w:cs="Tahoma"/>
        </w:rPr>
      </w:pPr>
    </w:p>
    <w:p w:rsidR="00A92422" w:rsidRPr="00D87B79" w:rsidRDefault="00A92422" w:rsidP="00A92422">
      <w:pPr>
        <w:pStyle w:val="AppendixBodyText"/>
        <w:spacing w:after="0"/>
        <w:rPr>
          <w:rFonts w:ascii="Tahoma" w:hAnsi="Tahoma" w:cs="Tahoma"/>
        </w:rPr>
      </w:pPr>
    </w:p>
    <w:tbl>
      <w:tblPr>
        <w:tblW w:w="0" w:type="auto"/>
        <w:tblInd w:w="11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92422" w:rsidRPr="00D87B79" w:rsidTr="00EA30FC">
        <w:trPr>
          <w:trHeight w:val="60"/>
        </w:trPr>
        <w:tc>
          <w:tcPr>
            <w:tcW w:w="8280" w:type="dxa"/>
            <w:shd w:val="clear" w:color="auto" w:fill="FFCC99"/>
            <w:vAlign w:val="center"/>
          </w:tcPr>
          <w:p w:rsidR="00A92422" w:rsidRPr="00D87B79" w:rsidRDefault="00A92422" w:rsidP="00EA30FC">
            <w:pPr>
              <w:pStyle w:val="AppendixTableHeadings"/>
              <w:rPr>
                <w:rFonts w:ascii="Tahoma" w:hAnsi="Tahoma" w:cs="Tahoma"/>
                <w:sz w:val="20"/>
                <w:szCs w:val="20"/>
              </w:rPr>
            </w:pPr>
            <w:r w:rsidRPr="00D87B79">
              <w:rPr>
                <w:rFonts w:ascii="Tahoma" w:hAnsi="Tahoma" w:cs="Tahoma"/>
                <w:sz w:val="20"/>
                <w:szCs w:val="20"/>
                <w:lang w:val="it-IT"/>
              </w:rPr>
              <w:lastRenderedPageBreak/>
              <w:t>Prodotti del Pool di Applicazioni Office System</w:t>
            </w:r>
          </w:p>
        </w:tc>
      </w:tr>
      <w:tr w:rsidR="00A92422" w:rsidRPr="00D87B79" w:rsidTr="00EA30FC">
        <w:trPr>
          <w:trHeight w:val="438"/>
        </w:trPr>
        <w:tc>
          <w:tcPr>
            <w:tcW w:w="8280" w:type="dxa"/>
            <w:vAlign w:val="center"/>
          </w:tcPr>
          <w:p w:rsidR="00A92422" w:rsidRPr="00D87B79" w:rsidRDefault="00A92422" w:rsidP="00EA30FC">
            <w:pPr>
              <w:spacing w:line="240" w:lineRule="atLeast"/>
              <w:rPr>
                <w:rFonts w:cs="Tahoma"/>
              </w:rPr>
            </w:pPr>
            <w:r w:rsidRPr="00D87B79">
              <w:rPr>
                <w:rFonts w:cs="Tahoma"/>
                <w:color w:val="000000"/>
                <w:lang w:val="it-IT"/>
              </w:rPr>
              <w:t>Office Standard 2013</w:t>
            </w:r>
          </w:p>
          <w:p w:rsidR="00A92422" w:rsidRPr="00D87B79" w:rsidRDefault="00A92422" w:rsidP="00EA30FC">
            <w:pPr>
              <w:spacing w:line="240" w:lineRule="atLeast"/>
              <w:rPr>
                <w:rFonts w:cs="Tahoma"/>
              </w:rPr>
            </w:pPr>
            <w:r w:rsidRPr="00D87B79">
              <w:rPr>
                <w:rFonts w:cs="Tahoma"/>
                <w:color w:val="000000"/>
                <w:lang w:val="it-IT"/>
              </w:rPr>
              <w:t>Office Professional Plus 2013</w:t>
            </w:r>
            <w:r w:rsidRPr="00D87B79">
              <w:rPr>
                <w:rFonts w:cs="Tahoma"/>
              </w:rPr>
              <w:t xml:space="preserve"> </w:t>
            </w:r>
          </w:p>
          <w:p w:rsidR="00A92422" w:rsidRPr="00D87B79" w:rsidRDefault="00A92422" w:rsidP="00EA30FC">
            <w:pPr>
              <w:spacing w:line="240" w:lineRule="atLeast"/>
              <w:rPr>
                <w:rFonts w:cs="Tahoma"/>
              </w:rPr>
            </w:pPr>
            <w:r w:rsidRPr="00D87B79">
              <w:rPr>
                <w:rFonts w:cs="Tahoma"/>
                <w:color w:val="000000"/>
                <w:lang w:val="it-IT"/>
              </w:rPr>
              <w:t>Project Standard 2013</w:t>
            </w:r>
          </w:p>
          <w:p w:rsidR="00A92422" w:rsidRPr="00D87B79" w:rsidRDefault="00A92422" w:rsidP="00EA30FC">
            <w:pPr>
              <w:spacing w:line="240" w:lineRule="atLeast"/>
              <w:rPr>
                <w:rFonts w:cs="Tahoma"/>
              </w:rPr>
            </w:pPr>
            <w:r w:rsidRPr="00D87B79">
              <w:rPr>
                <w:rFonts w:cs="Tahoma"/>
                <w:color w:val="000000"/>
                <w:lang w:val="it-IT"/>
              </w:rPr>
              <w:t>Project Professional 2013</w:t>
            </w:r>
          </w:p>
          <w:p w:rsidR="00A92422" w:rsidRPr="00D87B79" w:rsidRDefault="00A92422" w:rsidP="00EA30FC">
            <w:pPr>
              <w:spacing w:line="240" w:lineRule="atLeast"/>
              <w:rPr>
                <w:rFonts w:cs="Tahoma"/>
              </w:rPr>
            </w:pPr>
            <w:r w:rsidRPr="00D87B79">
              <w:rPr>
                <w:rFonts w:cs="Tahoma"/>
                <w:color w:val="000000"/>
                <w:lang w:val="it-IT"/>
              </w:rPr>
              <w:t>Visio</w:t>
            </w:r>
            <w:r w:rsidRPr="003A0F2F">
              <w:rPr>
                <w:rFonts w:cs="Tahoma"/>
                <w:color w:val="000000"/>
                <w:vertAlign w:val="superscript"/>
                <w:lang w:val="it-IT"/>
              </w:rPr>
              <w:t>®</w:t>
            </w:r>
            <w:r w:rsidRPr="00D87B79">
              <w:rPr>
                <w:rFonts w:cs="Tahoma"/>
                <w:color w:val="000000"/>
                <w:lang w:val="it-IT"/>
              </w:rPr>
              <w:t xml:space="preserve"> Standard 2013</w:t>
            </w:r>
          </w:p>
          <w:p w:rsidR="00A92422" w:rsidRPr="00D87B79" w:rsidRDefault="00A92422" w:rsidP="00EA30FC">
            <w:pPr>
              <w:spacing w:line="240" w:lineRule="atLeast"/>
              <w:rPr>
                <w:rFonts w:cs="Tahoma"/>
              </w:rPr>
            </w:pPr>
            <w:r w:rsidRPr="00D87B79">
              <w:rPr>
                <w:rFonts w:cs="Tahoma"/>
                <w:color w:val="000000"/>
                <w:lang w:val="it-IT"/>
              </w:rPr>
              <w:t>Visio</w:t>
            </w:r>
            <w:r w:rsidRPr="003A0F2F">
              <w:rPr>
                <w:rFonts w:cs="Tahoma"/>
                <w:color w:val="000000"/>
                <w:vertAlign w:val="superscript"/>
                <w:lang w:val="it-IT"/>
              </w:rPr>
              <w:t>®</w:t>
            </w:r>
            <w:r w:rsidRPr="00D87B79">
              <w:rPr>
                <w:rFonts w:cs="Tahoma"/>
                <w:color w:val="000000"/>
                <w:lang w:val="it-IT"/>
              </w:rPr>
              <w:t xml:space="preserve"> Professional 2013</w:t>
            </w:r>
          </w:p>
          <w:p w:rsidR="00A92422" w:rsidRPr="00D87B79" w:rsidRDefault="00A92422" w:rsidP="00EA30FC">
            <w:pPr>
              <w:spacing w:line="240" w:lineRule="atLeast"/>
              <w:rPr>
                <w:rFonts w:cs="Tahoma"/>
              </w:rPr>
            </w:pPr>
            <w:r w:rsidRPr="00D87B79">
              <w:rPr>
                <w:rFonts w:cs="Tahoma"/>
                <w:color w:val="000000"/>
                <w:lang w:val="it-IT"/>
              </w:rPr>
              <w:t>Access 2013</w:t>
            </w:r>
          </w:p>
          <w:p w:rsidR="00A92422" w:rsidRPr="00D87B79" w:rsidRDefault="00A92422" w:rsidP="00EA30FC">
            <w:pPr>
              <w:spacing w:line="240" w:lineRule="atLeast"/>
              <w:rPr>
                <w:rFonts w:cs="Tahoma"/>
              </w:rPr>
            </w:pPr>
            <w:r w:rsidRPr="00D87B79">
              <w:rPr>
                <w:rFonts w:cs="Tahoma"/>
                <w:color w:val="000000"/>
                <w:lang w:val="it-IT"/>
              </w:rPr>
              <w:t>Excel 2013</w:t>
            </w:r>
            <w:r w:rsidRPr="00D87B79">
              <w:rPr>
                <w:rFonts w:cs="Tahoma"/>
              </w:rPr>
              <w:t xml:space="preserve"> </w:t>
            </w:r>
          </w:p>
          <w:p w:rsidR="00A92422" w:rsidRPr="00D87B79" w:rsidRDefault="00A92422" w:rsidP="00EA30FC">
            <w:pPr>
              <w:spacing w:line="240" w:lineRule="atLeast"/>
              <w:rPr>
                <w:rFonts w:cs="Tahoma"/>
              </w:rPr>
            </w:pPr>
            <w:r w:rsidRPr="00D87B79">
              <w:rPr>
                <w:rFonts w:cs="Tahoma"/>
                <w:color w:val="000000"/>
                <w:lang w:val="it-IT"/>
              </w:rPr>
              <w:t>InfoPath</w:t>
            </w:r>
            <w:r w:rsidRPr="003A0F2F">
              <w:rPr>
                <w:rFonts w:cs="Tahoma"/>
                <w:color w:val="000000"/>
                <w:vertAlign w:val="superscript"/>
                <w:lang w:val="it-IT"/>
              </w:rPr>
              <w:t>®</w:t>
            </w:r>
            <w:r w:rsidRPr="00D87B79">
              <w:rPr>
                <w:rFonts w:cs="Tahoma"/>
                <w:color w:val="000000"/>
                <w:lang w:val="it-IT"/>
              </w:rPr>
              <w:t xml:space="preserve"> 2013</w:t>
            </w:r>
          </w:p>
          <w:p w:rsidR="00A92422" w:rsidRPr="00D87B79" w:rsidRDefault="00A92422" w:rsidP="00EA30FC">
            <w:pPr>
              <w:spacing w:line="240" w:lineRule="atLeast"/>
              <w:rPr>
                <w:rFonts w:cs="Tahoma"/>
              </w:rPr>
            </w:pPr>
            <w:r w:rsidRPr="00D87B79">
              <w:rPr>
                <w:rFonts w:cs="Tahoma"/>
                <w:color w:val="000000"/>
                <w:lang w:val="it-IT"/>
              </w:rPr>
              <w:t>Lync 2013</w:t>
            </w:r>
          </w:p>
          <w:p w:rsidR="00A92422" w:rsidRPr="00D87B79" w:rsidRDefault="00A92422" w:rsidP="00EA30FC">
            <w:pPr>
              <w:spacing w:line="240" w:lineRule="atLeast"/>
              <w:rPr>
                <w:rFonts w:cs="Tahoma"/>
              </w:rPr>
            </w:pPr>
            <w:r w:rsidRPr="00D87B79">
              <w:rPr>
                <w:rFonts w:cs="Tahoma"/>
                <w:color w:val="000000"/>
                <w:lang w:val="it-IT"/>
              </w:rPr>
              <w:t>OneNote™ 2013</w:t>
            </w:r>
          </w:p>
          <w:p w:rsidR="00A92422" w:rsidRPr="00D87B79" w:rsidRDefault="00A92422" w:rsidP="00EA30FC">
            <w:pPr>
              <w:spacing w:line="240" w:lineRule="atLeast"/>
              <w:rPr>
                <w:rFonts w:cs="Tahoma"/>
              </w:rPr>
            </w:pPr>
            <w:r w:rsidRPr="00D87B79">
              <w:rPr>
                <w:rFonts w:cs="Tahoma"/>
                <w:color w:val="000000"/>
                <w:lang w:val="it-IT"/>
              </w:rPr>
              <w:t>Outlook</w:t>
            </w:r>
            <w:r w:rsidRPr="003A0F2F">
              <w:rPr>
                <w:rFonts w:cs="Tahoma"/>
                <w:color w:val="000000"/>
                <w:vertAlign w:val="superscript"/>
                <w:lang w:val="it-IT"/>
              </w:rPr>
              <w:t>®</w:t>
            </w:r>
            <w:r w:rsidRPr="00D87B79">
              <w:rPr>
                <w:rFonts w:cs="Tahoma"/>
                <w:color w:val="000000"/>
                <w:lang w:val="it-IT"/>
              </w:rPr>
              <w:t xml:space="preserve"> 2013</w:t>
            </w:r>
          </w:p>
          <w:p w:rsidR="00A92422" w:rsidRPr="00D87B79" w:rsidRDefault="00A92422" w:rsidP="00EA30FC">
            <w:pPr>
              <w:spacing w:line="240" w:lineRule="atLeast"/>
              <w:rPr>
                <w:rFonts w:cs="Tahoma"/>
              </w:rPr>
            </w:pPr>
            <w:r w:rsidRPr="00D87B79">
              <w:rPr>
                <w:rFonts w:cs="Tahoma"/>
                <w:color w:val="000000"/>
                <w:lang w:val="it-IT"/>
              </w:rPr>
              <w:t>PowerPoint</w:t>
            </w:r>
            <w:r w:rsidRPr="003A0F2F">
              <w:rPr>
                <w:rFonts w:cs="Tahoma"/>
                <w:color w:val="000000"/>
                <w:vertAlign w:val="superscript"/>
                <w:lang w:val="it-IT"/>
              </w:rPr>
              <w:t>®</w:t>
            </w:r>
            <w:r w:rsidRPr="00D87B79">
              <w:rPr>
                <w:rFonts w:cs="Tahoma"/>
                <w:color w:val="000000"/>
                <w:lang w:val="it-IT"/>
              </w:rPr>
              <w:t xml:space="preserve"> 2013</w:t>
            </w:r>
          </w:p>
          <w:p w:rsidR="00A92422" w:rsidRPr="00D87B79" w:rsidRDefault="00A92422" w:rsidP="00EA30FC">
            <w:pPr>
              <w:spacing w:line="240" w:lineRule="atLeast"/>
              <w:rPr>
                <w:rFonts w:cs="Tahoma"/>
              </w:rPr>
            </w:pPr>
            <w:r w:rsidRPr="00D87B79">
              <w:rPr>
                <w:rFonts w:cs="Tahoma"/>
                <w:color w:val="000000"/>
                <w:lang w:val="it-IT"/>
              </w:rPr>
              <w:t>Publisher 2013</w:t>
            </w:r>
          </w:p>
          <w:p w:rsidR="00A92422" w:rsidRPr="00D87B79" w:rsidRDefault="00A92422" w:rsidP="00EA30FC">
            <w:pPr>
              <w:spacing w:line="240" w:lineRule="atLeast"/>
              <w:rPr>
                <w:rFonts w:cs="Tahoma"/>
              </w:rPr>
            </w:pPr>
            <w:r w:rsidRPr="00D87B79">
              <w:rPr>
                <w:rFonts w:cs="Tahoma"/>
                <w:color w:val="000000"/>
                <w:lang w:val="it-IT"/>
              </w:rPr>
              <w:t>Word 2013</w:t>
            </w:r>
          </w:p>
          <w:p w:rsidR="00A92422" w:rsidRPr="00D87B79" w:rsidRDefault="00A92422" w:rsidP="00EA30FC">
            <w:pPr>
              <w:spacing w:line="240" w:lineRule="atLeast"/>
              <w:rPr>
                <w:rFonts w:cs="Tahoma"/>
              </w:rPr>
            </w:pPr>
            <w:r w:rsidRPr="00D87B79">
              <w:rPr>
                <w:rFonts w:cs="Tahoma"/>
                <w:color w:val="000000"/>
                <w:lang w:val="it-IT"/>
              </w:rPr>
              <w:t>Office per Mac Standard 2011</w:t>
            </w:r>
            <w:r w:rsidRPr="00D87B79">
              <w:rPr>
                <w:rFonts w:cs="Tahoma"/>
              </w:rPr>
              <w:t xml:space="preserve"> </w:t>
            </w:r>
          </w:p>
          <w:p w:rsidR="00A92422" w:rsidRPr="00D87B79" w:rsidRDefault="00A92422" w:rsidP="00EA30FC">
            <w:pPr>
              <w:spacing w:line="240" w:lineRule="atLeast"/>
              <w:rPr>
                <w:rFonts w:cs="Tahoma"/>
              </w:rPr>
            </w:pPr>
            <w:r w:rsidRPr="00D87B79">
              <w:rPr>
                <w:rFonts w:cs="Tahoma"/>
                <w:color w:val="000000"/>
                <w:lang w:val="it-IT"/>
              </w:rPr>
              <w:t>Lync per Mac 2011</w:t>
            </w:r>
          </w:p>
          <w:p w:rsidR="00A92422" w:rsidRPr="00D87B79" w:rsidRDefault="00A92422" w:rsidP="00EA30FC">
            <w:pPr>
              <w:spacing w:line="240" w:lineRule="atLeast"/>
              <w:rPr>
                <w:rFonts w:cs="Tahoma"/>
              </w:rPr>
            </w:pPr>
            <w:r w:rsidRPr="00D87B79">
              <w:rPr>
                <w:rFonts w:cs="Tahoma"/>
                <w:color w:val="000000"/>
                <w:lang w:val="it-IT"/>
              </w:rPr>
              <w:t>Outlook per Mac 2011 PowerPoint per Mac 2011</w:t>
            </w:r>
          </w:p>
          <w:p w:rsidR="00A92422" w:rsidRPr="00D87B79" w:rsidRDefault="00A92422" w:rsidP="00EA30FC">
            <w:pPr>
              <w:spacing w:line="240" w:lineRule="atLeast"/>
              <w:rPr>
                <w:rFonts w:cs="Tahoma"/>
              </w:rPr>
            </w:pPr>
            <w:r w:rsidRPr="00D87B79">
              <w:rPr>
                <w:rFonts w:cs="Tahoma"/>
                <w:color w:val="000000"/>
                <w:lang w:val="it-IT"/>
              </w:rPr>
              <w:t>Excel per Mac 2011</w:t>
            </w:r>
          </w:p>
          <w:p w:rsidR="00A92422" w:rsidRPr="00D87B79" w:rsidRDefault="00A92422" w:rsidP="00EA30FC">
            <w:pPr>
              <w:spacing w:line="240" w:lineRule="atLeast"/>
              <w:rPr>
                <w:rFonts w:cs="Tahoma"/>
                <w:color w:val="000000"/>
                <w:szCs w:val="18"/>
              </w:rPr>
            </w:pPr>
            <w:r w:rsidRPr="00D87B79">
              <w:rPr>
                <w:rFonts w:cs="Tahoma"/>
                <w:color w:val="000000"/>
                <w:szCs w:val="18"/>
                <w:lang w:val="it-IT"/>
              </w:rPr>
              <w:t>Word per Mac 2011</w:t>
            </w:r>
          </w:p>
        </w:tc>
      </w:tr>
    </w:tbl>
    <w:p w:rsidR="00A92422" w:rsidRPr="00D87B79" w:rsidRDefault="00A92422" w:rsidP="00A92422">
      <w:pPr>
        <w:pStyle w:val="AppendixBodyText"/>
        <w:ind w:firstLine="1080"/>
        <w:rPr>
          <w:rFonts w:ascii="Tahoma" w:hAnsi="Tahoma" w:cs="Tahoma"/>
        </w:rPr>
      </w:pPr>
      <w:r w:rsidRPr="00D87B79">
        <w:rPr>
          <w:rFonts w:ascii="Tahoma" w:hAnsi="Tahoma" w:cs="Tahoma"/>
          <w:b/>
          <w:i/>
          <w:sz w:val="16"/>
          <w:u w:val="single"/>
          <w:lang w:val="it-IT"/>
        </w:rPr>
        <w:t>Nota</w:t>
      </w:r>
      <w:r w:rsidRPr="0059546D">
        <w:rPr>
          <w:rFonts w:ascii="Tahoma" w:hAnsi="Tahoma" w:cs="Tahoma"/>
          <w:b/>
          <w:i/>
          <w:sz w:val="16"/>
          <w:lang w:val="it-IT"/>
        </w:rPr>
        <w:t>:</w:t>
      </w:r>
      <w:r w:rsidRPr="00D87B79">
        <w:rPr>
          <w:rFonts w:ascii="Tahoma" w:hAnsi="Tahoma" w:cs="Tahoma"/>
          <w:i/>
          <w:sz w:val="16"/>
          <w:szCs w:val="16"/>
        </w:rPr>
        <w:t xml:space="preserve"> </w:t>
      </w:r>
      <w:r w:rsidRPr="00D87B79">
        <w:rPr>
          <w:rFonts w:ascii="Tahoma" w:hAnsi="Tahoma" w:cs="Tahoma"/>
          <w:i/>
          <w:sz w:val="16"/>
          <w:lang w:val="it-IT"/>
        </w:rPr>
        <w:t>la lista dei prodotti del Pool di Applicazioni Office System è soggetta a modifica.</w:t>
      </w:r>
    </w:p>
    <w:p w:rsidR="00A92422" w:rsidRPr="00D14700" w:rsidRDefault="00A92422" w:rsidP="00A92422">
      <w:pPr>
        <w:pStyle w:val="AppendixBodyText"/>
        <w:spacing w:after="0"/>
        <w:rPr>
          <w:rFonts w:ascii="Tahoma" w:hAnsi="Tahoma" w:cs="Tahoma"/>
          <w:sz w:val="18"/>
          <w:szCs w:val="18"/>
        </w:rPr>
      </w:pPr>
    </w:p>
    <w:p w:rsidR="00A92422" w:rsidRPr="00D14700" w:rsidRDefault="00A92422" w:rsidP="00A92422">
      <w:pPr>
        <w:pStyle w:val="AppendixBodyText"/>
        <w:spacing w:after="0"/>
        <w:rPr>
          <w:rFonts w:ascii="Tahoma" w:hAnsi="Tahoma" w:cs="Tahoma"/>
          <w:sz w:val="18"/>
          <w:szCs w:val="18"/>
        </w:rPr>
      </w:pPr>
    </w:p>
    <w:p w:rsidR="00A92422" w:rsidRPr="00D87B79" w:rsidRDefault="00A92422" w:rsidP="00A92422">
      <w:pPr>
        <w:pStyle w:val="Heading2"/>
        <w:ind w:left="0"/>
        <w:rPr>
          <w:rFonts w:ascii="Tahoma" w:hAnsi="Tahoma" w:cs="Tahoma"/>
        </w:rPr>
      </w:pPr>
      <w:bookmarkStart w:id="840" w:name="_Toc336338228"/>
      <w:bookmarkStart w:id="841" w:name="_Toc342900280"/>
      <w:bookmarkEnd w:id="840"/>
      <w:r w:rsidRPr="00D87B79">
        <w:rPr>
          <w:rFonts w:ascii="Tahoma" w:hAnsi="Tahoma" w:cs="Tahoma"/>
          <w:lang w:val="it-IT"/>
        </w:rPr>
        <w:t>Diritti su Versioni Nuove</w:t>
      </w:r>
      <w:bookmarkEnd w:id="841"/>
    </w:p>
    <w:p w:rsidR="00A92422" w:rsidRPr="00D87B79" w:rsidRDefault="00A92422" w:rsidP="00A92422">
      <w:pPr>
        <w:rPr>
          <w:rFonts w:cs="Tahoma"/>
        </w:rPr>
      </w:pPr>
    </w:p>
    <w:p w:rsidR="00A92422" w:rsidRPr="00D87B79" w:rsidRDefault="00A92422" w:rsidP="00A92422">
      <w:pPr>
        <w:pStyle w:val="AppendixBodyText"/>
        <w:rPr>
          <w:rFonts w:ascii="Tahoma" w:hAnsi="Tahoma" w:cs="Tahoma"/>
        </w:rPr>
      </w:pPr>
      <w:r w:rsidRPr="00D87B79">
        <w:rPr>
          <w:rFonts w:ascii="Tahoma" w:hAnsi="Tahoma" w:cs="Tahoma"/>
          <w:color w:val="000000"/>
          <w:sz w:val="18"/>
          <w:lang w:val="it-IT"/>
        </w:rPr>
        <w:t>Le società con copertura Software Assurance sono idonee ad effettuare l’aggiornamento a nuove versioni del software con licenza reso disponibile durante il periodo di validità della copertura Software Assurance.</w:t>
      </w:r>
      <w:r w:rsidRPr="00D87B79">
        <w:rPr>
          <w:rFonts w:ascii="Tahoma" w:hAnsi="Tahoma" w:cs="Tahoma"/>
          <w:color w:val="000000"/>
          <w:sz w:val="18"/>
        </w:rPr>
        <w:t xml:space="preserve"> </w:t>
      </w:r>
      <w:r w:rsidRPr="00D87B79">
        <w:rPr>
          <w:rFonts w:ascii="Tahoma" w:hAnsi="Tahoma" w:cs="Tahoma"/>
          <w:color w:val="000000"/>
          <w:sz w:val="18"/>
          <w:lang w:val="it-IT"/>
        </w:rPr>
        <w:t>Diritti su Versioni Nuove, in relazione al prodotto con licenza sottostante per il quale viene ordinata la copertura Software Assurance, significa il diritto di effettuare l’aggiornamento e di eseguire al posto del prodotto con licenza sottostante l’ultima versione di tale prodotto che Microsoft rende disponibile durante il periodo di copertura.</w:t>
      </w:r>
      <w:r w:rsidRPr="00D87B79">
        <w:rPr>
          <w:rFonts w:ascii="Tahoma" w:hAnsi="Tahoma" w:cs="Tahoma"/>
          <w:color w:val="000000"/>
          <w:sz w:val="18"/>
        </w:rPr>
        <w:t xml:space="preserve"> </w:t>
      </w:r>
      <w:r w:rsidRPr="00D87B79">
        <w:rPr>
          <w:rFonts w:ascii="Tahoma" w:hAnsi="Tahoma" w:cs="Tahoma"/>
          <w:color w:val="000000"/>
          <w:sz w:val="18"/>
          <w:lang w:val="it-IT"/>
        </w:rPr>
        <w:t>Ad esempio, qualora una nuova versione di Microsoft Office venga resa disponibile durante il periodo di validità della copertura, le licenze verranno automaticamente aggiornate alla nuova versione.</w:t>
      </w:r>
      <w:r w:rsidRPr="00D87B79">
        <w:rPr>
          <w:rFonts w:ascii="Tahoma" w:hAnsi="Tahoma" w:cs="Tahoma"/>
        </w:rPr>
        <w:t xml:space="preserve"> </w:t>
      </w:r>
      <w:r w:rsidRPr="00D87B79">
        <w:rPr>
          <w:rFonts w:ascii="Tahoma" w:hAnsi="Tahoma" w:cs="Tahoma"/>
          <w:color w:val="000000"/>
          <w:sz w:val="18"/>
          <w:lang w:val="it-IT"/>
        </w:rPr>
        <w:t>Le società che acquistano licenze perpetue tramite Software Assurance possono distribuire gli aggiornamenti dopo la scadenza della copertura.</w:t>
      </w:r>
      <w:r w:rsidRPr="00D87B79">
        <w:rPr>
          <w:rFonts w:ascii="Tahoma" w:hAnsi="Tahoma" w:cs="Tahoma"/>
        </w:rPr>
        <w:t xml:space="preserve"> </w:t>
      </w:r>
    </w:p>
    <w:p w:rsidR="00A92422" w:rsidRPr="00D87B79" w:rsidRDefault="00A92422" w:rsidP="00A92422">
      <w:pPr>
        <w:pStyle w:val="AppendixBodyText"/>
        <w:spacing w:after="0"/>
        <w:rPr>
          <w:rFonts w:ascii="Tahoma" w:hAnsi="Tahoma" w:cs="Tahoma"/>
        </w:rPr>
      </w:pPr>
    </w:p>
    <w:p w:rsidR="00A92422" w:rsidRPr="00D87B79" w:rsidRDefault="00A92422" w:rsidP="00A92422">
      <w:pPr>
        <w:pStyle w:val="AppendixBodyText"/>
        <w:spacing w:after="0"/>
        <w:rPr>
          <w:rFonts w:ascii="Tahoma" w:hAnsi="Tahoma" w:cs="Tahoma"/>
        </w:rPr>
      </w:pPr>
    </w:p>
    <w:p w:rsidR="00A92422" w:rsidRPr="00D87B79" w:rsidRDefault="00A92422" w:rsidP="00A92422">
      <w:pPr>
        <w:pStyle w:val="Heading2"/>
        <w:ind w:left="0"/>
        <w:rPr>
          <w:rFonts w:ascii="Tahoma" w:hAnsi="Tahoma" w:cs="Tahoma"/>
        </w:rPr>
      </w:pPr>
      <w:bookmarkStart w:id="842" w:name="_Toc336338229"/>
      <w:bookmarkStart w:id="843" w:name="_Toc342900281"/>
      <w:bookmarkEnd w:id="842"/>
      <w:r w:rsidRPr="00D87B79">
        <w:rPr>
          <w:rFonts w:ascii="Tahoma" w:hAnsi="Tahoma" w:cs="Tahoma"/>
          <w:lang w:val="it-IT"/>
        </w:rPr>
        <w:t>Office Multi Language Pack</w:t>
      </w:r>
      <w:bookmarkEnd w:id="843"/>
    </w:p>
    <w:p w:rsidR="00A92422" w:rsidRPr="00D87B79" w:rsidRDefault="00A92422" w:rsidP="00A92422">
      <w:pPr>
        <w:rPr>
          <w:rFonts w:cs="Tahoma"/>
        </w:rPr>
      </w:pPr>
    </w:p>
    <w:p w:rsidR="00A92422" w:rsidRPr="00D87B79" w:rsidRDefault="00A92422" w:rsidP="00A92422">
      <w:pPr>
        <w:jc w:val="both"/>
        <w:rPr>
          <w:rFonts w:cs="Tahoma"/>
        </w:rPr>
      </w:pPr>
      <w:r w:rsidRPr="00D87B79">
        <w:rPr>
          <w:rFonts w:cs="Tahoma"/>
          <w:b/>
          <w:lang w:val="it-IT"/>
        </w:rPr>
        <w:t>Società Software Assurance:</w:t>
      </w:r>
      <w:r w:rsidRPr="00D87B79">
        <w:rPr>
          <w:rFonts w:cs="Tahoma"/>
          <w:szCs w:val="18"/>
        </w:rPr>
        <w:t xml:space="preserve"> </w:t>
      </w:r>
      <w:r w:rsidRPr="00D87B79">
        <w:rPr>
          <w:rFonts w:cs="Tahoma"/>
          <w:lang w:val="it-IT"/>
        </w:rPr>
        <w:t>Le società con copertura Software Assurance attiva per i prodotti e le suite di Office System sono idonee a ricevere questo vantaggio durante il periodo di validità della copertura Software Assurance.</w:t>
      </w:r>
      <w:r w:rsidRPr="00D87B79">
        <w:rPr>
          <w:rFonts w:cs="Tahoma"/>
        </w:rPr>
        <w:t xml:space="preserve"> </w:t>
      </w:r>
      <w:r w:rsidRPr="00D87B79">
        <w:rPr>
          <w:rFonts w:cs="Tahoma"/>
          <w:lang w:val="it-IT"/>
        </w:rPr>
        <w:t>Le</w:t>
      </w:r>
      <w:r>
        <w:rPr>
          <w:rFonts w:cs="Tahoma"/>
          <w:lang w:val="it-IT"/>
        </w:rPr>
        <w:t> </w:t>
      </w:r>
      <w:r w:rsidRPr="00D87B79">
        <w:rPr>
          <w:rFonts w:cs="Tahoma"/>
          <w:lang w:val="it-IT"/>
        </w:rPr>
        <w:t>società possono utilizzare l’ultima versione di Office Multi Language Pack con le copie del software Office System che sono autorizzate a usare ai sensi di licenze qualificanti.</w:t>
      </w:r>
      <w:r w:rsidRPr="00D87B79">
        <w:rPr>
          <w:rFonts w:cs="Tahoma"/>
        </w:rPr>
        <w:t xml:space="preserve"> </w:t>
      </w:r>
    </w:p>
    <w:p w:rsidR="00A92422" w:rsidRPr="00D87B79" w:rsidRDefault="00A92422" w:rsidP="00A92422">
      <w:pPr>
        <w:jc w:val="both"/>
        <w:rPr>
          <w:rFonts w:cs="Tahoma"/>
        </w:rPr>
      </w:pPr>
      <w:r w:rsidRPr="00D87B79">
        <w:rPr>
          <w:rFonts w:cs="Tahoma"/>
          <w:b/>
          <w:lang w:val="it-IT"/>
        </w:rPr>
        <w:t>Società idonee per i vantaggi dei Servizi Online:</w:t>
      </w:r>
      <w:r w:rsidRPr="00D87B79">
        <w:rPr>
          <w:rFonts w:cs="Tahoma"/>
          <w:szCs w:val="18"/>
        </w:rPr>
        <w:t xml:space="preserve"> </w:t>
      </w:r>
      <w:r w:rsidRPr="00D87B79">
        <w:rPr>
          <w:rFonts w:cs="Tahoma"/>
          <w:szCs w:val="18"/>
          <w:lang w:val="it-IT"/>
        </w:rPr>
        <w:t>Le società con suite Office Pro Plus per Office 365 e Office 365 E3 e E4 sono idonee a ricevere questo vantaggio durante il periodo di validità dell’iscrizione.</w:t>
      </w:r>
      <w:r w:rsidRPr="00D87B79">
        <w:rPr>
          <w:rFonts w:cs="Tahoma"/>
          <w:szCs w:val="18"/>
        </w:rPr>
        <w:t xml:space="preserve"> </w:t>
      </w:r>
    </w:p>
    <w:p w:rsidR="00A92422" w:rsidRPr="00D87B79" w:rsidRDefault="00A92422" w:rsidP="00A92422">
      <w:pPr>
        <w:jc w:val="both"/>
        <w:rPr>
          <w:rFonts w:cs="Tahoma"/>
        </w:rPr>
      </w:pPr>
    </w:p>
    <w:p w:rsidR="00A92422" w:rsidRPr="00D87B79" w:rsidRDefault="00A92422" w:rsidP="00A92422">
      <w:pPr>
        <w:jc w:val="both"/>
        <w:rPr>
          <w:rFonts w:cs="Tahoma"/>
        </w:rPr>
      </w:pPr>
      <w:r w:rsidRPr="00D87B79">
        <w:rPr>
          <w:rFonts w:cs="Tahoma"/>
          <w:lang w:val="it-IT"/>
        </w:rPr>
        <w:t>Qualora il contratto di una società fornisca diritti perpetui di utilizzo del software ai sensi di licenze qualificanti, la</w:t>
      </w:r>
      <w:r>
        <w:rPr>
          <w:rFonts w:cs="Tahoma"/>
          <w:lang w:val="it-IT"/>
        </w:rPr>
        <w:t> </w:t>
      </w:r>
      <w:r w:rsidRPr="00D87B79">
        <w:rPr>
          <w:rFonts w:cs="Tahoma"/>
          <w:lang w:val="it-IT"/>
        </w:rPr>
        <w:t>società disporrà di un diritto perpetuo di utilizzo dell’Office Multi Language Pack con tale software (una società può continuare a utilizzare il software Office Multi Language Pack con Office System ai sensi delle licenze qualificanti anche dopo la scadenza della copertura SA per tali licenze). Diversamente il diritto di utilizzare l’Office Multi Language Pack cesserà alla scadenza dei diritti concessi dalla licenza qualificante per Office System.</w:t>
      </w:r>
      <w:r w:rsidRPr="00D87B79">
        <w:rPr>
          <w:rFonts w:cs="Tahoma"/>
        </w:rPr>
        <w:t xml:space="preserve"> </w:t>
      </w:r>
    </w:p>
    <w:p w:rsidR="00A92422" w:rsidRPr="00D87B79" w:rsidRDefault="00A92422" w:rsidP="00A92422">
      <w:pPr>
        <w:jc w:val="both"/>
        <w:rPr>
          <w:rFonts w:cs="Tahoma"/>
        </w:rPr>
      </w:pPr>
    </w:p>
    <w:p w:rsidR="00A92422" w:rsidRDefault="00A92422" w:rsidP="00A92422">
      <w:pPr>
        <w:jc w:val="both"/>
        <w:rPr>
          <w:rFonts w:cs="Tahoma"/>
        </w:rPr>
      </w:pPr>
    </w:p>
    <w:p w:rsidR="00A92422" w:rsidRDefault="00A92422" w:rsidP="00A92422">
      <w:pPr>
        <w:jc w:val="both"/>
        <w:rPr>
          <w:rFonts w:cs="Tahoma"/>
        </w:rPr>
      </w:pPr>
    </w:p>
    <w:p w:rsidR="00A92422" w:rsidRDefault="00A92422" w:rsidP="00A92422">
      <w:pPr>
        <w:jc w:val="both"/>
        <w:rPr>
          <w:rFonts w:cs="Tahoma"/>
        </w:rPr>
      </w:pPr>
    </w:p>
    <w:p w:rsidR="00A92422" w:rsidRPr="00D87B79" w:rsidRDefault="00A92422" w:rsidP="00A92422">
      <w:pPr>
        <w:jc w:val="both"/>
        <w:rPr>
          <w:rFonts w:cs="Tahoma"/>
        </w:rPr>
      </w:pPr>
    </w:p>
    <w:p w:rsidR="00A92422" w:rsidRPr="00D87B79" w:rsidRDefault="00A92422" w:rsidP="00A92422">
      <w:pPr>
        <w:outlineLvl w:val="1"/>
        <w:rPr>
          <w:rFonts w:cs="Tahoma"/>
        </w:rPr>
      </w:pPr>
      <w:bookmarkStart w:id="844" w:name="_Toc291204555"/>
      <w:bookmarkEnd w:id="844"/>
      <w:r w:rsidRPr="00D87B79">
        <w:rPr>
          <w:rFonts w:cs="Tahoma"/>
          <w:b/>
          <w:sz w:val="24"/>
          <w:lang w:val="it-IT"/>
        </w:rPr>
        <w:lastRenderedPageBreak/>
        <w:t>Planning Services</w:t>
      </w:r>
    </w:p>
    <w:p w:rsidR="00A92422" w:rsidRPr="00D87B79" w:rsidRDefault="00A92422" w:rsidP="00A92422">
      <w:pPr>
        <w:rPr>
          <w:rFonts w:cs="Tahoma"/>
        </w:rPr>
      </w:pPr>
    </w:p>
    <w:p w:rsidR="00A92422" w:rsidRPr="00D87B79" w:rsidRDefault="00A92422" w:rsidP="00A92422">
      <w:pPr>
        <w:spacing w:after="60"/>
        <w:rPr>
          <w:rFonts w:cs="Tahoma"/>
        </w:rPr>
      </w:pPr>
      <w:r w:rsidRPr="00D87B79">
        <w:rPr>
          <w:rFonts w:cs="Tahoma"/>
          <w:color w:val="000000"/>
          <w:szCs w:val="18"/>
          <w:lang w:val="it-IT"/>
        </w:rPr>
        <w:t>Le società che non siano società con Contratti Academic Select License, Select Plus for Academic, Campus e School e</w:t>
      </w:r>
      <w:r>
        <w:rPr>
          <w:rFonts w:cs="Tahoma"/>
          <w:color w:val="000000"/>
          <w:szCs w:val="18"/>
          <w:lang w:val="it-IT"/>
        </w:rPr>
        <w:t> </w:t>
      </w:r>
      <w:r w:rsidRPr="00D87B79">
        <w:rPr>
          <w:rFonts w:cs="Tahoma"/>
          <w:color w:val="000000"/>
          <w:szCs w:val="18"/>
          <w:lang w:val="it-IT"/>
        </w:rPr>
        <w:t>Open Value Subscription - Education Solutions, ma con Partecipazione a Software Assurance nel Pool di Applicazioni e Server sono idonee a ricevere questo vantaggio.</w:t>
      </w:r>
      <w:r w:rsidRPr="00D87B79">
        <w:rPr>
          <w:rFonts w:cs="Tahoma"/>
          <w:color w:val="000000"/>
          <w:szCs w:val="18"/>
        </w:rPr>
        <w:t xml:space="preserve"> </w:t>
      </w:r>
      <w:r w:rsidRPr="00D87B79">
        <w:rPr>
          <w:rFonts w:cs="Tahoma"/>
          <w:color w:val="000000"/>
          <w:szCs w:val="18"/>
          <w:lang w:val="it-IT"/>
        </w:rPr>
        <w:t>Il vantaggio Planning Services mette a disposizione delle società idonee offerte di servizi personalizzati predeterminati.</w:t>
      </w:r>
      <w:r w:rsidRPr="00D87B79">
        <w:rPr>
          <w:rFonts w:cs="Tahoma"/>
        </w:rPr>
        <w:t xml:space="preserve"> </w:t>
      </w:r>
      <w:r w:rsidRPr="00D87B79">
        <w:rPr>
          <w:rFonts w:cs="Tahoma"/>
          <w:color w:val="000000"/>
          <w:lang w:val="it-IT"/>
        </w:rPr>
        <w:t>Le offerte disponibili includono:</w:t>
      </w:r>
    </w:p>
    <w:p w:rsidR="00A92422" w:rsidRPr="00D87B79" w:rsidRDefault="00A92422" w:rsidP="00A92422">
      <w:pPr>
        <w:spacing w:after="60"/>
        <w:rPr>
          <w:rFonts w:cs="Tahoma"/>
        </w:rPr>
      </w:pPr>
    </w:p>
    <w:p w:rsidR="00A92422" w:rsidRPr="00D87B79" w:rsidRDefault="00A92422" w:rsidP="00A92422">
      <w:pPr>
        <w:numPr>
          <w:ilvl w:val="0"/>
          <w:numId w:val="17"/>
        </w:numPr>
        <w:spacing w:after="60" w:line="276" w:lineRule="auto"/>
        <w:rPr>
          <w:rFonts w:cs="Tahoma"/>
        </w:rPr>
      </w:pPr>
      <w:r w:rsidRPr="00D87B79">
        <w:rPr>
          <w:rFonts w:cs="Tahoma"/>
          <w:color w:val="000000"/>
          <w:lang w:val="it-IT"/>
        </w:rPr>
        <w:t>Desktop Deployment Planning Services (DDPS)</w:t>
      </w:r>
    </w:p>
    <w:p w:rsidR="00A92422" w:rsidRPr="00D87B79" w:rsidRDefault="00A92422" w:rsidP="00A92422">
      <w:pPr>
        <w:numPr>
          <w:ilvl w:val="1"/>
          <w:numId w:val="55"/>
        </w:numPr>
        <w:spacing w:after="60" w:line="276" w:lineRule="auto"/>
        <w:ind w:left="1980"/>
        <w:rPr>
          <w:rFonts w:cs="Tahoma"/>
        </w:rPr>
      </w:pPr>
      <w:r w:rsidRPr="00D87B79">
        <w:rPr>
          <w:rFonts w:cs="Tahoma"/>
          <w:color w:val="000000"/>
          <w:szCs w:val="18"/>
          <w:lang w:val="it-IT"/>
        </w:rPr>
        <w:t>Descrizione:</w:t>
      </w:r>
      <w:r w:rsidRPr="00D87B79">
        <w:rPr>
          <w:rFonts w:cs="Tahoma"/>
          <w:color w:val="000000"/>
          <w:szCs w:val="18"/>
        </w:rPr>
        <w:t xml:space="preserve"> </w:t>
      </w:r>
      <w:r w:rsidRPr="00D87B79">
        <w:rPr>
          <w:rFonts w:cs="Tahoma"/>
          <w:color w:val="000000"/>
          <w:lang w:val="it-IT"/>
        </w:rPr>
        <w:t>DDPS offre alle società le procedure tecniche, di analisi e di pianificazione di</w:t>
      </w:r>
      <w:r>
        <w:rPr>
          <w:rFonts w:cs="Tahoma"/>
          <w:color w:val="000000"/>
          <w:lang w:val="it-IT"/>
        </w:rPr>
        <w:t> </w:t>
      </w:r>
      <w:r w:rsidRPr="00D87B79">
        <w:rPr>
          <w:rFonts w:cs="Tahoma"/>
          <w:color w:val="000000"/>
          <w:lang w:val="it-IT"/>
        </w:rPr>
        <w:t>base necessarie per iniziare la distribuzione dei desktop con Office 2010 e Windows 8. Questa offerta si basa sulle procedure consigliate da Microsoft per la distribuzione di desktop</w:t>
      </w:r>
      <w:r>
        <w:rPr>
          <w:rFonts w:cs="Tahoma"/>
          <w:color w:val="000000"/>
          <w:lang w:val="it-IT"/>
        </w:rPr>
        <w:t> </w:t>
      </w:r>
      <w:r w:rsidRPr="00D87B79">
        <w:rPr>
          <w:rFonts w:cs="Tahoma"/>
          <w:color w:val="000000"/>
          <w:lang w:val="it-IT"/>
        </w:rPr>
        <w:t>e consente alle società di ridurre costi e complessità tramite livelli elevati di processi</w:t>
      </w:r>
      <w:r>
        <w:rPr>
          <w:rFonts w:cs="Tahoma"/>
          <w:color w:val="000000"/>
          <w:lang w:val="it-IT"/>
        </w:rPr>
        <w:t> </w:t>
      </w:r>
      <w:r w:rsidRPr="00D87B79">
        <w:rPr>
          <w:rFonts w:cs="Tahoma"/>
          <w:color w:val="000000"/>
          <w:lang w:val="it-IT"/>
        </w:rPr>
        <w:t>e automazione.</w:t>
      </w:r>
      <w:r w:rsidRPr="00D87B79">
        <w:rPr>
          <w:rFonts w:cs="Tahoma"/>
        </w:rPr>
        <w:t xml:space="preserve"> </w:t>
      </w:r>
      <w:r w:rsidRPr="00D87B79">
        <w:rPr>
          <w:rFonts w:cs="Tahoma"/>
          <w:color w:val="000000"/>
          <w:lang w:val="it-IT"/>
        </w:rPr>
        <w:t>DDPS può inoltre offrire assistenza alle organizzazioni che valutano Office 365 attraverso l’analisi di controprestazioni e requisiti per l’adozione di un ambiente desktop pronto per il cloud.</w:t>
      </w:r>
    </w:p>
    <w:p w:rsidR="00A92422" w:rsidRPr="00D87B79" w:rsidRDefault="00A92422" w:rsidP="00A92422">
      <w:pPr>
        <w:numPr>
          <w:ilvl w:val="1"/>
          <w:numId w:val="55"/>
        </w:numPr>
        <w:spacing w:after="60" w:line="276" w:lineRule="auto"/>
        <w:ind w:left="1980"/>
        <w:rPr>
          <w:rFonts w:cs="Tahoma"/>
        </w:rPr>
      </w:pPr>
      <w:r w:rsidRPr="00D87B79">
        <w:rPr>
          <w:rFonts w:cs="Tahoma"/>
          <w:color w:val="000000"/>
          <w:szCs w:val="18"/>
          <w:lang w:val="it-IT"/>
        </w:rPr>
        <w:t>Livelli di Servizio:</w:t>
      </w:r>
      <w:r w:rsidRPr="00D87B79">
        <w:rPr>
          <w:rFonts w:cs="Tahoma"/>
          <w:color w:val="000000"/>
          <w:szCs w:val="18"/>
        </w:rPr>
        <w:t xml:space="preserve"> </w:t>
      </w:r>
      <w:r w:rsidRPr="00D87B79">
        <w:rPr>
          <w:rFonts w:cs="Tahoma"/>
          <w:color w:val="000000"/>
          <w:lang w:val="it-IT"/>
        </w:rPr>
        <w:t>1, 3, 5, 10 o 15 giorni</w:t>
      </w:r>
    </w:p>
    <w:p w:rsidR="00A92422" w:rsidRPr="00D87B79" w:rsidRDefault="00A92422" w:rsidP="00A92422">
      <w:pPr>
        <w:numPr>
          <w:ilvl w:val="0"/>
          <w:numId w:val="18"/>
        </w:numPr>
        <w:spacing w:after="60" w:line="276" w:lineRule="auto"/>
        <w:ind w:left="1440"/>
        <w:rPr>
          <w:rFonts w:cs="Tahoma"/>
        </w:rPr>
      </w:pPr>
      <w:r w:rsidRPr="00D87B79">
        <w:rPr>
          <w:rFonts w:cs="Tahoma"/>
          <w:color w:val="000000"/>
          <w:lang w:val="it-IT"/>
        </w:rPr>
        <w:t>SharePoint Deployment Planning Services (SDPS)</w:t>
      </w:r>
    </w:p>
    <w:p w:rsidR="00A92422" w:rsidRPr="00D87B79" w:rsidRDefault="00A92422" w:rsidP="00A92422">
      <w:pPr>
        <w:numPr>
          <w:ilvl w:val="1"/>
          <w:numId w:val="56"/>
        </w:numPr>
        <w:spacing w:after="60" w:line="276" w:lineRule="auto"/>
        <w:ind w:left="1980"/>
        <w:rPr>
          <w:rFonts w:cs="Tahoma"/>
        </w:rPr>
      </w:pPr>
      <w:r w:rsidRPr="00D87B79">
        <w:rPr>
          <w:rFonts w:cs="Tahoma"/>
          <w:color w:val="000000"/>
          <w:szCs w:val="18"/>
          <w:lang w:val="it-IT"/>
        </w:rPr>
        <w:t>Descrizione:</w:t>
      </w:r>
      <w:r w:rsidRPr="00D87B79">
        <w:rPr>
          <w:rFonts w:cs="Tahoma"/>
          <w:color w:val="000000"/>
          <w:szCs w:val="18"/>
        </w:rPr>
        <w:t xml:space="preserve"> </w:t>
      </w:r>
      <w:r w:rsidRPr="00D87B79">
        <w:rPr>
          <w:rFonts w:cs="Tahoma"/>
          <w:color w:val="000000"/>
          <w:szCs w:val="18"/>
          <w:lang w:val="it-IT"/>
        </w:rPr>
        <w:t>SDPS consente a partner qualificati e a consulenti Microsoft di aiutare le società a sviluppare un piano di distribuzione personalizzato di SharePoint Portal Server per il loro ambiente specifico e di valutare il costo complessivo della distribuzione della tecnologia.</w:t>
      </w:r>
      <w:r w:rsidRPr="00D87B79">
        <w:rPr>
          <w:rFonts w:cs="Tahoma"/>
          <w:color w:val="000000"/>
          <w:szCs w:val="18"/>
        </w:rPr>
        <w:t xml:space="preserve"> </w:t>
      </w:r>
      <w:r w:rsidRPr="00D87B79">
        <w:rPr>
          <w:rFonts w:cs="Tahoma"/>
          <w:color w:val="000000"/>
          <w:szCs w:val="18"/>
          <w:lang w:val="it-IT"/>
        </w:rPr>
        <w:t>SDPS può inoltre aiutare le società con la pianificazione della distribuzione per agevolare il</w:t>
      </w:r>
      <w:r>
        <w:rPr>
          <w:rFonts w:cs="Tahoma"/>
          <w:color w:val="000000"/>
          <w:szCs w:val="18"/>
          <w:lang w:val="it-IT"/>
        </w:rPr>
        <w:t> </w:t>
      </w:r>
      <w:r w:rsidRPr="00D87B79">
        <w:rPr>
          <w:rFonts w:cs="Tahoma"/>
          <w:color w:val="000000"/>
          <w:szCs w:val="18"/>
          <w:lang w:val="it-IT"/>
        </w:rPr>
        <w:t>passaggio a Office 365, sulla base di SharePoint Online.</w:t>
      </w:r>
      <w:r w:rsidRPr="00D87B79">
        <w:rPr>
          <w:rFonts w:cs="Tahoma"/>
          <w:color w:val="000000"/>
          <w:szCs w:val="18"/>
        </w:rPr>
        <w:t xml:space="preserve"> </w:t>
      </w:r>
    </w:p>
    <w:p w:rsidR="00A92422" w:rsidRPr="00D87B79" w:rsidRDefault="00A92422" w:rsidP="00A92422">
      <w:pPr>
        <w:numPr>
          <w:ilvl w:val="1"/>
          <w:numId w:val="56"/>
        </w:numPr>
        <w:spacing w:after="60" w:line="276" w:lineRule="auto"/>
        <w:ind w:left="1980"/>
        <w:rPr>
          <w:rFonts w:cs="Tahoma"/>
        </w:rPr>
      </w:pPr>
      <w:r w:rsidRPr="00D87B79">
        <w:rPr>
          <w:rFonts w:cs="Tahoma"/>
          <w:color w:val="000000"/>
          <w:szCs w:val="18"/>
          <w:lang w:val="it-IT"/>
        </w:rPr>
        <w:t>Livelli di Servizio:</w:t>
      </w:r>
      <w:r w:rsidRPr="00D87B79">
        <w:rPr>
          <w:rFonts w:cs="Tahoma"/>
          <w:color w:val="000000"/>
          <w:szCs w:val="18"/>
        </w:rPr>
        <w:t xml:space="preserve"> </w:t>
      </w:r>
      <w:r w:rsidRPr="00D87B79">
        <w:rPr>
          <w:rFonts w:cs="Tahoma"/>
          <w:color w:val="000000"/>
          <w:lang w:val="it-IT"/>
        </w:rPr>
        <w:t>1, 3, 5, 10 o 15 giorni</w:t>
      </w:r>
    </w:p>
    <w:p w:rsidR="00A92422" w:rsidRPr="00D87B79" w:rsidRDefault="00A92422" w:rsidP="00A92422">
      <w:pPr>
        <w:numPr>
          <w:ilvl w:val="0"/>
          <w:numId w:val="17"/>
        </w:numPr>
        <w:spacing w:after="60" w:line="276" w:lineRule="auto"/>
        <w:rPr>
          <w:rFonts w:cs="Tahoma"/>
        </w:rPr>
      </w:pPr>
      <w:r w:rsidRPr="00D87B79">
        <w:rPr>
          <w:rFonts w:cs="Tahoma"/>
          <w:color w:val="000000"/>
          <w:lang w:val="it-IT"/>
        </w:rPr>
        <w:t>Lync and Exchange Deployment Planning Services (L&amp;EDPS)</w:t>
      </w:r>
    </w:p>
    <w:p w:rsidR="00A92422" w:rsidRPr="00D87B79" w:rsidRDefault="00A92422" w:rsidP="00A92422">
      <w:pPr>
        <w:numPr>
          <w:ilvl w:val="1"/>
          <w:numId w:val="57"/>
        </w:numPr>
        <w:spacing w:after="60" w:line="276" w:lineRule="auto"/>
        <w:ind w:left="1980"/>
        <w:rPr>
          <w:rFonts w:cs="Tahoma"/>
        </w:rPr>
      </w:pPr>
      <w:r w:rsidRPr="00D87B79">
        <w:rPr>
          <w:rFonts w:cs="Tahoma"/>
          <w:color w:val="000000"/>
          <w:szCs w:val="18"/>
          <w:lang w:val="it-IT"/>
        </w:rPr>
        <w:t>Descrizione:</w:t>
      </w:r>
      <w:r w:rsidRPr="00D87B79">
        <w:rPr>
          <w:rFonts w:cs="Tahoma"/>
          <w:color w:val="000000"/>
          <w:szCs w:val="18"/>
        </w:rPr>
        <w:t xml:space="preserve"> </w:t>
      </w:r>
      <w:r w:rsidRPr="00D87B79">
        <w:rPr>
          <w:rFonts w:cs="Tahoma"/>
          <w:color w:val="000000"/>
          <w:szCs w:val="18"/>
          <w:lang w:val="it-IT"/>
        </w:rPr>
        <w:t>L&amp;EDPS consente a partner qualificati e a consulenti Microsoft di assistere le</w:t>
      </w:r>
      <w:r>
        <w:rPr>
          <w:rFonts w:cs="Tahoma"/>
          <w:color w:val="000000"/>
          <w:szCs w:val="18"/>
          <w:lang w:val="it-IT"/>
        </w:rPr>
        <w:t> </w:t>
      </w:r>
      <w:r w:rsidRPr="00D87B79">
        <w:rPr>
          <w:rFonts w:cs="Tahoma"/>
          <w:color w:val="000000"/>
          <w:szCs w:val="18"/>
          <w:lang w:val="it-IT"/>
        </w:rPr>
        <w:t>società nelle fasi di pianificazione della distribuzione e del valore delle implementazioni di</w:t>
      </w:r>
      <w:r>
        <w:rPr>
          <w:rFonts w:cs="Tahoma"/>
          <w:color w:val="000000"/>
          <w:szCs w:val="18"/>
          <w:lang w:val="it-IT"/>
        </w:rPr>
        <w:t> </w:t>
      </w:r>
      <w:r w:rsidRPr="00D87B79">
        <w:rPr>
          <w:rFonts w:cs="Tahoma"/>
          <w:color w:val="000000"/>
          <w:szCs w:val="18"/>
          <w:lang w:val="it-IT"/>
        </w:rPr>
        <w:t>Lync ed Exchange 2010, inclusa l’analisi dell’ambiente dell’organizzazione della società e</w:t>
      </w:r>
      <w:r>
        <w:rPr>
          <w:rFonts w:cs="Tahoma"/>
          <w:color w:val="000000"/>
          <w:szCs w:val="18"/>
          <w:lang w:val="it-IT"/>
        </w:rPr>
        <w:t> </w:t>
      </w:r>
      <w:r w:rsidRPr="00D87B79">
        <w:rPr>
          <w:rFonts w:cs="Tahoma"/>
          <w:color w:val="000000"/>
          <w:szCs w:val="18"/>
          <w:lang w:val="it-IT"/>
        </w:rPr>
        <w:t>la condivisione delle procedure consigliate, sia per soluzioni On-Premise che cloud.</w:t>
      </w:r>
      <w:r w:rsidRPr="00D87B79">
        <w:rPr>
          <w:rFonts w:cs="Tahoma"/>
        </w:rPr>
        <w:t xml:space="preserve"> </w:t>
      </w:r>
      <w:r w:rsidRPr="00D87B79">
        <w:rPr>
          <w:rFonts w:cs="Tahoma"/>
          <w:color w:val="000000"/>
          <w:lang w:val="it-IT"/>
        </w:rPr>
        <w:t>L&amp;EDPS può inoltre aiutare le società con la pianificazione della distribuzione per agevolare il</w:t>
      </w:r>
      <w:r>
        <w:rPr>
          <w:rFonts w:cs="Tahoma"/>
          <w:color w:val="000000"/>
          <w:lang w:val="it-IT"/>
        </w:rPr>
        <w:t> </w:t>
      </w:r>
      <w:r w:rsidRPr="00D87B79">
        <w:rPr>
          <w:rFonts w:cs="Tahoma"/>
          <w:color w:val="000000"/>
          <w:lang w:val="it-IT"/>
        </w:rPr>
        <w:t>passaggio a Office 365, sulla base di Lync ed Exchange Online.</w:t>
      </w:r>
    </w:p>
    <w:p w:rsidR="00A92422" w:rsidRPr="00D87B79" w:rsidRDefault="00A92422" w:rsidP="00A92422">
      <w:pPr>
        <w:numPr>
          <w:ilvl w:val="1"/>
          <w:numId w:val="57"/>
        </w:numPr>
        <w:spacing w:after="60" w:line="276" w:lineRule="auto"/>
        <w:ind w:left="1980"/>
        <w:rPr>
          <w:rFonts w:cs="Tahoma"/>
        </w:rPr>
      </w:pPr>
      <w:r w:rsidRPr="00D87B79">
        <w:rPr>
          <w:rFonts w:cs="Tahoma"/>
          <w:color w:val="000000"/>
          <w:szCs w:val="18"/>
          <w:lang w:val="it-IT"/>
        </w:rPr>
        <w:t>Livelli di Servizio:</w:t>
      </w:r>
      <w:r w:rsidRPr="00D87B79">
        <w:rPr>
          <w:rFonts w:cs="Tahoma"/>
          <w:color w:val="000000"/>
          <w:szCs w:val="18"/>
        </w:rPr>
        <w:t xml:space="preserve"> </w:t>
      </w:r>
      <w:r w:rsidRPr="00D87B79">
        <w:rPr>
          <w:rFonts w:cs="Tahoma"/>
          <w:color w:val="000000"/>
          <w:lang w:val="it-IT"/>
        </w:rPr>
        <w:t>1, 3, 5, 10 o 15 giorni</w:t>
      </w:r>
    </w:p>
    <w:p w:rsidR="00A92422" w:rsidRPr="00D87B79" w:rsidRDefault="00A92422" w:rsidP="00A92422">
      <w:pPr>
        <w:numPr>
          <w:ilvl w:val="0"/>
          <w:numId w:val="17"/>
        </w:numPr>
        <w:spacing w:after="60" w:line="276" w:lineRule="auto"/>
        <w:rPr>
          <w:rFonts w:cs="Tahoma"/>
        </w:rPr>
      </w:pPr>
      <w:r w:rsidRPr="00D87B79">
        <w:rPr>
          <w:rFonts w:cs="Tahoma"/>
          <w:color w:val="000000"/>
          <w:lang w:val="it-IT"/>
        </w:rPr>
        <w:t>Private Cloud, Management, and Virtualization Deployment Planning Services (PVDPS)</w:t>
      </w:r>
    </w:p>
    <w:p w:rsidR="00A92422" w:rsidRPr="00D87B79" w:rsidRDefault="00A92422" w:rsidP="00A92422">
      <w:pPr>
        <w:numPr>
          <w:ilvl w:val="1"/>
          <w:numId w:val="58"/>
        </w:numPr>
        <w:spacing w:after="60" w:line="276" w:lineRule="auto"/>
        <w:ind w:left="1980"/>
        <w:rPr>
          <w:rFonts w:cs="Tahoma"/>
        </w:rPr>
      </w:pPr>
      <w:r w:rsidRPr="00D87B79">
        <w:rPr>
          <w:rFonts w:cs="Tahoma"/>
          <w:color w:val="000000"/>
          <w:szCs w:val="18"/>
          <w:lang w:val="it-IT"/>
        </w:rPr>
        <w:t>Descrizione:</w:t>
      </w:r>
      <w:r w:rsidRPr="00D87B79">
        <w:rPr>
          <w:rFonts w:cs="Tahoma"/>
          <w:color w:val="000000"/>
          <w:szCs w:val="18"/>
        </w:rPr>
        <w:t xml:space="preserve"> </w:t>
      </w:r>
      <w:r w:rsidRPr="00D87B79">
        <w:rPr>
          <w:rFonts w:cs="Tahoma"/>
          <w:szCs w:val="18"/>
          <w:lang w:val="it-IT"/>
        </w:rPr>
        <w:t>PVDPS offre engagement di consulenza strutturati che aiutano le società a trarre vantaggio dalle soluzioni infrastrutturali basate su Windows Server, Systems Center e</w:t>
      </w:r>
      <w:r>
        <w:rPr>
          <w:rFonts w:cs="Tahoma"/>
          <w:szCs w:val="18"/>
          <w:lang w:val="it-IT"/>
        </w:rPr>
        <w:t> </w:t>
      </w:r>
      <w:r w:rsidRPr="00D87B79">
        <w:rPr>
          <w:rFonts w:cs="Tahoma"/>
          <w:szCs w:val="18"/>
          <w:lang w:val="it-IT"/>
        </w:rPr>
        <w:t>Hyper-V.</w:t>
      </w:r>
      <w:r w:rsidRPr="00D87B79">
        <w:rPr>
          <w:rFonts w:cs="Tahoma"/>
        </w:rPr>
        <w:t xml:space="preserve"> </w:t>
      </w:r>
      <w:r w:rsidRPr="00D87B79">
        <w:rPr>
          <w:rFonts w:cs="Tahoma"/>
          <w:lang w:val="it-IT"/>
        </w:rPr>
        <w:t>Questo servizio consentirà di ridurre i costi dei datacenter, aumentare la flessibilità aziendale e fornire un maggiore controllo dell’infrastruttura fisica, virtuale e</w:t>
      </w:r>
      <w:r>
        <w:rPr>
          <w:rFonts w:cs="Tahoma"/>
          <w:lang w:val="it-IT"/>
        </w:rPr>
        <w:t> </w:t>
      </w:r>
      <w:r w:rsidRPr="00D87B79">
        <w:rPr>
          <w:rFonts w:cs="Tahoma"/>
          <w:lang w:val="it-IT"/>
        </w:rPr>
        <w:t>ibrida</w:t>
      </w:r>
      <w:r>
        <w:rPr>
          <w:rFonts w:cs="Tahoma"/>
          <w:lang w:val="it-IT"/>
        </w:rPr>
        <w:t> </w:t>
      </w:r>
      <w:r w:rsidRPr="00D87B79">
        <w:rPr>
          <w:rFonts w:cs="Tahoma"/>
          <w:lang w:val="it-IT"/>
        </w:rPr>
        <w:t>della società</w:t>
      </w:r>
      <w:r w:rsidRPr="00D87B79">
        <w:rPr>
          <w:rFonts w:cs="Tahoma"/>
          <w:color w:val="000000"/>
          <w:lang w:val="it-IT"/>
        </w:rPr>
        <w:t>.</w:t>
      </w:r>
      <w:r w:rsidRPr="00D87B79">
        <w:rPr>
          <w:rFonts w:cs="Tahoma"/>
        </w:rPr>
        <w:t xml:space="preserve"> </w:t>
      </w:r>
    </w:p>
    <w:p w:rsidR="00A92422" w:rsidRPr="00D87B79" w:rsidRDefault="00A92422" w:rsidP="00A92422">
      <w:pPr>
        <w:numPr>
          <w:ilvl w:val="1"/>
          <w:numId w:val="58"/>
        </w:numPr>
        <w:spacing w:after="60" w:line="276" w:lineRule="auto"/>
        <w:ind w:left="1980"/>
        <w:rPr>
          <w:rFonts w:cs="Tahoma"/>
        </w:rPr>
      </w:pPr>
      <w:r w:rsidRPr="00D87B79">
        <w:rPr>
          <w:rFonts w:cs="Tahoma"/>
          <w:color w:val="000000"/>
          <w:szCs w:val="18"/>
          <w:lang w:val="it-IT"/>
        </w:rPr>
        <w:t>Livelli di Servizio:</w:t>
      </w:r>
      <w:r w:rsidRPr="00D87B79">
        <w:rPr>
          <w:rFonts w:cs="Tahoma"/>
          <w:color w:val="000000"/>
          <w:szCs w:val="18"/>
        </w:rPr>
        <w:t xml:space="preserve"> </w:t>
      </w:r>
      <w:r w:rsidRPr="00D87B79">
        <w:rPr>
          <w:rFonts w:cs="Tahoma"/>
          <w:color w:val="000000"/>
          <w:lang w:val="it-IT"/>
        </w:rPr>
        <w:t>3, 5, 10 o 15 giorni</w:t>
      </w:r>
    </w:p>
    <w:p w:rsidR="00A92422" w:rsidRPr="00D87B79" w:rsidRDefault="00A92422" w:rsidP="00A92422">
      <w:pPr>
        <w:numPr>
          <w:ilvl w:val="0"/>
          <w:numId w:val="17"/>
        </w:numPr>
        <w:spacing w:after="60" w:line="276" w:lineRule="auto"/>
        <w:rPr>
          <w:rFonts w:cs="Tahoma"/>
        </w:rPr>
      </w:pPr>
      <w:r w:rsidRPr="00D87B79">
        <w:rPr>
          <w:rFonts w:cs="Tahoma"/>
          <w:color w:val="000000"/>
          <w:lang w:val="it-IT"/>
        </w:rPr>
        <w:t>SQL Server Deployment Planning Services (SSDPS)</w:t>
      </w:r>
    </w:p>
    <w:p w:rsidR="00A92422" w:rsidRPr="00D87B79" w:rsidRDefault="00A92422" w:rsidP="00A92422">
      <w:pPr>
        <w:numPr>
          <w:ilvl w:val="1"/>
          <w:numId w:val="59"/>
        </w:numPr>
        <w:spacing w:after="60" w:line="276" w:lineRule="auto"/>
        <w:ind w:left="1980"/>
        <w:rPr>
          <w:rFonts w:cs="Tahoma"/>
        </w:rPr>
      </w:pPr>
      <w:r w:rsidRPr="00D87B79">
        <w:rPr>
          <w:rFonts w:cs="Tahoma"/>
          <w:color w:val="000000"/>
          <w:szCs w:val="18"/>
          <w:lang w:val="it-IT"/>
        </w:rPr>
        <w:t>Descrizione:</w:t>
      </w:r>
      <w:r w:rsidRPr="00D87B79">
        <w:rPr>
          <w:rFonts w:cs="Tahoma"/>
          <w:color w:val="000000"/>
          <w:szCs w:val="18"/>
        </w:rPr>
        <w:t xml:space="preserve"> </w:t>
      </w:r>
      <w:r w:rsidRPr="00D87B79">
        <w:rPr>
          <w:rFonts w:cs="Tahoma"/>
          <w:lang w:val="it-IT"/>
        </w:rPr>
        <w:t>SSDPS offre la valutazione approfondita e la pianificazione della distribuzione per la migrazione a SQL Server, l’aggiornamento alla nuova versione della soluzione SQL Server e la soluzione SQL Server Business Intelligence.</w:t>
      </w:r>
    </w:p>
    <w:p w:rsidR="00A92422" w:rsidRPr="00FE43EF" w:rsidRDefault="00A92422" w:rsidP="00A92422">
      <w:pPr>
        <w:numPr>
          <w:ilvl w:val="1"/>
          <w:numId w:val="59"/>
        </w:numPr>
        <w:spacing w:after="60" w:line="276" w:lineRule="auto"/>
        <w:ind w:left="1980"/>
        <w:rPr>
          <w:rFonts w:cs="Tahoma"/>
        </w:rPr>
      </w:pPr>
      <w:r w:rsidRPr="00D87B79">
        <w:rPr>
          <w:rFonts w:cs="Tahoma"/>
          <w:color w:val="000000"/>
          <w:szCs w:val="18"/>
          <w:lang w:val="it-IT"/>
        </w:rPr>
        <w:t>Livelli di Servizio:</w:t>
      </w:r>
      <w:r w:rsidRPr="00D87B79">
        <w:rPr>
          <w:rFonts w:cs="Tahoma"/>
          <w:color w:val="000000"/>
          <w:szCs w:val="18"/>
        </w:rPr>
        <w:t xml:space="preserve"> </w:t>
      </w:r>
      <w:r w:rsidRPr="00D87B79">
        <w:rPr>
          <w:rFonts w:cs="Tahoma"/>
          <w:color w:val="000000"/>
          <w:lang w:val="it-IT"/>
        </w:rPr>
        <w:t>3, 5, 10 o 15 giorni</w:t>
      </w:r>
    </w:p>
    <w:p w:rsidR="00A92422" w:rsidRPr="00D87B79" w:rsidRDefault="00A92422" w:rsidP="00A92422">
      <w:pPr>
        <w:numPr>
          <w:ilvl w:val="0"/>
          <w:numId w:val="17"/>
        </w:numPr>
        <w:spacing w:after="60" w:line="276" w:lineRule="auto"/>
        <w:rPr>
          <w:rFonts w:cs="Tahoma"/>
        </w:rPr>
      </w:pPr>
      <w:r w:rsidRPr="00D87B79">
        <w:rPr>
          <w:rFonts w:cs="Tahoma"/>
          <w:color w:val="000000"/>
          <w:lang w:val="it-IT"/>
        </w:rPr>
        <w:t>Developer Tools Deployment Planning Services (DTDPS)</w:t>
      </w:r>
    </w:p>
    <w:p w:rsidR="00A92422" w:rsidRPr="00D87B79" w:rsidRDefault="00A92422" w:rsidP="00A92422">
      <w:pPr>
        <w:numPr>
          <w:ilvl w:val="1"/>
          <w:numId w:val="60"/>
        </w:numPr>
        <w:spacing w:after="60" w:line="276" w:lineRule="auto"/>
        <w:ind w:left="1980"/>
        <w:rPr>
          <w:rFonts w:cs="Tahoma"/>
        </w:rPr>
      </w:pPr>
      <w:r w:rsidRPr="00D87B79">
        <w:rPr>
          <w:rFonts w:cs="Tahoma"/>
          <w:color w:val="000000"/>
          <w:szCs w:val="18"/>
          <w:lang w:val="it-IT"/>
        </w:rPr>
        <w:t>Descrizione:</w:t>
      </w:r>
      <w:r w:rsidRPr="00D87B79">
        <w:rPr>
          <w:rFonts w:cs="Tahoma"/>
          <w:color w:val="000000"/>
          <w:szCs w:val="18"/>
        </w:rPr>
        <w:t xml:space="preserve"> </w:t>
      </w:r>
      <w:r w:rsidRPr="00D87B79">
        <w:rPr>
          <w:rFonts w:cs="Tahoma"/>
          <w:lang w:val="it-IT"/>
        </w:rPr>
        <w:t>DTDPS offre analisi rigorose e un approccio incentrato sui processi per lo sviluppo di un piano di distribuzione di Visual Studio Team Foundation Server o Visual Studio Test Tools. Utilizzando procedure consigliate da Microsoft, un partner certificato realizzerà un piano di distribuzione univoco, personalizzato in base alle esigenze della società</w:t>
      </w:r>
      <w:r w:rsidRPr="00D87B79">
        <w:rPr>
          <w:rFonts w:cs="Tahoma"/>
          <w:color w:val="000000"/>
          <w:lang w:val="it-IT"/>
        </w:rPr>
        <w:t>.</w:t>
      </w:r>
      <w:r w:rsidRPr="00D87B79">
        <w:rPr>
          <w:rFonts w:cs="Tahoma"/>
        </w:rPr>
        <w:t xml:space="preserve"> </w:t>
      </w:r>
    </w:p>
    <w:p w:rsidR="00A92422" w:rsidRPr="00D87B79" w:rsidRDefault="00A92422" w:rsidP="00A92422">
      <w:pPr>
        <w:numPr>
          <w:ilvl w:val="1"/>
          <w:numId w:val="60"/>
        </w:numPr>
        <w:spacing w:after="60" w:line="276" w:lineRule="auto"/>
        <w:ind w:left="1980"/>
        <w:rPr>
          <w:rFonts w:cs="Tahoma"/>
        </w:rPr>
      </w:pPr>
      <w:r w:rsidRPr="00D87B79">
        <w:rPr>
          <w:rFonts w:cs="Tahoma"/>
          <w:color w:val="000000"/>
          <w:szCs w:val="18"/>
          <w:lang w:val="it-IT"/>
        </w:rPr>
        <w:lastRenderedPageBreak/>
        <w:t>Livelli di Servizio:</w:t>
      </w:r>
      <w:r w:rsidRPr="00D87B79">
        <w:rPr>
          <w:rFonts w:cs="Tahoma"/>
          <w:color w:val="000000"/>
          <w:szCs w:val="18"/>
        </w:rPr>
        <w:t xml:space="preserve"> </w:t>
      </w:r>
      <w:r w:rsidRPr="00D87B79">
        <w:rPr>
          <w:rFonts w:cs="Tahoma"/>
          <w:color w:val="000000"/>
          <w:lang w:val="it-IT"/>
        </w:rPr>
        <w:t>3 o 5 giorni</w:t>
      </w:r>
    </w:p>
    <w:p w:rsidR="00A92422" w:rsidRPr="00D87B79" w:rsidRDefault="00A92422" w:rsidP="00A92422">
      <w:pPr>
        <w:numPr>
          <w:ilvl w:val="0"/>
          <w:numId w:val="17"/>
        </w:numPr>
        <w:spacing w:after="60" w:line="276" w:lineRule="auto"/>
        <w:ind w:leftChars="650" w:left="1170" w:firstLine="0"/>
        <w:rPr>
          <w:rFonts w:cs="Tahoma"/>
        </w:rPr>
      </w:pPr>
      <w:r w:rsidRPr="00D87B79">
        <w:rPr>
          <w:rFonts w:cs="Tahoma"/>
          <w:color w:val="000000"/>
          <w:lang w:val="it-IT"/>
        </w:rPr>
        <w:t>Cloud Pubblico, Azure Deployment Planning Services (AZDPS)</w:t>
      </w:r>
    </w:p>
    <w:p w:rsidR="00A92422" w:rsidRPr="00D87B79" w:rsidRDefault="00A92422" w:rsidP="00A92422">
      <w:pPr>
        <w:numPr>
          <w:ilvl w:val="1"/>
          <w:numId w:val="61"/>
        </w:numPr>
        <w:tabs>
          <w:tab w:val="left" w:pos="1998"/>
        </w:tabs>
        <w:spacing w:after="60" w:line="276" w:lineRule="auto"/>
        <w:ind w:leftChars="900" w:left="2007" w:hanging="387"/>
        <w:rPr>
          <w:rFonts w:cs="Tahoma"/>
        </w:rPr>
      </w:pPr>
      <w:r w:rsidRPr="00D87B79">
        <w:rPr>
          <w:rFonts w:cs="Tahoma"/>
          <w:color w:val="000000"/>
          <w:szCs w:val="18"/>
          <w:lang w:val="it-IT"/>
        </w:rPr>
        <w:t>Descrizione:</w:t>
      </w:r>
      <w:r w:rsidRPr="00D87B79">
        <w:rPr>
          <w:rFonts w:cs="Tahoma"/>
          <w:color w:val="000000"/>
          <w:szCs w:val="18"/>
        </w:rPr>
        <w:t xml:space="preserve"> </w:t>
      </w:r>
      <w:r w:rsidRPr="00D87B79">
        <w:rPr>
          <w:rFonts w:cs="Tahoma"/>
          <w:lang w:val="it-IT"/>
        </w:rPr>
        <w:t>Il Cloud Pubblico AZDPS offre la formazione e il servizio di migrazione della piattaforma Windows Azure.</w:t>
      </w:r>
      <w:r w:rsidRPr="00D87B79">
        <w:rPr>
          <w:rFonts w:cs="Tahoma"/>
        </w:rPr>
        <w:t xml:space="preserve"> </w:t>
      </w:r>
      <w:r w:rsidRPr="00D87B79">
        <w:rPr>
          <w:rFonts w:cs="Tahoma"/>
          <w:lang w:val="it-IT"/>
        </w:rPr>
        <w:t>Questo servizio consente di usufruire di esercitazioni relative alla piattaforma Windows Azure con formazione pratica, di ottenere assistenza in merito all’esecuzione della migrazione di applicazioni e dati e alla progettazione di applicazioni per</w:t>
      </w:r>
      <w:r>
        <w:rPr>
          <w:rFonts w:cs="Tahoma"/>
          <w:lang w:val="it-IT"/>
        </w:rPr>
        <w:t> </w:t>
      </w:r>
      <w:r w:rsidRPr="00D87B79">
        <w:rPr>
          <w:rFonts w:cs="Tahoma"/>
          <w:lang w:val="it-IT"/>
        </w:rPr>
        <w:t>il</w:t>
      </w:r>
      <w:r>
        <w:rPr>
          <w:rFonts w:cs="Tahoma"/>
          <w:lang w:val="it-IT"/>
        </w:rPr>
        <w:t> </w:t>
      </w:r>
      <w:r w:rsidRPr="00D87B79">
        <w:rPr>
          <w:rFonts w:cs="Tahoma"/>
          <w:lang w:val="it-IT"/>
        </w:rPr>
        <w:t>cloud; inoltre fornisce alle società il supporto necessario per la migrazione e</w:t>
      </w:r>
      <w:r>
        <w:rPr>
          <w:rFonts w:cs="Tahoma"/>
          <w:lang w:val="it-IT"/>
        </w:rPr>
        <w:t> </w:t>
      </w:r>
      <w:r w:rsidRPr="00D87B79">
        <w:rPr>
          <w:rFonts w:cs="Tahoma"/>
          <w:lang w:val="it-IT"/>
        </w:rPr>
        <w:t>la</w:t>
      </w:r>
      <w:r>
        <w:rPr>
          <w:rFonts w:cs="Tahoma"/>
          <w:lang w:val="it-IT"/>
        </w:rPr>
        <w:t> </w:t>
      </w:r>
      <w:r w:rsidRPr="00D87B79">
        <w:rPr>
          <w:rFonts w:cs="Tahoma"/>
          <w:lang w:val="it-IT"/>
        </w:rPr>
        <w:t>scrittura delle loro prime applicazioni sulla piattaforma Windows Azure.</w:t>
      </w:r>
    </w:p>
    <w:p w:rsidR="00A92422" w:rsidRPr="00D87B79" w:rsidRDefault="00A92422" w:rsidP="00A92422">
      <w:pPr>
        <w:numPr>
          <w:ilvl w:val="1"/>
          <w:numId w:val="61"/>
        </w:numPr>
        <w:spacing w:after="60" w:line="276" w:lineRule="auto"/>
        <w:ind w:left="1980"/>
        <w:rPr>
          <w:rFonts w:cs="Tahoma"/>
        </w:rPr>
      </w:pPr>
      <w:r w:rsidRPr="00D87B79">
        <w:rPr>
          <w:rFonts w:cs="Tahoma"/>
          <w:color w:val="000000"/>
          <w:szCs w:val="18"/>
          <w:lang w:val="it-IT"/>
        </w:rPr>
        <w:t>Livelli di Servizio:</w:t>
      </w:r>
      <w:r w:rsidRPr="00D87B79">
        <w:rPr>
          <w:rFonts w:cs="Tahoma"/>
          <w:color w:val="000000"/>
          <w:szCs w:val="18"/>
        </w:rPr>
        <w:t xml:space="preserve"> </w:t>
      </w:r>
      <w:r w:rsidRPr="00D87B79">
        <w:rPr>
          <w:rFonts w:cs="Tahoma"/>
          <w:color w:val="000000"/>
          <w:lang w:val="it-IT"/>
        </w:rPr>
        <w:t>3, 5 o 10 giorni</w:t>
      </w:r>
    </w:p>
    <w:p w:rsidR="00A92422" w:rsidRPr="00D87B79" w:rsidRDefault="00A92422" w:rsidP="00A92422">
      <w:pPr>
        <w:tabs>
          <w:tab w:val="left" w:pos="8040"/>
        </w:tabs>
        <w:spacing w:after="60"/>
        <w:rPr>
          <w:rFonts w:cs="Tahoma"/>
        </w:rPr>
      </w:pPr>
    </w:p>
    <w:p w:rsidR="00A92422" w:rsidRPr="00D87B79" w:rsidRDefault="00A92422" w:rsidP="00A92422">
      <w:pPr>
        <w:spacing w:after="60"/>
        <w:rPr>
          <w:rFonts w:cs="Tahoma"/>
        </w:rPr>
      </w:pPr>
      <w:r w:rsidRPr="00D87B79">
        <w:rPr>
          <w:rFonts w:cs="Tahoma"/>
          <w:color w:val="000000"/>
          <w:szCs w:val="18"/>
          <w:lang w:val="it-IT"/>
        </w:rPr>
        <w:t>L’elenco di servizi disponibili e di livelli di servizi associati potrà cambiare in qualsiasi momento.</w:t>
      </w:r>
      <w:r w:rsidRPr="00D87B79">
        <w:rPr>
          <w:rFonts w:cs="Tahoma"/>
        </w:rPr>
        <w:t xml:space="preserve"> </w:t>
      </w:r>
      <w:r w:rsidRPr="00D87B79">
        <w:rPr>
          <w:rFonts w:cs="Tahoma"/>
          <w:color w:val="000000"/>
          <w:lang w:val="it-IT"/>
        </w:rPr>
        <w:t>I Provider Qualificati forniranno alle società su loro richiesta uno schema dell’Ambito di Lavoro disponibile per ciascuna delle offerte di</w:t>
      </w:r>
      <w:r>
        <w:rPr>
          <w:rFonts w:cs="Tahoma"/>
          <w:color w:val="000000"/>
          <w:lang w:val="it-IT"/>
        </w:rPr>
        <w:t> </w:t>
      </w:r>
      <w:r w:rsidRPr="00D87B79">
        <w:rPr>
          <w:rFonts w:cs="Tahoma"/>
          <w:color w:val="000000"/>
          <w:lang w:val="it-IT"/>
        </w:rPr>
        <w:t>servizi di cui sopra.</w:t>
      </w:r>
    </w:p>
    <w:p w:rsidR="00A92422" w:rsidRPr="00D87B79" w:rsidRDefault="00A92422" w:rsidP="00A92422">
      <w:pPr>
        <w:rPr>
          <w:rFonts w:cs="Tahoma"/>
        </w:rPr>
      </w:pPr>
    </w:p>
    <w:p w:rsidR="00A92422" w:rsidRPr="00D87B79" w:rsidRDefault="00A92422" w:rsidP="00A92422">
      <w:pPr>
        <w:spacing w:after="60"/>
        <w:rPr>
          <w:rFonts w:cs="Tahoma"/>
        </w:rPr>
      </w:pPr>
      <w:r w:rsidRPr="00D87B79">
        <w:rPr>
          <w:rFonts w:cs="Tahoma"/>
          <w:color w:val="000000"/>
          <w:szCs w:val="18"/>
          <w:lang w:val="it-IT"/>
        </w:rPr>
        <w:t>Le società qualificate ricevono un numero di giorni Planning Services basato sul numero di licenze qualificanti per le</w:t>
      </w:r>
      <w:r>
        <w:rPr>
          <w:rFonts w:cs="Tahoma"/>
          <w:color w:val="000000"/>
          <w:szCs w:val="18"/>
          <w:lang w:val="it-IT"/>
        </w:rPr>
        <w:t> </w:t>
      </w:r>
      <w:r w:rsidRPr="00D87B79">
        <w:rPr>
          <w:rFonts w:cs="Tahoma"/>
          <w:color w:val="000000"/>
          <w:szCs w:val="18"/>
          <w:lang w:val="it-IT"/>
        </w:rPr>
        <w:t>Applicazioni Office, sulle licenze qualificanti Server e sul numero di Core CAL Suite, CAL per SQL ed Enterprise CAL</w:t>
      </w:r>
      <w:r>
        <w:rPr>
          <w:rFonts w:cs="Tahoma"/>
          <w:color w:val="000000"/>
          <w:szCs w:val="18"/>
          <w:lang w:val="it-IT"/>
        </w:rPr>
        <w:t> </w:t>
      </w:r>
      <w:r w:rsidRPr="00D87B79">
        <w:rPr>
          <w:rFonts w:cs="Tahoma"/>
          <w:color w:val="000000"/>
          <w:szCs w:val="18"/>
          <w:lang w:val="it-IT"/>
        </w:rPr>
        <w:t>Suite per le quali è stata acquistata la copertura Software Assurance (vedere la tabella che segue per i dettagli).</w:t>
      </w:r>
      <w:r w:rsidRPr="00D87B79">
        <w:rPr>
          <w:rFonts w:cs="Tahoma"/>
          <w:color w:val="000000"/>
          <w:szCs w:val="18"/>
        </w:rPr>
        <w:t xml:space="preserve"> </w:t>
      </w:r>
      <w:r w:rsidRPr="00D87B79">
        <w:rPr>
          <w:rFonts w:cs="Tahoma"/>
          <w:color w:val="000000"/>
          <w:szCs w:val="18"/>
          <w:lang w:val="it-IT"/>
        </w:rPr>
        <w:t>Il numero di giorni che una società riceve viene inserito in un pool di Giorni Planning Services al quale la società attinge per creare voucher per le offerte di servizi citate in precedenza.</w:t>
      </w:r>
      <w:r w:rsidRPr="00D87B79">
        <w:rPr>
          <w:rFonts w:cs="Tahoma"/>
        </w:rPr>
        <w:t xml:space="preserve"> </w:t>
      </w:r>
      <w:r w:rsidRPr="00D87B79">
        <w:rPr>
          <w:rFonts w:cs="Tahoma"/>
          <w:color w:val="000000"/>
          <w:lang w:val="it-IT"/>
        </w:rPr>
        <w:t>Le società potranno selezionare uno o più di</w:t>
      </w:r>
      <w:r>
        <w:rPr>
          <w:rFonts w:cs="Tahoma"/>
          <w:color w:val="000000"/>
          <w:lang w:val="it-IT"/>
        </w:rPr>
        <w:t> </w:t>
      </w:r>
      <w:r w:rsidRPr="00D87B79">
        <w:rPr>
          <w:rFonts w:cs="Tahoma"/>
          <w:color w:val="000000"/>
          <w:lang w:val="it-IT"/>
        </w:rPr>
        <w:t>questi servizi nonché scegliere dai livelli di servizi disponibili fino al numero di Giorni Planning Services.</w:t>
      </w:r>
    </w:p>
    <w:p w:rsidR="00A92422" w:rsidRPr="00D87B79" w:rsidRDefault="00A92422" w:rsidP="00A92422">
      <w:pPr>
        <w:rPr>
          <w:rFonts w:cs="Tahoma"/>
        </w:rPr>
      </w:pPr>
    </w:p>
    <w:p w:rsidR="00A92422" w:rsidRPr="00D87B79" w:rsidRDefault="00A92422" w:rsidP="00A92422">
      <w:pPr>
        <w:spacing w:after="60"/>
        <w:rPr>
          <w:rFonts w:cs="Tahoma"/>
        </w:rPr>
      </w:pPr>
      <w:r w:rsidRPr="00D87B79">
        <w:rPr>
          <w:rFonts w:cs="Tahoma"/>
          <w:color w:val="000000"/>
          <w:lang w:val="it-IT"/>
        </w:rPr>
        <w:t>Nella tabella seguente sono elencate le licenze qualificanti Applicazione e Server e i punti associati a ciascuna di esse:</w:t>
      </w: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A92422" w:rsidRPr="00D87B79" w:rsidTr="00EA30FC">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A92422" w:rsidRPr="00D87B79" w:rsidRDefault="00A92422" w:rsidP="00EA30FC">
            <w:pPr>
              <w:spacing w:after="60"/>
              <w:jc w:val="center"/>
              <w:rPr>
                <w:rFonts w:cs="Tahoma"/>
                <w:szCs w:val="18"/>
              </w:rPr>
            </w:pPr>
            <w:r w:rsidRPr="00D87B79">
              <w:rPr>
                <w:rFonts w:cs="Tahoma"/>
                <w:b/>
                <w:lang w:val="it-IT"/>
              </w:rPr>
              <w:t>Licenze per Applicazioni Office e Server*</w:t>
            </w:r>
            <w:r w:rsidRPr="00D87B79">
              <w:rPr>
                <w:rFonts w:cs="Tahoma"/>
              </w:rPr>
              <w:t xml:space="preserve">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A92422" w:rsidRPr="00D87B79" w:rsidRDefault="00A92422" w:rsidP="00EA30FC">
            <w:pPr>
              <w:spacing w:after="60"/>
              <w:jc w:val="center"/>
              <w:rPr>
                <w:rFonts w:cs="Tahoma"/>
                <w:szCs w:val="18"/>
              </w:rPr>
            </w:pPr>
            <w:r w:rsidRPr="00D87B79">
              <w:rPr>
                <w:rFonts w:cs="Tahoma"/>
                <w:b/>
                <w:lang w:val="it-IT"/>
              </w:rPr>
              <w:t>Punti</w:t>
            </w:r>
          </w:p>
        </w:tc>
      </w:tr>
      <w:tr w:rsidR="00A92422" w:rsidRPr="00D87B79" w:rsidTr="00EA30FC">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92422" w:rsidRPr="00D87B79" w:rsidRDefault="00A92422" w:rsidP="00EA30FC">
            <w:pPr>
              <w:spacing w:after="60"/>
              <w:jc w:val="center"/>
              <w:rPr>
                <w:rFonts w:cs="Tahoma"/>
                <w:szCs w:val="18"/>
              </w:rPr>
            </w:pPr>
            <w:r w:rsidRPr="00D87B79">
              <w:rPr>
                <w:rFonts w:cs="Tahoma"/>
                <w:lang w:val="it-IT"/>
              </w:rPr>
              <w:t>Prodotti del Pool di Applicazioni Office (incluse la famiglia di prodotti Office, Project Standard e Professional, Visio Standard e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92422" w:rsidRPr="00D87B79" w:rsidRDefault="00A92422" w:rsidP="00EA30FC">
            <w:pPr>
              <w:spacing w:after="60"/>
              <w:jc w:val="center"/>
              <w:rPr>
                <w:rFonts w:cs="Tahoma"/>
                <w:szCs w:val="18"/>
              </w:rPr>
            </w:pPr>
            <w:r w:rsidRPr="00D87B79">
              <w:rPr>
                <w:rFonts w:cs="Tahoma"/>
                <w:szCs w:val="18"/>
              </w:rPr>
              <w:t>1</w:t>
            </w:r>
          </w:p>
        </w:tc>
      </w:tr>
      <w:tr w:rsidR="00A92422" w:rsidRPr="00D87B79" w:rsidTr="00EA30FC">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92422" w:rsidRPr="00D87B79" w:rsidRDefault="00A92422" w:rsidP="00EA30FC">
            <w:pPr>
              <w:spacing w:after="60"/>
              <w:jc w:val="center"/>
              <w:rPr>
                <w:rFonts w:cs="Tahoma"/>
                <w:szCs w:val="18"/>
              </w:rPr>
            </w:pPr>
            <w:r w:rsidRPr="00D87B79">
              <w:rPr>
                <w:rFonts w:cs="Tahoma"/>
                <w:lang w:val="it-IT"/>
              </w:rPr>
              <w:t>SQL Server Standard Edition, Windows Server Standard Edition, Licenza di Gestione Server per System Center 2012 Datacenter (2 processori), Visual Studio Professional con</w:t>
            </w:r>
            <w:r>
              <w:rPr>
                <w:rFonts w:cs="Tahoma"/>
                <w:lang w:val="it-IT"/>
              </w:rPr>
              <w:t> </w:t>
            </w:r>
            <w:r w:rsidRPr="00D87B79">
              <w:rPr>
                <w:rFonts w:cs="Tahoma"/>
                <w:lang w:val="it-IT"/>
              </w:rPr>
              <w:t>MSDN e Visual Studio Test Professional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92422" w:rsidRPr="00D87B79" w:rsidRDefault="00A92422" w:rsidP="00EA30FC">
            <w:pPr>
              <w:spacing w:after="60"/>
              <w:jc w:val="center"/>
              <w:rPr>
                <w:rFonts w:cs="Tahoma"/>
                <w:szCs w:val="18"/>
              </w:rPr>
            </w:pPr>
            <w:r w:rsidRPr="00D87B79">
              <w:rPr>
                <w:rFonts w:cs="Tahoma"/>
                <w:szCs w:val="18"/>
              </w:rPr>
              <w:t>25</w:t>
            </w:r>
          </w:p>
        </w:tc>
      </w:tr>
      <w:tr w:rsidR="00A92422" w:rsidRPr="00D87B79" w:rsidTr="00EA30FC">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92422" w:rsidRPr="00D87B79" w:rsidRDefault="00A92422" w:rsidP="00EA30FC">
            <w:pPr>
              <w:spacing w:after="60"/>
              <w:jc w:val="center"/>
              <w:rPr>
                <w:rFonts w:cs="Tahoma"/>
                <w:szCs w:val="18"/>
              </w:rPr>
            </w:pPr>
            <w:r w:rsidRPr="00D87B79">
              <w:rPr>
                <w:rFonts w:cs="Tahoma"/>
                <w:lang w:val="it-IT"/>
              </w:rPr>
              <w:t>SQL Server Enterprise Edition, SQL Server Business Intelligence, Windows Server Enterprise Edition e Visual Studio Premium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92422" w:rsidRPr="00D87B79" w:rsidRDefault="00A92422" w:rsidP="00EA30FC">
            <w:pPr>
              <w:spacing w:after="60"/>
              <w:jc w:val="center"/>
              <w:rPr>
                <w:rFonts w:cs="Tahoma"/>
                <w:szCs w:val="18"/>
              </w:rPr>
            </w:pPr>
            <w:r w:rsidRPr="00D87B79">
              <w:rPr>
                <w:rFonts w:cs="Tahoma"/>
                <w:szCs w:val="18"/>
              </w:rPr>
              <w:t>50</w:t>
            </w:r>
          </w:p>
        </w:tc>
      </w:tr>
      <w:tr w:rsidR="00A92422" w:rsidRPr="00D87B79" w:rsidTr="00EA30FC">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92422" w:rsidRPr="00D87B79" w:rsidRDefault="00A92422" w:rsidP="00EA30FC">
            <w:pPr>
              <w:spacing w:after="60"/>
              <w:jc w:val="center"/>
              <w:rPr>
                <w:rFonts w:cs="Tahoma"/>
                <w:szCs w:val="18"/>
              </w:rPr>
            </w:pPr>
            <w:r w:rsidRPr="00D87B79">
              <w:rPr>
                <w:rFonts w:cs="Tahoma"/>
                <w:lang w:val="it-IT"/>
              </w:rPr>
              <w:t>SQL Server Data Center Edition, Windows Server Data Center Edition, Licenza di</w:t>
            </w:r>
            <w:r>
              <w:rPr>
                <w:rFonts w:cs="Tahoma"/>
                <w:lang w:val="it-IT"/>
              </w:rPr>
              <w:t> </w:t>
            </w:r>
            <w:r w:rsidRPr="00D87B79">
              <w:rPr>
                <w:rFonts w:cs="Tahoma"/>
                <w:lang w:val="it-IT"/>
              </w:rPr>
              <w:t>Gestione Server per System Center 2012 Datacenter (2 processori) e Visual Studio Ultimate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92422" w:rsidRPr="00D87B79" w:rsidRDefault="00A92422" w:rsidP="00EA30FC">
            <w:pPr>
              <w:spacing w:after="60"/>
              <w:jc w:val="center"/>
              <w:rPr>
                <w:rFonts w:cs="Tahoma"/>
                <w:szCs w:val="18"/>
              </w:rPr>
            </w:pPr>
            <w:r w:rsidRPr="00D87B79">
              <w:rPr>
                <w:rFonts w:cs="Tahoma"/>
                <w:szCs w:val="18"/>
              </w:rPr>
              <w:t>75</w:t>
            </w:r>
          </w:p>
        </w:tc>
      </w:tr>
    </w:tbl>
    <w:p w:rsidR="00A92422" w:rsidRPr="00D87B79" w:rsidRDefault="00A92422" w:rsidP="00A92422">
      <w:pPr>
        <w:spacing w:after="60"/>
        <w:ind w:firstLine="720"/>
        <w:rPr>
          <w:rFonts w:cs="Tahoma"/>
        </w:rPr>
      </w:pPr>
      <w:r w:rsidRPr="00D87B79">
        <w:rPr>
          <w:rFonts w:cs="Tahoma"/>
          <w:b/>
          <w:i/>
          <w:sz w:val="16"/>
          <w:lang w:val="it-IT"/>
        </w:rPr>
        <w:t>Nota:</w:t>
      </w:r>
      <w:r w:rsidRPr="00D87B79">
        <w:rPr>
          <w:rFonts w:cs="Tahoma"/>
          <w:i/>
          <w:sz w:val="16"/>
          <w:szCs w:val="18"/>
        </w:rPr>
        <w:t xml:space="preserve"> </w:t>
      </w:r>
      <w:r w:rsidRPr="00D87B79">
        <w:rPr>
          <w:rFonts w:cs="Tahoma"/>
          <w:i/>
          <w:sz w:val="16"/>
          <w:lang w:val="it-IT"/>
        </w:rPr>
        <w:t>per le CAL, vedere la tabella CAL Suite nella presente sezione</w:t>
      </w:r>
    </w:p>
    <w:p w:rsidR="00A92422" w:rsidRPr="00D87B79" w:rsidRDefault="00A92422" w:rsidP="00A92422">
      <w:pPr>
        <w:rPr>
          <w:rFonts w:cs="Tahoma"/>
        </w:rPr>
      </w:pPr>
    </w:p>
    <w:p w:rsidR="00A92422" w:rsidRPr="00D87B79" w:rsidRDefault="00A92422" w:rsidP="00A92422">
      <w:pPr>
        <w:spacing w:after="60"/>
        <w:rPr>
          <w:rFonts w:cs="Tahoma"/>
        </w:rPr>
      </w:pPr>
      <w:r w:rsidRPr="00D87B79">
        <w:rPr>
          <w:rFonts w:cs="Tahoma"/>
          <w:szCs w:val="18"/>
          <w:lang w:val="it-IT" w:eastAsia="ja-JP"/>
        </w:rPr>
        <w:t>Quando questi prodotti idonei vengono acquistati tramite Enrollment for Application Platform (EAP) o Enrollment for</w:t>
      </w:r>
      <w:r>
        <w:rPr>
          <w:rFonts w:cs="Tahoma"/>
          <w:szCs w:val="18"/>
          <w:lang w:val="it-IT" w:eastAsia="ja-JP"/>
        </w:rPr>
        <w:t> </w:t>
      </w:r>
      <w:r w:rsidRPr="00D87B79">
        <w:rPr>
          <w:rFonts w:cs="Tahoma"/>
          <w:szCs w:val="18"/>
          <w:lang w:val="it-IT" w:eastAsia="ja-JP"/>
        </w:rPr>
        <w:t>Core Infrastructure (ECI), tutti i punti guadagnati ai sensi di EAP e ECI vengono raddoppiati (2).</w:t>
      </w:r>
      <w:r w:rsidRPr="00D87B79">
        <w:rPr>
          <w:rFonts w:cs="Tahoma"/>
          <w:szCs w:val="18"/>
          <w:lang w:eastAsia="ja-JP"/>
        </w:rPr>
        <w:t xml:space="preserve"> </w:t>
      </w:r>
    </w:p>
    <w:p w:rsidR="00A92422" w:rsidRDefault="00A92422" w:rsidP="00A92422">
      <w:pPr>
        <w:spacing w:after="60"/>
        <w:rPr>
          <w:rFonts w:cs="Tahoma"/>
        </w:rPr>
      </w:pPr>
    </w:p>
    <w:p w:rsidR="00A92422" w:rsidRPr="00D87B79" w:rsidRDefault="00A92422" w:rsidP="00A92422">
      <w:pPr>
        <w:spacing w:after="60"/>
        <w:rPr>
          <w:rFonts w:cs="Tahoma"/>
        </w:rPr>
      </w:pPr>
      <w:r w:rsidRPr="00D87B79">
        <w:rPr>
          <w:rFonts w:cs="Tahoma"/>
          <w:lang w:val="it-IT"/>
        </w:rPr>
        <w:t>Il punti totali destinati alla società definiscono i diritti relativi ai Giorni Planning Services come mostrato qui sotto:</w:t>
      </w:r>
    </w:p>
    <w:p w:rsidR="00A92422" w:rsidRPr="00D87B79" w:rsidRDefault="00A92422" w:rsidP="00A92422">
      <w:pPr>
        <w:spacing w:after="60"/>
        <w:rPr>
          <w:rFonts w:cs="Tahoma"/>
        </w:rPr>
      </w:pPr>
    </w:p>
    <w:tbl>
      <w:tblPr>
        <w:tblW w:w="6120" w:type="dxa"/>
        <w:tblInd w:w="1458" w:type="dxa"/>
        <w:tblCellMar>
          <w:left w:w="0" w:type="dxa"/>
          <w:right w:w="0" w:type="dxa"/>
        </w:tblCellMar>
        <w:tblLook w:val="04A0" w:firstRow="1" w:lastRow="0" w:firstColumn="1" w:lastColumn="0" w:noHBand="0" w:noVBand="1"/>
      </w:tblPr>
      <w:tblGrid>
        <w:gridCol w:w="3330"/>
        <w:gridCol w:w="2790"/>
      </w:tblGrid>
      <w:tr w:rsidR="00A92422" w:rsidRPr="00D87B79" w:rsidTr="00EA30FC">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A92422" w:rsidRPr="00D87B79" w:rsidRDefault="00A92422" w:rsidP="00EA30FC">
            <w:pPr>
              <w:spacing w:after="60"/>
              <w:jc w:val="center"/>
              <w:rPr>
                <w:rFonts w:cs="Tahoma"/>
                <w:szCs w:val="18"/>
              </w:rPr>
            </w:pPr>
            <w:r w:rsidRPr="00D87B79">
              <w:rPr>
                <w:rFonts w:cs="Tahoma"/>
                <w:b/>
                <w:lang w:val="it-IT"/>
              </w:rPr>
              <w:t>Punti di Licenze per Applicazioni Office e/o Server</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A92422" w:rsidRPr="00D87B79" w:rsidRDefault="00A92422" w:rsidP="00EA30FC">
            <w:pPr>
              <w:spacing w:after="60"/>
              <w:jc w:val="center"/>
              <w:rPr>
                <w:rFonts w:cs="Tahoma"/>
                <w:szCs w:val="18"/>
              </w:rPr>
            </w:pPr>
            <w:r w:rsidRPr="00D87B79">
              <w:rPr>
                <w:rFonts w:cs="Tahoma"/>
                <w:b/>
                <w:lang w:val="it-IT"/>
              </w:rPr>
              <w:t>Giorni Planning Services</w:t>
            </w:r>
          </w:p>
        </w:tc>
      </w:tr>
      <w:tr w:rsidR="00A92422" w:rsidRPr="00D87B79" w:rsidTr="00EA30FC">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92422" w:rsidRPr="00D87B79" w:rsidRDefault="00A92422" w:rsidP="00EA30FC">
            <w:pPr>
              <w:spacing w:after="60"/>
              <w:jc w:val="center"/>
              <w:rPr>
                <w:rFonts w:cs="Tahoma"/>
                <w:szCs w:val="18"/>
              </w:rPr>
            </w:pPr>
            <w:r w:rsidRPr="00D87B79">
              <w:rPr>
                <w:rFonts w:cs="Tahoma"/>
                <w:szCs w:val="18"/>
              </w:rPr>
              <w:t>200</w:t>
            </w:r>
            <w:r>
              <w:rPr>
                <w:rFonts w:cs="Tahoma"/>
                <w:szCs w:val="18"/>
              </w:rPr>
              <w:t xml:space="preserve"> </w:t>
            </w:r>
            <w:r w:rsidRPr="00D87B79">
              <w:rPr>
                <w:rFonts w:cs="Tahoma"/>
                <w:szCs w:val="18"/>
              </w:rPr>
              <w:t>–</w:t>
            </w:r>
            <w:r>
              <w:rPr>
                <w:rFonts w:cs="Tahoma"/>
                <w:szCs w:val="18"/>
              </w:rPr>
              <w:t xml:space="preserve"> </w:t>
            </w:r>
            <w:r w:rsidRPr="00D87B79">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92422" w:rsidRPr="00D87B79" w:rsidRDefault="00A92422" w:rsidP="00EA30FC">
            <w:pPr>
              <w:spacing w:after="60"/>
              <w:jc w:val="center"/>
              <w:rPr>
                <w:rFonts w:cs="Tahoma"/>
                <w:szCs w:val="18"/>
              </w:rPr>
            </w:pPr>
            <w:r w:rsidRPr="00D87B79">
              <w:rPr>
                <w:rFonts w:cs="Tahoma"/>
                <w:szCs w:val="18"/>
              </w:rPr>
              <w:t>1</w:t>
            </w:r>
          </w:p>
        </w:tc>
      </w:tr>
      <w:tr w:rsidR="00A92422" w:rsidRPr="00D87B79"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92422" w:rsidRPr="00D87B79" w:rsidRDefault="00A92422" w:rsidP="00EA30FC">
            <w:pPr>
              <w:spacing w:after="60"/>
              <w:jc w:val="center"/>
              <w:rPr>
                <w:rFonts w:cs="Tahoma"/>
                <w:szCs w:val="18"/>
              </w:rPr>
            </w:pPr>
            <w:r w:rsidRPr="00D87B79">
              <w:rPr>
                <w:rFonts w:cs="Tahoma"/>
                <w:szCs w:val="18"/>
              </w:rPr>
              <w:t>500</w:t>
            </w:r>
            <w:r>
              <w:rPr>
                <w:rFonts w:cs="Tahoma"/>
                <w:szCs w:val="18"/>
              </w:rPr>
              <w:t xml:space="preserve"> </w:t>
            </w:r>
            <w:r w:rsidRPr="00D87B79">
              <w:rPr>
                <w:rFonts w:cs="Tahoma"/>
                <w:szCs w:val="18"/>
              </w:rPr>
              <w:t>–</w:t>
            </w:r>
            <w:r>
              <w:rPr>
                <w:rFonts w:cs="Tahoma"/>
                <w:szCs w:val="18"/>
              </w:rPr>
              <w:t xml:space="preserve"> </w:t>
            </w:r>
            <w:r w:rsidRPr="00D87B79">
              <w:rPr>
                <w:rFonts w:cs="Tahoma"/>
                <w:szCs w:val="18"/>
              </w:rPr>
              <w:t>1</w:t>
            </w:r>
            <w:r>
              <w:rPr>
                <w:rFonts w:cs="Tahoma"/>
                <w:szCs w:val="18"/>
              </w:rPr>
              <w:t>.</w:t>
            </w:r>
            <w:r w:rsidRPr="00D87B7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92422" w:rsidRPr="00D87B79" w:rsidRDefault="00A92422" w:rsidP="00EA30FC">
            <w:pPr>
              <w:spacing w:after="60"/>
              <w:jc w:val="center"/>
              <w:rPr>
                <w:rFonts w:cs="Tahoma"/>
                <w:szCs w:val="18"/>
              </w:rPr>
            </w:pPr>
            <w:r w:rsidRPr="00D87B79">
              <w:rPr>
                <w:rFonts w:cs="Tahoma"/>
                <w:szCs w:val="18"/>
              </w:rPr>
              <w:t>3</w:t>
            </w:r>
          </w:p>
        </w:tc>
      </w:tr>
      <w:tr w:rsidR="00A92422" w:rsidRPr="00D87B79"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92422" w:rsidRPr="00D87B79" w:rsidRDefault="00A92422" w:rsidP="00EA30FC">
            <w:pPr>
              <w:spacing w:after="60"/>
              <w:jc w:val="center"/>
              <w:rPr>
                <w:rFonts w:cs="Tahoma"/>
                <w:szCs w:val="18"/>
              </w:rPr>
            </w:pPr>
            <w:r w:rsidRPr="00D87B79">
              <w:rPr>
                <w:rFonts w:cs="Tahoma"/>
                <w:szCs w:val="18"/>
              </w:rPr>
              <w:t>2</w:t>
            </w:r>
            <w:r>
              <w:rPr>
                <w:rFonts w:cs="Tahoma"/>
                <w:szCs w:val="18"/>
              </w:rPr>
              <w:t>.</w:t>
            </w:r>
            <w:r w:rsidRPr="00D87B79">
              <w:rPr>
                <w:rFonts w:cs="Tahoma"/>
                <w:szCs w:val="18"/>
              </w:rPr>
              <w:t>000</w:t>
            </w:r>
            <w:r>
              <w:rPr>
                <w:rFonts w:cs="Tahoma"/>
                <w:szCs w:val="18"/>
              </w:rPr>
              <w:t xml:space="preserve"> </w:t>
            </w:r>
            <w:r w:rsidRPr="00D87B79">
              <w:rPr>
                <w:rFonts w:cs="Tahoma"/>
                <w:szCs w:val="18"/>
              </w:rPr>
              <w:t>–</w:t>
            </w:r>
            <w:r>
              <w:rPr>
                <w:rFonts w:cs="Tahoma"/>
                <w:szCs w:val="18"/>
              </w:rPr>
              <w:t xml:space="preserve"> </w:t>
            </w:r>
            <w:r w:rsidRPr="00D87B79">
              <w:rPr>
                <w:rFonts w:cs="Tahoma"/>
                <w:szCs w:val="18"/>
              </w:rPr>
              <w:t>3</w:t>
            </w:r>
            <w:r>
              <w:rPr>
                <w:rFonts w:cs="Tahoma"/>
                <w:szCs w:val="18"/>
              </w:rPr>
              <w:t>.</w:t>
            </w:r>
            <w:r w:rsidRPr="00D87B7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92422" w:rsidRPr="00D87B79" w:rsidRDefault="00A92422" w:rsidP="00EA30FC">
            <w:pPr>
              <w:spacing w:after="60"/>
              <w:jc w:val="center"/>
              <w:rPr>
                <w:rFonts w:cs="Tahoma"/>
                <w:szCs w:val="18"/>
              </w:rPr>
            </w:pPr>
            <w:r w:rsidRPr="00D87B79">
              <w:rPr>
                <w:rFonts w:cs="Tahoma"/>
                <w:szCs w:val="18"/>
              </w:rPr>
              <w:t>5</w:t>
            </w:r>
          </w:p>
        </w:tc>
      </w:tr>
      <w:tr w:rsidR="00A92422" w:rsidRPr="00D87B79"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92422" w:rsidRPr="00D87B79" w:rsidRDefault="00A92422" w:rsidP="00EA30FC">
            <w:pPr>
              <w:spacing w:after="60"/>
              <w:jc w:val="center"/>
              <w:rPr>
                <w:rFonts w:cs="Tahoma"/>
                <w:szCs w:val="18"/>
              </w:rPr>
            </w:pPr>
            <w:r w:rsidRPr="00D87B79">
              <w:rPr>
                <w:rFonts w:cs="Tahoma"/>
                <w:szCs w:val="18"/>
              </w:rPr>
              <w:t>4</w:t>
            </w:r>
            <w:r>
              <w:rPr>
                <w:rFonts w:cs="Tahoma"/>
                <w:szCs w:val="18"/>
              </w:rPr>
              <w:t>.</w:t>
            </w:r>
            <w:r w:rsidRPr="00D87B79">
              <w:rPr>
                <w:rFonts w:cs="Tahoma"/>
                <w:szCs w:val="18"/>
              </w:rPr>
              <w:t>000 – 29</w:t>
            </w:r>
            <w:r>
              <w:rPr>
                <w:rFonts w:cs="Tahoma"/>
                <w:szCs w:val="18"/>
              </w:rPr>
              <w:t>.</w:t>
            </w:r>
            <w:r w:rsidRPr="00D87B7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92422" w:rsidRPr="00D87B79" w:rsidRDefault="00A92422" w:rsidP="00EA30FC">
            <w:pPr>
              <w:spacing w:after="60"/>
              <w:jc w:val="center"/>
              <w:rPr>
                <w:rFonts w:cs="Tahoma"/>
                <w:szCs w:val="18"/>
              </w:rPr>
            </w:pPr>
            <w:r w:rsidRPr="00D87B79">
              <w:rPr>
                <w:rFonts w:cs="Tahoma"/>
                <w:szCs w:val="18"/>
              </w:rPr>
              <w:t>10</w:t>
            </w:r>
          </w:p>
        </w:tc>
      </w:tr>
      <w:tr w:rsidR="00A92422" w:rsidRPr="00D87B79"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92422" w:rsidRPr="00D87B79" w:rsidRDefault="00A92422" w:rsidP="00EA30FC">
            <w:pPr>
              <w:spacing w:after="60"/>
              <w:jc w:val="center"/>
              <w:rPr>
                <w:rFonts w:cs="Tahoma"/>
                <w:szCs w:val="18"/>
              </w:rPr>
            </w:pPr>
            <w:r w:rsidRPr="00D87B79">
              <w:rPr>
                <w:rFonts w:cs="Tahoma"/>
                <w:szCs w:val="18"/>
              </w:rPr>
              <w:t>30</w:t>
            </w:r>
            <w:r>
              <w:rPr>
                <w:rFonts w:cs="Tahoma"/>
                <w:szCs w:val="18"/>
              </w:rPr>
              <w:t>.</w:t>
            </w:r>
            <w:r w:rsidRPr="00D87B79">
              <w:rPr>
                <w:rFonts w:cs="Tahoma"/>
                <w:szCs w:val="18"/>
              </w:rPr>
              <w:t>000 – 49</w:t>
            </w:r>
            <w:r>
              <w:rPr>
                <w:rFonts w:cs="Tahoma"/>
                <w:szCs w:val="18"/>
              </w:rPr>
              <w:t>.</w:t>
            </w:r>
            <w:r w:rsidRPr="00D87B7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92422" w:rsidRPr="00D87B79" w:rsidRDefault="00A92422" w:rsidP="00EA30FC">
            <w:pPr>
              <w:spacing w:after="60"/>
              <w:jc w:val="center"/>
              <w:rPr>
                <w:rFonts w:cs="Tahoma"/>
                <w:szCs w:val="18"/>
              </w:rPr>
            </w:pPr>
            <w:r w:rsidRPr="00D87B79">
              <w:rPr>
                <w:rFonts w:cs="Tahoma"/>
                <w:szCs w:val="18"/>
              </w:rPr>
              <w:t>15</w:t>
            </w:r>
          </w:p>
        </w:tc>
      </w:tr>
      <w:tr w:rsidR="00A92422" w:rsidRPr="00D87B79"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92422" w:rsidRPr="00D87B79" w:rsidRDefault="00A92422" w:rsidP="00EA30FC">
            <w:pPr>
              <w:spacing w:after="60"/>
              <w:jc w:val="center"/>
              <w:rPr>
                <w:rFonts w:cs="Tahoma"/>
                <w:szCs w:val="18"/>
              </w:rPr>
            </w:pPr>
            <w:r w:rsidRPr="00D87B79">
              <w:rPr>
                <w:rFonts w:cs="Tahoma"/>
                <w:szCs w:val="18"/>
              </w:rPr>
              <w:t>50</w:t>
            </w:r>
            <w:r>
              <w:rPr>
                <w:rFonts w:cs="Tahoma"/>
                <w:szCs w:val="18"/>
              </w:rPr>
              <w:t>.</w:t>
            </w:r>
            <w:r w:rsidRPr="00D87B79">
              <w:rPr>
                <w:rFonts w:cs="Tahoma"/>
                <w:szCs w:val="18"/>
              </w:rPr>
              <w:t>000 – 99</w:t>
            </w:r>
            <w:r>
              <w:rPr>
                <w:rFonts w:cs="Tahoma"/>
                <w:szCs w:val="18"/>
              </w:rPr>
              <w:t>.</w:t>
            </w:r>
            <w:r w:rsidRPr="00D87B7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92422" w:rsidRPr="00D87B79" w:rsidRDefault="00A92422" w:rsidP="00EA30FC">
            <w:pPr>
              <w:spacing w:after="60"/>
              <w:jc w:val="center"/>
              <w:rPr>
                <w:rFonts w:cs="Tahoma"/>
                <w:szCs w:val="18"/>
              </w:rPr>
            </w:pPr>
            <w:r w:rsidRPr="00D87B79">
              <w:rPr>
                <w:rFonts w:cs="Tahoma"/>
                <w:szCs w:val="18"/>
              </w:rPr>
              <w:t>20</w:t>
            </w:r>
          </w:p>
        </w:tc>
      </w:tr>
      <w:tr w:rsidR="00A92422" w:rsidRPr="00D87B79"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92422" w:rsidRPr="00D87B79" w:rsidRDefault="00A92422" w:rsidP="00EA30FC">
            <w:pPr>
              <w:spacing w:after="60"/>
              <w:jc w:val="center"/>
              <w:rPr>
                <w:rFonts w:cs="Tahoma"/>
                <w:szCs w:val="18"/>
              </w:rPr>
            </w:pPr>
            <w:r w:rsidRPr="00D87B79">
              <w:rPr>
                <w:rFonts w:cs="Tahoma"/>
                <w:szCs w:val="18"/>
              </w:rPr>
              <w:lastRenderedPageBreak/>
              <w:t>100</w:t>
            </w:r>
            <w:r>
              <w:rPr>
                <w:rFonts w:cs="Tahoma"/>
                <w:szCs w:val="18"/>
              </w:rPr>
              <w:t>.</w:t>
            </w:r>
            <w:r w:rsidRPr="00D87B79">
              <w:rPr>
                <w:rFonts w:cs="Tahoma"/>
                <w:szCs w:val="18"/>
              </w:rPr>
              <w:t>000 – 199</w:t>
            </w:r>
            <w:r>
              <w:rPr>
                <w:rFonts w:cs="Tahoma"/>
                <w:szCs w:val="18"/>
              </w:rPr>
              <w:t>.</w:t>
            </w:r>
            <w:r w:rsidRPr="00D87B7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92422" w:rsidRPr="00D87B79" w:rsidRDefault="00A92422" w:rsidP="00EA30FC">
            <w:pPr>
              <w:spacing w:after="60"/>
              <w:jc w:val="center"/>
              <w:rPr>
                <w:rFonts w:cs="Tahoma"/>
                <w:szCs w:val="18"/>
              </w:rPr>
            </w:pPr>
            <w:r w:rsidRPr="00D87B79">
              <w:rPr>
                <w:rFonts w:cs="Tahoma"/>
                <w:szCs w:val="18"/>
              </w:rPr>
              <w:t>30</w:t>
            </w:r>
          </w:p>
        </w:tc>
      </w:tr>
      <w:tr w:rsidR="00A92422" w:rsidRPr="00D87B79"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92422" w:rsidRPr="00D87B79" w:rsidRDefault="00A92422" w:rsidP="00EA30FC">
            <w:pPr>
              <w:spacing w:after="60"/>
              <w:jc w:val="center"/>
              <w:rPr>
                <w:rFonts w:cs="Tahoma"/>
                <w:szCs w:val="18"/>
              </w:rPr>
            </w:pPr>
            <w:r w:rsidRPr="00D87B79">
              <w:rPr>
                <w:rFonts w:cs="Tahoma"/>
                <w:szCs w:val="18"/>
              </w:rPr>
              <w:t>200</w:t>
            </w:r>
            <w:r>
              <w:rPr>
                <w:rFonts w:cs="Tahoma"/>
                <w:szCs w:val="18"/>
              </w:rPr>
              <w:t>.</w:t>
            </w:r>
            <w:r w:rsidRPr="00D87B79">
              <w:rPr>
                <w:rFonts w:cs="Tahoma"/>
                <w:szCs w:val="18"/>
              </w:rPr>
              <w:t>000 – 399</w:t>
            </w:r>
            <w:r>
              <w:rPr>
                <w:rFonts w:cs="Tahoma"/>
                <w:szCs w:val="18"/>
              </w:rPr>
              <w:t>.</w:t>
            </w:r>
            <w:r w:rsidRPr="00D87B7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92422" w:rsidRPr="00D87B79" w:rsidRDefault="00A92422" w:rsidP="00EA30FC">
            <w:pPr>
              <w:spacing w:after="60"/>
              <w:jc w:val="center"/>
              <w:rPr>
                <w:rFonts w:cs="Tahoma"/>
                <w:szCs w:val="18"/>
              </w:rPr>
            </w:pPr>
            <w:r w:rsidRPr="00D87B79">
              <w:rPr>
                <w:rFonts w:cs="Tahoma"/>
                <w:szCs w:val="18"/>
              </w:rPr>
              <w:t>40</w:t>
            </w:r>
          </w:p>
        </w:tc>
      </w:tr>
      <w:tr w:rsidR="00A92422" w:rsidRPr="00D87B79"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92422" w:rsidRPr="00D87B79" w:rsidRDefault="00A92422" w:rsidP="00EA30FC">
            <w:pPr>
              <w:spacing w:after="60"/>
              <w:jc w:val="center"/>
              <w:rPr>
                <w:rFonts w:cs="Tahoma"/>
                <w:szCs w:val="18"/>
              </w:rPr>
            </w:pPr>
            <w:r w:rsidRPr="00D87B79">
              <w:rPr>
                <w:rFonts w:cs="Tahoma"/>
                <w:szCs w:val="18"/>
              </w:rPr>
              <w:t>400</w:t>
            </w:r>
            <w:r>
              <w:rPr>
                <w:rFonts w:cs="Tahoma"/>
                <w:szCs w:val="18"/>
              </w:rPr>
              <w:t>.</w:t>
            </w:r>
            <w:r w:rsidRPr="00D87B79">
              <w:rPr>
                <w:rFonts w:cs="Tahoma"/>
                <w:szCs w:val="18"/>
              </w:rPr>
              <w:t>000 – 599</w:t>
            </w:r>
            <w:r>
              <w:rPr>
                <w:rFonts w:cs="Tahoma"/>
                <w:szCs w:val="18"/>
              </w:rPr>
              <w:t>.</w:t>
            </w:r>
            <w:r w:rsidRPr="00D87B7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92422" w:rsidRPr="00D87B79" w:rsidRDefault="00A92422" w:rsidP="00EA30FC">
            <w:pPr>
              <w:spacing w:after="60"/>
              <w:jc w:val="center"/>
              <w:rPr>
                <w:rFonts w:cs="Tahoma"/>
                <w:szCs w:val="18"/>
              </w:rPr>
            </w:pPr>
            <w:r w:rsidRPr="00D87B79">
              <w:rPr>
                <w:rFonts w:cs="Tahoma"/>
                <w:szCs w:val="18"/>
              </w:rPr>
              <w:t>50</w:t>
            </w:r>
          </w:p>
        </w:tc>
      </w:tr>
      <w:tr w:rsidR="00A92422" w:rsidRPr="00D87B79"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92422" w:rsidRPr="00D87B79" w:rsidRDefault="00A92422" w:rsidP="00EA30FC">
            <w:pPr>
              <w:spacing w:after="60"/>
              <w:jc w:val="center"/>
              <w:rPr>
                <w:rFonts w:cs="Tahoma"/>
                <w:szCs w:val="18"/>
              </w:rPr>
            </w:pPr>
            <w:r w:rsidRPr="00D87B79">
              <w:rPr>
                <w:rFonts w:cs="Tahoma"/>
                <w:szCs w:val="18"/>
              </w:rPr>
              <w:t>600</w:t>
            </w:r>
            <w:r>
              <w:rPr>
                <w:rFonts w:cs="Tahoma"/>
                <w:szCs w:val="18"/>
              </w:rPr>
              <w:t>.</w:t>
            </w:r>
            <w:r w:rsidRPr="00D87B79">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92422" w:rsidRPr="00D87B79" w:rsidRDefault="00A92422" w:rsidP="00EA30FC">
            <w:pPr>
              <w:spacing w:after="60"/>
              <w:jc w:val="center"/>
              <w:rPr>
                <w:rFonts w:cs="Tahoma"/>
                <w:szCs w:val="18"/>
              </w:rPr>
            </w:pPr>
            <w:r w:rsidRPr="00D87B79">
              <w:rPr>
                <w:rFonts w:cs="Tahoma"/>
                <w:szCs w:val="18"/>
              </w:rPr>
              <w:t>75</w:t>
            </w:r>
          </w:p>
        </w:tc>
      </w:tr>
    </w:tbl>
    <w:p w:rsidR="00A92422" w:rsidRPr="00D87B79" w:rsidRDefault="00A92422" w:rsidP="00A92422">
      <w:pPr>
        <w:spacing w:after="60"/>
        <w:rPr>
          <w:rFonts w:cs="Tahoma"/>
        </w:rPr>
      </w:pPr>
    </w:p>
    <w:p w:rsidR="00A92422" w:rsidRPr="00D87B79" w:rsidRDefault="00A92422" w:rsidP="00A92422">
      <w:pPr>
        <w:spacing w:after="60"/>
        <w:rPr>
          <w:rFonts w:cs="Tahoma"/>
        </w:rPr>
      </w:pPr>
      <w:r w:rsidRPr="00D87B79">
        <w:rPr>
          <w:rFonts w:cs="Tahoma"/>
          <w:lang w:val="it-IT"/>
        </w:rPr>
        <w:t xml:space="preserve">La copertura SA per Core CAL Suite e CAL per SQL conta come </w:t>
      </w:r>
      <w:r w:rsidRPr="00D87B79">
        <w:rPr>
          <w:rFonts w:cs="Tahoma"/>
          <w:u w:val="single"/>
          <w:lang w:val="it-IT"/>
        </w:rPr>
        <w:t>un (1) punto</w:t>
      </w:r>
      <w:r w:rsidRPr="00D87B79">
        <w:rPr>
          <w:rFonts w:cs="Tahoma"/>
          <w:lang w:val="it-IT"/>
        </w:rPr>
        <w:t xml:space="preserve"> per il raggiungimento della soglia indicata nella prima colonna che segue; la copertura SA per Enterprise CAL Suite conta come </w:t>
      </w:r>
      <w:r w:rsidRPr="00D87B79">
        <w:rPr>
          <w:rFonts w:cs="Tahoma"/>
          <w:u w:val="single"/>
          <w:lang w:val="it-IT"/>
        </w:rPr>
        <w:t>due (2) punti</w:t>
      </w:r>
      <w:r w:rsidRPr="00D87B79">
        <w:rPr>
          <w:rFonts w:cs="Tahoma"/>
          <w:lang w:val="it-IT"/>
        </w:rPr>
        <w:t xml:space="preserve"> per il</w:t>
      </w:r>
      <w:r>
        <w:rPr>
          <w:rFonts w:cs="Tahoma"/>
          <w:lang w:val="it-IT"/>
        </w:rPr>
        <w:t> </w:t>
      </w:r>
      <w:r w:rsidRPr="00D87B79">
        <w:rPr>
          <w:rFonts w:cs="Tahoma"/>
          <w:lang w:val="it-IT"/>
        </w:rPr>
        <w:t>raggiungimento della soglia indicata nella prima colonna che segue:</w:t>
      </w:r>
    </w:p>
    <w:p w:rsidR="00A92422" w:rsidRPr="00D87B79" w:rsidRDefault="00A92422" w:rsidP="00A92422">
      <w:pPr>
        <w:spacing w:after="60"/>
        <w:rPr>
          <w:rFonts w:cs="Tahoma"/>
        </w:rPr>
      </w:pPr>
    </w:p>
    <w:tbl>
      <w:tblPr>
        <w:tblW w:w="6120" w:type="dxa"/>
        <w:tblInd w:w="1458" w:type="dxa"/>
        <w:tblCellMar>
          <w:left w:w="0" w:type="dxa"/>
          <w:right w:w="0" w:type="dxa"/>
        </w:tblCellMar>
        <w:tblLook w:val="04A0" w:firstRow="1" w:lastRow="0" w:firstColumn="1" w:lastColumn="0" w:noHBand="0" w:noVBand="1"/>
      </w:tblPr>
      <w:tblGrid>
        <w:gridCol w:w="3330"/>
        <w:gridCol w:w="2790"/>
      </w:tblGrid>
      <w:tr w:rsidR="00A92422" w:rsidRPr="00D87B79" w:rsidTr="00EA30FC">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A92422" w:rsidRPr="00D87B79" w:rsidRDefault="00A92422" w:rsidP="00EA30FC">
            <w:pPr>
              <w:spacing w:after="60"/>
              <w:jc w:val="center"/>
              <w:rPr>
                <w:rFonts w:cs="Tahoma"/>
                <w:szCs w:val="18"/>
              </w:rPr>
            </w:pPr>
            <w:r w:rsidRPr="00D87B79">
              <w:rPr>
                <w:rFonts w:cs="Tahoma"/>
                <w:b/>
                <w:lang w:val="it-IT"/>
              </w:rPr>
              <w:t>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A92422" w:rsidRPr="00D87B79" w:rsidRDefault="00A92422" w:rsidP="00EA30FC">
            <w:pPr>
              <w:spacing w:after="60"/>
              <w:rPr>
                <w:rFonts w:cs="Tahoma"/>
                <w:szCs w:val="18"/>
              </w:rPr>
            </w:pPr>
            <w:r w:rsidRPr="00D87B79">
              <w:rPr>
                <w:rFonts w:cs="Tahoma"/>
                <w:b/>
                <w:lang w:val="it-IT"/>
              </w:rPr>
              <w:t>Giorni Planning Services</w:t>
            </w:r>
            <w:r w:rsidRPr="00D87B79">
              <w:rPr>
                <w:rFonts w:cs="Tahoma"/>
              </w:rPr>
              <w:t xml:space="preserve"> </w:t>
            </w:r>
          </w:p>
        </w:tc>
      </w:tr>
      <w:tr w:rsidR="00A92422" w:rsidRPr="00D87B79" w:rsidTr="00EA30FC">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92422" w:rsidRPr="00D87B79" w:rsidRDefault="00A92422" w:rsidP="00EA30FC">
            <w:pPr>
              <w:spacing w:after="60"/>
              <w:jc w:val="center"/>
              <w:rPr>
                <w:rFonts w:cs="Tahoma"/>
                <w:szCs w:val="18"/>
              </w:rPr>
            </w:pPr>
            <w:r w:rsidRPr="00D87B79">
              <w:rPr>
                <w:rFonts w:cs="Tahoma"/>
                <w:szCs w:val="18"/>
              </w:rPr>
              <w:t>200</w:t>
            </w:r>
            <w:r>
              <w:rPr>
                <w:rFonts w:cs="Tahoma"/>
                <w:szCs w:val="18"/>
              </w:rPr>
              <w:t xml:space="preserve"> </w:t>
            </w:r>
            <w:r w:rsidRPr="00D87B79">
              <w:rPr>
                <w:rFonts w:cs="Tahoma"/>
                <w:szCs w:val="18"/>
              </w:rPr>
              <w:t>–</w:t>
            </w:r>
            <w:r>
              <w:rPr>
                <w:rFonts w:cs="Tahoma"/>
                <w:szCs w:val="18"/>
              </w:rPr>
              <w:t xml:space="preserve"> </w:t>
            </w:r>
            <w:r w:rsidRPr="00D87B79">
              <w:rPr>
                <w:rFonts w:cs="Tahoma"/>
                <w:szCs w:val="18"/>
              </w:rPr>
              <w:t>3</w:t>
            </w:r>
            <w:r>
              <w:rPr>
                <w:rFonts w:cs="Tahoma"/>
                <w:szCs w:val="18"/>
              </w:rPr>
              <w:t>.</w:t>
            </w:r>
            <w:r w:rsidRPr="00D87B7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92422" w:rsidRPr="00D87B79" w:rsidRDefault="00A92422" w:rsidP="00EA30FC">
            <w:pPr>
              <w:spacing w:after="60"/>
              <w:jc w:val="center"/>
              <w:rPr>
                <w:rFonts w:cs="Tahoma"/>
                <w:szCs w:val="18"/>
              </w:rPr>
            </w:pPr>
            <w:r w:rsidRPr="00D87B79">
              <w:rPr>
                <w:rFonts w:cs="Tahoma"/>
                <w:szCs w:val="18"/>
              </w:rPr>
              <w:t>1</w:t>
            </w:r>
          </w:p>
        </w:tc>
      </w:tr>
      <w:tr w:rsidR="00A92422" w:rsidRPr="00D87B79" w:rsidTr="00EA30FC">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92422" w:rsidRPr="00D87B79" w:rsidRDefault="00A92422" w:rsidP="00EA30FC">
            <w:pPr>
              <w:spacing w:after="60"/>
              <w:jc w:val="center"/>
              <w:rPr>
                <w:rFonts w:cs="Tahoma"/>
                <w:szCs w:val="18"/>
              </w:rPr>
            </w:pPr>
            <w:r w:rsidRPr="00D87B79">
              <w:rPr>
                <w:rFonts w:cs="Tahoma"/>
                <w:szCs w:val="18"/>
              </w:rPr>
              <w:t>4</w:t>
            </w:r>
            <w:r>
              <w:rPr>
                <w:rFonts w:cs="Tahoma"/>
                <w:szCs w:val="18"/>
              </w:rPr>
              <w:t>.</w:t>
            </w:r>
            <w:r w:rsidRPr="00D87B79">
              <w:rPr>
                <w:rFonts w:cs="Tahoma"/>
                <w:szCs w:val="18"/>
              </w:rPr>
              <w:t>000 – 9</w:t>
            </w:r>
            <w:r>
              <w:rPr>
                <w:rFonts w:cs="Tahoma"/>
                <w:szCs w:val="18"/>
              </w:rPr>
              <w:t>.</w:t>
            </w:r>
            <w:r w:rsidRPr="00D87B7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92422" w:rsidRPr="00D87B79" w:rsidRDefault="00A92422" w:rsidP="00EA30FC">
            <w:pPr>
              <w:spacing w:after="60"/>
              <w:jc w:val="center"/>
              <w:rPr>
                <w:rFonts w:cs="Tahoma"/>
                <w:szCs w:val="18"/>
              </w:rPr>
            </w:pPr>
            <w:r w:rsidRPr="00D87B79">
              <w:rPr>
                <w:rFonts w:cs="Tahoma"/>
                <w:szCs w:val="18"/>
              </w:rPr>
              <w:t>3</w:t>
            </w:r>
          </w:p>
        </w:tc>
      </w:tr>
      <w:tr w:rsidR="00A92422" w:rsidRPr="00D87B79"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92422" w:rsidRPr="00D87B79" w:rsidRDefault="00A92422" w:rsidP="00EA30FC">
            <w:pPr>
              <w:spacing w:after="60"/>
              <w:jc w:val="center"/>
              <w:rPr>
                <w:rFonts w:cs="Tahoma"/>
                <w:szCs w:val="18"/>
              </w:rPr>
            </w:pPr>
            <w:r w:rsidRPr="00D87B79">
              <w:rPr>
                <w:rFonts w:cs="Tahoma"/>
                <w:szCs w:val="18"/>
              </w:rPr>
              <w:t>10</w:t>
            </w:r>
            <w:r>
              <w:rPr>
                <w:rFonts w:cs="Tahoma"/>
                <w:szCs w:val="18"/>
              </w:rPr>
              <w:t>.</w:t>
            </w:r>
            <w:r w:rsidRPr="00D87B79">
              <w:rPr>
                <w:rFonts w:cs="Tahoma"/>
                <w:szCs w:val="18"/>
              </w:rPr>
              <w:t>000 – 99</w:t>
            </w:r>
            <w:r>
              <w:rPr>
                <w:rFonts w:cs="Tahoma"/>
                <w:szCs w:val="18"/>
              </w:rPr>
              <w:t>.</w:t>
            </w:r>
            <w:r w:rsidRPr="00D87B7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92422" w:rsidRPr="00D87B79" w:rsidRDefault="00A92422" w:rsidP="00EA30FC">
            <w:pPr>
              <w:spacing w:after="60"/>
              <w:jc w:val="center"/>
              <w:rPr>
                <w:rFonts w:cs="Tahoma"/>
                <w:szCs w:val="18"/>
              </w:rPr>
            </w:pPr>
            <w:r w:rsidRPr="00D87B79">
              <w:rPr>
                <w:rFonts w:cs="Tahoma"/>
                <w:szCs w:val="18"/>
              </w:rPr>
              <w:t>5</w:t>
            </w:r>
          </w:p>
        </w:tc>
      </w:tr>
      <w:tr w:rsidR="00A92422" w:rsidRPr="00D87B79"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92422" w:rsidRPr="00D87B79" w:rsidRDefault="00A92422" w:rsidP="00EA30FC">
            <w:pPr>
              <w:spacing w:after="60"/>
              <w:jc w:val="center"/>
              <w:rPr>
                <w:rFonts w:cs="Tahoma"/>
                <w:szCs w:val="18"/>
              </w:rPr>
            </w:pPr>
            <w:r w:rsidRPr="00D87B79">
              <w:rPr>
                <w:rFonts w:cs="Tahoma"/>
                <w:szCs w:val="18"/>
              </w:rPr>
              <w:t>100</w:t>
            </w:r>
            <w:r>
              <w:rPr>
                <w:rFonts w:cs="Tahoma"/>
                <w:szCs w:val="18"/>
              </w:rPr>
              <w:t>.</w:t>
            </w:r>
            <w:r w:rsidRPr="00D87B79">
              <w:rPr>
                <w:rFonts w:cs="Tahoma"/>
                <w:szCs w:val="18"/>
              </w:rPr>
              <w:t>000 – 299</w:t>
            </w:r>
            <w:r>
              <w:rPr>
                <w:rFonts w:cs="Tahoma"/>
                <w:szCs w:val="18"/>
              </w:rPr>
              <w:t>.</w:t>
            </w:r>
            <w:r w:rsidRPr="00D87B7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92422" w:rsidRPr="00D87B79" w:rsidRDefault="00A92422" w:rsidP="00EA30FC">
            <w:pPr>
              <w:spacing w:after="60"/>
              <w:jc w:val="center"/>
              <w:rPr>
                <w:rFonts w:cs="Tahoma"/>
                <w:szCs w:val="18"/>
              </w:rPr>
            </w:pPr>
            <w:r w:rsidRPr="00D87B79">
              <w:rPr>
                <w:rFonts w:cs="Tahoma"/>
                <w:szCs w:val="18"/>
              </w:rPr>
              <w:t>7</w:t>
            </w:r>
          </w:p>
        </w:tc>
      </w:tr>
      <w:tr w:rsidR="00A92422" w:rsidRPr="00D87B79" w:rsidTr="00EA30FC">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92422" w:rsidRPr="00D87B79" w:rsidRDefault="00A92422" w:rsidP="00EA30FC">
            <w:pPr>
              <w:spacing w:after="60"/>
              <w:jc w:val="center"/>
              <w:rPr>
                <w:rFonts w:cs="Tahoma"/>
                <w:szCs w:val="18"/>
              </w:rPr>
            </w:pPr>
            <w:r w:rsidRPr="00D87B79">
              <w:rPr>
                <w:rFonts w:cs="Tahoma"/>
                <w:szCs w:val="18"/>
              </w:rPr>
              <w:t>300</w:t>
            </w:r>
            <w:r>
              <w:rPr>
                <w:rFonts w:cs="Tahoma"/>
                <w:szCs w:val="18"/>
              </w:rPr>
              <w:t>.</w:t>
            </w:r>
            <w:r w:rsidRPr="00D87B79">
              <w:rPr>
                <w:rFonts w:cs="Tahoma"/>
                <w:szCs w:val="18"/>
              </w:rPr>
              <w:t>000 – 599</w:t>
            </w:r>
            <w:r>
              <w:rPr>
                <w:rFonts w:cs="Tahoma"/>
                <w:szCs w:val="18"/>
              </w:rPr>
              <w:t>.</w:t>
            </w:r>
            <w:r w:rsidRPr="00D87B7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92422" w:rsidRPr="00D87B79" w:rsidRDefault="00A92422" w:rsidP="00EA30FC">
            <w:pPr>
              <w:spacing w:after="60"/>
              <w:jc w:val="center"/>
              <w:rPr>
                <w:rFonts w:cs="Tahoma"/>
                <w:szCs w:val="18"/>
              </w:rPr>
            </w:pPr>
            <w:r w:rsidRPr="00D87B79">
              <w:rPr>
                <w:rFonts w:cs="Tahoma"/>
                <w:szCs w:val="18"/>
              </w:rPr>
              <w:t>10</w:t>
            </w:r>
          </w:p>
        </w:tc>
      </w:tr>
      <w:tr w:rsidR="00A92422" w:rsidRPr="00D87B79"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92422" w:rsidRPr="00D87B79" w:rsidRDefault="00A92422" w:rsidP="00EA30FC">
            <w:pPr>
              <w:spacing w:after="60"/>
              <w:jc w:val="center"/>
              <w:rPr>
                <w:rFonts w:cs="Tahoma"/>
                <w:szCs w:val="18"/>
              </w:rPr>
            </w:pPr>
            <w:r w:rsidRPr="00D87B79">
              <w:rPr>
                <w:rFonts w:cs="Tahoma"/>
                <w:szCs w:val="18"/>
              </w:rPr>
              <w:t>600</w:t>
            </w:r>
            <w:r>
              <w:rPr>
                <w:rFonts w:cs="Tahoma"/>
                <w:szCs w:val="18"/>
              </w:rPr>
              <w:t>.</w:t>
            </w:r>
            <w:r w:rsidRPr="00D87B79">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92422" w:rsidRPr="00D87B79" w:rsidRDefault="00A92422" w:rsidP="00EA30FC">
            <w:pPr>
              <w:spacing w:after="60"/>
              <w:jc w:val="center"/>
              <w:rPr>
                <w:rFonts w:cs="Tahoma"/>
                <w:szCs w:val="18"/>
              </w:rPr>
            </w:pPr>
            <w:r w:rsidRPr="00D87B79">
              <w:rPr>
                <w:rFonts w:cs="Tahoma"/>
                <w:szCs w:val="18"/>
              </w:rPr>
              <w:t>12</w:t>
            </w:r>
          </w:p>
        </w:tc>
      </w:tr>
    </w:tbl>
    <w:p w:rsidR="00A92422" w:rsidRPr="00D87B79" w:rsidRDefault="00A92422" w:rsidP="00A92422">
      <w:pPr>
        <w:rPr>
          <w:rFonts w:cs="Tahoma"/>
        </w:rPr>
      </w:pPr>
    </w:p>
    <w:p w:rsidR="00A92422" w:rsidRPr="00D87B79" w:rsidRDefault="00A92422" w:rsidP="00A92422">
      <w:pPr>
        <w:rPr>
          <w:rFonts w:cs="Tahoma"/>
        </w:rPr>
      </w:pPr>
      <w:r w:rsidRPr="00D87B79">
        <w:rPr>
          <w:rFonts w:cs="Tahoma"/>
          <w:lang w:val="it-IT"/>
        </w:rPr>
        <w:t>Esempi</w:t>
      </w:r>
    </w:p>
    <w:p w:rsidR="00A92422" w:rsidRPr="00D87B79" w:rsidRDefault="00A92422" w:rsidP="00A92422">
      <w:pPr>
        <w:spacing w:after="60"/>
        <w:rPr>
          <w:rFonts w:cs="Tahoma"/>
        </w:rPr>
      </w:pPr>
      <w:r w:rsidRPr="00D87B79">
        <w:rPr>
          <w:rFonts w:cs="Tahoma"/>
          <w:lang w:val="it-IT"/>
        </w:rPr>
        <w:t>Contratto Open Value con:</w:t>
      </w:r>
    </w:p>
    <w:p w:rsidR="00A92422" w:rsidRPr="00D87B79" w:rsidRDefault="00A92422" w:rsidP="00A92422">
      <w:pPr>
        <w:spacing w:after="60"/>
        <w:rPr>
          <w:rFonts w:cs="Tahoma"/>
        </w:rPr>
      </w:pPr>
      <w:r w:rsidRPr="00D87B79">
        <w:rPr>
          <w:rFonts w:cs="Tahoma"/>
          <w:lang w:val="it-IT"/>
        </w:rPr>
        <w:t>150 Office Professional Plus L&amp;SA</w:t>
      </w:r>
    </w:p>
    <w:p w:rsidR="00A92422" w:rsidRPr="00D87B79" w:rsidRDefault="00A92422" w:rsidP="00A92422">
      <w:pPr>
        <w:spacing w:after="60"/>
        <w:rPr>
          <w:rFonts w:cs="Tahoma"/>
        </w:rPr>
      </w:pPr>
      <w:r w:rsidRPr="00D87B79">
        <w:rPr>
          <w:rFonts w:cs="Tahoma"/>
          <w:szCs w:val="20"/>
          <w:u w:val="single"/>
          <w:lang w:val="it-IT"/>
        </w:rPr>
        <w:t>+50 SA per Visio Standard</w:t>
      </w:r>
      <w:r w:rsidRPr="00D87B79">
        <w:rPr>
          <w:rFonts w:cs="Tahoma"/>
          <w:szCs w:val="20"/>
          <w:u w:val="single"/>
        </w:rPr>
        <w:tab/>
      </w:r>
      <w:r w:rsidRPr="00D87B79">
        <w:rPr>
          <w:rFonts w:cs="Tahoma"/>
          <w:szCs w:val="20"/>
          <w:u w:val="single"/>
        </w:rPr>
        <w:tab/>
      </w:r>
      <w:r w:rsidRPr="00D87B79">
        <w:rPr>
          <w:rFonts w:cs="Tahoma"/>
          <w:szCs w:val="20"/>
          <w:u w:val="single"/>
        </w:rPr>
        <w:tab/>
      </w:r>
    </w:p>
    <w:p w:rsidR="00A92422" w:rsidRPr="00D87B79" w:rsidRDefault="00A92422" w:rsidP="00A92422">
      <w:pPr>
        <w:spacing w:after="60"/>
        <w:rPr>
          <w:rFonts w:cs="Tahoma"/>
        </w:rPr>
      </w:pPr>
      <w:r w:rsidRPr="00D87B79">
        <w:rPr>
          <w:rFonts w:cs="Tahoma"/>
          <w:lang w:val="it-IT"/>
        </w:rPr>
        <w:t>200 Punti di Licenze per Applicazioni Office e/o Server = 1 giorno</w:t>
      </w:r>
    </w:p>
    <w:p w:rsidR="00A92422" w:rsidRPr="00D87B79" w:rsidRDefault="00A92422" w:rsidP="00A92422">
      <w:pPr>
        <w:rPr>
          <w:rFonts w:cs="Tahoma"/>
        </w:rPr>
      </w:pPr>
    </w:p>
    <w:p w:rsidR="00A92422" w:rsidRPr="00D87B79" w:rsidRDefault="00A92422" w:rsidP="00A92422">
      <w:pPr>
        <w:spacing w:after="60"/>
        <w:rPr>
          <w:rFonts w:cs="Tahoma"/>
        </w:rPr>
      </w:pPr>
      <w:r w:rsidRPr="00D87B79">
        <w:rPr>
          <w:rFonts w:cs="Tahoma"/>
          <w:lang w:val="it-IT"/>
        </w:rPr>
        <w:t>Iscrizione Select o Select Plus SAM con:</w:t>
      </w:r>
    </w:p>
    <w:p w:rsidR="00A92422" w:rsidRPr="00D87B79" w:rsidRDefault="00A92422" w:rsidP="00A92422">
      <w:pPr>
        <w:spacing w:after="60"/>
        <w:rPr>
          <w:rFonts w:cs="Tahoma"/>
        </w:rPr>
      </w:pPr>
      <w:r w:rsidRPr="00D87B79">
        <w:rPr>
          <w:rFonts w:cs="Tahoma"/>
          <w:lang w:val="it-IT"/>
        </w:rPr>
        <w:t>SA per 3.500 Enterprise CAL Suite</w:t>
      </w:r>
    </w:p>
    <w:p w:rsidR="00A92422" w:rsidRPr="00D87B79" w:rsidRDefault="00A92422" w:rsidP="00A92422">
      <w:pPr>
        <w:spacing w:after="60"/>
        <w:rPr>
          <w:rFonts w:cs="Tahoma"/>
        </w:rPr>
      </w:pPr>
      <w:r w:rsidRPr="00D87B79">
        <w:rPr>
          <w:rFonts w:cs="Tahoma"/>
          <w:szCs w:val="20"/>
          <w:u w:val="single"/>
          <w:lang w:val="it-IT"/>
        </w:rPr>
        <w:t>x 2 punti ciascuna</w:t>
      </w:r>
      <w:r w:rsidRPr="00D87B79">
        <w:rPr>
          <w:rFonts w:cs="Tahoma"/>
          <w:szCs w:val="20"/>
          <w:u w:val="single"/>
        </w:rPr>
        <w:tab/>
      </w:r>
      <w:r w:rsidRPr="00D87B79">
        <w:rPr>
          <w:rFonts w:cs="Tahoma"/>
          <w:szCs w:val="20"/>
          <w:u w:val="single"/>
        </w:rPr>
        <w:tab/>
      </w:r>
      <w:r w:rsidRPr="00D87B79">
        <w:rPr>
          <w:rFonts w:cs="Tahoma"/>
          <w:szCs w:val="20"/>
          <w:u w:val="single"/>
        </w:rPr>
        <w:tab/>
      </w:r>
      <w:r w:rsidRPr="00D87B79">
        <w:rPr>
          <w:rFonts w:cs="Tahoma"/>
          <w:szCs w:val="20"/>
          <w:u w:val="single"/>
        </w:rPr>
        <w:tab/>
      </w:r>
      <w:r w:rsidRPr="00D87B79">
        <w:rPr>
          <w:rFonts w:cs="Tahoma"/>
          <w:szCs w:val="20"/>
        </w:rPr>
        <w:t xml:space="preserve"> </w:t>
      </w:r>
    </w:p>
    <w:p w:rsidR="00A92422" w:rsidRPr="00D87B79" w:rsidRDefault="00A92422" w:rsidP="00A92422">
      <w:pPr>
        <w:spacing w:after="60"/>
        <w:rPr>
          <w:rFonts w:cs="Tahoma"/>
        </w:rPr>
      </w:pPr>
      <w:r w:rsidRPr="00D87B79">
        <w:rPr>
          <w:rFonts w:cs="Tahoma"/>
          <w:lang w:val="it-IT"/>
        </w:rPr>
        <w:t>7.000 punti per CAL = 3 giorni</w:t>
      </w:r>
      <w:r w:rsidRPr="00D87B79">
        <w:rPr>
          <w:rFonts w:cs="Tahoma"/>
        </w:rPr>
        <w:t xml:space="preserve"> </w:t>
      </w:r>
    </w:p>
    <w:p w:rsidR="00A92422" w:rsidRPr="00D87B79" w:rsidRDefault="00A92422" w:rsidP="00A92422">
      <w:pPr>
        <w:rPr>
          <w:rFonts w:cs="Tahoma"/>
        </w:rPr>
      </w:pPr>
    </w:p>
    <w:p w:rsidR="00A92422" w:rsidRPr="00D87B79" w:rsidRDefault="00A92422" w:rsidP="00A92422">
      <w:pPr>
        <w:spacing w:after="60"/>
        <w:rPr>
          <w:rFonts w:cs="Tahoma"/>
        </w:rPr>
      </w:pPr>
      <w:r w:rsidRPr="00D87B79">
        <w:rPr>
          <w:rFonts w:cs="Tahoma"/>
          <w:lang w:val="it-IT"/>
        </w:rPr>
        <w:t>Iscrizione EA con:</w:t>
      </w:r>
    </w:p>
    <w:p w:rsidR="00A92422" w:rsidRPr="00D87B79" w:rsidRDefault="00A92422" w:rsidP="00A92422">
      <w:pPr>
        <w:spacing w:after="60"/>
        <w:rPr>
          <w:rFonts w:cs="Tahoma"/>
        </w:rPr>
      </w:pPr>
      <w:r w:rsidRPr="00D87B79">
        <w:rPr>
          <w:rFonts w:cs="Tahoma"/>
          <w:lang w:val="it-IT"/>
        </w:rPr>
        <w:t>3.500 Enterprise Desktop</w:t>
      </w:r>
    </w:p>
    <w:p w:rsidR="00A92422" w:rsidRPr="00D87B79" w:rsidRDefault="00A92422" w:rsidP="00A92422">
      <w:pPr>
        <w:numPr>
          <w:ilvl w:val="0"/>
          <w:numId w:val="42"/>
        </w:numPr>
        <w:tabs>
          <w:tab w:val="left" w:pos="720"/>
        </w:tabs>
        <w:spacing w:after="60" w:line="276" w:lineRule="auto"/>
        <w:rPr>
          <w:rFonts w:cs="Tahoma"/>
        </w:rPr>
      </w:pPr>
      <w:r w:rsidRPr="00D87B79">
        <w:rPr>
          <w:rFonts w:cs="Tahoma"/>
          <w:lang w:val="it-IT"/>
        </w:rPr>
        <w:t>3.500 Office Professional Plus</w:t>
      </w:r>
    </w:p>
    <w:p w:rsidR="00A92422" w:rsidRPr="00D87B79" w:rsidRDefault="00A92422" w:rsidP="00A92422">
      <w:pPr>
        <w:numPr>
          <w:ilvl w:val="0"/>
          <w:numId w:val="42"/>
        </w:numPr>
        <w:spacing w:after="60" w:line="276" w:lineRule="auto"/>
        <w:rPr>
          <w:rFonts w:cs="Tahoma"/>
        </w:rPr>
      </w:pPr>
      <w:r w:rsidRPr="00D87B79">
        <w:rPr>
          <w:rFonts w:cs="Tahoma"/>
          <w:color w:val="000000"/>
          <w:lang w:val="it-IT"/>
        </w:rPr>
        <w:t>3.500 Enterprise CAL Suite</w:t>
      </w:r>
    </w:p>
    <w:p w:rsidR="00A92422" w:rsidRPr="00D87B79" w:rsidRDefault="00A92422" w:rsidP="00A92422">
      <w:pPr>
        <w:spacing w:after="60"/>
        <w:rPr>
          <w:rFonts w:cs="Tahoma"/>
        </w:rPr>
      </w:pPr>
      <w:r w:rsidRPr="00D87B79">
        <w:rPr>
          <w:rFonts w:cs="Tahoma"/>
          <w:lang w:val="it-IT"/>
        </w:rPr>
        <w:t>+50 Windows Server Enterprise Edition (x 50 punti ciascuna = 2.500 punti)</w:t>
      </w:r>
    </w:p>
    <w:p w:rsidR="00A92422" w:rsidRPr="00D87B79" w:rsidRDefault="00A92422" w:rsidP="00A92422">
      <w:pPr>
        <w:spacing w:after="60"/>
        <w:rPr>
          <w:rFonts w:cs="Tahoma"/>
        </w:rPr>
      </w:pPr>
      <w:r w:rsidRPr="00D87B79">
        <w:rPr>
          <w:rFonts w:cs="Tahoma"/>
          <w:szCs w:val="20"/>
          <w:u w:val="single"/>
          <w:lang w:val="it-IT"/>
        </w:rPr>
        <w:t>+600 SA per Visio Standard</w:t>
      </w:r>
      <w:r w:rsidRPr="00D87B79">
        <w:rPr>
          <w:rFonts w:cs="Tahoma"/>
          <w:szCs w:val="20"/>
          <w:u w:val="single"/>
        </w:rPr>
        <w:tab/>
      </w:r>
      <w:r w:rsidRPr="00D87B79">
        <w:rPr>
          <w:rFonts w:cs="Tahoma"/>
          <w:szCs w:val="20"/>
          <w:u w:val="single"/>
        </w:rPr>
        <w:tab/>
      </w:r>
      <w:r w:rsidRPr="00D87B79">
        <w:rPr>
          <w:rFonts w:cs="Tahoma"/>
          <w:szCs w:val="20"/>
          <w:u w:val="single"/>
        </w:rPr>
        <w:tab/>
        <w:t xml:space="preserve"> </w:t>
      </w:r>
    </w:p>
    <w:p w:rsidR="00A92422" w:rsidRPr="00D87B79" w:rsidRDefault="00A92422" w:rsidP="00A92422">
      <w:pPr>
        <w:spacing w:after="60"/>
        <w:rPr>
          <w:rFonts w:cs="Tahoma"/>
        </w:rPr>
      </w:pPr>
      <w:r w:rsidRPr="00D87B79">
        <w:rPr>
          <w:rFonts w:cs="Tahoma"/>
          <w:lang w:val="it-IT"/>
        </w:rPr>
        <w:t>6.600 Punti per Licenze per Applicazioni Office e/o Server Coperte = 10 giorni</w:t>
      </w:r>
      <w:r w:rsidRPr="00D87B79">
        <w:rPr>
          <w:rFonts w:cs="Tahoma"/>
        </w:rPr>
        <w:t xml:space="preserve"> </w:t>
      </w:r>
    </w:p>
    <w:p w:rsidR="00A92422" w:rsidRPr="00D87B79" w:rsidRDefault="00A92422" w:rsidP="00A92422">
      <w:pPr>
        <w:spacing w:after="60"/>
        <w:rPr>
          <w:rFonts w:cs="Tahoma"/>
        </w:rPr>
      </w:pPr>
      <w:r w:rsidRPr="00D87B79">
        <w:rPr>
          <w:rFonts w:cs="Tahoma"/>
          <w:lang w:val="it-IT"/>
        </w:rPr>
        <w:t>7.000 punti per CAL Suite Coperte= 3 giorni</w:t>
      </w:r>
    </w:p>
    <w:p w:rsidR="00A92422" w:rsidRPr="00D87B79" w:rsidRDefault="00A92422" w:rsidP="00A92422">
      <w:pPr>
        <w:numPr>
          <w:ilvl w:val="0"/>
          <w:numId w:val="43"/>
        </w:numPr>
        <w:spacing w:after="60"/>
        <w:ind w:left="720"/>
        <w:rPr>
          <w:rFonts w:cs="Tahoma"/>
        </w:rPr>
      </w:pPr>
      <w:r w:rsidRPr="00D87B79">
        <w:rPr>
          <w:rFonts w:cs="Tahoma"/>
          <w:lang w:val="it-IT"/>
        </w:rPr>
        <w:t>Totale 13 Giorni Planning Services</w:t>
      </w:r>
    </w:p>
    <w:p w:rsidR="00A92422" w:rsidRPr="00D87B79" w:rsidRDefault="00A92422" w:rsidP="00A92422">
      <w:pPr>
        <w:spacing w:after="60"/>
        <w:rPr>
          <w:rFonts w:cs="Tahoma"/>
        </w:rPr>
      </w:pPr>
      <w:r w:rsidRPr="00D87B79">
        <w:rPr>
          <w:rFonts w:cs="Tahoma"/>
          <w:lang w:val="it-IT"/>
        </w:rPr>
        <w:t>Iscrizione ECI con:</w:t>
      </w:r>
    </w:p>
    <w:p w:rsidR="00A92422" w:rsidRPr="00D87B79" w:rsidRDefault="00A92422" w:rsidP="00A92422">
      <w:pPr>
        <w:spacing w:after="60"/>
        <w:rPr>
          <w:rFonts w:cs="Tahoma"/>
        </w:rPr>
      </w:pPr>
      <w:r w:rsidRPr="00D87B79">
        <w:rPr>
          <w:rFonts w:cs="Tahoma"/>
          <w:lang w:val="it-IT"/>
        </w:rPr>
        <w:t>100 ECI Datacenter</w:t>
      </w:r>
      <w:r w:rsidRPr="00D87B79">
        <w:rPr>
          <w:rFonts w:cs="Tahoma"/>
        </w:rPr>
        <w:t xml:space="preserve"> </w:t>
      </w:r>
    </w:p>
    <w:p w:rsidR="00A92422" w:rsidRPr="00D87B79" w:rsidRDefault="00A92422" w:rsidP="00A92422">
      <w:pPr>
        <w:numPr>
          <w:ilvl w:val="0"/>
          <w:numId w:val="43"/>
        </w:numPr>
        <w:spacing w:after="60"/>
        <w:ind w:left="720"/>
        <w:rPr>
          <w:rFonts w:cs="Tahoma"/>
        </w:rPr>
      </w:pPr>
      <w:r w:rsidRPr="00D87B79">
        <w:rPr>
          <w:rFonts w:cs="Tahoma"/>
          <w:lang w:val="it-IT"/>
        </w:rPr>
        <w:t>100 Windows Server Datacenter Edition (x 75 punti ciascuna x 2 punti moltiplicatori = 15.000 punti)</w:t>
      </w:r>
    </w:p>
    <w:p w:rsidR="00A92422" w:rsidRPr="00D87B79" w:rsidRDefault="00A92422" w:rsidP="00A92422">
      <w:pPr>
        <w:numPr>
          <w:ilvl w:val="0"/>
          <w:numId w:val="43"/>
        </w:numPr>
        <w:spacing w:after="60"/>
        <w:ind w:left="720"/>
        <w:rPr>
          <w:rFonts w:cs="Tahoma"/>
        </w:rPr>
      </w:pPr>
      <w:r w:rsidRPr="00D87B79">
        <w:rPr>
          <w:rFonts w:cs="Tahoma"/>
          <w:u w:val="single"/>
          <w:lang w:val="it-IT"/>
        </w:rPr>
        <w:t>100 System Center 2012 Datacenter Edition (x 75 punti ciascuna x 2 punti moltiplicatori = 15.000 punti)</w:t>
      </w:r>
    </w:p>
    <w:p w:rsidR="00A92422" w:rsidRPr="00D87B79" w:rsidRDefault="00A92422" w:rsidP="00A92422">
      <w:pPr>
        <w:spacing w:after="60"/>
        <w:ind w:firstLine="360"/>
        <w:rPr>
          <w:rFonts w:cs="Tahoma"/>
        </w:rPr>
      </w:pPr>
      <w:r w:rsidRPr="00D87B79">
        <w:rPr>
          <w:rFonts w:cs="Tahoma"/>
          <w:lang w:val="it-IT"/>
        </w:rPr>
        <w:t>30.000 Punti per licenze per Applicazioni Office e/o Server Coperte = 15 giorni</w:t>
      </w:r>
    </w:p>
    <w:p w:rsidR="00A92422" w:rsidRPr="00D87B79" w:rsidRDefault="00A92422" w:rsidP="00A92422">
      <w:pPr>
        <w:ind w:firstLine="360"/>
        <w:rPr>
          <w:rFonts w:cs="Tahoma"/>
        </w:rPr>
      </w:pPr>
    </w:p>
    <w:p w:rsidR="00A92422" w:rsidRPr="00D87B79" w:rsidRDefault="00A92422" w:rsidP="00A92422">
      <w:pPr>
        <w:pStyle w:val="AppendixBodyText"/>
        <w:spacing w:after="0"/>
        <w:rPr>
          <w:rFonts w:ascii="Tahoma" w:hAnsi="Tahoma" w:cs="Tahoma"/>
        </w:rPr>
      </w:pPr>
      <w:r w:rsidRPr="00D87B79">
        <w:rPr>
          <w:rFonts w:ascii="Tahoma" w:hAnsi="Tahoma" w:cs="Tahoma"/>
          <w:sz w:val="18"/>
          <w:lang w:val="it-IT"/>
        </w:rPr>
        <w:t>Le società possono inoltre incrementare il numero di Giorni Planning Services qualora soddisfino i seguenti criteri:</w:t>
      </w:r>
      <w:r w:rsidRPr="00D87B79">
        <w:rPr>
          <w:rFonts w:ascii="Tahoma" w:hAnsi="Tahoma" w:cs="Tahoma"/>
          <w:sz w:val="18"/>
        </w:rPr>
        <w:t xml:space="preserve"> </w:t>
      </w:r>
      <w:r w:rsidRPr="00D87B79">
        <w:rPr>
          <w:rFonts w:ascii="Tahoma" w:hAnsi="Tahoma" w:cs="Tahoma"/>
          <w:sz w:val="18"/>
          <w:lang w:val="it-IT"/>
        </w:rPr>
        <w:t>(a)</w:t>
      </w:r>
      <w:r>
        <w:rPr>
          <w:rFonts w:ascii="Tahoma" w:hAnsi="Tahoma" w:cs="Tahoma"/>
          <w:sz w:val="18"/>
          <w:lang w:val="it-IT"/>
        </w:rPr>
        <w:t> </w:t>
      </w:r>
      <w:r w:rsidRPr="00D87B79">
        <w:rPr>
          <w:rFonts w:ascii="Tahoma" w:hAnsi="Tahoma" w:cs="Tahoma"/>
          <w:sz w:val="18"/>
          <w:lang w:val="it-IT"/>
        </w:rPr>
        <w:t>sono al momento idonee per il vantaggio Voucher Corsi, (b) hanno attivato il vantaggio Voucher Corsi e (c) hanno almeno 3 giorni di corsi non rivendicati del vantaggio Voucher Corsi disponibili per la conversione.</w:t>
      </w:r>
      <w:r w:rsidRPr="00D87B79">
        <w:rPr>
          <w:rFonts w:ascii="Tahoma" w:hAnsi="Tahoma" w:cs="Tahoma"/>
        </w:rPr>
        <w:t xml:space="preserve"> </w:t>
      </w:r>
      <w:r w:rsidRPr="00D87B79">
        <w:rPr>
          <w:rFonts w:ascii="Tahoma" w:hAnsi="Tahoma" w:cs="Tahoma"/>
          <w:sz w:val="18"/>
          <w:lang w:val="it-IT"/>
        </w:rPr>
        <w:t xml:space="preserve">Le società idonee possono convertire i giorni non utilizzati di Voucher Corsi in Giorni Planning Services sulla base di 3 a 1 (tre Giorni </w:t>
      </w:r>
      <w:r w:rsidRPr="00D87B79">
        <w:rPr>
          <w:rFonts w:ascii="Tahoma" w:hAnsi="Tahoma" w:cs="Tahoma"/>
          <w:sz w:val="18"/>
          <w:lang w:val="it-IT"/>
        </w:rPr>
        <w:lastRenderedPageBreak/>
        <w:t>Voucher Corsi = un Giorno Planning Services).</w:t>
      </w:r>
      <w:r w:rsidRPr="00D87B79">
        <w:rPr>
          <w:rFonts w:ascii="Tahoma" w:hAnsi="Tahoma" w:cs="Tahoma"/>
        </w:rPr>
        <w:t xml:space="preserve"> </w:t>
      </w:r>
      <w:r w:rsidRPr="00D87B79">
        <w:rPr>
          <w:rFonts w:ascii="Tahoma" w:hAnsi="Tahoma" w:cs="Tahoma"/>
          <w:sz w:val="18"/>
          <w:lang w:val="it-IT"/>
        </w:rPr>
        <w:t>(NOTA:</w:t>
      </w:r>
      <w:r w:rsidRPr="00D87B79">
        <w:rPr>
          <w:rFonts w:ascii="Tahoma" w:hAnsi="Tahoma" w:cs="Tahoma"/>
          <w:bCs/>
          <w:sz w:val="18"/>
        </w:rPr>
        <w:t xml:space="preserve"> </w:t>
      </w:r>
      <w:r w:rsidRPr="00D87B79">
        <w:rPr>
          <w:rFonts w:ascii="Tahoma" w:hAnsi="Tahoma" w:cs="Tahoma"/>
          <w:sz w:val="18"/>
          <w:lang w:val="it-IT"/>
        </w:rPr>
        <w:t>le società che desiderano utilizzare i loro giorni Voucher Corsi</w:t>
      </w:r>
      <w:r>
        <w:rPr>
          <w:rFonts w:ascii="Tahoma" w:hAnsi="Tahoma" w:cs="Tahoma"/>
          <w:sz w:val="18"/>
          <w:lang w:val="it-IT"/>
        </w:rPr>
        <w:t> </w:t>
      </w:r>
      <w:r w:rsidRPr="00D87B79">
        <w:rPr>
          <w:rFonts w:ascii="Tahoma" w:hAnsi="Tahoma" w:cs="Tahoma"/>
          <w:sz w:val="18"/>
          <w:lang w:val="it-IT"/>
        </w:rPr>
        <w:t>a favore dei Planning Services non dovranno creare Voucher Corsi con quei giorni).</w:t>
      </w:r>
      <w:r w:rsidRPr="00D87B79">
        <w:rPr>
          <w:rFonts w:ascii="Tahoma" w:hAnsi="Tahoma" w:cs="Tahoma"/>
        </w:rPr>
        <w:t xml:space="preserve"> </w:t>
      </w:r>
      <w:r w:rsidRPr="00D87B79">
        <w:rPr>
          <w:rFonts w:ascii="Tahoma" w:hAnsi="Tahoma" w:cs="Tahoma"/>
          <w:sz w:val="18"/>
          <w:lang w:val="it-IT"/>
        </w:rPr>
        <w:t>[A livello generale, i Giorni Planning Services non possono essere convertiti in giorni Voucher Corsi].</w:t>
      </w:r>
      <w:r w:rsidRPr="00D87B79">
        <w:rPr>
          <w:rFonts w:ascii="Tahoma" w:hAnsi="Tahoma" w:cs="Tahoma"/>
        </w:rPr>
        <w:t xml:space="preserve"> </w:t>
      </w:r>
      <w:r w:rsidRPr="00D87B79">
        <w:rPr>
          <w:rFonts w:ascii="Tahoma" w:hAnsi="Tahoma" w:cs="Tahoma"/>
          <w:sz w:val="18"/>
          <w:lang w:val="it-IT"/>
        </w:rPr>
        <w:t>Tuttavia, qualora una società desideri annullare la conversione di giorni Voucher Corsi, i Giorni Planning Services potranno essere riconvertiti in giorni Voucher Corsi.</w:t>
      </w:r>
      <w:r w:rsidRPr="00D87B79">
        <w:rPr>
          <w:rFonts w:ascii="Tahoma" w:hAnsi="Tahoma" w:cs="Tahoma"/>
        </w:rPr>
        <w:t xml:space="preserve"> </w:t>
      </w:r>
      <w:r w:rsidRPr="00D87B79">
        <w:rPr>
          <w:rFonts w:ascii="Tahoma" w:hAnsi="Tahoma" w:cs="Tahoma"/>
          <w:sz w:val="18"/>
          <w:lang w:val="it-IT"/>
        </w:rPr>
        <w:t>In seguito alla conversione di giorni Voucher Corsi in Giorni Planning Services, i Giorni Planning Services appariranno nel pool di giorni Planning Services della società.</w:t>
      </w:r>
      <w:r w:rsidRPr="00D87B79">
        <w:rPr>
          <w:rFonts w:ascii="Tahoma" w:hAnsi="Tahoma" w:cs="Tahoma"/>
        </w:rPr>
        <w:t xml:space="preserve"> </w:t>
      </w:r>
      <w:r w:rsidRPr="00D87B79">
        <w:rPr>
          <w:rFonts w:ascii="Tahoma" w:hAnsi="Tahoma" w:cs="Tahoma"/>
          <w:sz w:val="18"/>
          <w:lang w:val="it-IT"/>
        </w:rPr>
        <w:t>Tali giorni possono essere utilizzati per creare voucher per i servizi disponibili, ad esempio DDPS o SDPS.</w:t>
      </w:r>
      <w:r w:rsidRPr="00D87B79">
        <w:rPr>
          <w:rFonts w:ascii="Tahoma" w:hAnsi="Tahoma" w:cs="Tahoma"/>
        </w:rPr>
        <w:t xml:space="preserve"> </w:t>
      </w:r>
      <w:r w:rsidRPr="00D87B79">
        <w:rPr>
          <w:rFonts w:ascii="Tahoma" w:hAnsi="Tahoma" w:cs="Tahoma"/>
          <w:sz w:val="18"/>
          <w:lang w:val="it-IT"/>
        </w:rPr>
        <w:t>*L’idoneità delle società a riconvertire i giorni in giorni Voucher Corsi è limitata sulla base del numero di giorni disponibili a livello di Giorni Planning Services.</w:t>
      </w:r>
      <w:r w:rsidRPr="00D87B79">
        <w:rPr>
          <w:rFonts w:ascii="Tahoma" w:hAnsi="Tahoma" w:cs="Tahoma"/>
        </w:rPr>
        <w:t xml:space="preserve"> </w:t>
      </w:r>
      <w:r w:rsidRPr="00D87B79">
        <w:rPr>
          <w:rFonts w:ascii="Tahoma" w:hAnsi="Tahoma" w:cs="Tahoma"/>
          <w:sz w:val="18"/>
          <w:lang w:val="it-IT"/>
        </w:rPr>
        <w:t>Qualora una società desideri riconvertire 10 giorni, ma nel pool sono disponibili solo 8 Giorni Planning Services, potranno essere riconvertiti solo 8 giorni.</w:t>
      </w:r>
      <w:r w:rsidRPr="00D87B79">
        <w:rPr>
          <w:rFonts w:ascii="Tahoma" w:hAnsi="Tahoma" w:cs="Tahoma"/>
        </w:rPr>
        <w:t xml:space="preserve"> </w:t>
      </w:r>
    </w:p>
    <w:p w:rsidR="00A92422" w:rsidRPr="00D87B79" w:rsidRDefault="00A92422" w:rsidP="00A92422">
      <w:pPr>
        <w:pStyle w:val="AppendixBodyText"/>
        <w:spacing w:after="0"/>
        <w:rPr>
          <w:rFonts w:ascii="Tahoma" w:hAnsi="Tahoma" w:cs="Tahoma"/>
        </w:rPr>
      </w:pPr>
    </w:p>
    <w:p w:rsidR="00A92422" w:rsidRPr="00D87B79" w:rsidRDefault="00A92422" w:rsidP="00A92422">
      <w:pPr>
        <w:pStyle w:val="AppendixBodyText"/>
        <w:spacing w:after="0"/>
        <w:rPr>
          <w:rFonts w:ascii="Tahoma" w:hAnsi="Tahoma" w:cs="Tahoma"/>
        </w:rPr>
      </w:pPr>
      <w:r w:rsidRPr="00D87B79">
        <w:rPr>
          <w:rFonts w:ascii="Tahoma" w:hAnsi="Tahoma" w:cs="Tahoma"/>
          <w:sz w:val="18"/>
          <w:lang w:val="it-IT"/>
        </w:rPr>
        <w:t>Le società con contratti Volume Licensing idonei che non hanno soddisfatto la soglia minima per ricevere i Planning Services, ma che soddisfano o superano i criteri per la conversione dei giorni Voucher Corsi potranno convertire tali giorni come illustrato sopra.</w:t>
      </w:r>
    </w:p>
    <w:p w:rsidR="00A92422" w:rsidRPr="00D87B79" w:rsidRDefault="00A92422" w:rsidP="00A92422">
      <w:pPr>
        <w:pStyle w:val="AppendixBodyText"/>
        <w:spacing w:after="0"/>
        <w:rPr>
          <w:rFonts w:ascii="Tahoma" w:hAnsi="Tahoma" w:cs="Tahoma"/>
        </w:rPr>
      </w:pPr>
    </w:p>
    <w:p w:rsidR="00A92422" w:rsidRDefault="00A92422" w:rsidP="00A92422">
      <w:pPr>
        <w:pStyle w:val="AppendixBodyText"/>
        <w:rPr>
          <w:rFonts w:ascii="Tahoma" w:hAnsi="Tahoma" w:cs="Tahoma"/>
        </w:rPr>
      </w:pPr>
      <w:r w:rsidRPr="00D87B79">
        <w:rPr>
          <w:rFonts w:ascii="Tahoma" w:hAnsi="Tahoma" w:cs="Tahoma"/>
          <w:sz w:val="18"/>
          <w:lang w:val="it-IT"/>
        </w:rPr>
        <w:t>I Planning Services potranno essere forniti alla società da Partner Microsoft qualificati o da Microsoft Consulting Services.</w:t>
      </w:r>
      <w:r w:rsidRPr="00D87B79">
        <w:rPr>
          <w:rFonts w:ascii="Tahoma" w:hAnsi="Tahoma" w:cs="Tahoma"/>
        </w:rPr>
        <w:t xml:space="preserve"> </w:t>
      </w:r>
      <w:r w:rsidRPr="00D87B79">
        <w:rPr>
          <w:rFonts w:ascii="Tahoma" w:hAnsi="Tahoma" w:cs="Tahoma"/>
          <w:sz w:val="18"/>
          <w:lang w:val="it-IT"/>
        </w:rPr>
        <w:t>L’elenco dei Provider Qualificati è visibile al seguente indirizzo:</w:t>
      </w:r>
      <w:r w:rsidRPr="00D87B79">
        <w:rPr>
          <w:rFonts w:ascii="Tahoma" w:hAnsi="Tahoma" w:cs="Tahoma"/>
          <w:sz w:val="18"/>
        </w:rPr>
        <w:t xml:space="preserve"> </w:t>
      </w:r>
      <w:r w:rsidRPr="00D87B79">
        <w:rPr>
          <w:rFonts w:ascii="Tahoma" w:hAnsi="Tahoma" w:cs="Tahoma"/>
          <w:sz w:val="18"/>
          <w:lang w:val="it-IT"/>
        </w:rPr>
        <w:t>http://directory.partners.extranet.microsoft.com/psbproviders</w:t>
      </w:r>
      <w:r w:rsidRPr="00D87B79">
        <w:rPr>
          <w:rFonts w:ascii="Tahoma" w:hAnsi="Tahoma" w:cs="Tahoma"/>
        </w:rPr>
        <w:t xml:space="preserve"> </w:t>
      </w:r>
    </w:p>
    <w:p w:rsidR="00A92422" w:rsidRPr="00D87B79" w:rsidRDefault="00A92422" w:rsidP="00A92422">
      <w:pPr>
        <w:pStyle w:val="AppendixBodyText"/>
        <w:spacing w:after="0"/>
        <w:rPr>
          <w:rFonts w:ascii="Tahoma" w:hAnsi="Tahoma" w:cs="Tahoma"/>
        </w:rPr>
      </w:pPr>
    </w:p>
    <w:p w:rsidR="00A92422" w:rsidRPr="00D87B79" w:rsidRDefault="00A92422" w:rsidP="00A92422">
      <w:pPr>
        <w:pStyle w:val="AppendixBodyText"/>
        <w:rPr>
          <w:rFonts w:ascii="Tahoma" w:hAnsi="Tahoma" w:cs="Tahoma"/>
        </w:rPr>
      </w:pPr>
      <w:r w:rsidRPr="00D87B79">
        <w:rPr>
          <w:rFonts w:ascii="Tahoma" w:hAnsi="Tahoma" w:cs="Tahoma"/>
          <w:sz w:val="18"/>
          <w:lang w:val="it-IT"/>
        </w:rPr>
        <w:t>Gli engagement Planning Services forniscono servizi di consulenza che coprono un ambito di lavoro predeterminato, il</w:t>
      </w:r>
      <w:r>
        <w:rPr>
          <w:rFonts w:ascii="Tahoma" w:hAnsi="Tahoma" w:cs="Tahoma"/>
          <w:sz w:val="18"/>
          <w:lang w:val="it-IT"/>
        </w:rPr>
        <w:t> </w:t>
      </w:r>
      <w:r w:rsidRPr="00D87B79">
        <w:rPr>
          <w:rFonts w:ascii="Tahoma" w:hAnsi="Tahoma" w:cs="Tahoma"/>
          <w:sz w:val="18"/>
          <w:lang w:val="it-IT"/>
        </w:rPr>
        <w:t>cui esito è un piano di distribuzione di alto livello; la distribuzione effettiva del software non può essere inclusa.</w:t>
      </w:r>
    </w:p>
    <w:p w:rsidR="00A92422" w:rsidRPr="00D87B79" w:rsidRDefault="00A92422" w:rsidP="00A92422">
      <w:pPr>
        <w:pStyle w:val="AppendixBodyText"/>
        <w:numPr>
          <w:ilvl w:val="0"/>
          <w:numId w:val="11"/>
        </w:numPr>
        <w:tabs>
          <w:tab w:val="clear" w:pos="720"/>
          <w:tab w:val="num" w:pos="1440"/>
        </w:tabs>
        <w:ind w:left="1440"/>
        <w:rPr>
          <w:rFonts w:ascii="Tahoma" w:hAnsi="Tahoma" w:cs="Tahoma"/>
        </w:rPr>
      </w:pPr>
      <w:r w:rsidRPr="00D87B79">
        <w:rPr>
          <w:rFonts w:ascii="Tahoma" w:hAnsi="Tahoma" w:cs="Tahoma"/>
          <w:sz w:val="18"/>
          <w:lang w:val="it-IT"/>
        </w:rPr>
        <w:t>I Planning Services non sono disponibili in tutte le lingue.</w:t>
      </w:r>
    </w:p>
    <w:p w:rsidR="00A92422" w:rsidRPr="00D87B79" w:rsidRDefault="00A92422" w:rsidP="00A92422">
      <w:pPr>
        <w:pStyle w:val="AppendixBodyText"/>
        <w:numPr>
          <w:ilvl w:val="0"/>
          <w:numId w:val="11"/>
        </w:numPr>
        <w:tabs>
          <w:tab w:val="clear" w:pos="720"/>
          <w:tab w:val="num" w:pos="1440"/>
        </w:tabs>
        <w:ind w:left="1440"/>
        <w:rPr>
          <w:rFonts w:ascii="Tahoma" w:hAnsi="Tahoma" w:cs="Tahoma"/>
        </w:rPr>
      </w:pPr>
      <w:r w:rsidRPr="00D87B79">
        <w:rPr>
          <w:rFonts w:ascii="Tahoma" w:hAnsi="Tahoma" w:cs="Tahoma"/>
          <w:color w:val="000000"/>
          <w:sz w:val="18"/>
          <w:lang w:val="it-IT"/>
        </w:rPr>
        <w:t>I voucher Planning Services possono essere riscattati solo dalla società idonea a ricevere il</w:t>
      </w:r>
      <w:r>
        <w:rPr>
          <w:rFonts w:ascii="Tahoma" w:hAnsi="Tahoma" w:cs="Tahoma"/>
          <w:color w:val="000000"/>
          <w:sz w:val="18"/>
          <w:lang w:val="it-IT"/>
        </w:rPr>
        <w:t> </w:t>
      </w:r>
      <w:r w:rsidRPr="00D87B79">
        <w:rPr>
          <w:rFonts w:ascii="Tahoma" w:hAnsi="Tahoma" w:cs="Tahoma"/>
          <w:color w:val="000000"/>
          <w:sz w:val="18"/>
          <w:lang w:val="it-IT"/>
        </w:rPr>
        <w:t>vantaggio.</w:t>
      </w:r>
    </w:p>
    <w:p w:rsidR="00A92422" w:rsidRPr="00D87B79" w:rsidRDefault="00A92422" w:rsidP="00A92422">
      <w:pPr>
        <w:pStyle w:val="AppendixBodyText"/>
        <w:numPr>
          <w:ilvl w:val="0"/>
          <w:numId w:val="11"/>
        </w:numPr>
        <w:tabs>
          <w:tab w:val="clear" w:pos="720"/>
          <w:tab w:val="num" w:pos="1440"/>
        </w:tabs>
        <w:ind w:left="1440"/>
        <w:rPr>
          <w:rFonts w:ascii="Tahoma" w:hAnsi="Tahoma" w:cs="Tahoma"/>
        </w:rPr>
      </w:pPr>
      <w:r w:rsidRPr="00D87B79">
        <w:rPr>
          <w:rFonts w:ascii="Tahoma" w:hAnsi="Tahoma" w:cs="Tahoma"/>
          <w:color w:val="000000"/>
          <w:sz w:val="18"/>
          <w:lang w:val="it-IT"/>
        </w:rPr>
        <w:t>I voucher Planning Services non potranno essere scambiati con contante, somme di denaro o</w:t>
      </w:r>
      <w:r>
        <w:rPr>
          <w:rFonts w:ascii="Tahoma" w:hAnsi="Tahoma" w:cs="Tahoma"/>
          <w:color w:val="000000"/>
          <w:sz w:val="18"/>
          <w:lang w:val="it-IT"/>
        </w:rPr>
        <w:t> </w:t>
      </w:r>
      <w:r w:rsidRPr="00D87B79">
        <w:rPr>
          <w:rFonts w:ascii="Tahoma" w:hAnsi="Tahoma" w:cs="Tahoma"/>
          <w:color w:val="000000"/>
          <w:sz w:val="18"/>
          <w:lang w:val="it-IT"/>
        </w:rPr>
        <w:t>altri</w:t>
      </w:r>
      <w:r>
        <w:rPr>
          <w:rFonts w:ascii="Tahoma" w:hAnsi="Tahoma" w:cs="Tahoma"/>
          <w:color w:val="000000"/>
          <w:sz w:val="18"/>
          <w:lang w:val="it-IT"/>
        </w:rPr>
        <w:t> </w:t>
      </w:r>
      <w:r w:rsidRPr="00D87B79">
        <w:rPr>
          <w:rFonts w:ascii="Tahoma" w:hAnsi="Tahoma" w:cs="Tahoma"/>
          <w:color w:val="000000"/>
          <w:sz w:val="18"/>
          <w:lang w:val="it-IT"/>
        </w:rPr>
        <w:t>corrispettivi.</w:t>
      </w:r>
    </w:p>
    <w:p w:rsidR="00A92422" w:rsidRPr="00D87B79" w:rsidRDefault="00A92422" w:rsidP="00A92422">
      <w:pPr>
        <w:pStyle w:val="AppendixBodyText"/>
        <w:numPr>
          <w:ilvl w:val="0"/>
          <w:numId w:val="11"/>
        </w:numPr>
        <w:tabs>
          <w:tab w:val="clear" w:pos="720"/>
          <w:tab w:val="num" w:pos="1440"/>
        </w:tabs>
        <w:ind w:left="1440"/>
        <w:rPr>
          <w:rFonts w:ascii="Tahoma" w:hAnsi="Tahoma" w:cs="Tahoma"/>
        </w:rPr>
      </w:pPr>
      <w:r w:rsidRPr="00D87B79">
        <w:rPr>
          <w:rFonts w:ascii="Tahoma" w:hAnsi="Tahoma" w:cs="Tahoma"/>
          <w:color w:val="000000"/>
          <w:sz w:val="18"/>
          <w:lang w:val="it-IT"/>
        </w:rPr>
        <w:t>Qualora si fosse interessati ad acquisire servizi aggiuntivi oltre a quelli coperti dall’Ambito di lavoro per l’engagement relativo al voucher assegnato (secondo quanto definito dal tipo di voucher e dal livello di servizio), è possibile pagare il provider al di fuori di questo programma.</w:t>
      </w:r>
    </w:p>
    <w:p w:rsidR="00A92422" w:rsidRPr="00D87B79" w:rsidRDefault="00A92422" w:rsidP="00A92422">
      <w:pPr>
        <w:pStyle w:val="AppendixBodyText"/>
        <w:numPr>
          <w:ilvl w:val="0"/>
          <w:numId w:val="11"/>
        </w:numPr>
        <w:tabs>
          <w:tab w:val="clear" w:pos="720"/>
          <w:tab w:val="num" w:pos="1440"/>
        </w:tabs>
        <w:ind w:left="1440"/>
        <w:rPr>
          <w:rFonts w:ascii="Tahoma" w:hAnsi="Tahoma" w:cs="Tahoma"/>
        </w:rPr>
      </w:pPr>
      <w:r w:rsidRPr="00D87B79">
        <w:rPr>
          <w:rFonts w:ascii="Tahoma" w:hAnsi="Tahoma" w:cs="Tahoma"/>
          <w:color w:val="000000"/>
          <w:sz w:val="18"/>
          <w:lang w:val="it-IT"/>
        </w:rPr>
        <w:t>La riduzione della copertura SA qualificante in seguito a resi o altre modifiche apportate alla fatturazione, ove ammessa, potrà diminuire i giorni di idoneità ai Planning Services della società.</w:t>
      </w:r>
    </w:p>
    <w:p w:rsidR="00A92422" w:rsidRPr="007B7C13" w:rsidRDefault="00A92422" w:rsidP="00A92422">
      <w:pPr>
        <w:pStyle w:val="AppendixBodyText"/>
        <w:numPr>
          <w:ilvl w:val="0"/>
          <w:numId w:val="24"/>
        </w:numPr>
        <w:tabs>
          <w:tab w:val="num" w:pos="1440"/>
        </w:tabs>
        <w:ind w:left="1440"/>
        <w:rPr>
          <w:rFonts w:ascii="Tahoma" w:hAnsi="Tahoma" w:cs="Tahoma"/>
          <w:sz w:val="18"/>
          <w:szCs w:val="18"/>
        </w:rPr>
      </w:pPr>
      <w:r w:rsidRPr="007B7C13">
        <w:rPr>
          <w:rFonts w:ascii="Tahoma" w:hAnsi="Tahoma" w:cs="Tahoma"/>
          <w:color w:val="000000"/>
          <w:sz w:val="18"/>
          <w:szCs w:val="18"/>
          <w:lang w:val="it-IT"/>
        </w:rPr>
        <w:t>I voucher sono validi solo con Provider qualificati per il tipo di servizio specifico per il quale il voucher viene riscattato.</w:t>
      </w:r>
      <w:r w:rsidRPr="007B7C13">
        <w:rPr>
          <w:rFonts w:ascii="Tahoma" w:hAnsi="Tahoma" w:cs="Tahoma"/>
          <w:sz w:val="18"/>
          <w:szCs w:val="18"/>
        </w:rPr>
        <w:t xml:space="preserve"> </w:t>
      </w:r>
      <w:r w:rsidRPr="007B7C13">
        <w:rPr>
          <w:rFonts w:ascii="Tahoma" w:hAnsi="Tahoma" w:cs="Tahoma"/>
          <w:color w:val="000000"/>
          <w:sz w:val="18"/>
          <w:szCs w:val="18"/>
          <w:lang w:val="it-IT"/>
        </w:rPr>
        <w:t>Il voucher può essere utilizzato con qualsiasi Provider Qualificato a livello mondiale. La partecipazione potrebbe variare.</w:t>
      </w:r>
    </w:p>
    <w:p w:rsidR="00A92422" w:rsidRPr="007B7C13" w:rsidRDefault="00A92422" w:rsidP="00A92422">
      <w:pPr>
        <w:pStyle w:val="AppendixBodyText"/>
        <w:numPr>
          <w:ilvl w:val="0"/>
          <w:numId w:val="11"/>
        </w:numPr>
        <w:tabs>
          <w:tab w:val="clear" w:pos="720"/>
          <w:tab w:val="num" w:pos="1440"/>
        </w:tabs>
        <w:ind w:left="1440"/>
        <w:rPr>
          <w:rFonts w:ascii="Tahoma" w:hAnsi="Tahoma" w:cs="Tahoma"/>
          <w:sz w:val="18"/>
          <w:szCs w:val="18"/>
        </w:rPr>
      </w:pPr>
      <w:r w:rsidRPr="007B7C13">
        <w:rPr>
          <w:rFonts w:ascii="Tahoma" w:hAnsi="Tahoma" w:cs="Tahoma"/>
          <w:color w:val="000000"/>
          <w:sz w:val="18"/>
          <w:szCs w:val="18"/>
          <w:lang w:val="it-IT"/>
        </w:rPr>
        <w:t>I voucher dovranno essere assegnati durante il periodo della copertura Software Assurance.</w:t>
      </w:r>
    </w:p>
    <w:p w:rsidR="00A92422" w:rsidRPr="007B7C13" w:rsidRDefault="00A92422" w:rsidP="00A92422">
      <w:pPr>
        <w:pStyle w:val="AppendixBodyText"/>
        <w:numPr>
          <w:ilvl w:val="0"/>
          <w:numId w:val="11"/>
        </w:numPr>
        <w:tabs>
          <w:tab w:val="clear" w:pos="720"/>
          <w:tab w:val="num" w:pos="1440"/>
        </w:tabs>
        <w:ind w:left="1440"/>
        <w:rPr>
          <w:rFonts w:ascii="Tahoma" w:hAnsi="Tahoma" w:cs="Tahoma"/>
          <w:sz w:val="18"/>
          <w:szCs w:val="18"/>
        </w:rPr>
      </w:pPr>
      <w:r w:rsidRPr="007B7C13">
        <w:rPr>
          <w:rFonts w:ascii="Tahoma" w:hAnsi="Tahoma" w:cs="Tahoma"/>
          <w:color w:val="000000"/>
          <w:sz w:val="18"/>
          <w:szCs w:val="18"/>
          <w:lang w:val="it-IT"/>
        </w:rPr>
        <w:t>I voucher scadranno dopo 180 giorni dalla data di assegnazione, indipendentemente dalla data di scadenza della copertura Software Assurance.</w:t>
      </w:r>
      <w:r w:rsidRPr="007B7C13">
        <w:rPr>
          <w:rFonts w:ascii="Tahoma" w:hAnsi="Tahoma" w:cs="Tahoma"/>
          <w:color w:val="000000"/>
          <w:sz w:val="18"/>
          <w:szCs w:val="18"/>
        </w:rPr>
        <w:t xml:space="preserve"> </w:t>
      </w:r>
      <w:r w:rsidRPr="007B7C13">
        <w:rPr>
          <w:rFonts w:ascii="Tahoma" w:hAnsi="Tahoma" w:cs="Tahoma"/>
          <w:color w:val="000000"/>
          <w:sz w:val="18"/>
          <w:szCs w:val="18"/>
          <w:lang w:val="it-IT"/>
        </w:rPr>
        <w:t>Tutti i servizi dovranno essere forniti (voucher riscattato) prima della scadenza dei voucher.</w:t>
      </w:r>
      <w:r w:rsidRPr="007B7C13">
        <w:rPr>
          <w:rFonts w:ascii="Tahoma" w:hAnsi="Tahoma" w:cs="Tahoma"/>
          <w:sz w:val="18"/>
          <w:szCs w:val="18"/>
        </w:rPr>
        <w:t xml:space="preserve"> </w:t>
      </w:r>
      <w:r w:rsidRPr="007B7C13">
        <w:rPr>
          <w:rFonts w:ascii="Tahoma" w:hAnsi="Tahoma" w:cs="Tahoma"/>
          <w:color w:val="000000"/>
          <w:sz w:val="18"/>
          <w:szCs w:val="18"/>
          <w:lang w:val="it-IT"/>
        </w:rPr>
        <w:t>Per i voucher, la cui data di scadenza è precedente a quella della copertura Software Assurance, verrà ripristinato il pool disponibile di giorni Planning</w:t>
      </w:r>
      <w:r w:rsidRPr="007B7C13">
        <w:rPr>
          <w:sz w:val="18"/>
          <w:szCs w:val="18"/>
        </w:rPr>
        <w:t> </w:t>
      </w:r>
      <w:r w:rsidRPr="007B7C13">
        <w:rPr>
          <w:rFonts w:ascii="Tahoma" w:hAnsi="Tahoma" w:cs="Tahoma"/>
          <w:color w:val="000000"/>
          <w:sz w:val="18"/>
          <w:szCs w:val="18"/>
          <w:lang w:val="it-IT"/>
        </w:rPr>
        <w:t>Services.</w:t>
      </w:r>
    </w:p>
    <w:p w:rsidR="00A92422" w:rsidRPr="007B7C13" w:rsidRDefault="00A92422" w:rsidP="00A92422">
      <w:pPr>
        <w:pStyle w:val="AppendixBodyText"/>
        <w:numPr>
          <w:ilvl w:val="0"/>
          <w:numId w:val="23"/>
        </w:numPr>
        <w:tabs>
          <w:tab w:val="num" w:pos="1440"/>
        </w:tabs>
        <w:rPr>
          <w:rFonts w:ascii="Tahoma" w:hAnsi="Tahoma" w:cs="Tahoma"/>
          <w:sz w:val="18"/>
          <w:szCs w:val="18"/>
        </w:rPr>
      </w:pPr>
      <w:r w:rsidRPr="007B7C13">
        <w:rPr>
          <w:rFonts w:ascii="Tahoma" w:hAnsi="Tahoma" w:cs="Tahoma"/>
          <w:color w:val="000000"/>
          <w:sz w:val="18"/>
          <w:szCs w:val="18"/>
          <w:lang w:val="it-IT"/>
        </w:rPr>
        <w:t>Microsoft non è responsabile dei voucher persi, rubati, collocati fuori posto o maltrattati.</w:t>
      </w:r>
    </w:p>
    <w:p w:rsidR="00A92422" w:rsidRPr="007B7C13" w:rsidRDefault="00A92422" w:rsidP="00A92422">
      <w:pPr>
        <w:pStyle w:val="AppendixBodyText"/>
        <w:numPr>
          <w:ilvl w:val="0"/>
          <w:numId w:val="23"/>
        </w:numPr>
        <w:tabs>
          <w:tab w:val="num" w:pos="1440"/>
        </w:tabs>
        <w:rPr>
          <w:rFonts w:ascii="Tahoma" w:hAnsi="Tahoma" w:cs="Tahoma"/>
          <w:sz w:val="18"/>
          <w:szCs w:val="18"/>
        </w:rPr>
      </w:pPr>
      <w:r w:rsidRPr="007B7C13">
        <w:rPr>
          <w:rFonts w:ascii="Tahoma" w:hAnsi="Tahoma" w:cs="Tahoma"/>
          <w:color w:val="000000"/>
          <w:sz w:val="18"/>
          <w:szCs w:val="18"/>
          <w:lang w:val="it-IT"/>
        </w:rPr>
        <w:t>I servizi erogati con i voucher vengono forniti ai sensi di un contratto tra la Società e il Provider Qualificato; Microsoft non è responsabile dell’eventuale funzionamento o mancato funzionamento dei servizi da parte del Provider Qualificato.</w:t>
      </w:r>
    </w:p>
    <w:p w:rsidR="00A92422" w:rsidRPr="00D87B79" w:rsidRDefault="00A92422" w:rsidP="00A92422">
      <w:pPr>
        <w:pStyle w:val="AppendixBodyText"/>
        <w:numPr>
          <w:ilvl w:val="0"/>
          <w:numId w:val="44"/>
        </w:numPr>
        <w:rPr>
          <w:rFonts w:ascii="Tahoma" w:hAnsi="Tahoma" w:cs="Tahoma"/>
        </w:rPr>
      </w:pPr>
      <w:r w:rsidRPr="00D87B79">
        <w:rPr>
          <w:rFonts w:ascii="Tahoma" w:hAnsi="Tahoma" w:cs="Tahoma"/>
          <w:sz w:val="18"/>
          <w:lang w:val="it-IT"/>
        </w:rPr>
        <w:t>Accettando un engagement Planning Services, le società danno atto che non appena lo</w:t>
      </w:r>
      <w:r>
        <w:rPr>
          <w:rFonts w:ascii="Tahoma" w:hAnsi="Tahoma" w:cs="Tahoma"/>
          <w:sz w:val="18"/>
          <w:lang w:val="it-IT"/>
        </w:rPr>
        <w:t> </w:t>
      </w:r>
      <w:r w:rsidRPr="00D87B79">
        <w:rPr>
          <w:rFonts w:ascii="Tahoma" w:hAnsi="Tahoma" w:cs="Tahoma"/>
          <w:sz w:val="18"/>
          <w:lang w:val="it-IT"/>
        </w:rPr>
        <w:t>completeranno, riceveranno un sondaggio per il controllo della qualità.</w:t>
      </w:r>
    </w:p>
    <w:p w:rsidR="00A92422" w:rsidRPr="007B7C13" w:rsidRDefault="00A92422" w:rsidP="00A92422">
      <w:pPr>
        <w:pStyle w:val="AppendixBodyText"/>
        <w:numPr>
          <w:ilvl w:val="0"/>
          <w:numId w:val="44"/>
        </w:numPr>
        <w:rPr>
          <w:rFonts w:ascii="Tahoma" w:hAnsi="Tahoma" w:cs="Tahoma"/>
          <w:sz w:val="18"/>
          <w:szCs w:val="18"/>
        </w:rPr>
      </w:pPr>
      <w:r w:rsidRPr="007B7C13">
        <w:rPr>
          <w:rFonts w:ascii="Tahoma" w:hAnsi="Tahoma" w:cs="Tahoma"/>
          <w:color w:val="000000"/>
          <w:sz w:val="18"/>
          <w:szCs w:val="18"/>
          <w:lang w:val="it-IT"/>
        </w:rPr>
        <w:t>Le tabelle riportate sopra mostrano i giorni di servizio disponibili sulla base di un’iscrizione o di un contratto triennale completo. Le società che acquistano una copertura Software Assurance di durata annuale riceveranno un terzo del numero dichiarato di giorni di servizio. Le società che acquistano una copertura Software Assurance di durata biennale riceveranno due terzi del numero dichiarato di giorni di servizio.</w:t>
      </w:r>
      <w:r w:rsidRPr="007B7C13">
        <w:rPr>
          <w:rFonts w:ascii="Tahoma" w:hAnsi="Tahoma" w:cs="Tahoma"/>
          <w:sz w:val="18"/>
          <w:szCs w:val="18"/>
        </w:rPr>
        <w:t xml:space="preserve"> </w:t>
      </w:r>
    </w:p>
    <w:p w:rsidR="00A92422" w:rsidRPr="00D87B79" w:rsidRDefault="00A92422" w:rsidP="00A92422">
      <w:pPr>
        <w:pStyle w:val="AppendixBodyText"/>
        <w:spacing w:after="0"/>
        <w:rPr>
          <w:rFonts w:ascii="Tahoma" w:hAnsi="Tahoma" w:cs="Tahoma"/>
        </w:rPr>
      </w:pPr>
    </w:p>
    <w:p w:rsidR="00A92422" w:rsidRPr="007B7C13" w:rsidRDefault="00A92422" w:rsidP="00A92422">
      <w:pPr>
        <w:pStyle w:val="AppendixBodyText"/>
        <w:rPr>
          <w:rFonts w:ascii="Tahoma" w:hAnsi="Tahoma" w:cs="Tahoma"/>
          <w:sz w:val="18"/>
          <w:szCs w:val="18"/>
        </w:rPr>
      </w:pPr>
      <w:r w:rsidRPr="007B7C13">
        <w:rPr>
          <w:rFonts w:ascii="Tahoma" w:hAnsi="Tahoma" w:cs="Tahoma"/>
          <w:color w:val="000000"/>
          <w:sz w:val="18"/>
          <w:szCs w:val="18"/>
          <w:lang w:val="it-IT"/>
        </w:rPr>
        <w:lastRenderedPageBreak/>
        <w:t>I deliverable completati inviati a Microsoft dal Provider Qualificato al termine dell’engagement potranno essere utilizzati da Microsoft per il controllo della qualità e a tale scopo potranno essere condivisi con il team dell’account Microsoft della società.</w:t>
      </w:r>
    </w:p>
    <w:p w:rsidR="00A92422" w:rsidRPr="00D87B79" w:rsidRDefault="00A92422" w:rsidP="00A92422">
      <w:pPr>
        <w:pStyle w:val="AppendixBodyText"/>
        <w:spacing w:after="0"/>
        <w:rPr>
          <w:rFonts w:ascii="Tahoma" w:hAnsi="Tahoma" w:cs="Tahoma"/>
        </w:rPr>
      </w:pPr>
    </w:p>
    <w:p w:rsidR="00A92422" w:rsidRPr="00D87B79" w:rsidRDefault="00A92422" w:rsidP="00A92422">
      <w:pPr>
        <w:pStyle w:val="Heading3"/>
        <w:rPr>
          <w:rFonts w:ascii="Tahoma" w:hAnsi="Tahoma" w:cs="Tahoma"/>
        </w:rPr>
      </w:pPr>
      <w:bookmarkStart w:id="845" w:name="_Toc328145999"/>
      <w:bookmarkStart w:id="846" w:name="_Toc336338230"/>
      <w:bookmarkStart w:id="847" w:name="_Toc342900282"/>
      <w:bookmarkEnd w:id="845"/>
      <w:bookmarkEnd w:id="846"/>
      <w:r w:rsidRPr="00D87B79">
        <w:rPr>
          <w:rFonts w:ascii="Tahoma" w:hAnsi="Tahoma" w:cs="Tahoma"/>
          <w:lang w:val="it-IT"/>
        </w:rPr>
        <w:t>Windows 8 Enterprise</w:t>
      </w:r>
      <w:bookmarkEnd w:id="847"/>
      <w:r w:rsidRPr="00D87B79">
        <w:rPr>
          <w:rFonts w:ascii="Tahoma" w:hAnsi="Tahoma" w:cs="Tahoma"/>
        </w:rPr>
        <w:t xml:space="preserve"> </w:t>
      </w:r>
    </w:p>
    <w:p w:rsidR="00A92422" w:rsidRPr="00D87B79" w:rsidRDefault="00A92422" w:rsidP="00A92422">
      <w:pPr>
        <w:pStyle w:val="AppendixBodyText"/>
        <w:spacing w:after="0"/>
        <w:rPr>
          <w:rFonts w:ascii="Tahoma" w:hAnsi="Tahoma" w:cs="Tahoma"/>
        </w:rPr>
      </w:pPr>
    </w:p>
    <w:p w:rsidR="00A92422" w:rsidRPr="00D87B79" w:rsidRDefault="00A92422" w:rsidP="00A92422">
      <w:pPr>
        <w:jc w:val="both"/>
        <w:rPr>
          <w:rFonts w:cs="Tahoma"/>
        </w:rPr>
      </w:pPr>
      <w:r w:rsidRPr="00D87B79">
        <w:rPr>
          <w:rFonts w:cs="Tahoma"/>
          <w:b/>
          <w:lang w:val="it-IT"/>
        </w:rPr>
        <w:t>Società Software Assurance idonee:</w:t>
      </w:r>
      <w:r w:rsidRPr="00D87B79">
        <w:rPr>
          <w:rFonts w:cs="Tahoma"/>
          <w:szCs w:val="18"/>
        </w:rPr>
        <w:t xml:space="preserve"> </w:t>
      </w:r>
      <w:r w:rsidRPr="00D87B79">
        <w:rPr>
          <w:rFonts w:cs="Tahoma"/>
          <w:szCs w:val="18"/>
          <w:lang w:val="it-IT"/>
        </w:rPr>
        <w:t>Le società con copertura Software Assurance attiva per il sistema operativo desktop Windows sono idonee a ricevere questo vantaggio.</w:t>
      </w:r>
      <w:r w:rsidRPr="00D87B79">
        <w:rPr>
          <w:rFonts w:cs="Tahoma"/>
        </w:rPr>
        <w:t xml:space="preserve"> </w:t>
      </w:r>
      <w:r w:rsidRPr="00D87B79">
        <w:rPr>
          <w:rFonts w:cs="Tahoma"/>
          <w:lang w:val="it-IT"/>
        </w:rPr>
        <w:t>La copertura Software Assurance per il sistema operativo desktop Windows su un dispositivo con licenza offre alle società la possibilità di utilizzare Windows 8 Enterprise anziché Windows 8 Pro su tale dispositivo.</w:t>
      </w:r>
    </w:p>
    <w:p w:rsidR="00A92422" w:rsidRPr="00D87B79" w:rsidRDefault="00A92422" w:rsidP="00A92422">
      <w:pPr>
        <w:jc w:val="both"/>
        <w:rPr>
          <w:rFonts w:cs="Tahoma"/>
        </w:rPr>
      </w:pPr>
    </w:p>
    <w:p w:rsidR="00A92422" w:rsidRPr="00D87B79" w:rsidRDefault="00A92422" w:rsidP="00A92422">
      <w:pPr>
        <w:jc w:val="both"/>
        <w:rPr>
          <w:rFonts w:cs="Tahoma"/>
        </w:rPr>
      </w:pPr>
      <w:r w:rsidRPr="00D87B79">
        <w:rPr>
          <w:rFonts w:cs="Tahoma"/>
          <w:lang w:val="it-IT"/>
        </w:rPr>
        <w:t>Le società Software Assurance idonee dispongono dei diritti di utilizzare Windows 8 Enterprise come descritto nei</w:t>
      </w:r>
      <w:r>
        <w:rPr>
          <w:rFonts w:cs="Tahoma"/>
          <w:lang w:val="it-IT"/>
        </w:rPr>
        <w:t> </w:t>
      </w:r>
      <w:r w:rsidRPr="00D87B79">
        <w:rPr>
          <w:rFonts w:cs="Tahoma"/>
          <w:lang w:val="it-IT"/>
        </w:rPr>
        <w:t>Diritti di Utilizzo del Prodotto.</w:t>
      </w:r>
      <w:r w:rsidRPr="00D87B79">
        <w:rPr>
          <w:rFonts w:cs="Tahoma"/>
        </w:rPr>
        <w:t xml:space="preserve"> </w:t>
      </w:r>
      <w:r w:rsidRPr="00D87B79">
        <w:rPr>
          <w:rFonts w:cs="Tahoma"/>
          <w:lang w:val="it-IT"/>
        </w:rPr>
        <w:t>Le società non possono trasferire Windows 8 Enterprise dal dispositivo concesso in</w:t>
      </w:r>
      <w:r>
        <w:rPr>
          <w:rFonts w:cs="Tahoma"/>
          <w:lang w:val="it-IT"/>
        </w:rPr>
        <w:t> </w:t>
      </w:r>
      <w:r w:rsidRPr="00D87B79">
        <w:rPr>
          <w:rFonts w:cs="Tahoma"/>
          <w:lang w:val="it-IT"/>
        </w:rPr>
        <w:t>licenza a un altro dispositivo, se non in combinazione con la riassegnazione consentita della copertura Software</w:t>
      </w:r>
      <w:r>
        <w:rPr>
          <w:rFonts w:cs="Tahoma"/>
          <w:lang w:val="it-IT"/>
        </w:rPr>
        <w:t> </w:t>
      </w:r>
      <w:r w:rsidRPr="00D87B79">
        <w:rPr>
          <w:rFonts w:cs="Tahoma"/>
          <w:lang w:val="it-IT"/>
        </w:rPr>
        <w:t>Assurance.</w:t>
      </w:r>
      <w:r w:rsidRPr="00D87B79">
        <w:rPr>
          <w:rFonts w:cs="Tahoma"/>
        </w:rPr>
        <w:t xml:space="preserve"> </w:t>
      </w:r>
    </w:p>
    <w:p w:rsidR="00A92422" w:rsidRDefault="00A92422" w:rsidP="00A92422">
      <w:pPr>
        <w:jc w:val="both"/>
        <w:rPr>
          <w:rFonts w:cs="Tahoma"/>
          <w:b/>
        </w:rPr>
      </w:pPr>
    </w:p>
    <w:p w:rsidR="00A92422" w:rsidRPr="00D87B79" w:rsidDel="008900EB" w:rsidRDefault="00A92422" w:rsidP="00A92422">
      <w:pPr>
        <w:jc w:val="both"/>
        <w:rPr>
          <w:rFonts w:cs="Tahoma"/>
        </w:rPr>
      </w:pPr>
      <w:r w:rsidRPr="00D87B79">
        <w:rPr>
          <w:rFonts w:cs="Tahoma"/>
          <w:b/>
          <w:lang w:val="it-IT"/>
        </w:rPr>
        <w:t>Società idonee per i vantaggi dei Servizi Online:</w:t>
      </w:r>
      <w:r w:rsidRPr="00D87B79">
        <w:rPr>
          <w:rFonts w:cs="Tahoma"/>
          <w:szCs w:val="18"/>
        </w:rPr>
        <w:t xml:space="preserve"> </w:t>
      </w:r>
      <w:r w:rsidRPr="00D87B79">
        <w:rPr>
          <w:rFonts w:cs="Tahoma"/>
          <w:lang w:val="it-IT"/>
        </w:rPr>
        <w:t>Le società con Windows Intune (Per Dispositivo) dispongono dei diritti di utilizzare Windows 8 Enterprise come descritto nei Diritti di Utilizzo del Prodotto.</w:t>
      </w:r>
      <w:r w:rsidRPr="00D87B79">
        <w:rPr>
          <w:rFonts w:cs="Tahoma"/>
        </w:rPr>
        <w:t xml:space="preserve"> </w:t>
      </w:r>
      <w:r w:rsidRPr="00D87B79">
        <w:rPr>
          <w:rFonts w:cs="Tahoma"/>
          <w:lang w:val="it-IT"/>
        </w:rPr>
        <w:t>Vedere l’Articolo Note del Prodotto della presente Lista dei Prodotti per le condizioni applicabili all’acquisto e alla riassegnazione di licenze per Windows Intune (Per Dispositivo).</w:t>
      </w:r>
    </w:p>
    <w:p w:rsidR="00A92422" w:rsidRDefault="00A92422" w:rsidP="00A92422">
      <w:pPr>
        <w:spacing w:after="60"/>
        <w:rPr>
          <w:rFonts w:cs="Tahoma"/>
          <w:lang w:val="it-IT"/>
        </w:rPr>
      </w:pPr>
      <w:r w:rsidRPr="00D87B79">
        <w:rPr>
          <w:rFonts w:cs="Tahoma"/>
          <w:lang w:val="it-IT"/>
        </w:rPr>
        <w:t>Le società che dispongono di Software Assurance e di Windows Intune (Per Dispositivo) sono autorizzate a utilizzare l’edizione MUI (Multilingual User Interface) delle versioni precedenti del sistema operativo desktop Windows al posto di Windows 8 Enterprise.</w:t>
      </w:r>
    </w:p>
    <w:p w:rsidR="00A92422" w:rsidRPr="00D87B79" w:rsidRDefault="00A92422" w:rsidP="00A92422">
      <w:pPr>
        <w:rPr>
          <w:rFonts w:cs="Tahoma"/>
        </w:rPr>
      </w:pPr>
    </w:p>
    <w:p w:rsidR="00A92422" w:rsidRPr="00D87B79" w:rsidRDefault="00A92422" w:rsidP="00A92422">
      <w:pPr>
        <w:pStyle w:val="Heading3"/>
        <w:rPr>
          <w:rFonts w:ascii="Tahoma" w:hAnsi="Tahoma" w:cs="Tahoma"/>
        </w:rPr>
      </w:pPr>
      <w:bookmarkStart w:id="848" w:name="_Toc336338231"/>
      <w:bookmarkStart w:id="849" w:name="_Toc342900283"/>
      <w:bookmarkEnd w:id="848"/>
      <w:r w:rsidRPr="00D87B79">
        <w:rPr>
          <w:rFonts w:ascii="Tahoma" w:hAnsi="Tahoma" w:cs="Tahoma"/>
          <w:lang w:val="it-IT"/>
        </w:rPr>
        <w:t>Windows 8 Enterprise Sideloading</w:t>
      </w:r>
      <w:bookmarkEnd w:id="849"/>
    </w:p>
    <w:p w:rsidR="00A92422" w:rsidRPr="00D87B79" w:rsidRDefault="00A92422" w:rsidP="00A92422">
      <w:pPr>
        <w:jc w:val="both"/>
        <w:rPr>
          <w:rFonts w:cs="Tahoma"/>
        </w:rPr>
      </w:pPr>
    </w:p>
    <w:p w:rsidR="00A92422" w:rsidRPr="00D87B79" w:rsidRDefault="00A92422" w:rsidP="00A92422">
      <w:pPr>
        <w:jc w:val="both"/>
        <w:rPr>
          <w:rFonts w:cs="Tahoma"/>
        </w:rPr>
      </w:pPr>
      <w:r w:rsidRPr="00D87B79">
        <w:rPr>
          <w:rFonts w:cs="Tahoma"/>
          <w:lang w:val="it-IT"/>
        </w:rPr>
        <w:t>Informazioni sul prodotto Windows 8 Enterprise Sideloading sono disponibili nell’Articolo “Note del Prodotto” del</w:t>
      </w:r>
      <w:r>
        <w:rPr>
          <w:rFonts w:cs="Tahoma"/>
          <w:lang w:val="it-IT"/>
        </w:rPr>
        <w:t> </w:t>
      </w:r>
      <w:r w:rsidRPr="00D87B79">
        <w:rPr>
          <w:rFonts w:cs="Tahoma"/>
          <w:lang w:val="it-IT"/>
        </w:rPr>
        <w:t>presente documento.</w:t>
      </w:r>
    </w:p>
    <w:p w:rsidR="00A92422" w:rsidRPr="00D87B79" w:rsidRDefault="00A92422" w:rsidP="00A92422">
      <w:pPr>
        <w:rPr>
          <w:rFonts w:cs="Tahoma"/>
        </w:rPr>
      </w:pPr>
      <w:bookmarkStart w:id="850" w:name="_Toc336338232"/>
    </w:p>
    <w:p w:rsidR="00A92422" w:rsidRPr="00D87B79" w:rsidRDefault="00A92422" w:rsidP="00A92422">
      <w:pPr>
        <w:pStyle w:val="Heading3"/>
        <w:rPr>
          <w:rFonts w:ascii="Tahoma" w:hAnsi="Tahoma" w:cs="Tahoma"/>
        </w:rPr>
      </w:pPr>
      <w:bookmarkStart w:id="851" w:name="_Toc342900284"/>
      <w:bookmarkEnd w:id="850"/>
      <w:r w:rsidRPr="00D87B79">
        <w:rPr>
          <w:rFonts w:ascii="Tahoma" w:hAnsi="Tahoma" w:cs="Tahoma"/>
          <w:lang w:val="it-IT"/>
        </w:rPr>
        <w:t>Licenza “Subscription” per Windows Companion</w:t>
      </w:r>
      <w:bookmarkEnd w:id="851"/>
    </w:p>
    <w:p w:rsidR="00A92422" w:rsidRPr="00D87B79" w:rsidRDefault="00A92422" w:rsidP="00A92422">
      <w:pPr>
        <w:jc w:val="both"/>
        <w:rPr>
          <w:rFonts w:cs="Tahoma"/>
        </w:rPr>
      </w:pPr>
    </w:p>
    <w:p w:rsidR="00A92422" w:rsidRPr="00D87B79" w:rsidRDefault="00A92422" w:rsidP="00A92422">
      <w:pPr>
        <w:jc w:val="both"/>
        <w:rPr>
          <w:rFonts w:cs="Tahoma"/>
        </w:rPr>
      </w:pPr>
      <w:r w:rsidRPr="00D87B79">
        <w:rPr>
          <w:rFonts w:cs="Tahoma"/>
          <w:lang w:val="it-IT"/>
        </w:rPr>
        <w:t>La nota relativa alla Licenza “Subscription” per Windows Companion è disponibile nell’Articolo “Note del Prodotto” del</w:t>
      </w:r>
      <w:r>
        <w:rPr>
          <w:rFonts w:cs="Tahoma"/>
          <w:lang w:val="it-IT"/>
        </w:rPr>
        <w:t> </w:t>
      </w:r>
      <w:r w:rsidRPr="00D87B79">
        <w:rPr>
          <w:rFonts w:cs="Tahoma"/>
          <w:lang w:val="it-IT"/>
        </w:rPr>
        <w:t>presente documento.</w:t>
      </w:r>
    </w:p>
    <w:p w:rsidR="00A92422" w:rsidRPr="00D87B79" w:rsidRDefault="00A92422" w:rsidP="00A92422">
      <w:pPr>
        <w:jc w:val="both"/>
        <w:rPr>
          <w:rFonts w:cs="Tahoma"/>
        </w:rPr>
      </w:pPr>
    </w:p>
    <w:p w:rsidR="00A92422" w:rsidRPr="00D87B79" w:rsidRDefault="00A92422" w:rsidP="00A92422">
      <w:pPr>
        <w:pStyle w:val="Heading3"/>
        <w:rPr>
          <w:rFonts w:ascii="Tahoma" w:hAnsi="Tahoma" w:cs="Tahoma"/>
        </w:rPr>
      </w:pPr>
      <w:bookmarkStart w:id="852" w:name="_Toc328146000"/>
      <w:bookmarkStart w:id="853" w:name="_Toc336338233"/>
      <w:bookmarkStart w:id="854" w:name="_Toc342900285"/>
      <w:bookmarkEnd w:id="852"/>
      <w:bookmarkEnd w:id="853"/>
      <w:r w:rsidRPr="00D87B79">
        <w:rPr>
          <w:rFonts w:ascii="Tahoma" w:hAnsi="Tahoma" w:cs="Tahoma"/>
          <w:lang w:val="it-IT"/>
        </w:rPr>
        <w:t>Voucher Corsi</w:t>
      </w:r>
      <w:bookmarkEnd w:id="854"/>
    </w:p>
    <w:p w:rsidR="00A92422" w:rsidRPr="00D87B79" w:rsidRDefault="00A92422" w:rsidP="00A92422">
      <w:pPr>
        <w:pStyle w:val="AppendixBodyText"/>
        <w:spacing w:after="0"/>
        <w:rPr>
          <w:rFonts w:ascii="Tahoma" w:hAnsi="Tahoma" w:cs="Tahoma"/>
        </w:rPr>
      </w:pPr>
    </w:p>
    <w:p w:rsidR="00A92422" w:rsidRPr="00D87B79" w:rsidRDefault="00A92422" w:rsidP="00A92422">
      <w:pPr>
        <w:pStyle w:val="AppendixBodyText"/>
        <w:spacing w:after="0"/>
        <w:rPr>
          <w:rFonts w:ascii="Tahoma" w:hAnsi="Tahoma" w:cs="Tahoma"/>
        </w:rPr>
      </w:pPr>
      <w:r w:rsidRPr="00D87B79">
        <w:rPr>
          <w:rFonts w:ascii="Tahoma" w:hAnsi="Tahoma" w:cs="Tahoma"/>
          <w:sz w:val="18"/>
          <w:szCs w:val="18"/>
          <w:lang w:val="it-IT"/>
        </w:rPr>
        <w:t>Le società che non siano società con Contratti Academic Select License, Select Plus for Academic, Open Value Subscription - Education Solutions, Campus e School, ma con Partecipazione a Software Assurance per i prodotti del</w:t>
      </w:r>
      <w:r>
        <w:rPr>
          <w:rFonts w:ascii="Tahoma" w:hAnsi="Tahoma" w:cs="Tahoma"/>
          <w:sz w:val="18"/>
          <w:szCs w:val="18"/>
          <w:lang w:val="it-IT"/>
        </w:rPr>
        <w:t> </w:t>
      </w:r>
      <w:r w:rsidRPr="00D87B79">
        <w:rPr>
          <w:rFonts w:ascii="Tahoma" w:hAnsi="Tahoma" w:cs="Tahoma"/>
          <w:sz w:val="18"/>
          <w:szCs w:val="18"/>
          <w:lang w:val="it-IT"/>
        </w:rPr>
        <w:t>pool di applicazioni o sistemi, sono idonee a ricevere i voucher corsi di Microsoft.</w:t>
      </w:r>
      <w:r w:rsidRPr="00D87B79">
        <w:rPr>
          <w:rFonts w:ascii="Tahoma" w:hAnsi="Tahoma" w:cs="Tahoma"/>
        </w:rPr>
        <w:t xml:space="preserve"> </w:t>
      </w:r>
      <w:r w:rsidRPr="00D87B79">
        <w:rPr>
          <w:rFonts w:ascii="Tahoma" w:hAnsi="Tahoma" w:cs="Tahoma"/>
          <w:sz w:val="18"/>
          <w:lang w:val="it-IT"/>
        </w:rPr>
        <w:t>I voucher autorizzano le società a ricevere corsi tenuti da un Partner Microsoft in possesso di una Competenza Learning (Microsoft Learning Partner) per un numero specifico di giorni.</w:t>
      </w:r>
      <w:r w:rsidRPr="00D87B79">
        <w:rPr>
          <w:rFonts w:ascii="Tahoma" w:hAnsi="Tahoma" w:cs="Tahoma"/>
        </w:rPr>
        <w:t xml:space="preserve"> </w:t>
      </w:r>
      <w:r w:rsidRPr="00D87B79">
        <w:rPr>
          <w:rFonts w:ascii="Tahoma" w:hAnsi="Tahoma" w:cs="Tahoma"/>
          <w:sz w:val="18"/>
          <w:lang w:val="it-IT"/>
        </w:rPr>
        <w:t>Il numero di giorni consentiti varia in base al programma e al numero di licenze qualificanti per le quali è stata acquistata la copertura Software Assurance.</w:t>
      </w:r>
      <w:r w:rsidRPr="00D87B79">
        <w:rPr>
          <w:rFonts w:ascii="Tahoma" w:hAnsi="Tahoma" w:cs="Tahoma"/>
        </w:rPr>
        <w:t xml:space="preserve"> </w:t>
      </w:r>
      <w:r w:rsidRPr="00D87B79">
        <w:rPr>
          <w:rFonts w:ascii="Tahoma" w:hAnsi="Tahoma" w:cs="Tahoma"/>
          <w:sz w:val="18"/>
          <w:lang w:val="it-IT"/>
        </w:rPr>
        <w:t>Dopo che il Gestore del Vantaggio dei Voucher Corsi ha attivato il vantaggio Voucher Corsi tramite lo strumento Volume Licensing Service Center (VLSC), i</w:t>
      </w:r>
      <w:r>
        <w:rPr>
          <w:rFonts w:ascii="Tahoma" w:hAnsi="Tahoma" w:cs="Tahoma"/>
          <w:sz w:val="18"/>
          <w:lang w:val="it-IT"/>
        </w:rPr>
        <w:t> </w:t>
      </w:r>
      <w:r w:rsidRPr="00D87B79">
        <w:rPr>
          <w:rFonts w:ascii="Tahoma" w:hAnsi="Tahoma" w:cs="Tahoma"/>
          <w:sz w:val="18"/>
          <w:lang w:val="it-IT"/>
        </w:rPr>
        <w:t>Voucher Corsi possono essere assegnati a singoli utenti designati dal Gestore del Vantaggio dei Voucher Corsi della</w:t>
      </w:r>
      <w:r>
        <w:rPr>
          <w:rFonts w:ascii="Tahoma" w:hAnsi="Tahoma" w:cs="Tahoma"/>
          <w:sz w:val="18"/>
          <w:lang w:val="it-IT"/>
        </w:rPr>
        <w:t> </w:t>
      </w:r>
      <w:r w:rsidRPr="00D87B79">
        <w:rPr>
          <w:rFonts w:ascii="Tahoma" w:hAnsi="Tahoma" w:cs="Tahoma"/>
          <w:sz w:val="18"/>
          <w:lang w:val="it-IT"/>
        </w:rPr>
        <w:t>società.</w:t>
      </w:r>
    </w:p>
    <w:p w:rsidR="00A92422" w:rsidRPr="00D87B79" w:rsidRDefault="00A92422" w:rsidP="00A92422">
      <w:pPr>
        <w:pStyle w:val="AppendixBodyText"/>
        <w:spacing w:after="0"/>
        <w:rPr>
          <w:rFonts w:ascii="Tahoma" w:hAnsi="Tahoma" w:cs="Tahoma"/>
        </w:rPr>
      </w:pPr>
    </w:p>
    <w:p w:rsidR="00A92422" w:rsidRPr="00D87B79" w:rsidRDefault="00A92422" w:rsidP="00A92422">
      <w:pPr>
        <w:pStyle w:val="AppendixFlushBulletedList"/>
        <w:tabs>
          <w:tab w:val="clear" w:pos="360"/>
          <w:tab w:val="num" w:pos="0"/>
        </w:tabs>
        <w:ind w:left="0" w:firstLine="0"/>
        <w:rPr>
          <w:rFonts w:ascii="Tahoma" w:hAnsi="Tahoma" w:cs="Tahoma"/>
        </w:rPr>
      </w:pPr>
      <w:r w:rsidRPr="00D87B79">
        <w:rPr>
          <w:rFonts w:ascii="Tahoma" w:hAnsi="Tahoma" w:cs="Tahoma"/>
          <w:sz w:val="18"/>
          <w:lang w:val="it-IT"/>
        </w:rPr>
        <w:t>Il numero minimo di licenze per l’acquisto di Software Assurance, necessario per l’idoneità a Voucher Corsi, varia in</w:t>
      </w:r>
      <w:r>
        <w:rPr>
          <w:rFonts w:ascii="Tahoma" w:hAnsi="Tahoma" w:cs="Tahoma"/>
          <w:sz w:val="18"/>
          <w:lang w:val="it-IT"/>
        </w:rPr>
        <w:t> </w:t>
      </w:r>
      <w:r w:rsidRPr="00D87B79">
        <w:rPr>
          <w:rFonts w:ascii="Tahoma" w:hAnsi="Tahoma" w:cs="Tahoma"/>
          <w:sz w:val="18"/>
          <w:lang w:val="it-IT"/>
        </w:rPr>
        <w:t>base al programma.</w:t>
      </w:r>
    </w:p>
    <w:p w:rsidR="00A92422" w:rsidRPr="00D87B79" w:rsidRDefault="00A92422" w:rsidP="00A92422">
      <w:pPr>
        <w:pStyle w:val="AppendixFlushBulletedList"/>
        <w:tabs>
          <w:tab w:val="clear" w:pos="360"/>
          <w:tab w:val="num" w:pos="0"/>
        </w:tabs>
        <w:ind w:left="0" w:firstLine="0"/>
        <w:rPr>
          <w:rFonts w:ascii="Tahoma" w:hAnsi="Tahoma" w:cs="Tahoma"/>
        </w:rPr>
      </w:pPr>
    </w:p>
    <w:tbl>
      <w:tblPr>
        <w:tblW w:w="9392"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A92422" w:rsidRPr="00D87B79" w:rsidTr="00EA30FC">
        <w:trPr>
          <w:cantSplit/>
          <w:trHeight w:val="531"/>
          <w:tblHeader/>
        </w:trPr>
        <w:tc>
          <w:tcPr>
            <w:tcW w:w="3002" w:type="dxa"/>
            <w:shd w:val="clear" w:color="auto" w:fill="FFCC99"/>
            <w:vAlign w:val="center"/>
          </w:tcPr>
          <w:p w:rsidR="00A92422" w:rsidRPr="00D87B79" w:rsidRDefault="00A92422" w:rsidP="00EA30FC">
            <w:pPr>
              <w:pStyle w:val="AppendixTableHeadings"/>
              <w:rPr>
                <w:rFonts w:ascii="Tahoma" w:hAnsi="Tahoma" w:cs="Tahoma"/>
                <w:sz w:val="20"/>
                <w:szCs w:val="20"/>
              </w:rPr>
            </w:pPr>
            <w:r w:rsidRPr="00D87B79">
              <w:rPr>
                <w:rFonts w:ascii="Tahoma" w:hAnsi="Tahoma" w:cs="Tahoma"/>
                <w:sz w:val="20"/>
                <w:szCs w:val="20"/>
                <w:lang w:val="it-IT"/>
              </w:rPr>
              <w:t>Programma</w:t>
            </w:r>
          </w:p>
        </w:tc>
        <w:tc>
          <w:tcPr>
            <w:tcW w:w="3150" w:type="dxa"/>
            <w:shd w:val="clear" w:color="auto" w:fill="FFCC99"/>
            <w:vAlign w:val="center"/>
          </w:tcPr>
          <w:p w:rsidR="00A92422" w:rsidRPr="00D87B79" w:rsidRDefault="00A92422" w:rsidP="00EA30FC">
            <w:pPr>
              <w:pStyle w:val="AppendixTableHeadings"/>
              <w:rPr>
                <w:rFonts w:ascii="Tahoma" w:hAnsi="Tahoma" w:cs="Tahoma"/>
                <w:sz w:val="20"/>
                <w:szCs w:val="20"/>
              </w:rPr>
            </w:pPr>
            <w:r w:rsidRPr="00D87B79">
              <w:rPr>
                <w:rFonts w:ascii="Tahoma" w:hAnsi="Tahoma" w:cs="Tahoma"/>
                <w:sz w:val="20"/>
                <w:lang w:val="it-IT"/>
              </w:rPr>
              <w:t>Prodotti del Pool di Applicazioni Office System</w:t>
            </w:r>
            <w:r w:rsidRPr="00D87B79">
              <w:rPr>
                <w:rFonts w:ascii="Tahoma" w:hAnsi="Tahoma" w:cs="Tahoma"/>
              </w:rPr>
              <w:t xml:space="preserve"> </w:t>
            </w:r>
          </w:p>
        </w:tc>
        <w:tc>
          <w:tcPr>
            <w:tcW w:w="3240" w:type="dxa"/>
            <w:shd w:val="clear" w:color="auto" w:fill="FFCC99"/>
            <w:vAlign w:val="center"/>
          </w:tcPr>
          <w:p w:rsidR="00A92422" w:rsidRPr="00D87B79" w:rsidRDefault="00A92422" w:rsidP="00EA30FC">
            <w:pPr>
              <w:pStyle w:val="AppendixTableHeadings"/>
              <w:rPr>
                <w:rFonts w:ascii="Tahoma" w:hAnsi="Tahoma" w:cs="Tahoma"/>
                <w:sz w:val="20"/>
                <w:szCs w:val="20"/>
              </w:rPr>
            </w:pPr>
            <w:r w:rsidRPr="00D87B79">
              <w:rPr>
                <w:rFonts w:ascii="Tahoma" w:hAnsi="Tahoma" w:cs="Tahoma"/>
                <w:sz w:val="20"/>
                <w:szCs w:val="20"/>
                <w:lang w:val="it-IT"/>
              </w:rPr>
              <w:t>Pool di Sistemi</w:t>
            </w:r>
          </w:p>
        </w:tc>
      </w:tr>
      <w:tr w:rsidR="00A92422" w:rsidRPr="00D87B79" w:rsidTr="00EA30FC">
        <w:trPr>
          <w:cantSplit/>
          <w:trHeight w:val="236"/>
        </w:trPr>
        <w:tc>
          <w:tcPr>
            <w:tcW w:w="3002" w:type="dxa"/>
            <w:vAlign w:val="center"/>
          </w:tcPr>
          <w:p w:rsidR="00A92422" w:rsidRPr="00D87B79" w:rsidRDefault="00A92422" w:rsidP="00EA30FC">
            <w:pPr>
              <w:pStyle w:val="AppendixTableText"/>
              <w:rPr>
                <w:rFonts w:ascii="Tahoma" w:hAnsi="Tahoma" w:cs="Tahoma"/>
              </w:rPr>
            </w:pPr>
            <w:r w:rsidRPr="00D87B79">
              <w:rPr>
                <w:rFonts w:ascii="Tahoma" w:hAnsi="Tahoma" w:cs="Tahoma"/>
                <w:lang w:val="it-IT"/>
              </w:rPr>
              <w:t>Open Value</w:t>
            </w:r>
          </w:p>
        </w:tc>
        <w:tc>
          <w:tcPr>
            <w:tcW w:w="3150" w:type="dxa"/>
            <w:vAlign w:val="center"/>
          </w:tcPr>
          <w:p w:rsidR="00A92422" w:rsidRPr="00D87B79" w:rsidRDefault="00A92422" w:rsidP="00EA30FC">
            <w:pPr>
              <w:pStyle w:val="AppendixTableText"/>
              <w:rPr>
                <w:rFonts w:ascii="Tahoma" w:hAnsi="Tahoma" w:cs="Tahoma"/>
              </w:rPr>
            </w:pPr>
            <w:r w:rsidRPr="00D87B79">
              <w:rPr>
                <w:rFonts w:ascii="Tahoma" w:hAnsi="Tahoma" w:cs="Tahoma"/>
                <w:lang w:val="it-IT"/>
              </w:rPr>
              <w:t xml:space="preserve">2 giorni per 50 licenze </w:t>
            </w:r>
            <w:r>
              <w:rPr>
                <w:rFonts w:ascii="Tahoma" w:hAnsi="Tahoma" w:cs="Tahoma"/>
                <w:lang w:val="it-IT"/>
              </w:rPr>
              <w:br/>
            </w:r>
            <w:r w:rsidRPr="00D87B79">
              <w:rPr>
                <w:rFonts w:ascii="Tahoma" w:hAnsi="Tahoma" w:cs="Tahoma"/>
                <w:lang w:val="it-IT"/>
              </w:rPr>
              <w:t>(massimo 20 giorni)</w:t>
            </w:r>
          </w:p>
        </w:tc>
        <w:tc>
          <w:tcPr>
            <w:tcW w:w="3240" w:type="dxa"/>
            <w:vAlign w:val="center"/>
          </w:tcPr>
          <w:p w:rsidR="00A92422" w:rsidRPr="00D87B79" w:rsidRDefault="00A92422" w:rsidP="00EA30FC">
            <w:pPr>
              <w:pStyle w:val="AppendixTableText"/>
              <w:rPr>
                <w:rFonts w:ascii="Tahoma" w:hAnsi="Tahoma" w:cs="Tahoma"/>
              </w:rPr>
            </w:pPr>
            <w:r w:rsidRPr="00D87B79">
              <w:rPr>
                <w:rFonts w:ascii="Tahoma" w:hAnsi="Tahoma" w:cs="Tahoma"/>
                <w:lang w:val="it-IT"/>
              </w:rPr>
              <w:t>1 giorno per 50 licenze</w:t>
            </w:r>
          </w:p>
          <w:p w:rsidR="00A92422" w:rsidRPr="00D87B79" w:rsidRDefault="00A92422" w:rsidP="00EA30FC">
            <w:pPr>
              <w:pStyle w:val="AppendixTableText"/>
              <w:rPr>
                <w:rFonts w:ascii="Tahoma" w:hAnsi="Tahoma" w:cs="Tahoma"/>
              </w:rPr>
            </w:pPr>
            <w:r w:rsidRPr="00D87B79">
              <w:rPr>
                <w:rFonts w:ascii="Tahoma" w:hAnsi="Tahoma" w:cs="Tahoma"/>
                <w:lang w:val="it-IT"/>
              </w:rPr>
              <w:t>(massimo 10 giorni)</w:t>
            </w:r>
          </w:p>
        </w:tc>
      </w:tr>
      <w:tr w:rsidR="00A92422" w:rsidRPr="00D87B79" w:rsidTr="00EA30FC">
        <w:trPr>
          <w:cantSplit/>
          <w:trHeight w:val="236"/>
        </w:trPr>
        <w:tc>
          <w:tcPr>
            <w:tcW w:w="3002" w:type="dxa"/>
            <w:vAlign w:val="center"/>
          </w:tcPr>
          <w:p w:rsidR="00A92422" w:rsidRPr="00D87B79" w:rsidRDefault="00A92422" w:rsidP="00EA30FC">
            <w:pPr>
              <w:pStyle w:val="AppendixTableHeadings"/>
              <w:rPr>
                <w:rFonts w:ascii="Tahoma" w:hAnsi="Tahoma" w:cs="Tahoma"/>
              </w:rPr>
            </w:pPr>
            <w:r w:rsidRPr="00D87B79">
              <w:rPr>
                <w:rFonts w:ascii="Tahoma" w:hAnsi="Tahoma" w:cs="Tahoma"/>
                <w:lang w:val="it-IT"/>
              </w:rPr>
              <w:t>SAM</w:t>
            </w:r>
          </w:p>
          <w:p w:rsidR="00A92422" w:rsidRPr="00D87B79" w:rsidRDefault="00A92422" w:rsidP="00EA30FC">
            <w:pPr>
              <w:pStyle w:val="AppendixTableHeadings"/>
              <w:rPr>
                <w:rFonts w:ascii="Tahoma" w:hAnsi="Tahoma" w:cs="Tahoma"/>
              </w:rPr>
            </w:pPr>
            <w:r w:rsidRPr="00D87B79">
              <w:rPr>
                <w:rFonts w:ascii="Tahoma" w:hAnsi="Tahoma" w:cs="Tahoma"/>
              </w:rPr>
              <w:t>1</w:t>
            </w:r>
            <w:r>
              <w:rPr>
                <w:rFonts w:ascii="Tahoma" w:hAnsi="Tahoma" w:cs="Tahoma"/>
              </w:rPr>
              <w:t xml:space="preserve"> </w:t>
            </w:r>
            <w:r w:rsidRPr="00D87B79">
              <w:rPr>
                <w:rFonts w:ascii="Tahoma" w:hAnsi="Tahoma" w:cs="Tahoma"/>
              </w:rPr>
              <w:t>–</w:t>
            </w:r>
            <w:r>
              <w:rPr>
                <w:rFonts w:ascii="Tahoma" w:hAnsi="Tahoma" w:cs="Tahoma"/>
              </w:rPr>
              <w:t xml:space="preserve"> </w:t>
            </w:r>
            <w:r w:rsidRPr="00D87B79">
              <w:rPr>
                <w:rFonts w:ascii="Tahoma" w:hAnsi="Tahoma" w:cs="Tahoma"/>
              </w:rPr>
              <w:t>249</w:t>
            </w:r>
          </w:p>
        </w:tc>
        <w:tc>
          <w:tcPr>
            <w:tcW w:w="3150" w:type="dxa"/>
            <w:vAlign w:val="center"/>
          </w:tcPr>
          <w:p w:rsidR="00A92422" w:rsidRPr="00D87B79" w:rsidRDefault="00A92422" w:rsidP="00EA30FC">
            <w:pPr>
              <w:pStyle w:val="AppendixTableText"/>
              <w:rPr>
                <w:rFonts w:ascii="Tahoma" w:hAnsi="Tahoma" w:cs="Tahoma"/>
              </w:rPr>
            </w:pPr>
            <w:r w:rsidRPr="00D87B79">
              <w:rPr>
                <w:rFonts w:ascii="Tahoma" w:hAnsi="Tahoma" w:cs="Tahoma"/>
                <w:lang w:val="it-IT"/>
              </w:rPr>
              <w:t>2 giorni per 50 licenze</w:t>
            </w:r>
          </w:p>
        </w:tc>
        <w:tc>
          <w:tcPr>
            <w:tcW w:w="3240" w:type="dxa"/>
            <w:vAlign w:val="center"/>
          </w:tcPr>
          <w:p w:rsidR="00A92422" w:rsidRPr="00D87B79" w:rsidRDefault="00A92422" w:rsidP="00EA30FC">
            <w:pPr>
              <w:pStyle w:val="AppendixTableText"/>
              <w:rPr>
                <w:rFonts w:ascii="Tahoma" w:hAnsi="Tahoma" w:cs="Tahoma"/>
              </w:rPr>
            </w:pPr>
            <w:r w:rsidRPr="00D87B79">
              <w:rPr>
                <w:rFonts w:ascii="Tahoma" w:hAnsi="Tahoma" w:cs="Tahoma"/>
                <w:lang w:val="it-IT"/>
              </w:rPr>
              <w:t>1 giorno per 50 licenze</w:t>
            </w:r>
          </w:p>
          <w:p w:rsidR="00A92422" w:rsidRPr="00D87B79" w:rsidRDefault="00A92422" w:rsidP="00EA30FC">
            <w:pPr>
              <w:pStyle w:val="AppendixTableText"/>
              <w:rPr>
                <w:rFonts w:ascii="Tahoma" w:hAnsi="Tahoma" w:cs="Tahoma"/>
              </w:rPr>
            </w:pPr>
          </w:p>
        </w:tc>
      </w:tr>
      <w:tr w:rsidR="00A92422" w:rsidRPr="00D87B79" w:rsidTr="00EA30FC">
        <w:trPr>
          <w:cantSplit/>
          <w:trHeight w:val="236"/>
        </w:trPr>
        <w:tc>
          <w:tcPr>
            <w:tcW w:w="3002" w:type="dxa"/>
            <w:vAlign w:val="center"/>
          </w:tcPr>
          <w:p w:rsidR="00A92422" w:rsidRPr="00D87B79" w:rsidRDefault="00A92422" w:rsidP="00EA30FC">
            <w:pPr>
              <w:pStyle w:val="AppendixTableHeadings"/>
              <w:rPr>
                <w:rFonts w:ascii="Tahoma" w:hAnsi="Tahoma" w:cs="Tahoma"/>
              </w:rPr>
            </w:pPr>
            <w:r w:rsidRPr="00D87B79">
              <w:rPr>
                <w:rFonts w:ascii="Tahoma" w:hAnsi="Tahoma" w:cs="Tahoma"/>
                <w:lang w:val="it-IT"/>
              </w:rPr>
              <w:lastRenderedPageBreak/>
              <w:t>SAM</w:t>
            </w:r>
          </w:p>
          <w:p w:rsidR="00A92422" w:rsidRPr="00D87B79" w:rsidRDefault="00A92422" w:rsidP="00EA30FC">
            <w:pPr>
              <w:pStyle w:val="AppendixTableText"/>
              <w:rPr>
                <w:rFonts w:ascii="Tahoma" w:hAnsi="Tahoma" w:cs="Tahoma"/>
              </w:rPr>
            </w:pPr>
            <w:r w:rsidRPr="00D87B79">
              <w:rPr>
                <w:rFonts w:ascii="Tahoma" w:hAnsi="Tahoma" w:cs="Tahoma"/>
              </w:rPr>
              <w:t>250</w:t>
            </w:r>
            <w:r>
              <w:rPr>
                <w:rFonts w:ascii="Tahoma" w:hAnsi="Tahoma" w:cs="Tahoma"/>
              </w:rPr>
              <w:t xml:space="preserve"> </w:t>
            </w:r>
            <w:r w:rsidRPr="00D87B79">
              <w:rPr>
                <w:rFonts w:ascii="Tahoma" w:hAnsi="Tahoma" w:cs="Tahoma"/>
              </w:rPr>
              <w:t>–</w:t>
            </w:r>
            <w:r>
              <w:rPr>
                <w:rFonts w:ascii="Tahoma" w:hAnsi="Tahoma" w:cs="Tahoma"/>
              </w:rPr>
              <w:t xml:space="preserve"> </w:t>
            </w:r>
            <w:r w:rsidRPr="00D87B79">
              <w:rPr>
                <w:rFonts w:ascii="Tahoma" w:hAnsi="Tahoma" w:cs="Tahoma"/>
              </w:rPr>
              <w:t>2</w:t>
            </w:r>
            <w:r>
              <w:rPr>
                <w:rFonts w:ascii="Tahoma" w:hAnsi="Tahoma" w:cs="Tahoma"/>
              </w:rPr>
              <w:t>.</w:t>
            </w:r>
            <w:r w:rsidRPr="00D87B79">
              <w:rPr>
                <w:rFonts w:ascii="Tahoma" w:hAnsi="Tahoma" w:cs="Tahoma"/>
              </w:rPr>
              <w:t xml:space="preserve">399 </w:t>
            </w:r>
          </w:p>
        </w:tc>
        <w:tc>
          <w:tcPr>
            <w:tcW w:w="3150" w:type="dxa"/>
            <w:vAlign w:val="center"/>
          </w:tcPr>
          <w:p w:rsidR="00A92422" w:rsidRPr="00D87B79" w:rsidRDefault="00A92422" w:rsidP="00EA30FC">
            <w:pPr>
              <w:pStyle w:val="AppendixTableText"/>
              <w:rPr>
                <w:rFonts w:ascii="Tahoma" w:hAnsi="Tahoma" w:cs="Tahoma"/>
              </w:rPr>
            </w:pPr>
            <w:r w:rsidRPr="00D87B79">
              <w:rPr>
                <w:rFonts w:ascii="Tahoma" w:hAnsi="Tahoma" w:cs="Tahoma"/>
                <w:lang w:val="it-IT"/>
              </w:rPr>
              <w:t>20 giorni per</w:t>
            </w:r>
          </w:p>
          <w:p w:rsidR="00A92422" w:rsidRPr="00D87B79" w:rsidRDefault="00A92422" w:rsidP="00EA30FC">
            <w:pPr>
              <w:pStyle w:val="AppendixTableText"/>
              <w:rPr>
                <w:rFonts w:ascii="Tahoma" w:hAnsi="Tahoma" w:cs="Tahoma"/>
              </w:rPr>
            </w:pPr>
            <w:r w:rsidRPr="00D87B79">
              <w:rPr>
                <w:rFonts w:ascii="Tahoma" w:hAnsi="Tahoma" w:cs="Tahoma"/>
                <w:lang w:val="it-IT"/>
              </w:rPr>
              <w:t>iscrizione idonea</w:t>
            </w:r>
          </w:p>
        </w:tc>
        <w:tc>
          <w:tcPr>
            <w:tcW w:w="3240" w:type="dxa"/>
            <w:vAlign w:val="center"/>
          </w:tcPr>
          <w:p w:rsidR="00A92422" w:rsidRPr="00D87B79" w:rsidRDefault="00A92422" w:rsidP="00EA30FC">
            <w:pPr>
              <w:pStyle w:val="AppendixTableText"/>
              <w:rPr>
                <w:rFonts w:ascii="Tahoma" w:hAnsi="Tahoma" w:cs="Tahoma"/>
              </w:rPr>
            </w:pPr>
            <w:r w:rsidRPr="00D87B79">
              <w:rPr>
                <w:rFonts w:ascii="Tahoma" w:hAnsi="Tahoma" w:cs="Tahoma"/>
                <w:lang w:val="it-IT"/>
              </w:rPr>
              <w:t>10 giorni per</w:t>
            </w:r>
          </w:p>
          <w:p w:rsidR="00A92422" w:rsidRPr="00D87B79" w:rsidRDefault="00A92422" w:rsidP="00EA30FC">
            <w:pPr>
              <w:pStyle w:val="AppendixTableText"/>
              <w:rPr>
                <w:rFonts w:ascii="Tahoma" w:hAnsi="Tahoma" w:cs="Tahoma"/>
              </w:rPr>
            </w:pPr>
            <w:r w:rsidRPr="00D87B79">
              <w:rPr>
                <w:rFonts w:ascii="Tahoma" w:hAnsi="Tahoma" w:cs="Tahoma"/>
                <w:lang w:val="it-IT"/>
              </w:rPr>
              <w:t>iscrizione idonea</w:t>
            </w:r>
          </w:p>
        </w:tc>
      </w:tr>
      <w:tr w:rsidR="00A92422" w:rsidRPr="00D87B79" w:rsidTr="00EA30FC">
        <w:trPr>
          <w:cantSplit/>
          <w:trHeight w:val="236"/>
        </w:trPr>
        <w:tc>
          <w:tcPr>
            <w:tcW w:w="3002" w:type="dxa"/>
            <w:vAlign w:val="center"/>
          </w:tcPr>
          <w:p w:rsidR="00A92422" w:rsidRPr="00D87B79" w:rsidRDefault="00A92422" w:rsidP="00EA30FC">
            <w:pPr>
              <w:pStyle w:val="AppendixTableHeadings"/>
              <w:rPr>
                <w:rFonts w:ascii="Tahoma" w:hAnsi="Tahoma" w:cs="Tahoma"/>
              </w:rPr>
            </w:pPr>
            <w:r w:rsidRPr="00D87B79">
              <w:rPr>
                <w:rFonts w:ascii="Tahoma" w:hAnsi="Tahoma" w:cs="Tahoma"/>
                <w:lang w:val="it-IT"/>
              </w:rPr>
              <w:t>SAM</w:t>
            </w:r>
          </w:p>
          <w:p w:rsidR="00A92422" w:rsidRPr="00D87B79" w:rsidRDefault="00A92422" w:rsidP="00EA30FC">
            <w:pPr>
              <w:pStyle w:val="AppendixTableText"/>
              <w:rPr>
                <w:rFonts w:ascii="Tahoma" w:hAnsi="Tahoma" w:cs="Tahoma"/>
                <w:b/>
                <w:i/>
              </w:rPr>
            </w:pPr>
            <w:r w:rsidRPr="00D87B79">
              <w:rPr>
                <w:rFonts w:ascii="Tahoma" w:hAnsi="Tahoma" w:cs="Tahoma"/>
              </w:rPr>
              <w:t>2</w:t>
            </w:r>
            <w:r>
              <w:rPr>
                <w:rFonts w:ascii="Tahoma" w:hAnsi="Tahoma" w:cs="Tahoma"/>
              </w:rPr>
              <w:t>.</w:t>
            </w:r>
            <w:r w:rsidRPr="00D87B79">
              <w:rPr>
                <w:rFonts w:ascii="Tahoma" w:hAnsi="Tahoma" w:cs="Tahoma"/>
              </w:rPr>
              <w:t>400</w:t>
            </w:r>
            <w:r>
              <w:rPr>
                <w:rFonts w:ascii="Tahoma" w:hAnsi="Tahoma" w:cs="Tahoma"/>
              </w:rPr>
              <w:t xml:space="preserve"> </w:t>
            </w:r>
            <w:r w:rsidRPr="00D87B79">
              <w:rPr>
                <w:rFonts w:ascii="Tahoma" w:hAnsi="Tahoma" w:cs="Tahoma"/>
              </w:rPr>
              <w:t>–</w:t>
            </w:r>
            <w:r>
              <w:rPr>
                <w:rFonts w:ascii="Tahoma" w:hAnsi="Tahoma" w:cs="Tahoma"/>
              </w:rPr>
              <w:t xml:space="preserve"> </w:t>
            </w:r>
            <w:r w:rsidRPr="00D87B79">
              <w:rPr>
                <w:rFonts w:ascii="Tahoma" w:hAnsi="Tahoma" w:cs="Tahoma"/>
              </w:rPr>
              <w:t>5</w:t>
            </w:r>
            <w:r>
              <w:rPr>
                <w:rFonts w:ascii="Tahoma" w:hAnsi="Tahoma" w:cs="Tahoma"/>
              </w:rPr>
              <w:t>.</w:t>
            </w:r>
            <w:r w:rsidRPr="00D87B79">
              <w:rPr>
                <w:rFonts w:ascii="Tahoma" w:hAnsi="Tahoma" w:cs="Tahoma"/>
              </w:rPr>
              <w:t>999</w:t>
            </w:r>
          </w:p>
        </w:tc>
        <w:tc>
          <w:tcPr>
            <w:tcW w:w="3150" w:type="dxa"/>
            <w:vAlign w:val="center"/>
          </w:tcPr>
          <w:p w:rsidR="00A92422" w:rsidRPr="00D87B79" w:rsidRDefault="00A92422" w:rsidP="00EA30FC">
            <w:pPr>
              <w:pStyle w:val="AppendixTableText"/>
              <w:rPr>
                <w:rFonts w:ascii="Tahoma" w:hAnsi="Tahoma" w:cs="Tahoma"/>
              </w:rPr>
            </w:pPr>
            <w:r w:rsidRPr="00D87B79">
              <w:rPr>
                <w:rFonts w:ascii="Tahoma" w:hAnsi="Tahoma" w:cs="Tahoma"/>
                <w:lang w:val="it-IT"/>
              </w:rPr>
              <w:t>30 giorni*</w:t>
            </w:r>
            <w:r w:rsidRPr="00D87B79">
              <w:rPr>
                <w:rFonts w:ascii="Tahoma" w:hAnsi="Tahoma" w:cs="Tahoma"/>
              </w:rPr>
              <w:t xml:space="preserve"> </w:t>
            </w:r>
          </w:p>
          <w:p w:rsidR="00A92422" w:rsidRPr="00D87B79" w:rsidRDefault="00A92422" w:rsidP="00EA30FC">
            <w:pPr>
              <w:pStyle w:val="AppendixTableText"/>
              <w:rPr>
                <w:rFonts w:ascii="Tahoma" w:hAnsi="Tahoma" w:cs="Tahoma"/>
              </w:rPr>
            </w:pPr>
          </w:p>
        </w:tc>
        <w:tc>
          <w:tcPr>
            <w:tcW w:w="3240" w:type="dxa"/>
            <w:vAlign w:val="center"/>
          </w:tcPr>
          <w:p w:rsidR="00A92422" w:rsidRPr="00D87B79" w:rsidRDefault="00A92422" w:rsidP="00EA30FC">
            <w:pPr>
              <w:pStyle w:val="AppendixTableText"/>
              <w:rPr>
                <w:rFonts w:ascii="Tahoma" w:hAnsi="Tahoma" w:cs="Tahoma"/>
              </w:rPr>
            </w:pPr>
            <w:r w:rsidRPr="00D87B79">
              <w:rPr>
                <w:rFonts w:ascii="Tahoma" w:hAnsi="Tahoma" w:cs="Tahoma"/>
                <w:lang w:val="it-IT"/>
              </w:rPr>
              <w:t>15 giorni*</w:t>
            </w:r>
            <w:r w:rsidRPr="00D87B79">
              <w:rPr>
                <w:rFonts w:ascii="Tahoma" w:hAnsi="Tahoma" w:cs="Tahoma"/>
              </w:rPr>
              <w:t xml:space="preserve"> </w:t>
            </w:r>
          </w:p>
          <w:p w:rsidR="00A92422" w:rsidRPr="00D87B79" w:rsidRDefault="00A92422" w:rsidP="00EA30FC">
            <w:pPr>
              <w:pStyle w:val="AppendixTableText"/>
              <w:rPr>
                <w:rFonts w:ascii="Tahoma" w:hAnsi="Tahoma" w:cs="Tahoma"/>
              </w:rPr>
            </w:pPr>
          </w:p>
        </w:tc>
      </w:tr>
      <w:tr w:rsidR="00A92422" w:rsidRPr="00D87B79" w:rsidTr="00EA30FC">
        <w:trPr>
          <w:cantSplit/>
          <w:trHeight w:val="236"/>
        </w:trPr>
        <w:tc>
          <w:tcPr>
            <w:tcW w:w="3002" w:type="dxa"/>
            <w:vAlign w:val="center"/>
          </w:tcPr>
          <w:p w:rsidR="00A92422" w:rsidRPr="00D87B79" w:rsidRDefault="00A92422" w:rsidP="00EA30FC">
            <w:pPr>
              <w:pStyle w:val="AppendixTableHeadings"/>
              <w:rPr>
                <w:rFonts w:ascii="Tahoma" w:hAnsi="Tahoma" w:cs="Tahoma"/>
              </w:rPr>
            </w:pPr>
            <w:r w:rsidRPr="00D87B79">
              <w:rPr>
                <w:rFonts w:ascii="Tahoma" w:hAnsi="Tahoma" w:cs="Tahoma"/>
                <w:lang w:val="it-IT"/>
              </w:rPr>
              <w:t>SAM</w:t>
            </w:r>
          </w:p>
          <w:p w:rsidR="00A92422" w:rsidRPr="00D87B79" w:rsidRDefault="00A92422" w:rsidP="00EA30FC">
            <w:pPr>
              <w:pStyle w:val="AppendixTableText"/>
              <w:rPr>
                <w:rFonts w:ascii="Tahoma" w:hAnsi="Tahoma" w:cs="Tahoma"/>
                <w:b/>
                <w:i/>
              </w:rPr>
            </w:pPr>
            <w:r w:rsidRPr="00D87B79">
              <w:rPr>
                <w:rFonts w:ascii="Tahoma" w:hAnsi="Tahoma" w:cs="Tahoma"/>
              </w:rPr>
              <w:t>6</w:t>
            </w:r>
            <w:r>
              <w:rPr>
                <w:rFonts w:ascii="Tahoma" w:hAnsi="Tahoma" w:cs="Tahoma"/>
              </w:rPr>
              <w:t>.</w:t>
            </w:r>
            <w:r w:rsidRPr="00D87B79">
              <w:rPr>
                <w:rFonts w:ascii="Tahoma" w:hAnsi="Tahoma" w:cs="Tahoma"/>
              </w:rPr>
              <w:t>000</w:t>
            </w:r>
            <w:r>
              <w:rPr>
                <w:rFonts w:ascii="Tahoma" w:hAnsi="Tahoma" w:cs="Tahoma"/>
              </w:rPr>
              <w:t xml:space="preserve"> </w:t>
            </w:r>
            <w:r w:rsidRPr="00D87B79">
              <w:rPr>
                <w:rFonts w:ascii="Tahoma" w:hAnsi="Tahoma" w:cs="Tahoma"/>
              </w:rPr>
              <w:t>–</w:t>
            </w:r>
            <w:r>
              <w:rPr>
                <w:rFonts w:ascii="Tahoma" w:hAnsi="Tahoma" w:cs="Tahoma"/>
              </w:rPr>
              <w:t xml:space="preserve"> </w:t>
            </w:r>
            <w:r w:rsidRPr="00D87B79">
              <w:rPr>
                <w:rFonts w:ascii="Tahoma" w:hAnsi="Tahoma" w:cs="Tahoma"/>
              </w:rPr>
              <w:t>14</w:t>
            </w:r>
            <w:r>
              <w:rPr>
                <w:rFonts w:ascii="Tahoma" w:hAnsi="Tahoma" w:cs="Tahoma"/>
              </w:rPr>
              <w:t>.</w:t>
            </w:r>
            <w:r w:rsidRPr="00D87B79">
              <w:rPr>
                <w:rFonts w:ascii="Tahoma" w:hAnsi="Tahoma" w:cs="Tahoma"/>
              </w:rPr>
              <w:t>999</w:t>
            </w:r>
          </w:p>
        </w:tc>
        <w:tc>
          <w:tcPr>
            <w:tcW w:w="3150" w:type="dxa"/>
            <w:vAlign w:val="center"/>
          </w:tcPr>
          <w:p w:rsidR="00A92422" w:rsidRPr="00D87B79" w:rsidRDefault="00A92422" w:rsidP="00EA30FC">
            <w:pPr>
              <w:pStyle w:val="AppendixTableText"/>
              <w:rPr>
                <w:rFonts w:ascii="Tahoma" w:hAnsi="Tahoma" w:cs="Tahoma"/>
              </w:rPr>
            </w:pPr>
            <w:r w:rsidRPr="00D87B79">
              <w:rPr>
                <w:rFonts w:ascii="Tahoma" w:hAnsi="Tahoma" w:cs="Tahoma"/>
                <w:lang w:val="it-IT"/>
              </w:rPr>
              <w:t>50 giorni*</w:t>
            </w:r>
            <w:r w:rsidRPr="00D87B79">
              <w:rPr>
                <w:rFonts w:ascii="Tahoma" w:hAnsi="Tahoma" w:cs="Tahoma"/>
              </w:rPr>
              <w:t xml:space="preserve"> </w:t>
            </w:r>
          </w:p>
          <w:p w:rsidR="00A92422" w:rsidRPr="00D87B79" w:rsidRDefault="00A92422" w:rsidP="00EA30FC">
            <w:pPr>
              <w:pStyle w:val="AppendixTableText"/>
              <w:rPr>
                <w:rFonts w:ascii="Tahoma" w:hAnsi="Tahoma" w:cs="Tahoma"/>
              </w:rPr>
            </w:pPr>
          </w:p>
        </w:tc>
        <w:tc>
          <w:tcPr>
            <w:tcW w:w="3240" w:type="dxa"/>
            <w:vAlign w:val="center"/>
          </w:tcPr>
          <w:p w:rsidR="00A92422" w:rsidRPr="00D87B79" w:rsidRDefault="00A92422" w:rsidP="00EA30FC">
            <w:pPr>
              <w:pStyle w:val="AppendixTableText"/>
              <w:rPr>
                <w:rFonts w:ascii="Tahoma" w:hAnsi="Tahoma" w:cs="Tahoma"/>
              </w:rPr>
            </w:pPr>
            <w:r w:rsidRPr="00D87B79">
              <w:rPr>
                <w:rFonts w:ascii="Tahoma" w:hAnsi="Tahoma" w:cs="Tahoma"/>
                <w:lang w:val="it-IT"/>
              </w:rPr>
              <w:t>25 giorni*</w:t>
            </w:r>
            <w:r w:rsidRPr="00D87B79">
              <w:rPr>
                <w:rFonts w:ascii="Tahoma" w:hAnsi="Tahoma" w:cs="Tahoma"/>
              </w:rPr>
              <w:t xml:space="preserve"> </w:t>
            </w:r>
          </w:p>
          <w:p w:rsidR="00A92422" w:rsidRPr="00D87B79" w:rsidRDefault="00A92422" w:rsidP="00EA30FC">
            <w:pPr>
              <w:pStyle w:val="AppendixTableText"/>
              <w:rPr>
                <w:rFonts w:ascii="Tahoma" w:hAnsi="Tahoma" w:cs="Tahoma"/>
              </w:rPr>
            </w:pPr>
          </w:p>
        </w:tc>
      </w:tr>
      <w:tr w:rsidR="00A92422" w:rsidRPr="00D87B79" w:rsidTr="00EA30FC">
        <w:trPr>
          <w:cantSplit/>
          <w:trHeight w:val="236"/>
        </w:trPr>
        <w:tc>
          <w:tcPr>
            <w:tcW w:w="3002" w:type="dxa"/>
            <w:vAlign w:val="center"/>
          </w:tcPr>
          <w:p w:rsidR="00A92422" w:rsidRPr="00D87B79" w:rsidRDefault="00A92422" w:rsidP="00EA30FC">
            <w:pPr>
              <w:pStyle w:val="AppendixTableHeadings"/>
              <w:rPr>
                <w:rFonts w:ascii="Tahoma" w:hAnsi="Tahoma" w:cs="Tahoma"/>
              </w:rPr>
            </w:pPr>
            <w:r w:rsidRPr="00D87B79">
              <w:rPr>
                <w:rFonts w:ascii="Tahoma" w:hAnsi="Tahoma" w:cs="Tahoma"/>
                <w:lang w:val="it-IT"/>
              </w:rPr>
              <w:t>SAM</w:t>
            </w:r>
          </w:p>
          <w:p w:rsidR="00A92422" w:rsidRPr="00D87B79" w:rsidRDefault="00A92422" w:rsidP="00EA30FC">
            <w:pPr>
              <w:pStyle w:val="AppendixTableText"/>
              <w:rPr>
                <w:rFonts w:ascii="Tahoma" w:hAnsi="Tahoma" w:cs="Tahoma"/>
                <w:b/>
                <w:i/>
              </w:rPr>
            </w:pPr>
            <w:r w:rsidRPr="00D87B79">
              <w:rPr>
                <w:rFonts w:ascii="Tahoma" w:hAnsi="Tahoma" w:cs="Tahoma"/>
              </w:rPr>
              <w:t>15</w:t>
            </w:r>
            <w:r>
              <w:rPr>
                <w:rFonts w:ascii="Tahoma" w:hAnsi="Tahoma" w:cs="Tahoma"/>
              </w:rPr>
              <w:t>.</w:t>
            </w:r>
            <w:r w:rsidRPr="00D87B79">
              <w:rPr>
                <w:rFonts w:ascii="Tahoma" w:hAnsi="Tahoma" w:cs="Tahoma"/>
              </w:rPr>
              <w:t>000 – 29</w:t>
            </w:r>
            <w:r>
              <w:rPr>
                <w:rFonts w:ascii="Tahoma" w:hAnsi="Tahoma" w:cs="Tahoma"/>
              </w:rPr>
              <w:t>.</w:t>
            </w:r>
            <w:r w:rsidRPr="00D87B79">
              <w:rPr>
                <w:rFonts w:ascii="Tahoma" w:hAnsi="Tahoma" w:cs="Tahoma"/>
              </w:rPr>
              <w:t>999</w:t>
            </w:r>
          </w:p>
        </w:tc>
        <w:tc>
          <w:tcPr>
            <w:tcW w:w="3150" w:type="dxa"/>
            <w:vAlign w:val="center"/>
          </w:tcPr>
          <w:p w:rsidR="00A92422" w:rsidRPr="00D87B79" w:rsidRDefault="00A92422" w:rsidP="00EA30FC">
            <w:pPr>
              <w:pStyle w:val="AppendixTableText"/>
              <w:rPr>
                <w:rFonts w:ascii="Tahoma" w:hAnsi="Tahoma" w:cs="Tahoma"/>
              </w:rPr>
            </w:pPr>
            <w:r w:rsidRPr="00D87B79">
              <w:rPr>
                <w:rFonts w:ascii="Tahoma" w:hAnsi="Tahoma" w:cs="Tahoma"/>
                <w:lang w:val="it-IT"/>
              </w:rPr>
              <w:t>110 giorni*</w:t>
            </w:r>
            <w:r w:rsidRPr="00D87B79">
              <w:rPr>
                <w:rFonts w:ascii="Tahoma" w:hAnsi="Tahoma" w:cs="Tahoma"/>
              </w:rPr>
              <w:t xml:space="preserve"> </w:t>
            </w:r>
          </w:p>
          <w:p w:rsidR="00A92422" w:rsidRPr="00D87B79" w:rsidRDefault="00A92422" w:rsidP="00EA30FC">
            <w:pPr>
              <w:pStyle w:val="AppendixTableText"/>
              <w:rPr>
                <w:rFonts w:ascii="Tahoma" w:hAnsi="Tahoma" w:cs="Tahoma"/>
              </w:rPr>
            </w:pPr>
          </w:p>
        </w:tc>
        <w:tc>
          <w:tcPr>
            <w:tcW w:w="3240" w:type="dxa"/>
            <w:vAlign w:val="center"/>
          </w:tcPr>
          <w:p w:rsidR="00A92422" w:rsidRPr="00D87B79" w:rsidRDefault="00A92422" w:rsidP="00EA30FC">
            <w:pPr>
              <w:pStyle w:val="AppendixTableText"/>
              <w:rPr>
                <w:rFonts w:ascii="Tahoma" w:hAnsi="Tahoma" w:cs="Tahoma"/>
              </w:rPr>
            </w:pPr>
            <w:r w:rsidRPr="00D87B79">
              <w:rPr>
                <w:rFonts w:ascii="Tahoma" w:hAnsi="Tahoma" w:cs="Tahoma"/>
                <w:lang w:val="it-IT"/>
              </w:rPr>
              <w:t>55 giorni*</w:t>
            </w:r>
            <w:r w:rsidRPr="00D87B79">
              <w:rPr>
                <w:rFonts w:ascii="Tahoma" w:hAnsi="Tahoma" w:cs="Tahoma"/>
              </w:rPr>
              <w:t xml:space="preserve"> </w:t>
            </w:r>
          </w:p>
          <w:p w:rsidR="00A92422" w:rsidRPr="00D87B79" w:rsidRDefault="00A92422" w:rsidP="00EA30FC">
            <w:pPr>
              <w:pStyle w:val="AppendixTableText"/>
              <w:rPr>
                <w:rFonts w:ascii="Tahoma" w:hAnsi="Tahoma" w:cs="Tahoma"/>
              </w:rPr>
            </w:pPr>
          </w:p>
        </w:tc>
      </w:tr>
      <w:tr w:rsidR="00A92422" w:rsidRPr="00D87B79" w:rsidTr="00EA30FC">
        <w:trPr>
          <w:cantSplit/>
          <w:trHeight w:val="236"/>
        </w:trPr>
        <w:tc>
          <w:tcPr>
            <w:tcW w:w="3002" w:type="dxa"/>
            <w:vAlign w:val="center"/>
          </w:tcPr>
          <w:p w:rsidR="00A92422" w:rsidRPr="00D87B79" w:rsidRDefault="00A92422" w:rsidP="00EA30FC">
            <w:pPr>
              <w:pStyle w:val="AppendixTableHeadings"/>
              <w:rPr>
                <w:rFonts w:ascii="Tahoma" w:hAnsi="Tahoma" w:cs="Tahoma"/>
              </w:rPr>
            </w:pPr>
            <w:r w:rsidRPr="00D87B79">
              <w:rPr>
                <w:rFonts w:ascii="Tahoma" w:hAnsi="Tahoma" w:cs="Tahoma"/>
                <w:lang w:val="it-IT"/>
              </w:rPr>
              <w:t>SAM</w:t>
            </w:r>
          </w:p>
          <w:p w:rsidR="00A92422" w:rsidRPr="00D87B79" w:rsidRDefault="00A92422" w:rsidP="00EA30FC">
            <w:pPr>
              <w:pStyle w:val="AppendixTableText"/>
              <w:rPr>
                <w:rFonts w:ascii="Tahoma" w:hAnsi="Tahoma" w:cs="Tahoma"/>
                <w:b/>
                <w:i/>
              </w:rPr>
            </w:pPr>
            <w:r w:rsidRPr="00D87B79">
              <w:rPr>
                <w:rFonts w:ascii="Tahoma" w:hAnsi="Tahoma" w:cs="Tahoma"/>
              </w:rPr>
              <w:t>30</w:t>
            </w:r>
            <w:r>
              <w:rPr>
                <w:rFonts w:ascii="Tahoma" w:hAnsi="Tahoma" w:cs="Tahoma"/>
              </w:rPr>
              <w:t>.</w:t>
            </w:r>
            <w:r w:rsidRPr="00D87B79">
              <w:rPr>
                <w:rFonts w:ascii="Tahoma" w:hAnsi="Tahoma" w:cs="Tahoma"/>
              </w:rPr>
              <w:t>000 – 49</w:t>
            </w:r>
            <w:r>
              <w:rPr>
                <w:rFonts w:ascii="Tahoma" w:hAnsi="Tahoma" w:cs="Tahoma"/>
              </w:rPr>
              <w:t>.</w:t>
            </w:r>
            <w:r w:rsidRPr="00D87B79">
              <w:rPr>
                <w:rFonts w:ascii="Tahoma" w:hAnsi="Tahoma" w:cs="Tahoma"/>
              </w:rPr>
              <w:t>999</w:t>
            </w:r>
          </w:p>
        </w:tc>
        <w:tc>
          <w:tcPr>
            <w:tcW w:w="3150" w:type="dxa"/>
            <w:vAlign w:val="center"/>
          </w:tcPr>
          <w:p w:rsidR="00A92422" w:rsidRPr="00D87B79" w:rsidRDefault="00A92422" w:rsidP="00EA30FC">
            <w:pPr>
              <w:pStyle w:val="AppendixTableText"/>
              <w:rPr>
                <w:rFonts w:ascii="Tahoma" w:hAnsi="Tahoma" w:cs="Tahoma"/>
              </w:rPr>
            </w:pPr>
            <w:r w:rsidRPr="00D87B79">
              <w:rPr>
                <w:rFonts w:ascii="Tahoma" w:hAnsi="Tahoma" w:cs="Tahoma"/>
                <w:lang w:val="it-IT"/>
              </w:rPr>
              <w:t>160 giorni*</w:t>
            </w:r>
            <w:r w:rsidRPr="00D87B79">
              <w:rPr>
                <w:rFonts w:ascii="Tahoma" w:hAnsi="Tahoma" w:cs="Tahoma"/>
              </w:rPr>
              <w:t xml:space="preserve"> </w:t>
            </w:r>
          </w:p>
          <w:p w:rsidR="00A92422" w:rsidRPr="00D87B79" w:rsidRDefault="00A92422" w:rsidP="00EA30FC">
            <w:pPr>
              <w:pStyle w:val="AppendixTableText"/>
              <w:rPr>
                <w:rFonts w:ascii="Tahoma" w:hAnsi="Tahoma" w:cs="Tahoma"/>
              </w:rPr>
            </w:pPr>
          </w:p>
        </w:tc>
        <w:tc>
          <w:tcPr>
            <w:tcW w:w="3240" w:type="dxa"/>
            <w:vAlign w:val="center"/>
          </w:tcPr>
          <w:p w:rsidR="00A92422" w:rsidRPr="00D87B79" w:rsidRDefault="00A92422" w:rsidP="00EA30FC">
            <w:pPr>
              <w:pStyle w:val="AppendixTableText"/>
              <w:rPr>
                <w:rFonts w:ascii="Tahoma" w:hAnsi="Tahoma" w:cs="Tahoma"/>
              </w:rPr>
            </w:pPr>
            <w:r w:rsidRPr="00D87B79">
              <w:rPr>
                <w:rFonts w:ascii="Tahoma" w:hAnsi="Tahoma" w:cs="Tahoma"/>
                <w:lang w:val="it-IT"/>
              </w:rPr>
              <w:t>80 giorni*</w:t>
            </w:r>
          </w:p>
          <w:p w:rsidR="00A92422" w:rsidRPr="00D87B79" w:rsidRDefault="00A92422" w:rsidP="00EA30FC">
            <w:pPr>
              <w:pStyle w:val="AppendixTableText"/>
              <w:rPr>
                <w:rFonts w:ascii="Tahoma" w:hAnsi="Tahoma" w:cs="Tahoma"/>
              </w:rPr>
            </w:pPr>
          </w:p>
        </w:tc>
      </w:tr>
      <w:tr w:rsidR="00A92422" w:rsidRPr="00D87B79" w:rsidTr="00EA30FC">
        <w:trPr>
          <w:cantSplit/>
          <w:trHeight w:val="236"/>
        </w:trPr>
        <w:tc>
          <w:tcPr>
            <w:tcW w:w="3002" w:type="dxa"/>
            <w:vAlign w:val="center"/>
          </w:tcPr>
          <w:p w:rsidR="00A92422" w:rsidRPr="00D87B79" w:rsidRDefault="00A92422" w:rsidP="00EA30FC">
            <w:pPr>
              <w:pStyle w:val="AppendixTableHeadings"/>
              <w:rPr>
                <w:rFonts w:ascii="Tahoma" w:hAnsi="Tahoma" w:cs="Tahoma"/>
              </w:rPr>
            </w:pPr>
            <w:r w:rsidRPr="00D87B79">
              <w:rPr>
                <w:rFonts w:ascii="Tahoma" w:hAnsi="Tahoma" w:cs="Tahoma"/>
                <w:lang w:val="it-IT"/>
              </w:rPr>
              <w:t>SAM</w:t>
            </w:r>
          </w:p>
          <w:p w:rsidR="00A92422" w:rsidRPr="00D87B79" w:rsidRDefault="00A92422" w:rsidP="00EA30FC">
            <w:pPr>
              <w:pStyle w:val="AppendixTableText"/>
              <w:rPr>
                <w:rFonts w:ascii="Tahoma" w:hAnsi="Tahoma" w:cs="Tahoma"/>
                <w:b/>
                <w:i/>
              </w:rPr>
            </w:pPr>
            <w:r w:rsidRPr="00D87B79">
              <w:rPr>
                <w:rFonts w:ascii="Tahoma" w:hAnsi="Tahoma" w:cs="Tahoma"/>
              </w:rPr>
              <w:t>50</w:t>
            </w:r>
            <w:r>
              <w:rPr>
                <w:rFonts w:ascii="Tahoma" w:hAnsi="Tahoma" w:cs="Tahoma"/>
              </w:rPr>
              <w:t>.</w:t>
            </w:r>
            <w:r w:rsidRPr="00D87B79">
              <w:rPr>
                <w:rFonts w:ascii="Tahoma" w:hAnsi="Tahoma" w:cs="Tahoma"/>
              </w:rPr>
              <w:t>000 – 99</w:t>
            </w:r>
            <w:r>
              <w:rPr>
                <w:rFonts w:ascii="Tahoma" w:hAnsi="Tahoma" w:cs="Tahoma"/>
              </w:rPr>
              <w:t>.</w:t>
            </w:r>
            <w:r w:rsidRPr="00D87B79">
              <w:rPr>
                <w:rFonts w:ascii="Tahoma" w:hAnsi="Tahoma" w:cs="Tahoma"/>
              </w:rPr>
              <w:t>999</w:t>
            </w:r>
          </w:p>
        </w:tc>
        <w:tc>
          <w:tcPr>
            <w:tcW w:w="3150" w:type="dxa"/>
            <w:vAlign w:val="center"/>
          </w:tcPr>
          <w:p w:rsidR="00A92422" w:rsidRPr="00D87B79" w:rsidRDefault="00A92422" w:rsidP="00EA30FC">
            <w:pPr>
              <w:pStyle w:val="AppendixTableText"/>
              <w:rPr>
                <w:rFonts w:ascii="Tahoma" w:hAnsi="Tahoma" w:cs="Tahoma"/>
              </w:rPr>
            </w:pPr>
            <w:r w:rsidRPr="00D87B79">
              <w:rPr>
                <w:rFonts w:ascii="Tahoma" w:hAnsi="Tahoma" w:cs="Tahoma"/>
                <w:lang w:val="it-IT"/>
              </w:rPr>
              <w:t>250 giorni*</w:t>
            </w:r>
          </w:p>
          <w:p w:rsidR="00A92422" w:rsidRPr="00D87B79" w:rsidRDefault="00A92422" w:rsidP="00EA30FC">
            <w:pPr>
              <w:pStyle w:val="AppendixTableText"/>
              <w:rPr>
                <w:rFonts w:ascii="Tahoma" w:hAnsi="Tahoma" w:cs="Tahoma"/>
              </w:rPr>
            </w:pPr>
          </w:p>
        </w:tc>
        <w:tc>
          <w:tcPr>
            <w:tcW w:w="3240" w:type="dxa"/>
            <w:vAlign w:val="center"/>
          </w:tcPr>
          <w:p w:rsidR="00A92422" w:rsidRPr="00D87B79" w:rsidRDefault="00A92422" w:rsidP="00EA30FC">
            <w:pPr>
              <w:pStyle w:val="AppendixTableText"/>
              <w:rPr>
                <w:rFonts w:ascii="Tahoma" w:hAnsi="Tahoma" w:cs="Tahoma"/>
              </w:rPr>
            </w:pPr>
            <w:r w:rsidRPr="00D87B79">
              <w:rPr>
                <w:rFonts w:ascii="Tahoma" w:hAnsi="Tahoma" w:cs="Tahoma"/>
                <w:lang w:val="it-IT"/>
              </w:rPr>
              <w:t>125 giorni*</w:t>
            </w:r>
            <w:r w:rsidRPr="00D87B79">
              <w:rPr>
                <w:rFonts w:ascii="Tahoma" w:hAnsi="Tahoma" w:cs="Tahoma"/>
              </w:rPr>
              <w:t xml:space="preserve"> </w:t>
            </w:r>
          </w:p>
          <w:p w:rsidR="00A92422" w:rsidRPr="00D87B79" w:rsidRDefault="00A92422" w:rsidP="00EA30FC">
            <w:pPr>
              <w:pStyle w:val="AppendixTableText"/>
              <w:rPr>
                <w:rFonts w:ascii="Tahoma" w:hAnsi="Tahoma" w:cs="Tahoma"/>
              </w:rPr>
            </w:pPr>
          </w:p>
        </w:tc>
      </w:tr>
      <w:tr w:rsidR="00A92422" w:rsidRPr="00D87B79" w:rsidTr="00EA30FC">
        <w:trPr>
          <w:cantSplit/>
          <w:trHeight w:val="236"/>
        </w:trPr>
        <w:tc>
          <w:tcPr>
            <w:tcW w:w="3002" w:type="dxa"/>
            <w:vAlign w:val="center"/>
          </w:tcPr>
          <w:p w:rsidR="00A92422" w:rsidRPr="00D87B79" w:rsidRDefault="00A92422" w:rsidP="00EA30FC">
            <w:pPr>
              <w:pStyle w:val="AppendixTableHeadings"/>
              <w:rPr>
                <w:rFonts w:ascii="Tahoma" w:hAnsi="Tahoma" w:cs="Tahoma"/>
              </w:rPr>
            </w:pPr>
            <w:r w:rsidRPr="00D87B79">
              <w:rPr>
                <w:rFonts w:ascii="Tahoma" w:hAnsi="Tahoma" w:cs="Tahoma"/>
                <w:lang w:val="it-IT"/>
              </w:rPr>
              <w:t>SAM</w:t>
            </w:r>
          </w:p>
          <w:p w:rsidR="00A92422" w:rsidRPr="00D87B79" w:rsidRDefault="00A92422" w:rsidP="00EA30FC">
            <w:pPr>
              <w:pStyle w:val="AppendixTableHeadings"/>
              <w:rPr>
                <w:rFonts w:ascii="Tahoma" w:hAnsi="Tahoma" w:cs="Tahoma"/>
              </w:rPr>
            </w:pPr>
            <w:r w:rsidRPr="00D87B79">
              <w:rPr>
                <w:rFonts w:ascii="Tahoma" w:hAnsi="Tahoma" w:cs="Tahoma"/>
              </w:rPr>
              <w:t>100</w:t>
            </w:r>
            <w:r>
              <w:rPr>
                <w:rFonts w:ascii="Tahoma" w:hAnsi="Tahoma" w:cs="Tahoma"/>
              </w:rPr>
              <w:t>.</w:t>
            </w:r>
            <w:r w:rsidRPr="00D87B79">
              <w:rPr>
                <w:rFonts w:ascii="Tahoma" w:hAnsi="Tahoma" w:cs="Tahoma"/>
              </w:rPr>
              <w:t>000 – 199</w:t>
            </w:r>
            <w:r>
              <w:rPr>
                <w:rFonts w:ascii="Tahoma" w:hAnsi="Tahoma" w:cs="Tahoma"/>
              </w:rPr>
              <w:t>.</w:t>
            </w:r>
            <w:r w:rsidRPr="00D87B79">
              <w:rPr>
                <w:rFonts w:ascii="Tahoma" w:hAnsi="Tahoma" w:cs="Tahoma"/>
              </w:rPr>
              <w:t>999</w:t>
            </w:r>
          </w:p>
        </w:tc>
        <w:tc>
          <w:tcPr>
            <w:tcW w:w="3150" w:type="dxa"/>
            <w:vAlign w:val="center"/>
          </w:tcPr>
          <w:p w:rsidR="00A92422" w:rsidRPr="00D87B79" w:rsidRDefault="00A92422" w:rsidP="00EA30FC">
            <w:pPr>
              <w:pStyle w:val="AppendixTableText"/>
              <w:rPr>
                <w:rFonts w:ascii="Tahoma" w:hAnsi="Tahoma" w:cs="Tahoma"/>
              </w:rPr>
            </w:pPr>
            <w:r w:rsidRPr="00D87B79">
              <w:rPr>
                <w:rFonts w:ascii="Tahoma" w:hAnsi="Tahoma" w:cs="Tahoma"/>
                <w:lang w:val="it-IT"/>
              </w:rPr>
              <w:t>400 giorni*</w:t>
            </w:r>
          </w:p>
          <w:p w:rsidR="00A92422" w:rsidRPr="00D87B79" w:rsidRDefault="00A92422" w:rsidP="00EA30FC">
            <w:pPr>
              <w:pStyle w:val="AppendixTableText"/>
              <w:rPr>
                <w:rFonts w:ascii="Tahoma" w:hAnsi="Tahoma" w:cs="Tahoma"/>
              </w:rPr>
            </w:pPr>
          </w:p>
        </w:tc>
        <w:tc>
          <w:tcPr>
            <w:tcW w:w="3240" w:type="dxa"/>
            <w:vAlign w:val="center"/>
          </w:tcPr>
          <w:p w:rsidR="00A92422" w:rsidRPr="00D87B79" w:rsidRDefault="00A92422" w:rsidP="00EA30FC">
            <w:pPr>
              <w:pStyle w:val="AppendixTableText"/>
              <w:rPr>
                <w:rFonts w:ascii="Tahoma" w:hAnsi="Tahoma" w:cs="Tahoma"/>
              </w:rPr>
            </w:pPr>
            <w:r w:rsidRPr="00D87B79">
              <w:rPr>
                <w:rFonts w:ascii="Tahoma" w:hAnsi="Tahoma" w:cs="Tahoma"/>
                <w:lang w:val="it-IT"/>
              </w:rPr>
              <w:t>200 giorni*</w:t>
            </w:r>
          </w:p>
          <w:p w:rsidR="00A92422" w:rsidRPr="00D87B79" w:rsidRDefault="00A92422" w:rsidP="00EA30FC">
            <w:pPr>
              <w:pStyle w:val="AppendixTableText"/>
              <w:rPr>
                <w:rFonts w:ascii="Tahoma" w:hAnsi="Tahoma" w:cs="Tahoma"/>
              </w:rPr>
            </w:pPr>
          </w:p>
        </w:tc>
      </w:tr>
      <w:tr w:rsidR="00A92422" w:rsidRPr="00D87B79" w:rsidTr="00EA30FC">
        <w:trPr>
          <w:cantSplit/>
          <w:trHeight w:val="236"/>
        </w:trPr>
        <w:tc>
          <w:tcPr>
            <w:tcW w:w="3002" w:type="dxa"/>
            <w:vAlign w:val="center"/>
          </w:tcPr>
          <w:p w:rsidR="00A92422" w:rsidRPr="00D87B79" w:rsidRDefault="00A92422" w:rsidP="00EA30FC">
            <w:pPr>
              <w:pStyle w:val="AppendixTableHeadings"/>
              <w:keepNext/>
              <w:rPr>
                <w:rFonts w:ascii="Tahoma" w:hAnsi="Tahoma" w:cs="Tahoma"/>
              </w:rPr>
            </w:pPr>
            <w:r w:rsidRPr="00D87B79">
              <w:rPr>
                <w:rFonts w:ascii="Tahoma" w:hAnsi="Tahoma" w:cs="Tahoma"/>
                <w:lang w:val="it-IT"/>
              </w:rPr>
              <w:t>SAM</w:t>
            </w:r>
          </w:p>
          <w:p w:rsidR="00A92422" w:rsidRPr="00D87B79" w:rsidRDefault="00A92422" w:rsidP="00EA30FC">
            <w:pPr>
              <w:pStyle w:val="AppendixTableHeadings"/>
              <w:keepNext/>
              <w:rPr>
                <w:rFonts w:ascii="Tahoma" w:hAnsi="Tahoma" w:cs="Tahoma"/>
              </w:rPr>
            </w:pPr>
            <w:r w:rsidRPr="00D87B79">
              <w:rPr>
                <w:rFonts w:ascii="Tahoma" w:hAnsi="Tahoma" w:cs="Tahoma"/>
              </w:rPr>
              <w:t>200</w:t>
            </w:r>
            <w:r>
              <w:rPr>
                <w:rFonts w:ascii="Tahoma" w:hAnsi="Tahoma" w:cs="Tahoma"/>
              </w:rPr>
              <w:t>.</w:t>
            </w:r>
            <w:r w:rsidRPr="00D87B79">
              <w:rPr>
                <w:rFonts w:ascii="Tahoma" w:hAnsi="Tahoma" w:cs="Tahoma"/>
              </w:rPr>
              <w:t>000 – 399</w:t>
            </w:r>
            <w:r>
              <w:rPr>
                <w:rFonts w:ascii="Tahoma" w:hAnsi="Tahoma" w:cs="Tahoma"/>
              </w:rPr>
              <w:t>.</w:t>
            </w:r>
            <w:r w:rsidRPr="00D87B79">
              <w:rPr>
                <w:rFonts w:ascii="Tahoma" w:hAnsi="Tahoma" w:cs="Tahoma"/>
              </w:rPr>
              <w:t>999</w:t>
            </w:r>
          </w:p>
        </w:tc>
        <w:tc>
          <w:tcPr>
            <w:tcW w:w="3150" w:type="dxa"/>
            <w:vAlign w:val="center"/>
          </w:tcPr>
          <w:p w:rsidR="00A92422" w:rsidRPr="00D87B79" w:rsidRDefault="00A92422" w:rsidP="00EA30FC">
            <w:pPr>
              <w:pStyle w:val="AppendixTableText"/>
              <w:keepNext/>
              <w:rPr>
                <w:rFonts w:ascii="Tahoma" w:hAnsi="Tahoma" w:cs="Tahoma"/>
              </w:rPr>
            </w:pPr>
            <w:r w:rsidRPr="00D87B79">
              <w:rPr>
                <w:rFonts w:ascii="Tahoma" w:hAnsi="Tahoma" w:cs="Tahoma"/>
                <w:lang w:val="it-IT"/>
              </w:rPr>
              <w:t>600 giorni*</w:t>
            </w:r>
          </w:p>
          <w:p w:rsidR="00A92422" w:rsidRPr="00D87B79" w:rsidRDefault="00A92422" w:rsidP="00EA30FC">
            <w:pPr>
              <w:pStyle w:val="AppendixTableText"/>
              <w:keepNext/>
              <w:rPr>
                <w:rFonts w:ascii="Tahoma" w:hAnsi="Tahoma" w:cs="Tahoma"/>
              </w:rPr>
            </w:pPr>
          </w:p>
        </w:tc>
        <w:tc>
          <w:tcPr>
            <w:tcW w:w="3240" w:type="dxa"/>
            <w:vAlign w:val="center"/>
          </w:tcPr>
          <w:p w:rsidR="00A92422" w:rsidRPr="00D87B79" w:rsidRDefault="00A92422" w:rsidP="00EA30FC">
            <w:pPr>
              <w:pStyle w:val="AppendixTableText"/>
              <w:keepNext/>
              <w:rPr>
                <w:rFonts w:ascii="Tahoma" w:hAnsi="Tahoma" w:cs="Tahoma"/>
              </w:rPr>
            </w:pPr>
            <w:r w:rsidRPr="00D87B79">
              <w:rPr>
                <w:rFonts w:ascii="Tahoma" w:hAnsi="Tahoma" w:cs="Tahoma"/>
                <w:lang w:val="it-IT"/>
              </w:rPr>
              <w:t>300 giorni*</w:t>
            </w:r>
          </w:p>
          <w:p w:rsidR="00A92422" w:rsidRPr="00D87B79" w:rsidRDefault="00A92422" w:rsidP="00EA30FC">
            <w:pPr>
              <w:pStyle w:val="AppendixTableText"/>
              <w:keepNext/>
              <w:rPr>
                <w:rFonts w:ascii="Tahoma" w:hAnsi="Tahoma" w:cs="Tahoma"/>
              </w:rPr>
            </w:pPr>
          </w:p>
        </w:tc>
      </w:tr>
      <w:tr w:rsidR="00A92422" w:rsidRPr="00D87B79" w:rsidTr="00EA30FC">
        <w:trPr>
          <w:cantSplit/>
          <w:trHeight w:val="236"/>
        </w:trPr>
        <w:tc>
          <w:tcPr>
            <w:tcW w:w="3002" w:type="dxa"/>
            <w:vAlign w:val="center"/>
          </w:tcPr>
          <w:p w:rsidR="00A92422" w:rsidRPr="00D87B79" w:rsidRDefault="00A92422" w:rsidP="00EA30FC">
            <w:pPr>
              <w:pStyle w:val="AppendixTableHeadings"/>
              <w:keepNext/>
              <w:rPr>
                <w:rFonts w:ascii="Tahoma" w:hAnsi="Tahoma" w:cs="Tahoma"/>
              </w:rPr>
            </w:pPr>
            <w:r w:rsidRPr="00D87B79">
              <w:rPr>
                <w:rFonts w:ascii="Tahoma" w:hAnsi="Tahoma" w:cs="Tahoma"/>
                <w:lang w:val="it-IT"/>
              </w:rPr>
              <w:t>SAM</w:t>
            </w:r>
          </w:p>
          <w:p w:rsidR="00A92422" w:rsidRPr="00D87B79" w:rsidRDefault="00A92422" w:rsidP="00EA30FC">
            <w:pPr>
              <w:pStyle w:val="AppendixTableHeadings"/>
              <w:keepNext/>
              <w:rPr>
                <w:rFonts w:ascii="Tahoma" w:hAnsi="Tahoma" w:cs="Tahoma"/>
              </w:rPr>
            </w:pPr>
            <w:r w:rsidRPr="00D87B79">
              <w:rPr>
                <w:rFonts w:ascii="Tahoma" w:hAnsi="Tahoma" w:cs="Tahoma"/>
              </w:rPr>
              <w:t>400</w:t>
            </w:r>
            <w:r>
              <w:rPr>
                <w:rFonts w:ascii="Tahoma" w:hAnsi="Tahoma" w:cs="Tahoma"/>
              </w:rPr>
              <w:t>.</w:t>
            </w:r>
            <w:r w:rsidRPr="00D87B79">
              <w:rPr>
                <w:rFonts w:ascii="Tahoma" w:hAnsi="Tahoma" w:cs="Tahoma"/>
              </w:rPr>
              <w:t>000 – 599</w:t>
            </w:r>
            <w:r>
              <w:rPr>
                <w:rFonts w:ascii="Tahoma" w:hAnsi="Tahoma" w:cs="Tahoma"/>
              </w:rPr>
              <w:t>.</w:t>
            </w:r>
            <w:r w:rsidRPr="00D87B79">
              <w:rPr>
                <w:rFonts w:ascii="Tahoma" w:hAnsi="Tahoma" w:cs="Tahoma"/>
              </w:rPr>
              <w:t>999</w:t>
            </w:r>
          </w:p>
        </w:tc>
        <w:tc>
          <w:tcPr>
            <w:tcW w:w="3150" w:type="dxa"/>
            <w:vAlign w:val="center"/>
          </w:tcPr>
          <w:p w:rsidR="00A92422" w:rsidRPr="00D87B79" w:rsidRDefault="00A92422" w:rsidP="00EA30FC">
            <w:pPr>
              <w:pStyle w:val="AppendixTableText"/>
              <w:keepNext/>
              <w:rPr>
                <w:rFonts w:ascii="Tahoma" w:hAnsi="Tahoma" w:cs="Tahoma"/>
              </w:rPr>
            </w:pPr>
            <w:r w:rsidRPr="00D87B79">
              <w:rPr>
                <w:rFonts w:ascii="Tahoma" w:hAnsi="Tahoma" w:cs="Tahoma"/>
                <w:lang w:val="it-IT"/>
              </w:rPr>
              <w:t>800 giorni*</w:t>
            </w:r>
          </w:p>
          <w:p w:rsidR="00A92422" w:rsidRPr="00D87B79" w:rsidRDefault="00A92422" w:rsidP="00EA30FC">
            <w:pPr>
              <w:pStyle w:val="AppendixTableText"/>
              <w:keepNext/>
              <w:rPr>
                <w:rFonts w:ascii="Tahoma" w:hAnsi="Tahoma" w:cs="Tahoma"/>
              </w:rPr>
            </w:pPr>
          </w:p>
        </w:tc>
        <w:tc>
          <w:tcPr>
            <w:tcW w:w="3240" w:type="dxa"/>
            <w:vAlign w:val="center"/>
          </w:tcPr>
          <w:p w:rsidR="00A92422" w:rsidRPr="00D87B79" w:rsidRDefault="00A92422" w:rsidP="00EA30FC">
            <w:pPr>
              <w:pStyle w:val="AppendixTableText"/>
              <w:keepNext/>
              <w:rPr>
                <w:rFonts w:ascii="Tahoma" w:hAnsi="Tahoma" w:cs="Tahoma"/>
              </w:rPr>
            </w:pPr>
            <w:r w:rsidRPr="00D87B79">
              <w:rPr>
                <w:rFonts w:ascii="Tahoma" w:hAnsi="Tahoma" w:cs="Tahoma"/>
                <w:lang w:val="it-IT"/>
              </w:rPr>
              <w:t>400 giorni*</w:t>
            </w:r>
          </w:p>
          <w:p w:rsidR="00A92422" w:rsidRPr="00D87B79" w:rsidRDefault="00A92422" w:rsidP="00EA30FC">
            <w:pPr>
              <w:pStyle w:val="AppendixTableText"/>
              <w:keepNext/>
              <w:rPr>
                <w:rFonts w:ascii="Tahoma" w:hAnsi="Tahoma" w:cs="Tahoma"/>
              </w:rPr>
            </w:pPr>
          </w:p>
        </w:tc>
      </w:tr>
      <w:tr w:rsidR="00A92422" w:rsidRPr="00D87B79" w:rsidTr="00EA30FC">
        <w:trPr>
          <w:cantSplit/>
          <w:trHeight w:val="236"/>
        </w:trPr>
        <w:tc>
          <w:tcPr>
            <w:tcW w:w="3002" w:type="dxa"/>
            <w:vAlign w:val="center"/>
          </w:tcPr>
          <w:p w:rsidR="00A92422" w:rsidRPr="00D87B79" w:rsidRDefault="00A92422" w:rsidP="00EA30FC">
            <w:pPr>
              <w:pStyle w:val="AppendixTableHeadings"/>
              <w:rPr>
                <w:rFonts w:ascii="Tahoma" w:hAnsi="Tahoma" w:cs="Tahoma"/>
              </w:rPr>
            </w:pPr>
            <w:r w:rsidRPr="00D87B79">
              <w:rPr>
                <w:rFonts w:ascii="Tahoma" w:hAnsi="Tahoma" w:cs="Tahoma"/>
                <w:lang w:val="it-IT"/>
              </w:rPr>
              <w:t>SAM</w:t>
            </w:r>
          </w:p>
          <w:p w:rsidR="00A92422" w:rsidRPr="00D87B79" w:rsidRDefault="00A92422" w:rsidP="00EA30FC">
            <w:pPr>
              <w:pStyle w:val="AppendixTableHeadings"/>
              <w:rPr>
                <w:rFonts w:ascii="Tahoma" w:hAnsi="Tahoma" w:cs="Tahoma"/>
              </w:rPr>
            </w:pPr>
            <w:r w:rsidRPr="00D87B79">
              <w:rPr>
                <w:rFonts w:ascii="Tahoma" w:hAnsi="Tahoma" w:cs="Tahoma"/>
              </w:rPr>
              <w:t>600</w:t>
            </w:r>
            <w:r>
              <w:rPr>
                <w:rFonts w:ascii="Tahoma" w:hAnsi="Tahoma" w:cs="Tahoma"/>
              </w:rPr>
              <w:t>.</w:t>
            </w:r>
            <w:r w:rsidRPr="00D87B79">
              <w:rPr>
                <w:rFonts w:ascii="Tahoma" w:hAnsi="Tahoma" w:cs="Tahoma"/>
              </w:rPr>
              <w:t>000 +</w:t>
            </w:r>
          </w:p>
        </w:tc>
        <w:tc>
          <w:tcPr>
            <w:tcW w:w="3150" w:type="dxa"/>
            <w:vAlign w:val="center"/>
          </w:tcPr>
          <w:p w:rsidR="00A92422" w:rsidRPr="00D87B79" w:rsidRDefault="00A92422" w:rsidP="00EA30FC">
            <w:pPr>
              <w:pStyle w:val="AppendixTableText"/>
              <w:rPr>
                <w:rFonts w:ascii="Tahoma" w:hAnsi="Tahoma" w:cs="Tahoma"/>
              </w:rPr>
            </w:pPr>
            <w:r w:rsidRPr="00D87B79">
              <w:rPr>
                <w:rFonts w:ascii="Tahoma" w:hAnsi="Tahoma" w:cs="Tahoma"/>
                <w:lang w:val="it-IT"/>
              </w:rPr>
              <w:t>1400 giorni*</w:t>
            </w:r>
            <w:r w:rsidRPr="00D87B79">
              <w:rPr>
                <w:rFonts w:ascii="Tahoma" w:hAnsi="Tahoma" w:cs="Tahoma"/>
              </w:rPr>
              <w:t xml:space="preserve"> </w:t>
            </w:r>
          </w:p>
          <w:p w:rsidR="00A92422" w:rsidRPr="00D87B79" w:rsidRDefault="00A92422" w:rsidP="00EA30FC">
            <w:pPr>
              <w:pStyle w:val="AppendixTableText"/>
              <w:rPr>
                <w:rFonts w:ascii="Tahoma" w:hAnsi="Tahoma" w:cs="Tahoma"/>
              </w:rPr>
            </w:pPr>
          </w:p>
        </w:tc>
        <w:tc>
          <w:tcPr>
            <w:tcW w:w="3240" w:type="dxa"/>
            <w:vAlign w:val="center"/>
          </w:tcPr>
          <w:p w:rsidR="00A92422" w:rsidRPr="00D87B79" w:rsidRDefault="00A92422" w:rsidP="00EA30FC">
            <w:pPr>
              <w:pStyle w:val="AppendixTableText"/>
              <w:rPr>
                <w:rFonts w:ascii="Tahoma" w:hAnsi="Tahoma" w:cs="Tahoma"/>
              </w:rPr>
            </w:pPr>
            <w:r w:rsidRPr="00D87B79">
              <w:rPr>
                <w:rFonts w:ascii="Tahoma" w:hAnsi="Tahoma" w:cs="Tahoma"/>
                <w:lang w:val="it-IT"/>
              </w:rPr>
              <w:t>700 giorni*</w:t>
            </w:r>
          </w:p>
          <w:p w:rsidR="00A92422" w:rsidRPr="00D87B79" w:rsidRDefault="00A92422" w:rsidP="00EA30FC">
            <w:pPr>
              <w:pStyle w:val="AppendixTableText"/>
              <w:rPr>
                <w:rFonts w:ascii="Tahoma" w:hAnsi="Tahoma" w:cs="Tahoma"/>
              </w:rPr>
            </w:pPr>
          </w:p>
        </w:tc>
      </w:tr>
    </w:tbl>
    <w:p w:rsidR="00A92422" w:rsidRPr="00D87B79" w:rsidRDefault="00A92422" w:rsidP="00A92422">
      <w:pPr>
        <w:tabs>
          <w:tab w:val="left" w:pos="10440"/>
        </w:tabs>
        <w:spacing w:before="120"/>
        <w:rPr>
          <w:rFonts w:cs="Tahoma"/>
        </w:rPr>
      </w:pPr>
      <w:r w:rsidRPr="00D87B79">
        <w:rPr>
          <w:rFonts w:cs="Tahoma"/>
          <w:b/>
          <w:i/>
          <w:color w:val="000000"/>
          <w:sz w:val="16"/>
          <w:lang w:val="it-IT"/>
        </w:rPr>
        <w:t>Nota:</w:t>
      </w:r>
      <w:r w:rsidRPr="00D87B79">
        <w:rPr>
          <w:rFonts w:eastAsia="Times New Roman" w:cs="Tahoma"/>
          <w:i/>
          <w:color w:val="000000"/>
          <w:sz w:val="16"/>
          <w:szCs w:val="16"/>
        </w:rPr>
        <w:t xml:space="preserve"> </w:t>
      </w:r>
      <w:r w:rsidRPr="00D87B79">
        <w:rPr>
          <w:rFonts w:eastAsia="Times New Roman" w:cs="Tahoma"/>
          <w:i/>
          <w:color w:val="000000"/>
          <w:sz w:val="16"/>
          <w:szCs w:val="16"/>
          <w:lang w:val="it-IT"/>
        </w:rPr>
        <w:t>i crediti per i corsi disponibili sulla base di un’iscrizione o di un contratto triennale completo (vedere di seguito per</w:t>
      </w:r>
      <w:r>
        <w:rPr>
          <w:rFonts w:eastAsia="Times New Roman" w:cs="Tahoma"/>
          <w:i/>
          <w:color w:val="000000"/>
          <w:sz w:val="16"/>
          <w:szCs w:val="16"/>
          <w:lang w:val="it-IT"/>
        </w:rPr>
        <w:t> </w:t>
      </w:r>
      <w:r w:rsidRPr="00D87B79">
        <w:rPr>
          <w:rFonts w:eastAsia="Times New Roman" w:cs="Tahoma"/>
          <w:i/>
          <w:color w:val="000000"/>
          <w:sz w:val="16"/>
          <w:szCs w:val="16"/>
          <w:lang w:val="it-IT"/>
        </w:rPr>
        <w:t>i</w:t>
      </w:r>
      <w:r>
        <w:rPr>
          <w:rFonts w:eastAsia="Times New Roman" w:cs="Tahoma"/>
          <w:i/>
          <w:color w:val="000000"/>
          <w:sz w:val="16"/>
          <w:szCs w:val="16"/>
          <w:lang w:val="it-IT"/>
        </w:rPr>
        <w:t> </w:t>
      </w:r>
      <w:r w:rsidRPr="00D87B79">
        <w:rPr>
          <w:rFonts w:eastAsia="Times New Roman" w:cs="Tahoma"/>
          <w:i/>
          <w:color w:val="000000"/>
          <w:sz w:val="16"/>
          <w:szCs w:val="16"/>
          <w:lang w:val="it-IT"/>
        </w:rPr>
        <w:t>dettagli).</w:t>
      </w:r>
      <w:r w:rsidRPr="00D87B79">
        <w:rPr>
          <w:rFonts w:eastAsia="Times New Roman" w:cs="Tahoma"/>
          <w:i/>
          <w:color w:val="000000"/>
          <w:sz w:val="16"/>
          <w:szCs w:val="16"/>
        </w:rPr>
        <w:t xml:space="preserve"> </w:t>
      </w:r>
    </w:p>
    <w:p w:rsidR="00A92422" w:rsidRPr="00D87B79" w:rsidRDefault="00A92422" w:rsidP="00A92422">
      <w:pPr>
        <w:spacing w:after="60"/>
        <w:rPr>
          <w:rFonts w:cs="Tahoma"/>
        </w:rPr>
      </w:pPr>
      <w:r w:rsidRPr="00D87B79">
        <w:rPr>
          <w:rFonts w:cs="Tahoma"/>
          <w:i/>
          <w:color w:val="000000"/>
          <w:sz w:val="16"/>
          <w:lang w:val="it-IT"/>
        </w:rPr>
        <w:t>Consultare la tabella con le Applicazioni Office System</w:t>
      </w:r>
    </w:p>
    <w:p w:rsidR="00A92422" w:rsidRPr="00D87B79" w:rsidRDefault="00A92422" w:rsidP="00A92422">
      <w:pPr>
        <w:tabs>
          <w:tab w:val="left" w:pos="10440"/>
        </w:tabs>
        <w:spacing w:after="60"/>
        <w:ind w:right="306"/>
        <w:rPr>
          <w:rFonts w:cs="Tahoma"/>
        </w:rPr>
      </w:pPr>
      <w:r w:rsidRPr="00D87B79">
        <w:rPr>
          <w:rFonts w:cs="Tahoma"/>
          <w:i/>
          <w:color w:val="000000"/>
          <w:sz w:val="16"/>
          <w:lang w:val="it-IT"/>
        </w:rPr>
        <w:t>*Numero di giorni in base all’iscrizione o al contratto idoneo.</w:t>
      </w:r>
    </w:p>
    <w:p w:rsidR="00A92422" w:rsidRPr="00E0623D" w:rsidRDefault="00A92422" w:rsidP="00A92422">
      <w:pPr>
        <w:pStyle w:val="AppendixBodyText"/>
        <w:rPr>
          <w:rFonts w:ascii="Tahoma" w:hAnsi="Tahoma" w:cs="Tahoma"/>
          <w:sz w:val="18"/>
          <w:szCs w:val="18"/>
        </w:rPr>
      </w:pPr>
    </w:p>
    <w:p w:rsidR="00A92422" w:rsidRPr="007B7C13" w:rsidRDefault="00A92422" w:rsidP="00A92422">
      <w:pPr>
        <w:pStyle w:val="AppendixBodyText"/>
        <w:numPr>
          <w:ilvl w:val="0"/>
          <w:numId w:val="26"/>
        </w:numPr>
        <w:spacing w:afterLines="60" w:after="144"/>
        <w:rPr>
          <w:rFonts w:ascii="Tahoma" w:hAnsi="Tahoma" w:cs="Tahoma"/>
          <w:sz w:val="18"/>
          <w:szCs w:val="18"/>
        </w:rPr>
      </w:pPr>
      <w:r w:rsidRPr="007B7C13">
        <w:rPr>
          <w:rFonts w:ascii="Tahoma" w:hAnsi="Tahoma" w:cs="Tahoma"/>
          <w:sz w:val="18"/>
          <w:szCs w:val="18"/>
          <w:lang w:val="it-IT"/>
        </w:rPr>
        <w:t>Non tutti i corsi sono disponibili in tutte le lingue.</w:t>
      </w:r>
    </w:p>
    <w:p w:rsidR="00A92422" w:rsidRPr="007B7C13" w:rsidRDefault="00A92422" w:rsidP="00A92422">
      <w:pPr>
        <w:pStyle w:val="AppendixBodyText"/>
        <w:numPr>
          <w:ilvl w:val="0"/>
          <w:numId w:val="26"/>
        </w:numPr>
        <w:spacing w:afterLines="60" w:after="144"/>
        <w:rPr>
          <w:rFonts w:ascii="Tahoma" w:hAnsi="Tahoma" w:cs="Tahoma"/>
          <w:sz w:val="18"/>
          <w:szCs w:val="18"/>
        </w:rPr>
      </w:pPr>
      <w:r w:rsidRPr="007B7C13">
        <w:rPr>
          <w:rFonts w:ascii="Tahoma" w:hAnsi="Tahoma" w:cs="Tahoma"/>
          <w:sz w:val="18"/>
          <w:szCs w:val="18"/>
          <w:lang w:val="it-IT"/>
        </w:rPr>
        <w:t>Si applicano i criteri locali stabiliti dal Microsoft Learning Partner.</w:t>
      </w:r>
    </w:p>
    <w:p w:rsidR="00A92422" w:rsidRPr="007B7C13" w:rsidRDefault="00A92422" w:rsidP="00A92422">
      <w:pPr>
        <w:pStyle w:val="AppendixBodyText"/>
        <w:numPr>
          <w:ilvl w:val="0"/>
          <w:numId w:val="26"/>
        </w:numPr>
        <w:spacing w:afterLines="60" w:after="144"/>
        <w:rPr>
          <w:rFonts w:ascii="Tahoma" w:hAnsi="Tahoma" w:cs="Tahoma"/>
          <w:sz w:val="18"/>
          <w:szCs w:val="18"/>
        </w:rPr>
      </w:pPr>
      <w:r w:rsidRPr="007B7C13">
        <w:rPr>
          <w:rFonts w:ascii="Tahoma" w:hAnsi="Tahoma" w:cs="Tahoma"/>
          <w:sz w:val="18"/>
          <w:szCs w:val="18"/>
          <w:lang w:val="it-IT"/>
        </w:rPr>
        <w:t>I Gestori dei vantaggi hanno la possibilità di revocare un voucher assegnato fino alla data di annullamento della lezione stabilita dal Microsoft Learning Partner.</w:t>
      </w:r>
    </w:p>
    <w:p w:rsidR="00A92422" w:rsidRPr="007B7C13" w:rsidRDefault="00A92422" w:rsidP="00A92422">
      <w:pPr>
        <w:pStyle w:val="AppendixBodyText"/>
        <w:numPr>
          <w:ilvl w:val="0"/>
          <w:numId w:val="26"/>
        </w:numPr>
        <w:spacing w:afterLines="60" w:after="144"/>
        <w:rPr>
          <w:rFonts w:ascii="Tahoma" w:hAnsi="Tahoma" w:cs="Tahoma"/>
          <w:sz w:val="18"/>
          <w:szCs w:val="18"/>
        </w:rPr>
      </w:pPr>
      <w:r w:rsidRPr="007B7C13">
        <w:rPr>
          <w:rFonts w:ascii="Tahoma" w:hAnsi="Tahoma" w:cs="Tahoma"/>
          <w:sz w:val="18"/>
          <w:szCs w:val="18"/>
          <w:lang w:val="it-IT"/>
        </w:rPr>
        <w:t>I giorni dei corsi non coperti dal voucher dovranno essere pagati dalla persona che riceve il corso.</w:t>
      </w:r>
    </w:p>
    <w:p w:rsidR="00A92422" w:rsidRPr="007B7C13" w:rsidRDefault="00A92422" w:rsidP="00A92422">
      <w:pPr>
        <w:pStyle w:val="AppendixBodyText"/>
        <w:numPr>
          <w:ilvl w:val="0"/>
          <w:numId w:val="26"/>
        </w:numPr>
        <w:spacing w:afterLines="60" w:after="144"/>
        <w:rPr>
          <w:rFonts w:ascii="Tahoma" w:hAnsi="Tahoma" w:cs="Tahoma"/>
          <w:sz w:val="18"/>
          <w:szCs w:val="18"/>
        </w:rPr>
      </w:pPr>
      <w:r w:rsidRPr="007B7C13">
        <w:rPr>
          <w:rFonts w:ascii="Tahoma" w:hAnsi="Tahoma" w:cs="Tahoma"/>
          <w:sz w:val="18"/>
          <w:szCs w:val="18"/>
          <w:lang w:val="it-IT"/>
        </w:rPr>
        <w:t>I giorni coperti dai voucher che superano la quantità di giorni assegnata a una particolare lezione saranno restituiti al pool di giorni disponibili per essere riallocati dai Gestori dei vantaggi.</w:t>
      </w:r>
    </w:p>
    <w:p w:rsidR="00A92422" w:rsidRPr="007B7C13" w:rsidRDefault="00A92422" w:rsidP="00A92422">
      <w:pPr>
        <w:pStyle w:val="AppendixBodyText"/>
        <w:numPr>
          <w:ilvl w:val="0"/>
          <w:numId w:val="26"/>
        </w:numPr>
        <w:spacing w:afterLines="60" w:after="144"/>
        <w:rPr>
          <w:rFonts w:ascii="Tahoma" w:hAnsi="Tahoma" w:cs="Tahoma"/>
          <w:sz w:val="18"/>
          <w:szCs w:val="18"/>
        </w:rPr>
      </w:pPr>
      <w:r w:rsidRPr="007B7C13">
        <w:rPr>
          <w:rFonts w:ascii="Tahoma" w:hAnsi="Tahoma" w:cs="Tahoma"/>
          <w:sz w:val="18"/>
          <w:szCs w:val="18"/>
          <w:lang w:val="it-IT"/>
        </w:rPr>
        <w:t>La quantità di giorni coperti dai voucher per i corsi rapidi è equivalente al numero di giorni necessari per la fornitura normale del corso.</w:t>
      </w:r>
    </w:p>
    <w:p w:rsidR="00A92422" w:rsidRPr="007B7C13" w:rsidRDefault="00A92422" w:rsidP="00A92422">
      <w:pPr>
        <w:pStyle w:val="AppendixBodyText"/>
        <w:numPr>
          <w:ilvl w:val="0"/>
          <w:numId w:val="26"/>
        </w:numPr>
        <w:spacing w:afterLines="60" w:after="144"/>
        <w:rPr>
          <w:rFonts w:ascii="Tahoma" w:hAnsi="Tahoma" w:cs="Tahoma"/>
          <w:sz w:val="18"/>
          <w:szCs w:val="18"/>
        </w:rPr>
      </w:pPr>
      <w:r w:rsidRPr="007B7C13">
        <w:rPr>
          <w:rFonts w:ascii="Tahoma" w:hAnsi="Tahoma" w:cs="Tahoma"/>
          <w:sz w:val="18"/>
          <w:szCs w:val="18"/>
          <w:lang w:val="it-IT"/>
        </w:rPr>
        <w:t>Il voucher è riscattabile solo per i giorni di corsi approvati tenuti da un istruttore presso i Microsoft Learning Partner qualificati.</w:t>
      </w:r>
      <w:r w:rsidRPr="007B7C13">
        <w:rPr>
          <w:rFonts w:ascii="Tahoma" w:hAnsi="Tahoma" w:cs="Tahoma"/>
          <w:sz w:val="18"/>
          <w:szCs w:val="18"/>
        </w:rPr>
        <w:t xml:space="preserve"> </w:t>
      </w:r>
      <w:r w:rsidRPr="007B7C13">
        <w:rPr>
          <w:rFonts w:ascii="Tahoma" w:hAnsi="Tahoma" w:cs="Tahoma"/>
          <w:sz w:val="18"/>
          <w:szCs w:val="18"/>
          <w:lang w:val="it-IT"/>
        </w:rPr>
        <w:t>I corsi personalizzati a differenza dei corsi rapidi approvati non sono idonei ad essere coperti da questi voucher.</w:t>
      </w:r>
      <w:r w:rsidRPr="007B7C13">
        <w:rPr>
          <w:rFonts w:ascii="Tahoma" w:hAnsi="Tahoma" w:cs="Tahoma"/>
          <w:sz w:val="18"/>
          <w:szCs w:val="18"/>
        </w:rPr>
        <w:t xml:space="preserve"> </w:t>
      </w:r>
      <w:r w:rsidRPr="007B7C13">
        <w:rPr>
          <w:rFonts w:ascii="Tahoma" w:hAnsi="Tahoma" w:cs="Tahoma"/>
          <w:sz w:val="18"/>
          <w:szCs w:val="18"/>
          <w:lang w:val="it-IT"/>
        </w:rPr>
        <w:t>Per informazioni sui corsi approvati, visitare la pagina http://www.microsoft.com/learning/sa/training.mspx.</w:t>
      </w:r>
    </w:p>
    <w:p w:rsidR="00A92422" w:rsidRPr="007B7C13" w:rsidRDefault="00A92422" w:rsidP="00A92422">
      <w:pPr>
        <w:pStyle w:val="AppendixBodyText"/>
        <w:numPr>
          <w:ilvl w:val="0"/>
          <w:numId w:val="26"/>
        </w:numPr>
        <w:spacing w:afterLines="60" w:after="144"/>
        <w:rPr>
          <w:rFonts w:ascii="Tahoma" w:hAnsi="Tahoma" w:cs="Tahoma"/>
          <w:sz w:val="18"/>
          <w:szCs w:val="18"/>
        </w:rPr>
      </w:pPr>
      <w:r w:rsidRPr="007B7C13">
        <w:rPr>
          <w:rFonts w:ascii="Tahoma" w:hAnsi="Tahoma" w:cs="Tahoma"/>
          <w:bCs/>
          <w:sz w:val="18"/>
          <w:szCs w:val="18"/>
          <w:lang w:val="it-IT"/>
        </w:rPr>
        <w:t>I voucher non possono essere utilizzati per coprire corrispettivi correlati alla mancata presenza di una società a un corso riservato.</w:t>
      </w:r>
      <w:r w:rsidRPr="007B7C13">
        <w:rPr>
          <w:rFonts w:ascii="Tahoma" w:hAnsi="Tahoma" w:cs="Tahoma"/>
          <w:bCs/>
          <w:sz w:val="18"/>
          <w:szCs w:val="18"/>
        </w:rPr>
        <w:t xml:space="preserve"> </w:t>
      </w:r>
      <w:r w:rsidRPr="007B7C13">
        <w:rPr>
          <w:rFonts w:ascii="Tahoma" w:hAnsi="Tahoma" w:cs="Tahoma"/>
          <w:bCs/>
          <w:sz w:val="18"/>
          <w:szCs w:val="18"/>
          <w:lang w:val="it-IT"/>
        </w:rPr>
        <w:t>Tutti i corrispettivi relativi alle mancate presenze sono responsabilità della società.</w:t>
      </w:r>
      <w:r w:rsidRPr="007B7C13">
        <w:rPr>
          <w:rFonts w:ascii="Tahoma" w:hAnsi="Tahoma" w:cs="Tahoma"/>
          <w:bCs/>
          <w:sz w:val="18"/>
          <w:szCs w:val="18"/>
        </w:rPr>
        <w:t xml:space="preserve"> </w:t>
      </w:r>
    </w:p>
    <w:p w:rsidR="00A92422" w:rsidRPr="007B7C13" w:rsidRDefault="00A92422" w:rsidP="00A92422">
      <w:pPr>
        <w:pStyle w:val="AppendixBodyText"/>
        <w:numPr>
          <w:ilvl w:val="0"/>
          <w:numId w:val="26"/>
        </w:numPr>
        <w:spacing w:afterLines="60" w:after="144"/>
        <w:rPr>
          <w:rFonts w:ascii="Tahoma" w:hAnsi="Tahoma" w:cs="Tahoma"/>
          <w:sz w:val="18"/>
          <w:szCs w:val="18"/>
        </w:rPr>
      </w:pPr>
      <w:r w:rsidRPr="007B7C13">
        <w:rPr>
          <w:rFonts w:ascii="Tahoma" w:hAnsi="Tahoma" w:cs="Tahoma"/>
          <w:bCs/>
          <w:sz w:val="18"/>
          <w:szCs w:val="18"/>
          <w:lang w:val="it-IT"/>
        </w:rPr>
        <w:t>I voucher potranno essere riscattati solo da singole persone approvate dalla società a utilizzare il voucher.</w:t>
      </w:r>
      <w:r w:rsidRPr="007B7C13">
        <w:rPr>
          <w:rFonts w:ascii="Tahoma" w:hAnsi="Tahoma" w:cs="Tahoma"/>
          <w:bCs/>
          <w:sz w:val="18"/>
          <w:szCs w:val="18"/>
        </w:rPr>
        <w:t xml:space="preserve"> </w:t>
      </w:r>
    </w:p>
    <w:p w:rsidR="00A92422" w:rsidRPr="007B7C13" w:rsidRDefault="00A92422" w:rsidP="00A92422">
      <w:pPr>
        <w:pStyle w:val="AppendixBodyText"/>
        <w:numPr>
          <w:ilvl w:val="0"/>
          <w:numId w:val="26"/>
        </w:numPr>
        <w:spacing w:afterLines="60" w:after="144"/>
        <w:rPr>
          <w:rFonts w:ascii="Tahoma" w:hAnsi="Tahoma" w:cs="Tahoma"/>
          <w:sz w:val="18"/>
          <w:szCs w:val="18"/>
        </w:rPr>
      </w:pPr>
      <w:r w:rsidRPr="007B7C13">
        <w:rPr>
          <w:rFonts w:ascii="Tahoma" w:hAnsi="Tahoma" w:cs="Tahoma"/>
          <w:sz w:val="18"/>
          <w:szCs w:val="18"/>
          <w:lang w:val="it-IT"/>
        </w:rPr>
        <w:t>I voucher non potranno essere scambiati con contante, somme di denaro o altri corrispettivi.</w:t>
      </w:r>
    </w:p>
    <w:p w:rsidR="00A92422" w:rsidRPr="007B7C13" w:rsidRDefault="00A92422" w:rsidP="00A92422">
      <w:pPr>
        <w:pStyle w:val="AppendixBodyText"/>
        <w:numPr>
          <w:ilvl w:val="0"/>
          <w:numId w:val="26"/>
        </w:numPr>
        <w:spacing w:afterLines="60" w:after="144"/>
        <w:rPr>
          <w:rFonts w:ascii="Tahoma" w:hAnsi="Tahoma" w:cs="Tahoma"/>
          <w:sz w:val="18"/>
          <w:szCs w:val="18"/>
        </w:rPr>
      </w:pPr>
      <w:r w:rsidRPr="007B7C13">
        <w:rPr>
          <w:rFonts w:ascii="Tahoma" w:hAnsi="Tahoma" w:cs="Tahoma"/>
          <w:sz w:val="18"/>
          <w:szCs w:val="18"/>
          <w:lang w:val="it-IT"/>
        </w:rPr>
        <w:t>I voucher dovranno essere assegnati durante il periodo della copertura Software Assurance.</w:t>
      </w:r>
    </w:p>
    <w:p w:rsidR="00A92422" w:rsidRPr="007B7C13" w:rsidRDefault="00A92422" w:rsidP="00A92422">
      <w:pPr>
        <w:pStyle w:val="AppendixBodyText"/>
        <w:numPr>
          <w:ilvl w:val="0"/>
          <w:numId w:val="26"/>
        </w:numPr>
        <w:spacing w:afterLines="60" w:after="144"/>
        <w:rPr>
          <w:rFonts w:ascii="Tahoma" w:hAnsi="Tahoma" w:cs="Tahoma"/>
          <w:sz w:val="18"/>
          <w:szCs w:val="18"/>
        </w:rPr>
      </w:pPr>
      <w:r w:rsidRPr="007B7C13">
        <w:rPr>
          <w:rFonts w:ascii="Tahoma" w:hAnsi="Tahoma" w:cs="Tahoma"/>
          <w:bCs/>
          <w:sz w:val="18"/>
          <w:szCs w:val="18"/>
          <w:lang w:val="it-IT"/>
        </w:rPr>
        <w:lastRenderedPageBreak/>
        <w:t>I voucher scadranno dopo 180 giorni dalla data di assegnazione, indipendentemente dalla data di scadenza della copertura Software Assurance.</w:t>
      </w:r>
      <w:r w:rsidRPr="007B7C13">
        <w:rPr>
          <w:rFonts w:ascii="Tahoma" w:hAnsi="Tahoma" w:cs="Tahoma"/>
          <w:sz w:val="18"/>
          <w:szCs w:val="18"/>
        </w:rPr>
        <w:t xml:space="preserve"> </w:t>
      </w:r>
      <w:r w:rsidRPr="007B7C13">
        <w:rPr>
          <w:rFonts w:ascii="Tahoma" w:hAnsi="Tahoma" w:cs="Tahoma"/>
          <w:sz w:val="18"/>
          <w:szCs w:val="18"/>
          <w:lang w:val="it-IT"/>
        </w:rPr>
        <w:t>Tutti i servizi dovranno essere erogati (formazione fornita e voucher riscattato) prima della scadenza dei voucher.</w:t>
      </w:r>
      <w:r w:rsidRPr="007B7C13">
        <w:rPr>
          <w:rFonts w:ascii="Tahoma" w:hAnsi="Tahoma" w:cs="Tahoma"/>
          <w:sz w:val="18"/>
          <w:szCs w:val="18"/>
        </w:rPr>
        <w:t xml:space="preserve"> </w:t>
      </w:r>
      <w:r w:rsidRPr="007B7C13">
        <w:rPr>
          <w:rFonts w:ascii="Tahoma" w:hAnsi="Tahoma" w:cs="Tahoma"/>
          <w:sz w:val="18"/>
          <w:szCs w:val="18"/>
          <w:lang w:val="it-IT"/>
        </w:rPr>
        <w:t>Per i voucher, la cui data di scadenza è precedente a quella della copertura Software Assurance, verrà ripristinato il pool disponibile di giorni Voucher Corsi.</w:t>
      </w:r>
    </w:p>
    <w:p w:rsidR="00A92422" w:rsidRPr="00D87B79" w:rsidRDefault="00A92422" w:rsidP="00A92422">
      <w:pPr>
        <w:numPr>
          <w:ilvl w:val="0"/>
          <w:numId w:val="26"/>
        </w:numPr>
        <w:spacing w:afterLines="60" w:after="144"/>
        <w:rPr>
          <w:rFonts w:cs="Tahoma"/>
        </w:rPr>
      </w:pPr>
      <w:r w:rsidRPr="00D87B79">
        <w:rPr>
          <w:rFonts w:cs="Tahoma"/>
          <w:lang w:val="it-IT"/>
        </w:rPr>
        <w:t>Ad eccezione delle Sessioni Dimostrative, un giorno Voucher Corsi corrisponde all’equivalente di</w:t>
      </w:r>
      <w:r>
        <w:rPr>
          <w:rFonts w:cs="Tahoma"/>
          <w:lang w:val="it-IT"/>
        </w:rPr>
        <w:t> </w:t>
      </w:r>
      <w:r w:rsidRPr="00D87B79">
        <w:rPr>
          <w:rFonts w:cs="Tahoma"/>
          <w:lang w:val="it-IT"/>
        </w:rPr>
        <w:t>un</w:t>
      </w:r>
      <w:r>
        <w:rPr>
          <w:rFonts w:cs="Tahoma"/>
          <w:lang w:val="it-IT"/>
        </w:rPr>
        <w:t> </w:t>
      </w:r>
      <w:r w:rsidRPr="00D87B79">
        <w:rPr>
          <w:rFonts w:cs="Tahoma"/>
          <w:lang w:val="it-IT"/>
        </w:rPr>
        <w:t>giorno della sessione di formazione.</w:t>
      </w:r>
      <w:r w:rsidRPr="00D87B79">
        <w:rPr>
          <w:rFonts w:cs="Tahoma"/>
        </w:rPr>
        <w:t xml:space="preserve"> </w:t>
      </w:r>
      <w:r w:rsidRPr="00D87B79">
        <w:rPr>
          <w:rFonts w:cs="Tahoma"/>
          <w:lang w:val="it-IT"/>
        </w:rPr>
        <w:t>Per le Sessioni Dimostrative un giorno Voucher Corsi corrisponde a una Sessione Dimostrativa.</w:t>
      </w:r>
    </w:p>
    <w:p w:rsidR="00A92422" w:rsidRPr="00D87B79" w:rsidRDefault="00A92422" w:rsidP="00A92422">
      <w:pPr>
        <w:numPr>
          <w:ilvl w:val="0"/>
          <w:numId w:val="26"/>
        </w:numPr>
        <w:spacing w:afterLines="60" w:after="144"/>
        <w:rPr>
          <w:rFonts w:cs="Tahoma"/>
        </w:rPr>
      </w:pPr>
      <w:r w:rsidRPr="00D87B79">
        <w:rPr>
          <w:rFonts w:cs="Tahoma"/>
          <w:lang w:val="it-IT"/>
        </w:rPr>
        <w:t>Le società dovranno riscattare i Voucher Corsi di quattro o più gruppi di Sessioni Dimostrative.</w:t>
      </w:r>
    </w:p>
    <w:p w:rsidR="00A92422" w:rsidRPr="00D87B79" w:rsidRDefault="00A92422" w:rsidP="00A92422">
      <w:pPr>
        <w:numPr>
          <w:ilvl w:val="0"/>
          <w:numId w:val="26"/>
        </w:numPr>
        <w:spacing w:afterLines="60" w:after="144"/>
        <w:rPr>
          <w:rFonts w:cs="Tahoma"/>
        </w:rPr>
      </w:pPr>
      <w:r w:rsidRPr="00D87B79">
        <w:rPr>
          <w:rFonts w:cs="Tahoma"/>
          <w:lang w:val="it-IT"/>
        </w:rPr>
        <w:t>I Voucher Corsi riscattati per le Sessioni Dimostrative, diversamente dai Voucher Corsi riscattati per</w:t>
      </w:r>
      <w:r>
        <w:rPr>
          <w:rFonts w:cs="Tahoma"/>
          <w:lang w:val="it-IT"/>
        </w:rPr>
        <w:t> </w:t>
      </w:r>
      <w:r w:rsidRPr="00D87B79">
        <w:rPr>
          <w:rFonts w:cs="Tahoma"/>
          <w:lang w:val="it-IT"/>
        </w:rPr>
        <w:t>altre sessioni di formazione, non sono limitati a una sola persona.</w:t>
      </w:r>
    </w:p>
    <w:p w:rsidR="00A92422" w:rsidRPr="007B7C13" w:rsidRDefault="00A92422" w:rsidP="00A92422">
      <w:pPr>
        <w:pStyle w:val="AppendixBodyText"/>
        <w:numPr>
          <w:ilvl w:val="0"/>
          <w:numId w:val="26"/>
        </w:numPr>
        <w:spacing w:afterLines="60" w:after="144"/>
        <w:rPr>
          <w:rFonts w:ascii="Tahoma" w:hAnsi="Tahoma" w:cs="Tahoma"/>
          <w:sz w:val="18"/>
          <w:szCs w:val="18"/>
        </w:rPr>
      </w:pPr>
      <w:r w:rsidRPr="007B7C13">
        <w:rPr>
          <w:rFonts w:ascii="Tahoma" w:hAnsi="Tahoma" w:cs="Tahoma"/>
          <w:sz w:val="18"/>
          <w:szCs w:val="18"/>
          <w:lang w:val="it-IT"/>
        </w:rPr>
        <w:t>I voucher potranno essere utilizzati per riservare il corso con un solo Microsoft Learning Partner qualificato alla volta.</w:t>
      </w:r>
      <w:r w:rsidRPr="007B7C13">
        <w:rPr>
          <w:rFonts w:ascii="Tahoma" w:hAnsi="Tahoma" w:cs="Tahoma"/>
          <w:sz w:val="18"/>
          <w:szCs w:val="18"/>
        </w:rPr>
        <w:t xml:space="preserve"> </w:t>
      </w:r>
    </w:p>
    <w:p w:rsidR="00A92422" w:rsidRPr="007B7C13" w:rsidRDefault="00A92422" w:rsidP="00A92422">
      <w:pPr>
        <w:pStyle w:val="AppendixBodyText"/>
        <w:numPr>
          <w:ilvl w:val="0"/>
          <w:numId w:val="26"/>
        </w:numPr>
        <w:spacing w:afterLines="60" w:after="144"/>
        <w:rPr>
          <w:rFonts w:ascii="Tahoma" w:hAnsi="Tahoma" w:cs="Tahoma"/>
          <w:sz w:val="18"/>
          <w:szCs w:val="18"/>
        </w:rPr>
      </w:pPr>
      <w:r w:rsidRPr="007B7C13">
        <w:rPr>
          <w:rFonts w:ascii="Tahoma" w:hAnsi="Tahoma" w:cs="Tahoma"/>
          <w:sz w:val="18"/>
          <w:szCs w:val="18"/>
          <w:lang w:val="it-IT"/>
        </w:rPr>
        <w:t>Il Microsoft Learning Partner si riserva il diritto di annullare una lezione in conformità ai criteri di annullamento locali.</w:t>
      </w:r>
    </w:p>
    <w:p w:rsidR="00A92422" w:rsidRPr="007B7C13" w:rsidRDefault="00A92422" w:rsidP="00A92422">
      <w:pPr>
        <w:pStyle w:val="AppendixBodyText"/>
        <w:numPr>
          <w:ilvl w:val="0"/>
          <w:numId w:val="26"/>
        </w:numPr>
        <w:spacing w:afterLines="60" w:after="144"/>
        <w:rPr>
          <w:rFonts w:ascii="Tahoma" w:hAnsi="Tahoma" w:cs="Tahoma"/>
          <w:sz w:val="18"/>
          <w:szCs w:val="18"/>
        </w:rPr>
      </w:pPr>
      <w:r w:rsidRPr="007B7C13">
        <w:rPr>
          <w:rFonts w:ascii="Tahoma" w:hAnsi="Tahoma" w:cs="Tahoma"/>
          <w:sz w:val="18"/>
          <w:szCs w:val="18"/>
          <w:lang w:val="it-IT"/>
        </w:rPr>
        <w:t>I voucher sono validi per i Microsoft Learning Partner che partecipano.</w:t>
      </w:r>
      <w:r w:rsidRPr="007B7C13">
        <w:rPr>
          <w:rFonts w:ascii="Tahoma" w:hAnsi="Tahoma" w:cs="Tahoma"/>
          <w:sz w:val="18"/>
          <w:szCs w:val="18"/>
        </w:rPr>
        <w:t xml:space="preserve"> </w:t>
      </w:r>
      <w:r w:rsidRPr="007B7C13">
        <w:rPr>
          <w:rFonts w:ascii="Tahoma" w:hAnsi="Tahoma" w:cs="Tahoma"/>
          <w:sz w:val="18"/>
          <w:szCs w:val="18"/>
          <w:lang w:val="it-IT"/>
        </w:rPr>
        <w:t>Potranno essere utilizzati con qualsiasi Microsoft Learning Partner qualificato a livello mondiale.</w:t>
      </w:r>
      <w:r w:rsidRPr="007B7C13">
        <w:rPr>
          <w:rFonts w:ascii="Tahoma" w:hAnsi="Tahoma" w:cs="Tahoma"/>
          <w:sz w:val="18"/>
          <w:szCs w:val="18"/>
        </w:rPr>
        <w:t xml:space="preserve"> </w:t>
      </w:r>
      <w:r w:rsidRPr="007B7C13">
        <w:rPr>
          <w:rFonts w:ascii="Tahoma" w:hAnsi="Tahoma" w:cs="Tahoma"/>
          <w:sz w:val="18"/>
          <w:szCs w:val="18"/>
          <w:lang w:val="it-IT"/>
        </w:rPr>
        <w:t>La partecipazione può variare.</w:t>
      </w:r>
    </w:p>
    <w:p w:rsidR="00A92422" w:rsidRPr="007B7C13" w:rsidRDefault="00A92422" w:rsidP="00A92422">
      <w:pPr>
        <w:pStyle w:val="AppendixBodyText"/>
        <w:numPr>
          <w:ilvl w:val="0"/>
          <w:numId w:val="26"/>
        </w:numPr>
        <w:spacing w:afterLines="60" w:after="144"/>
        <w:rPr>
          <w:rFonts w:ascii="Tahoma" w:hAnsi="Tahoma" w:cs="Tahoma"/>
          <w:sz w:val="18"/>
          <w:szCs w:val="18"/>
        </w:rPr>
      </w:pPr>
      <w:r w:rsidRPr="007B7C13">
        <w:rPr>
          <w:rFonts w:ascii="Tahoma" w:hAnsi="Tahoma" w:cs="Tahoma"/>
          <w:sz w:val="18"/>
          <w:szCs w:val="18"/>
          <w:lang w:val="it-IT"/>
        </w:rPr>
        <w:t>Le società dovranno fornire al Microsoft Learning Partner le informazioni relative ai voucher da applicare nei confronti del corso prima del termine del corso stesso allo scopo di utilizzare i voucher come forma di pagamento.</w:t>
      </w:r>
      <w:r w:rsidRPr="007B7C13">
        <w:rPr>
          <w:rFonts w:ascii="Tahoma" w:hAnsi="Tahoma" w:cs="Tahoma"/>
          <w:sz w:val="18"/>
          <w:szCs w:val="18"/>
        </w:rPr>
        <w:t xml:space="preserve"> </w:t>
      </w:r>
    </w:p>
    <w:p w:rsidR="00A92422" w:rsidRPr="007B7C13" w:rsidRDefault="00A92422" w:rsidP="00A92422">
      <w:pPr>
        <w:pStyle w:val="AppendixBodyText"/>
        <w:numPr>
          <w:ilvl w:val="0"/>
          <w:numId w:val="26"/>
        </w:numPr>
        <w:spacing w:afterLines="60" w:after="144"/>
        <w:rPr>
          <w:rFonts w:ascii="Tahoma" w:hAnsi="Tahoma" w:cs="Tahoma"/>
          <w:sz w:val="18"/>
          <w:szCs w:val="18"/>
        </w:rPr>
      </w:pPr>
      <w:r w:rsidRPr="007B7C13">
        <w:rPr>
          <w:rFonts w:ascii="Tahoma" w:hAnsi="Tahoma" w:cs="Tahoma"/>
          <w:sz w:val="18"/>
          <w:szCs w:val="18"/>
          <w:lang w:val="it-IT"/>
        </w:rPr>
        <w:t>Microsoft non è responsabile dei voucher persi, rubati, collocati fuori posto o maltrattati.</w:t>
      </w:r>
    </w:p>
    <w:p w:rsidR="00A92422" w:rsidRPr="007B7C13" w:rsidRDefault="00A92422" w:rsidP="00A92422">
      <w:pPr>
        <w:pStyle w:val="AppendixBodyText"/>
        <w:numPr>
          <w:ilvl w:val="0"/>
          <w:numId w:val="26"/>
        </w:numPr>
        <w:spacing w:afterLines="60" w:after="144"/>
        <w:rPr>
          <w:rFonts w:ascii="Tahoma" w:hAnsi="Tahoma" w:cs="Tahoma"/>
          <w:sz w:val="18"/>
          <w:szCs w:val="18"/>
        </w:rPr>
      </w:pPr>
      <w:r w:rsidRPr="007B7C13">
        <w:rPr>
          <w:rFonts w:ascii="Tahoma" w:hAnsi="Tahoma" w:cs="Tahoma"/>
          <w:sz w:val="18"/>
          <w:szCs w:val="18"/>
          <w:lang w:val="it-IT"/>
        </w:rPr>
        <w:t>La riduzione del numero di licenze qualificanti per cui è stata acquistata la copertura Software Assurance in seguito a resi e altre modifiche apportate alla fatturazione, ove ammessa, potrà diminuire l’idoneità dei livelli di servizio dei Voucher Corsi della società.</w:t>
      </w:r>
    </w:p>
    <w:p w:rsidR="00A92422" w:rsidRPr="007B7C13" w:rsidRDefault="00A92422" w:rsidP="00A92422">
      <w:pPr>
        <w:pStyle w:val="AppendixBodyText"/>
        <w:numPr>
          <w:ilvl w:val="0"/>
          <w:numId w:val="26"/>
        </w:numPr>
        <w:spacing w:afterLines="60" w:after="144"/>
        <w:rPr>
          <w:rFonts w:ascii="Tahoma" w:hAnsi="Tahoma" w:cs="Tahoma"/>
          <w:sz w:val="18"/>
          <w:szCs w:val="18"/>
        </w:rPr>
      </w:pPr>
      <w:r w:rsidRPr="007B7C13">
        <w:rPr>
          <w:rFonts w:ascii="Tahoma" w:hAnsi="Tahoma" w:cs="Tahoma"/>
          <w:sz w:val="18"/>
          <w:szCs w:val="18"/>
          <w:lang w:val="it-IT"/>
        </w:rPr>
        <w:t>I voucher possono essere riscattati solo dalla società idonea a ricevere il vantaggio.</w:t>
      </w:r>
    </w:p>
    <w:p w:rsidR="00A92422" w:rsidRPr="007B7C13" w:rsidRDefault="00A92422" w:rsidP="00A92422">
      <w:pPr>
        <w:pStyle w:val="AppendixBodyText"/>
        <w:numPr>
          <w:ilvl w:val="0"/>
          <w:numId w:val="26"/>
        </w:numPr>
        <w:spacing w:afterLines="60" w:after="144"/>
        <w:rPr>
          <w:rFonts w:ascii="Tahoma" w:hAnsi="Tahoma" w:cs="Tahoma"/>
          <w:sz w:val="18"/>
          <w:szCs w:val="18"/>
        </w:rPr>
      </w:pPr>
      <w:r w:rsidRPr="007B7C13">
        <w:rPr>
          <w:rFonts w:ascii="Tahoma" w:hAnsi="Tahoma" w:cs="Tahoma"/>
          <w:sz w:val="18"/>
          <w:szCs w:val="18"/>
          <w:lang w:val="it-IT"/>
        </w:rPr>
        <w:t>I servizi erogati con i voucher vengono forniti ai sensi di un contratto tra la Società e il Provider Qualificato; Microsoft non è responsabile dell’eventuale funzionamento o mancato funzionamento dei servizi da parte del Provider Qualificato.</w:t>
      </w:r>
    </w:p>
    <w:p w:rsidR="00A92422" w:rsidRPr="007B7C13" w:rsidRDefault="00A92422" w:rsidP="00A92422">
      <w:pPr>
        <w:pStyle w:val="AppendixBodyText"/>
        <w:numPr>
          <w:ilvl w:val="0"/>
          <w:numId w:val="26"/>
        </w:numPr>
        <w:spacing w:afterLines="60" w:after="144"/>
        <w:rPr>
          <w:rFonts w:ascii="Tahoma" w:hAnsi="Tahoma" w:cs="Tahoma"/>
          <w:sz w:val="18"/>
          <w:szCs w:val="18"/>
        </w:rPr>
      </w:pPr>
      <w:r w:rsidRPr="007B7C13">
        <w:rPr>
          <w:rFonts w:ascii="Tahoma" w:hAnsi="Tahoma" w:cs="Tahoma"/>
          <w:bCs/>
          <w:sz w:val="18"/>
          <w:szCs w:val="18"/>
          <w:lang w:val="it-IT"/>
        </w:rPr>
        <w:t>La tabella riportata sopra mostra i crediti per i corsi disponibili sulla base di un’iscrizione o di un contratto triennale completo.</w:t>
      </w:r>
      <w:r w:rsidRPr="007B7C13">
        <w:rPr>
          <w:rFonts w:ascii="Tahoma" w:hAnsi="Tahoma" w:cs="Tahoma"/>
          <w:bCs/>
          <w:sz w:val="18"/>
          <w:szCs w:val="18"/>
        </w:rPr>
        <w:t xml:space="preserve"> </w:t>
      </w:r>
      <w:r w:rsidRPr="007B7C13">
        <w:rPr>
          <w:rFonts w:ascii="Tahoma" w:hAnsi="Tahoma" w:cs="Tahoma"/>
          <w:bCs/>
          <w:sz w:val="18"/>
          <w:szCs w:val="18"/>
          <w:lang w:val="it-IT"/>
        </w:rPr>
        <w:t>Le società che acquistano una copertura Software Assurance annuale riceveranno un terzo del numero dichiarato di crediti per i corsi.</w:t>
      </w:r>
      <w:r w:rsidRPr="007B7C13">
        <w:rPr>
          <w:rFonts w:ascii="Tahoma" w:hAnsi="Tahoma" w:cs="Tahoma"/>
          <w:sz w:val="18"/>
          <w:szCs w:val="18"/>
        </w:rPr>
        <w:t xml:space="preserve"> </w:t>
      </w:r>
      <w:r w:rsidRPr="007B7C13">
        <w:rPr>
          <w:rFonts w:ascii="Tahoma" w:hAnsi="Tahoma" w:cs="Tahoma"/>
          <w:sz w:val="18"/>
          <w:szCs w:val="18"/>
          <w:lang w:val="it-IT"/>
        </w:rPr>
        <w:t>Le società che acquistano una copertura Software Assurance biennale riceveranno due terzi del numero dichiarato di crediti per</w:t>
      </w:r>
      <w:r>
        <w:rPr>
          <w:rFonts w:ascii="Tahoma" w:hAnsi="Tahoma" w:cs="Tahoma"/>
          <w:sz w:val="18"/>
          <w:szCs w:val="18"/>
          <w:lang w:val="it-IT"/>
        </w:rPr>
        <w:t> </w:t>
      </w:r>
      <w:r w:rsidRPr="007B7C13">
        <w:rPr>
          <w:rFonts w:ascii="Tahoma" w:hAnsi="Tahoma" w:cs="Tahoma"/>
          <w:sz w:val="18"/>
          <w:szCs w:val="18"/>
          <w:lang w:val="it-IT"/>
        </w:rPr>
        <w:t>i corsi.</w:t>
      </w:r>
    </w:p>
    <w:p w:rsidR="00A92422" w:rsidRPr="00C42BA3" w:rsidRDefault="00A92422" w:rsidP="00A92422">
      <w:pPr>
        <w:pStyle w:val="Heading3"/>
        <w:rPr>
          <w:rFonts w:ascii="Tahoma" w:hAnsi="Tahoma" w:cs="Tahoma"/>
          <w:sz w:val="18"/>
          <w:szCs w:val="18"/>
        </w:rPr>
      </w:pPr>
    </w:p>
    <w:p w:rsidR="00A92422" w:rsidRPr="00D87B79" w:rsidRDefault="00A92422" w:rsidP="00A92422">
      <w:pPr>
        <w:pStyle w:val="Heading3"/>
        <w:rPr>
          <w:rFonts w:ascii="Tahoma" w:hAnsi="Tahoma" w:cs="Tahoma"/>
        </w:rPr>
      </w:pPr>
      <w:bookmarkStart w:id="855" w:name="_Toc342900286"/>
      <w:r w:rsidRPr="00D87B79">
        <w:rPr>
          <w:rFonts w:ascii="Tahoma" w:hAnsi="Tahoma" w:cs="Tahoma"/>
          <w:lang w:val="it-IT"/>
        </w:rPr>
        <w:t>E-Learning</w:t>
      </w:r>
      <w:bookmarkEnd w:id="855"/>
    </w:p>
    <w:p w:rsidR="00A92422" w:rsidRPr="00D87B79" w:rsidRDefault="00A92422" w:rsidP="00A92422">
      <w:pPr>
        <w:rPr>
          <w:rFonts w:cs="Tahoma"/>
        </w:rPr>
      </w:pPr>
    </w:p>
    <w:p w:rsidR="00A92422" w:rsidRPr="00D87B79" w:rsidRDefault="00A92422" w:rsidP="00A92422">
      <w:pPr>
        <w:tabs>
          <w:tab w:val="num" w:pos="360"/>
        </w:tabs>
        <w:rPr>
          <w:rFonts w:cs="Tahoma"/>
        </w:rPr>
      </w:pPr>
      <w:r w:rsidRPr="00D87B79">
        <w:rPr>
          <w:rFonts w:cs="Tahoma"/>
          <w:b/>
          <w:lang w:val="it-IT"/>
        </w:rPr>
        <w:t>Società Software Assurance idonee:</w:t>
      </w:r>
      <w:r w:rsidRPr="00D87B79">
        <w:rPr>
          <w:rFonts w:cs="Tahoma"/>
          <w:szCs w:val="18"/>
        </w:rPr>
        <w:t xml:space="preserve"> </w:t>
      </w:r>
      <w:r w:rsidRPr="00D87B79">
        <w:rPr>
          <w:rFonts w:cs="Tahoma"/>
          <w:szCs w:val="18"/>
          <w:lang w:val="it-IT"/>
        </w:rPr>
        <w:t>Le società con copertura Software Assurance per i prodotti qualificanti del</w:t>
      </w:r>
      <w:r>
        <w:rPr>
          <w:rFonts w:cs="Tahoma"/>
          <w:szCs w:val="18"/>
          <w:lang w:val="it-IT"/>
        </w:rPr>
        <w:t> </w:t>
      </w:r>
      <w:r w:rsidRPr="00D87B79">
        <w:rPr>
          <w:rFonts w:cs="Tahoma"/>
          <w:szCs w:val="18"/>
          <w:lang w:val="it-IT"/>
        </w:rPr>
        <w:t>pool di server, sistemi o applicazioni sono idonee a utilizzare il relativo vantaggio E-Learning per Applicazioni, Sistemi e Server durante il periodo di validità della copertura Software Assurance.</w:t>
      </w:r>
      <w:r w:rsidRPr="00D87B79">
        <w:rPr>
          <w:rFonts w:cs="Tahoma"/>
          <w:szCs w:val="18"/>
        </w:rPr>
        <w:t xml:space="preserve"> </w:t>
      </w:r>
    </w:p>
    <w:p w:rsidR="00A92422" w:rsidRPr="00D87B79" w:rsidRDefault="00A92422" w:rsidP="00A92422">
      <w:pPr>
        <w:tabs>
          <w:tab w:val="num" w:pos="360"/>
        </w:tabs>
        <w:rPr>
          <w:rFonts w:cs="Tahoma"/>
        </w:rPr>
      </w:pPr>
    </w:p>
    <w:p w:rsidR="00A92422" w:rsidRPr="00D87B79" w:rsidRDefault="00A92422" w:rsidP="00A92422">
      <w:pPr>
        <w:tabs>
          <w:tab w:val="num" w:pos="360"/>
        </w:tabs>
        <w:rPr>
          <w:rFonts w:cs="Tahoma"/>
        </w:rPr>
      </w:pPr>
      <w:r w:rsidRPr="00D87B79">
        <w:rPr>
          <w:rFonts w:cs="Tahoma"/>
          <w:b/>
          <w:lang w:val="it-IT"/>
        </w:rPr>
        <w:t>Società idonee per i vantaggi dei Servizi Online:</w:t>
      </w:r>
      <w:r w:rsidRPr="00D87B79">
        <w:rPr>
          <w:rFonts w:cs="Tahoma"/>
          <w:szCs w:val="18"/>
        </w:rPr>
        <w:t xml:space="preserve"> </w:t>
      </w:r>
      <w:r w:rsidRPr="00D87B79">
        <w:rPr>
          <w:rFonts w:cs="Tahoma"/>
          <w:lang w:val="it-IT"/>
        </w:rPr>
        <w:t>Le società con Windows Intune (Per Dispositivo) sono idonee a utilizzare il vantaggio Systems E-Learning durante il periodo di validità della loro iscrizione.</w:t>
      </w:r>
      <w:r w:rsidRPr="00D87B79">
        <w:rPr>
          <w:rFonts w:cs="Tahoma"/>
        </w:rPr>
        <w:t xml:space="preserve"> </w:t>
      </w:r>
      <w:r w:rsidRPr="00D87B79">
        <w:rPr>
          <w:rFonts w:cs="Tahoma"/>
          <w:lang w:val="it-IT"/>
        </w:rPr>
        <w:t>Analogamente, le società in possesso di Office 365 sono idonee a utilizzare il vantaggio E-Learning per Applicazioni durante il periodo di</w:t>
      </w:r>
      <w:r>
        <w:rPr>
          <w:rFonts w:cs="Tahoma"/>
          <w:lang w:val="it-IT"/>
        </w:rPr>
        <w:t> </w:t>
      </w:r>
      <w:r w:rsidRPr="00D87B79">
        <w:rPr>
          <w:rFonts w:cs="Tahoma"/>
          <w:lang w:val="it-IT"/>
        </w:rPr>
        <w:t>validità della rispettiva iscrizione.</w:t>
      </w:r>
      <w:r w:rsidRPr="00D87B79">
        <w:rPr>
          <w:rFonts w:cs="Tahoma"/>
        </w:rPr>
        <w:t xml:space="preserve"> </w:t>
      </w:r>
    </w:p>
    <w:p w:rsidR="00A92422" w:rsidRPr="00D87B79" w:rsidRDefault="00A92422" w:rsidP="00A92422">
      <w:pPr>
        <w:tabs>
          <w:tab w:val="num" w:pos="360"/>
        </w:tabs>
        <w:rPr>
          <w:rFonts w:cs="Tahoma"/>
        </w:rPr>
      </w:pPr>
    </w:p>
    <w:p w:rsidR="00A92422" w:rsidRPr="00D87B79" w:rsidRDefault="00A92422" w:rsidP="00A92422">
      <w:pPr>
        <w:rPr>
          <w:rFonts w:cs="Tahoma"/>
        </w:rPr>
      </w:pPr>
      <w:r w:rsidRPr="00D87B79">
        <w:rPr>
          <w:rFonts w:cs="Tahoma"/>
          <w:lang w:val="it-IT"/>
        </w:rPr>
        <w:t>Le società idonee riceveranno un codice di accesso (per Applicazioni, Sistemi, Server, Windows Intune (Per</w:t>
      </w:r>
      <w:r>
        <w:rPr>
          <w:rFonts w:cs="Tahoma"/>
          <w:lang w:val="it-IT"/>
        </w:rPr>
        <w:t> </w:t>
      </w:r>
      <w:r w:rsidRPr="00D87B79">
        <w:rPr>
          <w:rFonts w:cs="Tahoma"/>
          <w:lang w:val="it-IT"/>
        </w:rPr>
        <w:t>Dispositivo) e Office 365) per ogni iscrizione/contratto qualificante.</w:t>
      </w:r>
      <w:r w:rsidRPr="00D87B79">
        <w:rPr>
          <w:rFonts w:cs="Tahoma"/>
        </w:rPr>
        <w:t xml:space="preserve"> </w:t>
      </w:r>
      <w:r w:rsidRPr="00D87B79">
        <w:rPr>
          <w:rFonts w:cs="Tahoma"/>
          <w:lang w:val="it-IT"/>
        </w:rPr>
        <w:t xml:space="preserve">Le società potranno inoltre scaricare file </w:t>
      </w:r>
      <w:r>
        <w:rPr>
          <w:rFonts w:cs="Tahoma"/>
          <w:lang w:val="it-IT"/>
        </w:rPr>
        <w:br/>
      </w:r>
      <w:r w:rsidRPr="00D87B79">
        <w:rPr>
          <w:rFonts w:cs="Tahoma"/>
          <w:lang w:val="it-IT"/>
        </w:rPr>
        <w:t>E-learning di solo contenuto, conformi a SCORM (per Applicazioni e Sistemi) da VLSC per importarli in Learning Management System (LMS).</w:t>
      </w:r>
      <w:r w:rsidRPr="00D87B79">
        <w:rPr>
          <w:rFonts w:cs="Tahoma"/>
        </w:rPr>
        <w:t xml:space="preserve"> </w:t>
      </w:r>
      <w:r w:rsidRPr="00D87B79">
        <w:rPr>
          <w:rFonts w:cs="Tahoma"/>
          <w:lang w:val="it-IT"/>
        </w:rPr>
        <w:t>Per scaricare i file da VLSC non è necessario alcun codice di accesso.</w:t>
      </w:r>
      <w:r w:rsidRPr="00D87B79">
        <w:rPr>
          <w:rFonts w:cs="Tahoma"/>
        </w:rPr>
        <w:t xml:space="preserve"> </w:t>
      </w:r>
      <w:r w:rsidRPr="00D87B79">
        <w:rPr>
          <w:rFonts w:cs="Tahoma"/>
          <w:lang w:val="it-IT"/>
        </w:rPr>
        <w:t xml:space="preserve">Le società con </w:t>
      </w:r>
      <w:r w:rsidRPr="00D87B79">
        <w:rPr>
          <w:rFonts w:cs="Tahoma"/>
          <w:lang w:val="it-IT"/>
        </w:rPr>
        <w:lastRenderedPageBreak/>
        <w:t>Contratto Enterprise e Select potranno ottenere contenuto conforme a SCORM (per Applicazioni e Sistemi) tramite download o DVD, mentre le società Open e Open Value lo potranno ottenere (per Applicazioni e Sistemi) solo tramite</w:t>
      </w:r>
      <w:r>
        <w:rPr>
          <w:rFonts w:cs="Tahoma"/>
          <w:lang w:val="it-IT"/>
        </w:rPr>
        <w:t> </w:t>
      </w:r>
      <w:r w:rsidRPr="00D87B79">
        <w:rPr>
          <w:rFonts w:cs="Tahoma"/>
          <w:lang w:val="it-IT"/>
        </w:rPr>
        <w:t>DVD.</w:t>
      </w:r>
    </w:p>
    <w:p w:rsidR="00A92422" w:rsidRPr="00D87B79" w:rsidRDefault="00A92422" w:rsidP="00A92422">
      <w:pPr>
        <w:rPr>
          <w:rFonts w:cs="Tahoma"/>
        </w:rPr>
      </w:pPr>
    </w:p>
    <w:p w:rsidR="00A92422" w:rsidRPr="00D87B79" w:rsidRDefault="00A92422" w:rsidP="00A92422">
      <w:pPr>
        <w:rPr>
          <w:rFonts w:cs="Tahoma"/>
        </w:rPr>
      </w:pPr>
      <w:r w:rsidRPr="00D87B79">
        <w:rPr>
          <w:rFonts w:cs="Tahoma"/>
          <w:lang w:val="it-IT"/>
        </w:rPr>
        <w:t>Il numero massimo di utenti per i quali una società potrà utilizzare il corso di E-Learning è uguale al numero di copie</w:t>
      </w:r>
      <w:r>
        <w:rPr>
          <w:rFonts w:cs="Tahoma"/>
          <w:lang w:val="it-IT"/>
        </w:rPr>
        <w:t> </w:t>
      </w:r>
      <w:r w:rsidRPr="00D87B79">
        <w:rPr>
          <w:rFonts w:cs="Tahoma"/>
          <w:lang w:val="it-IT"/>
        </w:rPr>
        <w:t>con licenza dei prodotti qualificanti che la società ha inserito nell’iscrizione per Software Assurance o degli abbonamenti per le famiglie di prodotti Windows</w:t>
      </w:r>
      <w:r w:rsidRPr="003A0F2F">
        <w:rPr>
          <w:rFonts w:cs="Tahoma"/>
          <w:vertAlign w:val="superscript"/>
          <w:lang w:val="it-IT"/>
        </w:rPr>
        <w:t>®</w:t>
      </w:r>
      <w:r w:rsidRPr="00D87B79">
        <w:rPr>
          <w:rFonts w:cs="Tahoma"/>
          <w:lang w:val="it-IT"/>
        </w:rPr>
        <w:t xml:space="preserve"> Intune o Office 365 acquistate.</w:t>
      </w:r>
      <w:r w:rsidRPr="00D87B79">
        <w:rPr>
          <w:rFonts w:cs="Tahoma"/>
        </w:rPr>
        <w:t xml:space="preserve"> </w:t>
      </w:r>
      <w:r w:rsidRPr="00D87B79">
        <w:rPr>
          <w:rFonts w:cs="Tahoma"/>
          <w:lang w:val="it-IT"/>
        </w:rPr>
        <w:t>Le società dovranno designare un utente per ciascuna licenza qualificante.</w:t>
      </w:r>
      <w:r w:rsidRPr="00D87B79">
        <w:rPr>
          <w:rFonts w:cs="Tahoma"/>
        </w:rPr>
        <w:t xml:space="preserve"> </w:t>
      </w:r>
      <w:r w:rsidRPr="00D87B79">
        <w:rPr>
          <w:rFonts w:cs="Tahoma"/>
          <w:lang w:val="it-IT"/>
        </w:rPr>
        <w:t>L’accesso non può essere trasferito da un utente a un altro.</w:t>
      </w:r>
      <w:r w:rsidRPr="00D87B79">
        <w:rPr>
          <w:rFonts w:cs="Tahoma"/>
        </w:rPr>
        <w:t xml:space="preserve"> </w:t>
      </w:r>
      <w:r w:rsidRPr="00D87B79">
        <w:rPr>
          <w:rFonts w:cs="Tahoma"/>
          <w:lang w:val="it-IT"/>
        </w:rPr>
        <w:t>Al momento del lancio di un corso individuale ciascun utente qualificato avrà a disposizione fino a 12 mesi per completarlo prima che l’accesso scada, a condizione che il corso sia avviato prima della data di scadenza della copertura Software Assurance o della licenza “subscription”.</w:t>
      </w:r>
    </w:p>
    <w:p w:rsidR="00A92422" w:rsidRPr="00D87B79" w:rsidRDefault="00A92422" w:rsidP="00A92422">
      <w:pPr>
        <w:tabs>
          <w:tab w:val="num" w:pos="360"/>
        </w:tabs>
        <w:rPr>
          <w:rFonts w:cs="Tahoma"/>
        </w:rPr>
      </w:pPr>
    </w:p>
    <w:p w:rsidR="00A92422" w:rsidRPr="00D87B79" w:rsidRDefault="00A92422" w:rsidP="00A92422">
      <w:pPr>
        <w:tabs>
          <w:tab w:val="num" w:pos="0"/>
        </w:tabs>
        <w:rPr>
          <w:rFonts w:cs="Tahoma"/>
        </w:rPr>
      </w:pPr>
      <w:r w:rsidRPr="00D87B79">
        <w:rPr>
          <w:rFonts w:cs="Tahoma"/>
          <w:szCs w:val="18"/>
          <w:lang w:val="it-IT"/>
        </w:rPr>
        <w:t>Le società idonee potranno acquistare i kit di E-learning presso un centro di rifornimento regionale qualora l’opzione online non sia sufficiente.</w:t>
      </w:r>
      <w:r w:rsidRPr="00D87B79">
        <w:rPr>
          <w:rFonts w:cs="Tahoma"/>
          <w:szCs w:val="18"/>
        </w:rPr>
        <w:t xml:space="preserve"> </w:t>
      </w:r>
      <w:r w:rsidRPr="00D87B79">
        <w:rPr>
          <w:rFonts w:cs="Tahoma"/>
          <w:szCs w:val="18"/>
          <w:lang w:val="it-IT"/>
        </w:rPr>
        <w:t>La distribuzione e l’utilizzo dei corsi di E-Learning da parte della società sono soggetti alle condizioni del relativo contratto di licenza.</w:t>
      </w:r>
      <w:r w:rsidRPr="00D87B79">
        <w:rPr>
          <w:rFonts w:cs="Tahoma"/>
          <w:szCs w:val="18"/>
        </w:rPr>
        <w:t xml:space="preserve"> </w:t>
      </w:r>
    </w:p>
    <w:p w:rsidR="00A92422" w:rsidRPr="00280DF4" w:rsidRDefault="00A92422" w:rsidP="00A92422">
      <w:pPr>
        <w:tabs>
          <w:tab w:val="num" w:pos="0"/>
        </w:tabs>
        <w:rPr>
          <w:rFonts w:cs="Tahoma"/>
          <w:sz w:val="12"/>
          <w:szCs w:val="12"/>
        </w:rPr>
      </w:pPr>
    </w:p>
    <w:p w:rsidR="00A92422" w:rsidRPr="00D87B79" w:rsidRDefault="00A92422" w:rsidP="00A92422">
      <w:pPr>
        <w:rPr>
          <w:rFonts w:cs="Tahoma"/>
        </w:rPr>
      </w:pPr>
      <w:r w:rsidRPr="00D87B79">
        <w:rPr>
          <w:rFonts w:cs="Tahoma"/>
          <w:b/>
          <w:lang w:val="it-IT"/>
        </w:rPr>
        <w:t>Applicazioni di E-Learning:</w:t>
      </w:r>
      <w:r w:rsidRPr="00D87B79">
        <w:rPr>
          <w:rFonts w:cs="Tahoma"/>
          <w:szCs w:val="18"/>
        </w:rPr>
        <w:t xml:space="preserve"> </w:t>
      </w:r>
      <w:r w:rsidRPr="00D87B79">
        <w:rPr>
          <w:rFonts w:cs="Tahoma"/>
          <w:lang w:val="it-IT"/>
        </w:rPr>
        <w:t xml:space="preserve">Le società con famiglie di prodotti </w:t>
      </w:r>
      <w:r w:rsidRPr="00D87B79">
        <w:rPr>
          <w:rFonts w:cs="Tahoma"/>
          <w:color w:val="000000"/>
          <w:lang w:val="it-IT"/>
        </w:rPr>
        <w:t>Office Pro Plus per Office 365,</w:t>
      </w:r>
      <w:r w:rsidRPr="00D87B79">
        <w:rPr>
          <w:rFonts w:cs="Tahoma"/>
          <w:lang w:val="it-IT"/>
        </w:rPr>
        <w:t xml:space="preserve"> Office 365 e</w:t>
      </w:r>
      <w:r>
        <w:rPr>
          <w:rFonts w:cs="Tahoma"/>
          <w:lang w:val="it-IT"/>
        </w:rPr>
        <w:t> </w:t>
      </w:r>
      <w:r w:rsidRPr="00D87B79">
        <w:rPr>
          <w:rFonts w:cs="Tahoma"/>
          <w:lang w:val="it-IT"/>
        </w:rPr>
        <w:t>copertura Software Assurance per i prodotti Applicazioni qualificanti sono idonee a utilizzare corsi di E-Learning ospitati e contenuto conforme a SCORM.</w:t>
      </w:r>
      <w:r w:rsidRPr="00D87B79">
        <w:rPr>
          <w:rFonts w:cs="Tahoma"/>
        </w:rPr>
        <w:t xml:space="preserve"> </w:t>
      </w:r>
    </w:p>
    <w:p w:rsidR="00A92422" w:rsidRPr="00D87B79" w:rsidRDefault="00A92422" w:rsidP="00A92422">
      <w:pPr>
        <w:rPr>
          <w:rFonts w:cs="Tahoma"/>
        </w:rPr>
      </w:pPr>
    </w:p>
    <w:p w:rsidR="00A92422" w:rsidRPr="00D87B79" w:rsidRDefault="00A92422" w:rsidP="00A92422">
      <w:pPr>
        <w:rPr>
          <w:rFonts w:cs="Tahoma"/>
        </w:rPr>
      </w:pPr>
      <w:r w:rsidRPr="00D87B79">
        <w:rPr>
          <w:rFonts w:cs="Tahoma"/>
          <w:b/>
          <w:lang w:val="it-IT"/>
        </w:rPr>
        <w:t>Sistemi di E-Learning:</w:t>
      </w:r>
      <w:r w:rsidRPr="00D87B79">
        <w:rPr>
          <w:rFonts w:cs="Tahoma"/>
          <w:szCs w:val="18"/>
        </w:rPr>
        <w:t xml:space="preserve"> </w:t>
      </w:r>
      <w:r w:rsidRPr="00D87B79">
        <w:rPr>
          <w:rFonts w:cs="Tahoma"/>
          <w:lang w:val="it-IT"/>
        </w:rPr>
        <w:t>Le società con Windows Intune (Per Dispositivo) e copertura Software Assurance per i</w:t>
      </w:r>
      <w:r>
        <w:rPr>
          <w:rFonts w:cs="Tahoma"/>
          <w:lang w:val="it-IT"/>
        </w:rPr>
        <w:t> </w:t>
      </w:r>
      <w:r w:rsidRPr="00D87B79">
        <w:rPr>
          <w:rFonts w:cs="Tahoma"/>
          <w:lang w:val="it-IT"/>
        </w:rPr>
        <w:t>prodotti Sistemi qualificanti sono idonee a utilizzare i corsi di E-Learning Client ospitati e contenuto conforme a</w:t>
      </w:r>
      <w:r>
        <w:rPr>
          <w:rFonts w:cs="Tahoma"/>
          <w:lang w:val="it-IT"/>
        </w:rPr>
        <w:t> </w:t>
      </w:r>
      <w:r w:rsidRPr="00D87B79">
        <w:rPr>
          <w:rFonts w:cs="Tahoma"/>
          <w:lang w:val="it-IT"/>
        </w:rPr>
        <w:t>SCORM.</w:t>
      </w:r>
      <w:r w:rsidRPr="00D87B79">
        <w:rPr>
          <w:rFonts w:cs="Tahoma"/>
        </w:rPr>
        <w:t xml:space="preserve"> </w:t>
      </w:r>
    </w:p>
    <w:p w:rsidR="00A92422" w:rsidRPr="00D87B79" w:rsidRDefault="00A92422" w:rsidP="00A92422">
      <w:pPr>
        <w:rPr>
          <w:rFonts w:cs="Tahoma"/>
        </w:rPr>
      </w:pPr>
    </w:p>
    <w:p w:rsidR="00A92422" w:rsidRPr="00D87B79" w:rsidRDefault="00A92422" w:rsidP="00A92422">
      <w:pPr>
        <w:rPr>
          <w:rFonts w:cs="Tahoma"/>
        </w:rPr>
      </w:pPr>
      <w:r w:rsidRPr="00D87B79">
        <w:rPr>
          <w:rFonts w:cs="Tahoma"/>
          <w:b/>
          <w:lang w:val="it-IT"/>
        </w:rPr>
        <w:t>Server di E-Learning:</w:t>
      </w:r>
      <w:r w:rsidRPr="00D87B79">
        <w:rPr>
          <w:rFonts w:cs="Tahoma"/>
          <w:szCs w:val="18"/>
        </w:rPr>
        <w:t xml:space="preserve"> </w:t>
      </w:r>
      <w:r w:rsidRPr="00D87B79">
        <w:rPr>
          <w:rFonts w:cs="Tahoma"/>
          <w:szCs w:val="18"/>
          <w:lang w:val="it-IT"/>
        </w:rPr>
        <w:t>Le società con copertura Software Assurance per i prodotti Server qualificanti sono idonee a</w:t>
      </w:r>
      <w:r>
        <w:rPr>
          <w:rFonts w:cs="Tahoma"/>
          <w:szCs w:val="18"/>
          <w:lang w:val="it-IT"/>
        </w:rPr>
        <w:t> </w:t>
      </w:r>
      <w:r w:rsidRPr="00D87B79">
        <w:rPr>
          <w:rFonts w:cs="Tahoma"/>
          <w:szCs w:val="18"/>
          <w:lang w:val="it-IT"/>
        </w:rPr>
        <w:t>utilizzare i corsi di E-Learning Server ospitati.</w:t>
      </w:r>
      <w:r w:rsidRPr="00D87B79">
        <w:rPr>
          <w:rFonts w:cs="Tahoma"/>
          <w:szCs w:val="18"/>
        </w:rPr>
        <w:t xml:space="preserve"> </w:t>
      </w:r>
    </w:p>
    <w:p w:rsidR="00A92422" w:rsidRPr="00D87B79" w:rsidRDefault="00A92422" w:rsidP="00A92422">
      <w:pPr>
        <w:rPr>
          <w:rFonts w:cs="Tahoma"/>
        </w:rPr>
      </w:pPr>
    </w:p>
    <w:p w:rsidR="00A92422" w:rsidRPr="00D87B79" w:rsidRDefault="00A92422" w:rsidP="00A92422">
      <w:pPr>
        <w:pStyle w:val="Heading3"/>
        <w:rPr>
          <w:rFonts w:ascii="Tahoma" w:hAnsi="Tahoma" w:cs="Tahoma"/>
        </w:rPr>
      </w:pPr>
      <w:bookmarkStart w:id="856" w:name="_Toc336338235"/>
      <w:bookmarkStart w:id="857" w:name="_Toc342900287"/>
      <w:bookmarkEnd w:id="856"/>
      <w:r w:rsidRPr="00D87B79">
        <w:rPr>
          <w:rFonts w:ascii="Tahoma" w:hAnsi="Tahoma" w:cs="Tahoma"/>
          <w:lang w:val="it-IT"/>
        </w:rPr>
        <w:t>Home Use Program</w:t>
      </w:r>
      <w:bookmarkEnd w:id="857"/>
    </w:p>
    <w:p w:rsidR="00A92422" w:rsidRPr="00D87B79" w:rsidRDefault="00A92422" w:rsidP="00A92422">
      <w:pPr>
        <w:rPr>
          <w:rFonts w:cs="Tahoma"/>
        </w:rPr>
      </w:pPr>
    </w:p>
    <w:p w:rsidR="00A92422" w:rsidRPr="00D87B79" w:rsidRDefault="00A92422" w:rsidP="00A92422">
      <w:pPr>
        <w:pStyle w:val="AppendixBodyText"/>
        <w:spacing w:after="0"/>
        <w:rPr>
          <w:rFonts w:ascii="Tahoma" w:hAnsi="Tahoma" w:cs="Tahoma"/>
        </w:rPr>
      </w:pPr>
      <w:r w:rsidRPr="00D87B79">
        <w:rPr>
          <w:rFonts w:ascii="Tahoma" w:hAnsi="Tahoma" w:cs="Tahoma"/>
          <w:sz w:val="18"/>
          <w:lang w:val="it-IT"/>
        </w:rPr>
        <w:t>Le società con copertura Software Assurance attiva per i prodotti applicativi desktop qualificanti sono idonee a</w:t>
      </w:r>
      <w:r>
        <w:rPr>
          <w:rFonts w:ascii="Tahoma" w:hAnsi="Tahoma" w:cs="Tahoma"/>
          <w:sz w:val="18"/>
          <w:lang w:val="it-IT"/>
        </w:rPr>
        <w:t> </w:t>
      </w:r>
      <w:r w:rsidRPr="00D87B79">
        <w:rPr>
          <w:rFonts w:ascii="Tahoma" w:hAnsi="Tahoma" w:cs="Tahoma"/>
          <w:sz w:val="18"/>
          <w:lang w:val="it-IT"/>
        </w:rPr>
        <w:t>partecipare al programma Home Use Program**.</w:t>
      </w:r>
      <w:r w:rsidRPr="00D87B79">
        <w:rPr>
          <w:rFonts w:ascii="Tahoma" w:hAnsi="Tahoma" w:cs="Tahoma"/>
        </w:rPr>
        <w:t xml:space="preserve"> </w:t>
      </w:r>
      <w:r w:rsidRPr="00D87B79">
        <w:rPr>
          <w:rFonts w:ascii="Tahoma" w:hAnsi="Tahoma" w:cs="Tahoma"/>
          <w:color w:val="000000"/>
          <w:sz w:val="18"/>
          <w:lang w:val="it-IT"/>
        </w:rPr>
        <w:t>Ai sensi del programma Home Use Program i dipendenti delle</w:t>
      </w:r>
      <w:r>
        <w:rPr>
          <w:rFonts w:ascii="Tahoma" w:hAnsi="Tahoma" w:cs="Tahoma"/>
          <w:color w:val="000000"/>
          <w:sz w:val="18"/>
          <w:lang w:val="it-IT"/>
        </w:rPr>
        <w:t> </w:t>
      </w:r>
      <w:r w:rsidRPr="00D87B79">
        <w:rPr>
          <w:rFonts w:ascii="Tahoma" w:hAnsi="Tahoma" w:cs="Tahoma"/>
          <w:color w:val="000000"/>
          <w:sz w:val="18"/>
          <w:lang w:val="it-IT"/>
        </w:rPr>
        <w:t>società, che utilizzano le applicazioni con licenza qualificanti, potranno acquistare una licenza singola per il corrispondente software Home Use Program da installare su un computer domestico.</w:t>
      </w:r>
      <w:r w:rsidRPr="00D87B79">
        <w:rPr>
          <w:rFonts w:ascii="Tahoma" w:hAnsi="Tahoma" w:cs="Tahoma"/>
        </w:rPr>
        <w:t xml:space="preserve"> </w:t>
      </w:r>
      <w:r w:rsidRPr="00D87B79">
        <w:rPr>
          <w:rFonts w:ascii="Tahoma" w:hAnsi="Tahoma" w:cs="Tahoma"/>
          <w:color w:val="000000"/>
          <w:sz w:val="18"/>
          <w:lang w:val="it-IT"/>
        </w:rPr>
        <w:t>Le condizioni di licenza per tale</w:t>
      </w:r>
      <w:r>
        <w:rPr>
          <w:rFonts w:ascii="Tahoma" w:hAnsi="Tahoma" w:cs="Tahoma"/>
          <w:color w:val="000000"/>
          <w:sz w:val="18"/>
          <w:lang w:val="it-IT"/>
        </w:rPr>
        <w:t> </w:t>
      </w:r>
      <w:r w:rsidRPr="00D87B79">
        <w:rPr>
          <w:rFonts w:ascii="Tahoma" w:hAnsi="Tahoma" w:cs="Tahoma"/>
          <w:color w:val="000000"/>
          <w:sz w:val="18"/>
          <w:lang w:val="it-IT"/>
        </w:rPr>
        <w:t>software consentono all’utente principale del computer domestico di installare e utilizzare un’altra copia su un dispositivo portatile.</w:t>
      </w:r>
      <w:r w:rsidRPr="00D87B79">
        <w:rPr>
          <w:rFonts w:ascii="Tahoma" w:hAnsi="Tahoma" w:cs="Tahoma"/>
        </w:rPr>
        <w:t xml:space="preserve"> </w:t>
      </w:r>
      <w:r w:rsidRPr="00D87B79">
        <w:rPr>
          <w:rFonts w:ascii="Tahoma" w:hAnsi="Tahoma" w:cs="Tahoma"/>
          <w:color w:val="000000"/>
          <w:sz w:val="18"/>
          <w:lang w:val="it-IT"/>
        </w:rPr>
        <w:t>A condizione che i dipendenti ricevano in primo luogo le product key appropriate per Home Use</w:t>
      </w:r>
      <w:r>
        <w:rPr>
          <w:rFonts w:ascii="Tahoma" w:hAnsi="Tahoma" w:cs="Tahoma"/>
          <w:color w:val="000000"/>
          <w:sz w:val="18"/>
          <w:lang w:val="it-IT"/>
        </w:rPr>
        <w:t> </w:t>
      </w:r>
      <w:r w:rsidRPr="00D87B79">
        <w:rPr>
          <w:rFonts w:ascii="Tahoma" w:hAnsi="Tahoma" w:cs="Tahoma"/>
          <w:color w:val="000000"/>
          <w:sz w:val="18"/>
          <w:lang w:val="it-IT"/>
        </w:rPr>
        <w:t>Program da Microsoft, le società potranno consentire ai loro dipendenti di installare il software corrispondente per Home Use Program, acquistato dalle società dei rispettivi contratti Volume License, sui computer e i dispositivi portatili dei dipendenti presso la sede delle società.</w:t>
      </w:r>
      <w:r w:rsidRPr="00D87B79">
        <w:rPr>
          <w:rFonts w:ascii="Tahoma" w:hAnsi="Tahoma" w:cs="Tahoma"/>
        </w:rPr>
        <w:t xml:space="preserve"> </w:t>
      </w:r>
      <w:r w:rsidRPr="00D87B79">
        <w:rPr>
          <w:rFonts w:ascii="Tahoma" w:hAnsi="Tahoma" w:cs="Tahoma"/>
          <w:color w:val="000000"/>
          <w:sz w:val="18"/>
          <w:lang w:val="it-IT"/>
        </w:rPr>
        <w:t>Qualora una nuova versione sia rilasciata durante il periodo di</w:t>
      </w:r>
      <w:r>
        <w:rPr>
          <w:rFonts w:ascii="Tahoma" w:hAnsi="Tahoma" w:cs="Tahoma"/>
          <w:color w:val="000000"/>
          <w:sz w:val="18"/>
          <w:lang w:val="it-IT"/>
        </w:rPr>
        <w:t> </w:t>
      </w:r>
      <w:r w:rsidRPr="00D87B79">
        <w:rPr>
          <w:rFonts w:ascii="Tahoma" w:hAnsi="Tahoma" w:cs="Tahoma"/>
          <w:color w:val="000000"/>
          <w:sz w:val="18"/>
          <w:lang w:val="it-IT"/>
        </w:rPr>
        <w:t>utilizzo qualificato, gli utenti principali possono acquistare la versione più recente in sostituzione della versione attualmente installata.</w:t>
      </w:r>
      <w:r w:rsidRPr="00D87B79">
        <w:rPr>
          <w:rFonts w:ascii="Tahoma" w:hAnsi="Tahoma" w:cs="Tahoma"/>
        </w:rPr>
        <w:t xml:space="preserve"> </w:t>
      </w:r>
      <w:r w:rsidRPr="00D87B79">
        <w:rPr>
          <w:rFonts w:ascii="Tahoma" w:hAnsi="Tahoma" w:cs="Tahoma"/>
          <w:color w:val="000000"/>
          <w:sz w:val="18"/>
          <w:lang w:val="it-IT"/>
        </w:rPr>
        <w:t>Fare riferimento alla tabella o alle singole sezioni sui prodotti riportate di seguito per conoscere le applicazioni desktop che qualificano le società per la partecipazione al programma Home Use Program.</w:t>
      </w:r>
      <w:r w:rsidRPr="00D87B79">
        <w:rPr>
          <w:rFonts w:ascii="Tahoma" w:hAnsi="Tahoma" w:cs="Tahoma"/>
        </w:rPr>
        <w:t xml:space="preserve"> </w:t>
      </w:r>
      <w:r w:rsidRPr="00D87B79">
        <w:rPr>
          <w:rFonts w:ascii="Tahoma" w:hAnsi="Tahoma" w:cs="Tahoma"/>
          <w:color w:val="000000"/>
          <w:sz w:val="18"/>
          <w:lang w:val="it-IT"/>
        </w:rPr>
        <w:t>Le applicazioni desktop disponibili nel programma Home Use Program sono indicate anche nella tabella che segue*.</w:t>
      </w:r>
    </w:p>
    <w:p w:rsidR="00A92422" w:rsidRPr="00D87B79" w:rsidRDefault="00A92422" w:rsidP="00A92422">
      <w:pPr>
        <w:pStyle w:val="AppendixBodyText"/>
        <w:spacing w:after="0"/>
        <w:rPr>
          <w:rFonts w:ascii="Tahoma" w:hAnsi="Tahoma" w:cs="Tahoma"/>
        </w:rPr>
      </w:pPr>
    </w:p>
    <w:p w:rsidR="00A92422" w:rsidRPr="00D87B79" w:rsidRDefault="00A92422" w:rsidP="00A92422">
      <w:pPr>
        <w:pStyle w:val="AppendixFlushBulletedList"/>
        <w:tabs>
          <w:tab w:val="clear" w:pos="360"/>
        </w:tabs>
        <w:ind w:left="0" w:firstLine="0"/>
        <w:rPr>
          <w:rFonts w:ascii="Tahoma" w:hAnsi="Tahoma" w:cs="Tahoma"/>
        </w:rPr>
      </w:pPr>
      <w:r w:rsidRPr="00D87B79">
        <w:rPr>
          <w:rFonts w:ascii="Tahoma" w:hAnsi="Tahoma" w:cs="Tahoma"/>
          <w:sz w:val="18"/>
          <w:szCs w:val="18"/>
          <w:lang w:val="it-IT"/>
        </w:rPr>
        <w:t>L’idoneità delle società a partecipare al programma Home Use Program termina alla scadenza o alla risoluzione della</w:t>
      </w:r>
      <w:r>
        <w:rPr>
          <w:rFonts w:ascii="Tahoma" w:hAnsi="Tahoma" w:cs="Tahoma"/>
          <w:sz w:val="18"/>
          <w:szCs w:val="18"/>
          <w:lang w:val="it-IT"/>
        </w:rPr>
        <w:t> </w:t>
      </w:r>
      <w:r w:rsidRPr="00D87B79">
        <w:rPr>
          <w:rFonts w:ascii="Tahoma" w:hAnsi="Tahoma" w:cs="Tahoma"/>
          <w:sz w:val="18"/>
          <w:szCs w:val="18"/>
          <w:lang w:val="it-IT"/>
        </w:rPr>
        <w:t>copertura Software Assurance relativa alle applicazioni desktop qualificanti.</w:t>
      </w:r>
      <w:r w:rsidRPr="00D87B79">
        <w:rPr>
          <w:rFonts w:ascii="Tahoma" w:hAnsi="Tahoma" w:cs="Tahoma"/>
          <w:sz w:val="18"/>
          <w:szCs w:val="18"/>
        </w:rPr>
        <w:t xml:space="preserve"> </w:t>
      </w:r>
      <w:r w:rsidRPr="00D87B79">
        <w:rPr>
          <w:rFonts w:ascii="Tahoma" w:hAnsi="Tahoma" w:cs="Tahoma"/>
          <w:sz w:val="18"/>
          <w:szCs w:val="18"/>
          <w:lang w:val="it-IT"/>
        </w:rPr>
        <w:t>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w:t>
      </w:r>
      <w:r w:rsidRPr="00D87B79">
        <w:rPr>
          <w:rFonts w:ascii="Tahoma" w:hAnsi="Tahoma" w:cs="Tahoma"/>
          <w:sz w:val="18"/>
          <w:szCs w:val="18"/>
        </w:rPr>
        <w:t xml:space="preserve"> </w:t>
      </w:r>
    </w:p>
    <w:p w:rsidR="00A92422" w:rsidRPr="00A17DD9" w:rsidRDefault="00A92422" w:rsidP="00A92422">
      <w:pPr>
        <w:pStyle w:val="AppendixFlushBulletedList"/>
        <w:tabs>
          <w:tab w:val="clear" w:pos="360"/>
        </w:tabs>
        <w:ind w:left="0" w:firstLine="0"/>
        <w:rPr>
          <w:rFonts w:ascii="Tahoma" w:hAnsi="Tahoma" w:cs="Tahoma"/>
          <w:sz w:val="16"/>
          <w:szCs w:val="16"/>
        </w:rPr>
      </w:pPr>
    </w:p>
    <w:p w:rsidR="00A92422" w:rsidRPr="00D87B79" w:rsidRDefault="00A92422" w:rsidP="00A92422">
      <w:pPr>
        <w:pStyle w:val="AppendixFlushBulletedList"/>
        <w:tabs>
          <w:tab w:val="clear" w:pos="360"/>
        </w:tabs>
        <w:ind w:left="0" w:firstLine="0"/>
        <w:rPr>
          <w:rFonts w:ascii="Tahoma" w:hAnsi="Tahoma" w:cs="Tahoma"/>
        </w:rPr>
      </w:pPr>
      <w:r w:rsidRPr="00D87B79">
        <w:rPr>
          <w:rFonts w:ascii="Tahoma" w:hAnsi="Tahoma" w:cs="Tahoma"/>
          <w:sz w:val="18"/>
          <w:szCs w:val="18"/>
          <w:lang w:val="it-IT"/>
        </w:rPr>
        <w:t>Il numero di licenze Home Use Program acquistabili per qualsiasi applicazione desktop è limitato al numero di licenze per le corrispondenti applicazioni desktop qualificanti per le quali la società acquista Software Assurance.</w:t>
      </w:r>
      <w:r w:rsidRPr="00D87B79">
        <w:rPr>
          <w:rFonts w:ascii="Tahoma" w:hAnsi="Tahoma" w:cs="Tahoma"/>
        </w:rPr>
        <w:t xml:space="preserve"> </w:t>
      </w:r>
      <w:r w:rsidRPr="00D87B79">
        <w:rPr>
          <w:rFonts w:ascii="Tahoma" w:hAnsi="Tahoma" w:cs="Tahoma"/>
          <w:sz w:val="18"/>
          <w:lang w:val="it-IT"/>
        </w:rPr>
        <w:t>Ai sensi del</w:t>
      </w:r>
      <w:r>
        <w:rPr>
          <w:rFonts w:ascii="Tahoma" w:hAnsi="Tahoma" w:cs="Tahoma"/>
          <w:sz w:val="18"/>
          <w:lang w:val="it-IT"/>
        </w:rPr>
        <w:t> </w:t>
      </w:r>
      <w:r w:rsidRPr="00D87B79">
        <w:rPr>
          <w:rFonts w:ascii="Tahoma" w:hAnsi="Tahoma" w:cs="Tahoma"/>
          <w:sz w:val="18"/>
          <w:lang w:val="it-IT"/>
        </w:rPr>
        <w:t>programma Home Use Program i diritti sull’utilizzo concessi a una società sono collegati alla continuazione del</w:t>
      </w:r>
      <w:r>
        <w:rPr>
          <w:rFonts w:ascii="Tahoma" w:hAnsi="Tahoma" w:cs="Tahoma"/>
          <w:sz w:val="18"/>
          <w:lang w:val="it-IT"/>
        </w:rPr>
        <w:t> </w:t>
      </w:r>
      <w:r w:rsidRPr="00D87B79">
        <w:rPr>
          <w:rFonts w:ascii="Tahoma" w:hAnsi="Tahoma" w:cs="Tahoma"/>
          <w:sz w:val="18"/>
          <w:lang w:val="it-IT"/>
        </w:rPr>
        <w:t>rapporto di lavoro con la Società e terminano con la risoluzione del rapporto di lavoro, con la risoluzione o la scadenza della copertura Software Assurance per la copia dell’applicazione desktop corrispondente che il dipendente utilizza in ufficio, quando il dipendente non usa più la copia con licenza del software o in occasione dell’installazione e</w:t>
      </w:r>
      <w:r>
        <w:rPr>
          <w:rFonts w:ascii="Tahoma" w:hAnsi="Tahoma" w:cs="Tahoma"/>
          <w:sz w:val="18"/>
          <w:lang w:val="it-IT"/>
        </w:rPr>
        <w:t> </w:t>
      </w:r>
      <w:r w:rsidRPr="00D87B79">
        <w:rPr>
          <w:rFonts w:ascii="Tahoma" w:hAnsi="Tahoma" w:cs="Tahoma"/>
          <w:sz w:val="18"/>
          <w:lang w:val="it-IT"/>
        </w:rPr>
        <w:t>dell’impiego da parte del dipendente di una versione precedente o successiva dell’applicazione desktop in</w:t>
      </w:r>
      <w:r>
        <w:rPr>
          <w:rFonts w:ascii="Tahoma" w:hAnsi="Tahoma" w:cs="Tahoma"/>
          <w:sz w:val="18"/>
          <w:lang w:val="it-IT"/>
        </w:rPr>
        <w:t> </w:t>
      </w:r>
      <w:r w:rsidRPr="00D87B79">
        <w:rPr>
          <w:rFonts w:ascii="Tahoma" w:hAnsi="Tahoma" w:cs="Tahoma"/>
          <w:sz w:val="18"/>
          <w:lang w:val="it-IT"/>
        </w:rPr>
        <w:t>conformità alla licenza Home Use Program.</w:t>
      </w:r>
    </w:p>
    <w:p w:rsidR="00A92422" w:rsidRPr="00A17DD9" w:rsidRDefault="00A92422" w:rsidP="00A92422">
      <w:pPr>
        <w:pStyle w:val="AppendixFlushBulletedList"/>
        <w:tabs>
          <w:tab w:val="clear" w:pos="360"/>
        </w:tabs>
        <w:ind w:left="0" w:firstLine="0"/>
        <w:rPr>
          <w:rFonts w:ascii="Tahoma" w:hAnsi="Tahoma" w:cs="Tahoma"/>
          <w:sz w:val="16"/>
          <w:szCs w:val="16"/>
        </w:rPr>
      </w:pPr>
    </w:p>
    <w:p w:rsidR="00A92422" w:rsidRPr="00D87B79" w:rsidRDefault="00A92422" w:rsidP="00A92422">
      <w:pPr>
        <w:pStyle w:val="AppendixFlushBulletedList"/>
        <w:tabs>
          <w:tab w:val="clear" w:pos="360"/>
        </w:tabs>
        <w:ind w:left="0" w:firstLine="0"/>
        <w:rPr>
          <w:rFonts w:ascii="Tahoma" w:hAnsi="Tahoma" w:cs="Tahoma"/>
        </w:rPr>
      </w:pPr>
      <w:r w:rsidRPr="00D87B79">
        <w:rPr>
          <w:rFonts w:ascii="Tahoma" w:hAnsi="Tahoma" w:cs="Tahoma"/>
          <w:sz w:val="18"/>
          <w:szCs w:val="18"/>
          <w:lang w:val="it-IT"/>
        </w:rPr>
        <w:lastRenderedPageBreak/>
        <w:t>Le società non sono responsabili della conformità dei singoli dipendenti alle condizioni di licenza con l’utente finale per il programma Home Use Program.</w:t>
      </w:r>
      <w:r w:rsidRPr="00D87B79">
        <w:rPr>
          <w:rFonts w:ascii="Tahoma" w:hAnsi="Tahoma" w:cs="Tahoma"/>
          <w:sz w:val="18"/>
          <w:szCs w:val="18"/>
        </w:rPr>
        <w:t xml:space="preserve"> </w:t>
      </w:r>
      <w:r w:rsidRPr="00D87B79">
        <w:rPr>
          <w:rFonts w:ascii="Tahoma" w:hAnsi="Tahoma" w:cs="Tahoma"/>
          <w:sz w:val="18"/>
          <w:szCs w:val="18"/>
          <w:lang w:val="it-IT"/>
        </w:rPr>
        <w:t>Tali condizioni vengono stipulate tra Microsoft e il dipendente della società e</w:t>
      </w:r>
      <w:r>
        <w:rPr>
          <w:rFonts w:ascii="Tahoma" w:hAnsi="Tahoma" w:cs="Tahoma"/>
          <w:sz w:val="18"/>
          <w:szCs w:val="18"/>
          <w:lang w:val="it-IT"/>
        </w:rPr>
        <w:t> </w:t>
      </w:r>
      <w:r w:rsidRPr="00D87B79">
        <w:rPr>
          <w:rFonts w:ascii="Tahoma" w:hAnsi="Tahoma" w:cs="Tahoma"/>
          <w:sz w:val="18"/>
          <w:szCs w:val="18"/>
          <w:lang w:val="it-IT"/>
        </w:rPr>
        <w:t>sono diverse dai diritti offerti ai sensi dei contratti Volume Licensing delle società, ad esempio il dipendente potrà installare solo una copia del software HUP.</w:t>
      </w:r>
      <w:r w:rsidRPr="00D87B79">
        <w:rPr>
          <w:rFonts w:ascii="Tahoma" w:hAnsi="Tahoma" w:cs="Tahoma"/>
        </w:rPr>
        <w:t xml:space="preserve"> </w:t>
      </w:r>
      <w:r w:rsidRPr="00D87B79">
        <w:rPr>
          <w:rFonts w:ascii="Tahoma" w:hAnsi="Tahoma" w:cs="Tahoma"/>
          <w:sz w:val="18"/>
          <w:lang w:val="it-IT"/>
        </w:rPr>
        <w:t>Microsoft invita le società a limitare l’accesso al programma Home Use Program ai dipendenti e a informare tali dipendenti che dovranno interrompere l’utilizzo del software Home Use Program alla scadenza della copertura Software Assurance o alla risoluzione del rapporto di lavoro.</w:t>
      </w:r>
    </w:p>
    <w:p w:rsidR="00A92422" w:rsidRPr="00A17DD9" w:rsidRDefault="00A92422" w:rsidP="00A92422">
      <w:pPr>
        <w:pStyle w:val="AppendixFlushBulletedList"/>
        <w:tabs>
          <w:tab w:val="clear" w:pos="360"/>
        </w:tabs>
        <w:ind w:left="0" w:firstLine="0"/>
        <w:rPr>
          <w:rFonts w:ascii="Tahoma" w:hAnsi="Tahoma" w:cs="Tahoma"/>
          <w:sz w:val="16"/>
          <w:szCs w:val="16"/>
        </w:rPr>
      </w:pPr>
    </w:p>
    <w:p w:rsidR="00A92422" w:rsidRPr="00D87B79" w:rsidRDefault="00A92422" w:rsidP="00A92422">
      <w:pPr>
        <w:rPr>
          <w:rFonts w:cs="Tahoma"/>
        </w:rPr>
      </w:pPr>
      <w:r w:rsidRPr="00D87B79">
        <w:rPr>
          <w:rFonts w:cs="Tahoma"/>
          <w:color w:val="000000"/>
          <w:szCs w:val="18"/>
          <w:lang w:val="it-IT"/>
        </w:rPr>
        <w:t>La partecipazione al programma potrà implicare il pagamento di alcune imposte da parte della società e dei suoi dipendenti.</w:t>
      </w:r>
      <w:r w:rsidRPr="00D87B79">
        <w:rPr>
          <w:rFonts w:cs="Tahoma"/>
          <w:color w:val="000000"/>
          <w:szCs w:val="18"/>
        </w:rPr>
        <w:t xml:space="preserve"> </w:t>
      </w:r>
      <w:r w:rsidRPr="00D87B79">
        <w:rPr>
          <w:rFonts w:cs="Tahoma"/>
          <w:color w:val="000000"/>
          <w:szCs w:val="18"/>
          <w:lang w:val="it-IT"/>
        </w:rPr>
        <w:t>La società potrà desiderare di rivolgersi a un consulente fiscale prima di utilizzare tale vantaggio.</w:t>
      </w:r>
      <w:r w:rsidRPr="00D87B79">
        <w:rPr>
          <w:rFonts w:cs="Tahoma"/>
        </w:rPr>
        <w:t xml:space="preserve"> </w:t>
      </w:r>
      <w:r w:rsidRPr="00D87B79">
        <w:rPr>
          <w:rFonts w:cs="Tahoma"/>
          <w:color w:val="000000"/>
          <w:lang w:val="it-IT"/>
        </w:rPr>
        <w:t>Microsoft non si assume alcuna responsabilità riguardo alla conformità alle obbligazioni che la società o i suoi dipendenti potranno avere circa la relazione rapporto di lavoro-vantaggio, le imposte o le segnalazioni.</w:t>
      </w:r>
    </w:p>
    <w:p w:rsidR="00A92422" w:rsidRPr="00D87B79" w:rsidRDefault="00A92422" w:rsidP="00A92422">
      <w:pPr>
        <w:rPr>
          <w:rFonts w:cs="Tahoma"/>
        </w:rPr>
      </w:pPr>
      <w:r w:rsidRPr="00D87B79">
        <w:rPr>
          <w:rFonts w:cs="Tahoma"/>
          <w:lang w:val="it-IT"/>
        </w:rPr>
        <w:t>Ulteriori condizioni che si applicano ai dipendenti che risiedono in Nuova Zelanda sono stabilite di seguito,</w:t>
      </w:r>
    </w:p>
    <w:p w:rsidR="00A92422" w:rsidRPr="00A17DD9" w:rsidRDefault="00A92422" w:rsidP="00A92422">
      <w:pPr>
        <w:spacing w:afterLines="60" w:after="144"/>
        <w:rPr>
          <w:rFonts w:cs="Tahoma"/>
          <w:sz w:val="16"/>
          <w:szCs w:val="16"/>
        </w:rPr>
      </w:pPr>
    </w:p>
    <w:p w:rsidR="00A92422" w:rsidRPr="00D87B79" w:rsidRDefault="00A92422" w:rsidP="00A92422">
      <w:pPr>
        <w:numPr>
          <w:ilvl w:val="0"/>
          <w:numId w:val="19"/>
        </w:numPr>
        <w:tabs>
          <w:tab w:val="left" w:pos="1440"/>
        </w:tabs>
        <w:spacing w:afterLines="60" w:after="144"/>
        <w:ind w:left="1440"/>
        <w:rPr>
          <w:rFonts w:cs="Tahoma"/>
        </w:rPr>
      </w:pPr>
      <w:r w:rsidRPr="00D87B79">
        <w:rPr>
          <w:rFonts w:cs="Tahoma"/>
          <w:lang w:val="it-IT"/>
        </w:rPr>
        <w:t>Le società non dovranno richiedere alcun pagamento o compenso ai dipendenti in relazione all’HUP</w:t>
      </w:r>
      <w:r>
        <w:rPr>
          <w:rFonts w:cs="Tahoma"/>
          <w:lang w:val="it-IT"/>
        </w:rPr>
        <w:t> </w:t>
      </w:r>
      <w:r w:rsidRPr="00D87B79">
        <w:rPr>
          <w:rFonts w:cs="Tahoma"/>
          <w:lang w:val="it-IT"/>
        </w:rPr>
        <w:t>né dovranno svolgere o omettere di svolgere azioni che avrebbero come conseguenza l’aumento del costo totale dei vantaggi HUP per qualsiasi dipendente residente in Nuova Zelanda al</w:t>
      </w:r>
      <w:r>
        <w:rPr>
          <w:rFonts w:cs="Tahoma"/>
          <w:lang w:val="it-IT"/>
        </w:rPr>
        <w:t> </w:t>
      </w:r>
      <w:r w:rsidRPr="00D87B79">
        <w:rPr>
          <w:rFonts w:cs="Tahoma"/>
          <w:lang w:val="it-IT"/>
        </w:rPr>
        <w:t>di là di qualsiasi importo addebitato da Microsoft.</w:t>
      </w:r>
      <w:r w:rsidRPr="00D87B79">
        <w:rPr>
          <w:rFonts w:cs="Tahoma"/>
        </w:rPr>
        <w:t xml:space="preserve"> </w:t>
      </w:r>
    </w:p>
    <w:p w:rsidR="00A92422" w:rsidRPr="00D87B79" w:rsidRDefault="00A92422" w:rsidP="00A92422">
      <w:pPr>
        <w:numPr>
          <w:ilvl w:val="0"/>
          <w:numId w:val="19"/>
        </w:numPr>
        <w:tabs>
          <w:tab w:val="left" w:pos="1440"/>
        </w:tabs>
        <w:spacing w:afterLines="60" w:after="144"/>
        <w:ind w:left="1440"/>
        <w:rPr>
          <w:rFonts w:cs="Tahoma"/>
        </w:rPr>
      </w:pPr>
      <w:r w:rsidRPr="00D87B79">
        <w:rPr>
          <w:rFonts w:cs="Tahoma"/>
          <w:lang w:val="it-IT"/>
        </w:rPr>
        <w:t>Le società dovranno indennizzare e garantire che Microsoft e le relative consociate siano indennizzate e sollevate da qualsiasi costo, spesa, perdita o danno riportato da Microsoft o dalle sue consociate derivante dalla mancata conformità alle obbligazioni previste nella presente sezione.</w:t>
      </w:r>
      <w:r w:rsidRPr="00D87B79">
        <w:rPr>
          <w:rFonts w:cs="Tahoma"/>
        </w:rPr>
        <w:t xml:space="preserve"> </w:t>
      </w:r>
    </w:p>
    <w:p w:rsidR="00A92422" w:rsidRPr="00A17DD9" w:rsidRDefault="00A92422" w:rsidP="00A92422">
      <w:pPr>
        <w:rPr>
          <w:rFonts w:cs="Tahoma"/>
          <w:sz w:val="16"/>
          <w:szCs w:val="16"/>
        </w:rPr>
      </w:pPr>
    </w:p>
    <w:p w:rsidR="00A92422" w:rsidRPr="00D87B79" w:rsidRDefault="00A92422" w:rsidP="00A92422">
      <w:pPr>
        <w:rPr>
          <w:rFonts w:cs="Tahoma"/>
        </w:rPr>
      </w:pPr>
      <w:r w:rsidRPr="00D87B79">
        <w:rPr>
          <w:rFonts w:cs="Tahoma"/>
          <w:szCs w:val="18"/>
          <w:lang w:val="it-IT"/>
        </w:rPr>
        <w:t>L’elenco di applicazioni desktop qualificanti è soggetto a modifica in qualsiasi momento e senza alcuna comunicazione e varia in base alla regione o all’offerta.</w:t>
      </w:r>
      <w:r w:rsidRPr="00D87B79">
        <w:rPr>
          <w:rFonts w:cs="Tahoma"/>
        </w:rPr>
        <w:t xml:space="preserve"> </w:t>
      </w:r>
      <w:r w:rsidRPr="00D87B79">
        <w:rPr>
          <w:rFonts w:cs="Tahoma"/>
          <w:lang w:val="it-IT"/>
        </w:rPr>
        <w:t>La disponibilità del software Home Use Program è soggetta a modifica in</w:t>
      </w:r>
      <w:r>
        <w:rPr>
          <w:rFonts w:cs="Tahoma"/>
          <w:lang w:val="it-IT"/>
        </w:rPr>
        <w:t> </w:t>
      </w:r>
      <w:r w:rsidRPr="00D87B79">
        <w:rPr>
          <w:rFonts w:cs="Tahoma"/>
          <w:lang w:val="it-IT"/>
        </w:rPr>
        <w:t>qualsiasi momento e senza alcuna comunicazione e varia in base alla regione, all’offerta, all’applicazione, alla</w:t>
      </w:r>
      <w:r>
        <w:rPr>
          <w:rFonts w:cs="Tahoma"/>
          <w:lang w:val="it-IT"/>
        </w:rPr>
        <w:t> </w:t>
      </w:r>
      <w:r w:rsidRPr="00D87B79">
        <w:rPr>
          <w:rFonts w:cs="Tahoma"/>
          <w:lang w:val="it-IT"/>
        </w:rPr>
        <w:t>versione e alla lingua.</w:t>
      </w:r>
    </w:p>
    <w:p w:rsidR="00A92422" w:rsidRPr="00A17DD9" w:rsidRDefault="00A92422" w:rsidP="00A92422">
      <w:pPr>
        <w:rPr>
          <w:rFonts w:cs="Tahoma"/>
          <w:sz w:val="16"/>
          <w:szCs w:val="16"/>
        </w:rPr>
      </w:pPr>
    </w:p>
    <w:p w:rsidR="00A92422" w:rsidRPr="00D87B79" w:rsidRDefault="00A92422" w:rsidP="00A92422">
      <w:pPr>
        <w:rPr>
          <w:rFonts w:cs="Tahoma"/>
        </w:rPr>
      </w:pPr>
      <w:r w:rsidRPr="00D87B79">
        <w:rPr>
          <w:rFonts w:cs="Tahoma"/>
          <w:lang w:val="it-IT"/>
        </w:rPr>
        <w:t>In Microsoft Office Professional Plus HUP sono inclusi i seguenti programmi Microsoft Office:</w:t>
      </w:r>
    </w:p>
    <w:p w:rsidR="00A92422" w:rsidRPr="00A17DD9" w:rsidRDefault="00A92422" w:rsidP="00A92422">
      <w:pPr>
        <w:rPr>
          <w:rFonts w:cs="Tahoma"/>
          <w:sz w:val="16"/>
          <w:szCs w:val="16"/>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A92422" w:rsidRPr="00D87B79" w:rsidTr="00EA30FC">
        <w:trPr>
          <w:trHeight w:val="60"/>
        </w:trPr>
        <w:tc>
          <w:tcPr>
            <w:tcW w:w="4437" w:type="dxa"/>
            <w:shd w:val="clear" w:color="auto" w:fill="FABF8F"/>
            <w:tcMar>
              <w:top w:w="0" w:type="dxa"/>
              <w:left w:w="108" w:type="dxa"/>
              <w:bottom w:w="0" w:type="dxa"/>
              <w:right w:w="108" w:type="dxa"/>
            </w:tcMar>
            <w:vAlign w:val="center"/>
          </w:tcPr>
          <w:p w:rsidR="00A92422" w:rsidRPr="00D87B79" w:rsidRDefault="00A92422" w:rsidP="00EA30FC">
            <w:pPr>
              <w:pStyle w:val="appendixtableheadings0"/>
              <w:rPr>
                <w:rFonts w:ascii="Tahoma" w:hAnsi="Tahoma" w:cs="Tahoma"/>
              </w:rPr>
            </w:pPr>
            <w:r w:rsidRPr="00D87B79">
              <w:rPr>
                <w:rFonts w:ascii="Tahoma" w:hAnsi="Tahoma" w:cs="Tahoma"/>
                <w:color w:val="000000"/>
                <w:sz w:val="20"/>
                <w:lang w:val="it-IT"/>
              </w:rPr>
              <w:t>Componenti Office Professional Plus</w:t>
            </w:r>
            <w:r>
              <w:rPr>
                <w:rFonts w:ascii="Tahoma" w:hAnsi="Tahoma" w:cs="Tahoma"/>
                <w:color w:val="000000"/>
                <w:sz w:val="20"/>
                <w:lang w:val="it-IT"/>
              </w:rPr>
              <w:t> </w:t>
            </w:r>
            <w:r w:rsidRPr="00D87B79">
              <w:rPr>
                <w:rFonts w:ascii="Tahoma" w:hAnsi="Tahoma" w:cs="Tahoma"/>
                <w:color w:val="000000"/>
                <w:sz w:val="20"/>
                <w:lang w:val="it-IT"/>
              </w:rPr>
              <w:t>per</w:t>
            </w:r>
            <w:r>
              <w:rPr>
                <w:rFonts w:ascii="Tahoma" w:hAnsi="Tahoma" w:cs="Tahoma"/>
                <w:color w:val="000000"/>
                <w:sz w:val="20"/>
                <w:lang w:val="it-IT"/>
              </w:rPr>
              <w:t> </w:t>
            </w:r>
            <w:r w:rsidRPr="00D87B79">
              <w:rPr>
                <w:rFonts w:ascii="Tahoma" w:hAnsi="Tahoma" w:cs="Tahoma"/>
                <w:color w:val="000000"/>
                <w:sz w:val="20"/>
                <w:lang w:val="it-IT"/>
              </w:rPr>
              <w:t>HUP</w:t>
            </w:r>
            <w:r w:rsidRPr="00D87B79">
              <w:rPr>
                <w:rFonts w:ascii="Tahoma" w:hAnsi="Tahoma" w:cs="Tahoma"/>
              </w:rPr>
              <w:t xml:space="preserve"> </w:t>
            </w:r>
          </w:p>
          <w:p w:rsidR="00A92422" w:rsidRPr="00D87B79" w:rsidRDefault="00A92422" w:rsidP="00EA30FC">
            <w:pPr>
              <w:pStyle w:val="appendixtableheadings0"/>
              <w:rPr>
                <w:rFonts w:ascii="Tahoma" w:hAnsi="Tahoma" w:cs="Tahoma"/>
                <w:color w:val="000000"/>
                <w:sz w:val="20"/>
                <w:szCs w:val="20"/>
              </w:rPr>
            </w:pPr>
          </w:p>
        </w:tc>
      </w:tr>
      <w:tr w:rsidR="00A92422" w:rsidRPr="00D87B79" w:rsidTr="00EA30FC">
        <w:trPr>
          <w:trHeight w:val="438"/>
        </w:trPr>
        <w:tc>
          <w:tcPr>
            <w:tcW w:w="4437" w:type="dxa"/>
            <w:tcMar>
              <w:top w:w="0" w:type="dxa"/>
              <w:left w:w="108" w:type="dxa"/>
              <w:bottom w:w="0" w:type="dxa"/>
              <w:right w:w="108" w:type="dxa"/>
            </w:tcMar>
            <w:vAlign w:val="center"/>
          </w:tcPr>
          <w:p w:rsidR="00A92422" w:rsidRPr="00D87B79" w:rsidRDefault="00A92422" w:rsidP="00EA30FC">
            <w:pPr>
              <w:pStyle w:val="appendixtabletext0"/>
              <w:rPr>
                <w:rFonts w:ascii="Tahoma" w:hAnsi="Tahoma" w:cs="Tahoma"/>
              </w:rPr>
            </w:pPr>
            <w:r w:rsidRPr="00D87B79">
              <w:rPr>
                <w:rFonts w:ascii="Tahoma" w:hAnsi="Tahoma" w:cs="Tahoma"/>
                <w:color w:val="000000"/>
                <w:lang w:val="it-IT"/>
              </w:rPr>
              <w:t>Word 2013</w:t>
            </w:r>
          </w:p>
          <w:p w:rsidR="00A92422" w:rsidRPr="00D87B79" w:rsidRDefault="00A92422" w:rsidP="00EA30FC">
            <w:pPr>
              <w:pStyle w:val="appendixtabletext0"/>
              <w:rPr>
                <w:rFonts w:ascii="Tahoma" w:hAnsi="Tahoma" w:cs="Tahoma"/>
              </w:rPr>
            </w:pPr>
            <w:r w:rsidRPr="00D87B79">
              <w:rPr>
                <w:rFonts w:ascii="Tahoma" w:hAnsi="Tahoma" w:cs="Tahoma"/>
                <w:color w:val="000000"/>
                <w:lang w:val="it-IT"/>
              </w:rPr>
              <w:t>Excel</w:t>
            </w:r>
            <w:r w:rsidRPr="003A0F2F">
              <w:rPr>
                <w:rFonts w:ascii="Tahoma" w:hAnsi="Tahoma" w:cs="Tahoma"/>
                <w:color w:val="000000"/>
                <w:vertAlign w:val="superscript"/>
                <w:lang w:val="it-IT"/>
              </w:rPr>
              <w:t>®</w:t>
            </w:r>
            <w:r w:rsidRPr="00D87B79">
              <w:rPr>
                <w:rFonts w:ascii="Tahoma" w:hAnsi="Tahoma" w:cs="Tahoma"/>
                <w:color w:val="000000"/>
                <w:lang w:val="it-IT"/>
              </w:rPr>
              <w:t xml:space="preserve"> 2013</w:t>
            </w:r>
          </w:p>
          <w:p w:rsidR="00A92422" w:rsidRPr="00D87B79" w:rsidRDefault="00A92422" w:rsidP="00EA30FC">
            <w:pPr>
              <w:pStyle w:val="appendixtabletext0"/>
              <w:rPr>
                <w:rFonts w:ascii="Tahoma" w:hAnsi="Tahoma" w:cs="Tahoma"/>
              </w:rPr>
            </w:pPr>
            <w:r w:rsidRPr="00D87B79">
              <w:rPr>
                <w:rFonts w:ascii="Tahoma" w:hAnsi="Tahoma" w:cs="Tahoma"/>
                <w:color w:val="000000"/>
                <w:lang w:val="it-IT"/>
              </w:rPr>
              <w:t>PowerPoint</w:t>
            </w:r>
            <w:r w:rsidRPr="003A0F2F">
              <w:rPr>
                <w:rFonts w:ascii="Tahoma" w:hAnsi="Tahoma" w:cs="Tahoma"/>
                <w:color w:val="000000"/>
                <w:vertAlign w:val="superscript"/>
                <w:lang w:val="it-IT"/>
              </w:rPr>
              <w:t>®</w:t>
            </w:r>
            <w:r w:rsidRPr="00D87B79">
              <w:rPr>
                <w:rFonts w:ascii="Tahoma" w:hAnsi="Tahoma" w:cs="Tahoma"/>
                <w:color w:val="000000"/>
                <w:lang w:val="it-IT"/>
              </w:rPr>
              <w:t xml:space="preserve"> 2013</w:t>
            </w:r>
          </w:p>
          <w:p w:rsidR="00A92422" w:rsidRPr="00D87B79" w:rsidRDefault="00A92422" w:rsidP="00EA30FC">
            <w:pPr>
              <w:pStyle w:val="appendixtabletext0"/>
              <w:rPr>
                <w:rFonts w:ascii="Tahoma" w:hAnsi="Tahoma" w:cs="Tahoma"/>
              </w:rPr>
            </w:pPr>
            <w:r w:rsidRPr="00D87B79">
              <w:rPr>
                <w:rFonts w:ascii="Tahoma" w:hAnsi="Tahoma" w:cs="Tahoma"/>
                <w:color w:val="000000"/>
                <w:lang w:val="it-IT"/>
              </w:rPr>
              <w:t>Outlook</w:t>
            </w:r>
            <w:r w:rsidRPr="003A0F2F">
              <w:rPr>
                <w:rFonts w:ascii="Tahoma" w:hAnsi="Tahoma" w:cs="Tahoma"/>
                <w:color w:val="000000"/>
                <w:vertAlign w:val="superscript"/>
                <w:lang w:val="it-IT"/>
              </w:rPr>
              <w:t>®</w:t>
            </w:r>
            <w:r w:rsidRPr="00D87B79">
              <w:rPr>
                <w:rFonts w:ascii="Tahoma" w:hAnsi="Tahoma" w:cs="Tahoma"/>
                <w:color w:val="000000"/>
                <w:lang w:val="it-IT"/>
              </w:rPr>
              <w:t xml:space="preserve"> 2013</w:t>
            </w:r>
          </w:p>
          <w:p w:rsidR="00A92422" w:rsidRPr="00D87B79" w:rsidRDefault="00A92422" w:rsidP="00EA30FC">
            <w:pPr>
              <w:pStyle w:val="appendixtabletext0"/>
              <w:rPr>
                <w:rFonts w:ascii="Tahoma" w:hAnsi="Tahoma" w:cs="Tahoma"/>
              </w:rPr>
            </w:pPr>
            <w:r w:rsidRPr="00D87B79">
              <w:rPr>
                <w:rFonts w:ascii="Tahoma" w:hAnsi="Tahoma" w:cs="Tahoma"/>
                <w:color w:val="000000"/>
                <w:lang w:val="it-IT"/>
              </w:rPr>
              <w:t>Publisher 2013</w:t>
            </w:r>
          </w:p>
          <w:p w:rsidR="00A92422" w:rsidRPr="00D87B79" w:rsidRDefault="00A92422" w:rsidP="00EA30FC">
            <w:pPr>
              <w:pStyle w:val="appendixtabletext0"/>
              <w:rPr>
                <w:rFonts w:ascii="Tahoma" w:hAnsi="Tahoma" w:cs="Tahoma"/>
              </w:rPr>
            </w:pPr>
            <w:r w:rsidRPr="00D87B79">
              <w:rPr>
                <w:rFonts w:ascii="Tahoma" w:hAnsi="Tahoma" w:cs="Tahoma"/>
                <w:color w:val="000000"/>
                <w:lang w:val="it-IT"/>
              </w:rPr>
              <w:t>Access</w:t>
            </w:r>
            <w:r w:rsidRPr="003A0F2F">
              <w:rPr>
                <w:rFonts w:ascii="Tahoma" w:hAnsi="Tahoma" w:cs="Tahoma"/>
                <w:color w:val="000000"/>
                <w:vertAlign w:val="superscript"/>
                <w:lang w:val="it-IT"/>
              </w:rPr>
              <w:t>®</w:t>
            </w:r>
            <w:r w:rsidRPr="00D87B79">
              <w:rPr>
                <w:rFonts w:ascii="Tahoma" w:hAnsi="Tahoma" w:cs="Tahoma"/>
                <w:color w:val="000000"/>
                <w:lang w:val="it-IT"/>
              </w:rPr>
              <w:t xml:space="preserve"> 2013</w:t>
            </w:r>
          </w:p>
          <w:p w:rsidR="00A92422" w:rsidRPr="00D87B79" w:rsidRDefault="00A92422" w:rsidP="00EA30FC">
            <w:pPr>
              <w:pStyle w:val="appendixtabletext0"/>
              <w:rPr>
                <w:rFonts w:ascii="Tahoma" w:hAnsi="Tahoma" w:cs="Tahoma"/>
              </w:rPr>
            </w:pPr>
            <w:r w:rsidRPr="00D87B79">
              <w:rPr>
                <w:rFonts w:ascii="Tahoma" w:hAnsi="Tahoma" w:cs="Tahoma"/>
                <w:color w:val="000000"/>
                <w:lang w:val="it-IT"/>
              </w:rPr>
              <w:t>OneNote</w:t>
            </w:r>
            <w:r w:rsidRPr="003A0F2F">
              <w:rPr>
                <w:rFonts w:ascii="Tahoma" w:hAnsi="Tahoma" w:cs="Tahoma"/>
                <w:color w:val="000000"/>
                <w:vertAlign w:val="superscript"/>
                <w:lang w:val="it-IT"/>
              </w:rPr>
              <w:t>®</w:t>
            </w:r>
            <w:r w:rsidRPr="00D87B79">
              <w:rPr>
                <w:rFonts w:ascii="Tahoma" w:hAnsi="Tahoma" w:cs="Tahoma"/>
                <w:color w:val="000000"/>
                <w:lang w:val="it-IT"/>
              </w:rPr>
              <w:t xml:space="preserve"> 2013</w:t>
            </w:r>
          </w:p>
          <w:p w:rsidR="00A92422" w:rsidRPr="00D87B79" w:rsidRDefault="00A92422" w:rsidP="00EA30FC">
            <w:pPr>
              <w:pStyle w:val="appendixtabletext0"/>
              <w:rPr>
                <w:rFonts w:ascii="Tahoma" w:hAnsi="Tahoma" w:cs="Tahoma"/>
              </w:rPr>
            </w:pPr>
            <w:r w:rsidRPr="00D87B79">
              <w:rPr>
                <w:rFonts w:ascii="Tahoma" w:hAnsi="Tahoma" w:cs="Tahoma"/>
                <w:color w:val="000000"/>
                <w:lang w:val="it-IT"/>
              </w:rPr>
              <w:t>InfoPath</w:t>
            </w:r>
            <w:r w:rsidRPr="003A0F2F">
              <w:rPr>
                <w:rFonts w:ascii="Tahoma" w:hAnsi="Tahoma" w:cs="Tahoma"/>
                <w:color w:val="000000"/>
                <w:vertAlign w:val="superscript"/>
                <w:lang w:val="it-IT"/>
              </w:rPr>
              <w:t>®</w:t>
            </w:r>
            <w:r w:rsidRPr="00D87B79">
              <w:rPr>
                <w:rFonts w:ascii="Tahoma" w:hAnsi="Tahoma" w:cs="Tahoma"/>
                <w:color w:val="000000"/>
                <w:lang w:val="it-IT"/>
              </w:rPr>
              <w:t xml:space="preserve"> 2013</w:t>
            </w:r>
          </w:p>
          <w:p w:rsidR="00A92422" w:rsidRPr="00D87B79" w:rsidRDefault="00A92422" w:rsidP="00EA30FC">
            <w:pPr>
              <w:pStyle w:val="appendixtabletext0"/>
              <w:rPr>
                <w:rFonts w:ascii="Tahoma" w:hAnsi="Tahoma" w:cs="Tahoma"/>
              </w:rPr>
            </w:pPr>
            <w:r w:rsidRPr="00D87B79">
              <w:rPr>
                <w:rFonts w:ascii="Tahoma" w:hAnsi="Tahoma" w:cs="Tahoma"/>
                <w:color w:val="000000"/>
                <w:lang w:val="it-IT"/>
              </w:rPr>
              <w:t>Lync 2013</w:t>
            </w:r>
          </w:p>
          <w:p w:rsidR="00A92422" w:rsidRPr="00D87B79" w:rsidRDefault="00A92422" w:rsidP="00EA30FC">
            <w:pPr>
              <w:pStyle w:val="appendixtabletext0"/>
              <w:rPr>
                <w:rFonts w:ascii="Tahoma" w:hAnsi="Tahoma" w:cs="Tahoma"/>
                <w:color w:val="000000"/>
              </w:rPr>
            </w:pPr>
          </w:p>
        </w:tc>
      </w:tr>
    </w:tbl>
    <w:p w:rsidR="00A92422" w:rsidRPr="00D87B79" w:rsidRDefault="00A92422" w:rsidP="00A92422">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A92422" w:rsidRPr="00D87B79" w:rsidTr="00EA30FC">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A92422" w:rsidRPr="00D87B79" w:rsidRDefault="00A92422" w:rsidP="00EA30FC">
            <w:pPr>
              <w:pStyle w:val="appendixtableheadings0"/>
              <w:rPr>
                <w:rFonts w:ascii="Tahoma" w:hAnsi="Tahoma" w:cs="Tahoma"/>
                <w:color w:val="000000"/>
                <w:sz w:val="20"/>
                <w:szCs w:val="20"/>
              </w:rPr>
            </w:pPr>
            <w:r w:rsidRPr="00D87B79">
              <w:rPr>
                <w:rFonts w:ascii="Tahoma" w:hAnsi="Tahoma" w:cs="Tahoma"/>
                <w:color w:val="000000"/>
                <w:sz w:val="20"/>
                <w:szCs w:val="20"/>
                <w:lang w:val="it-IT"/>
              </w:rPr>
              <w:t>Applicazioni Desktop Qualificanti</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A92422" w:rsidRPr="00D87B79" w:rsidRDefault="00A92422" w:rsidP="00EA30FC">
            <w:pPr>
              <w:pStyle w:val="appendixtableheadings0"/>
              <w:rPr>
                <w:rFonts w:ascii="Tahoma" w:hAnsi="Tahoma" w:cs="Tahoma"/>
                <w:color w:val="000000"/>
                <w:sz w:val="20"/>
                <w:szCs w:val="20"/>
              </w:rPr>
            </w:pPr>
            <w:r w:rsidRPr="00D87B79">
              <w:rPr>
                <w:rFonts w:ascii="Tahoma" w:hAnsi="Tahoma" w:cs="Tahoma"/>
                <w:color w:val="000000"/>
                <w:sz w:val="20"/>
                <w:szCs w:val="20"/>
                <w:lang w:val="it-IT"/>
              </w:rPr>
              <w:t>Licenza per Home Use Program Corrispondente</w:t>
            </w:r>
          </w:p>
        </w:tc>
      </w:tr>
      <w:tr w:rsidR="00A92422" w:rsidRPr="00D87B79" w:rsidTr="00EA30FC">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92422" w:rsidRPr="00D87B79" w:rsidRDefault="00A92422" w:rsidP="00EA30FC">
            <w:pPr>
              <w:pStyle w:val="appendixtabletext0"/>
              <w:rPr>
                <w:rFonts w:ascii="Tahoma" w:hAnsi="Tahoma" w:cs="Tahoma"/>
              </w:rPr>
            </w:pPr>
            <w:r w:rsidRPr="00D87B79">
              <w:rPr>
                <w:rFonts w:ascii="Tahoma" w:hAnsi="Tahoma" w:cs="Tahoma"/>
                <w:color w:val="000000"/>
                <w:lang w:val="it-IT"/>
              </w:rPr>
              <w:t>Office Standard 2010/2013</w:t>
            </w:r>
          </w:p>
          <w:p w:rsidR="00A92422" w:rsidRPr="00D87B79" w:rsidRDefault="00A92422" w:rsidP="00EA30FC">
            <w:pPr>
              <w:pStyle w:val="appendixtabletext0"/>
              <w:rPr>
                <w:rFonts w:ascii="Tahoma" w:hAnsi="Tahoma" w:cs="Tahoma"/>
              </w:rPr>
            </w:pPr>
            <w:r w:rsidRPr="00D87B79">
              <w:rPr>
                <w:rFonts w:ascii="Tahoma" w:hAnsi="Tahoma" w:cs="Tahoma"/>
                <w:color w:val="000000"/>
                <w:lang w:val="it-IT"/>
              </w:rPr>
              <w:t>Office Professional Plus 2010/2013</w:t>
            </w:r>
          </w:p>
          <w:p w:rsidR="00A92422" w:rsidRPr="00D87B79" w:rsidRDefault="00A92422" w:rsidP="00EA30FC">
            <w:pPr>
              <w:pStyle w:val="appendixtabletext0"/>
              <w:rPr>
                <w:rFonts w:ascii="Tahoma" w:hAnsi="Tahoma" w:cs="Tahoma"/>
                <w:color w:val="000000"/>
              </w:rPr>
            </w:pPr>
            <w:r w:rsidRPr="00D87B79">
              <w:rPr>
                <w:rFonts w:ascii="Tahoma" w:hAnsi="Tahoma" w:cs="Tahoma"/>
                <w:color w:val="000000"/>
                <w:lang w:val="it-IT"/>
              </w:rPr>
              <w:t>Office per Mac 2008 / Office per Mac 2011 Standard</w:t>
            </w:r>
            <w:r w:rsidRPr="00D87B79">
              <w:rPr>
                <w:rFonts w:ascii="Tahoma" w:hAnsi="Tahoma" w:cs="Tahoma"/>
              </w:rPr>
              <w:t xml:space="preserve">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A92422" w:rsidRPr="00D87B79" w:rsidRDefault="00A92422" w:rsidP="00EA30FC">
            <w:pPr>
              <w:pStyle w:val="appendixtabletext0"/>
              <w:rPr>
                <w:rFonts w:ascii="Tahoma" w:hAnsi="Tahoma" w:cs="Tahoma"/>
              </w:rPr>
            </w:pPr>
            <w:r w:rsidRPr="00D87B79">
              <w:rPr>
                <w:rFonts w:ascii="Tahoma" w:hAnsi="Tahoma" w:cs="Tahoma"/>
                <w:color w:val="000000"/>
                <w:lang w:val="it-IT"/>
              </w:rPr>
              <w:t>Office Professional Plus 2013 HUP</w:t>
            </w:r>
          </w:p>
          <w:p w:rsidR="00A92422" w:rsidRPr="00D87B79" w:rsidRDefault="00A92422" w:rsidP="00EA30FC">
            <w:pPr>
              <w:pStyle w:val="appendixtabletext0"/>
              <w:rPr>
                <w:rFonts w:ascii="Tahoma" w:hAnsi="Tahoma" w:cs="Tahoma"/>
              </w:rPr>
            </w:pPr>
            <w:r w:rsidRPr="00D87B79">
              <w:rPr>
                <w:rFonts w:ascii="Tahoma" w:hAnsi="Tahoma" w:cs="Tahoma"/>
                <w:color w:val="000000"/>
                <w:lang w:val="it-IT"/>
              </w:rPr>
              <w:t>o</w:t>
            </w:r>
          </w:p>
          <w:p w:rsidR="00A92422" w:rsidRPr="00D87B79" w:rsidRDefault="00A92422" w:rsidP="00EA30FC">
            <w:pPr>
              <w:pStyle w:val="appendixtabletext0"/>
              <w:rPr>
                <w:rFonts w:ascii="Tahoma" w:hAnsi="Tahoma" w:cs="Tahoma"/>
                <w:color w:val="000000"/>
              </w:rPr>
            </w:pPr>
            <w:r w:rsidRPr="00D87B79">
              <w:rPr>
                <w:rFonts w:ascii="Tahoma" w:hAnsi="Tahoma" w:cs="Tahoma"/>
                <w:color w:val="000000"/>
                <w:lang w:val="it-IT"/>
              </w:rPr>
              <w:t>Office per Mac Home &amp; Business 2011</w:t>
            </w:r>
            <w:r>
              <w:rPr>
                <w:rFonts w:ascii="Tahoma" w:hAnsi="Tahoma" w:cs="Tahoma"/>
                <w:color w:val="000000"/>
                <w:lang w:val="it-IT"/>
              </w:rPr>
              <w:t> </w:t>
            </w:r>
            <w:r w:rsidRPr="00D87B79">
              <w:rPr>
                <w:rFonts w:ascii="Tahoma" w:hAnsi="Tahoma" w:cs="Tahoma"/>
                <w:color w:val="000000"/>
                <w:lang w:val="it-IT"/>
              </w:rPr>
              <w:t>HUP</w:t>
            </w:r>
          </w:p>
        </w:tc>
      </w:tr>
      <w:tr w:rsidR="00A92422" w:rsidRPr="00D87B79" w:rsidTr="00EA30FC">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92422" w:rsidRPr="00D87B79" w:rsidRDefault="00A92422" w:rsidP="00EA30FC">
            <w:pPr>
              <w:pStyle w:val="appendixtabletext0"/>
              <w:rPr>
                <w:rFonts w:ascii="Tahoma" w:hAnsi="Tahoma" w:cs="Tahoma"/>
              </w:rPr>
            </w:pPr>
            <w:r w:rsidRPr="00D87B79">
              <w:rPr>
                <w:rFonts w:ascii="Tahoma" w:hAnsi="Tahoma" w:cs="Tahoma"/>
                <w:color w:val="000000"/>
                <w:lang w:val="it-IT"/>
              </w:rPr>
              <w:t>Access 2010/2013</w:t>
            </w:r>
          </w:p>
          <w:p w:rsidR="00A92422" w:rsidRPr="00D87B79" w:rsidRDefault="00A92422" w:rsidP="00EA30FC">
            <w:pPr>
              <w:pStyle w:val="appendixtabletext0"/>
              <w:rPr>
                <w:rFonts w:ascii="Tahoma" w:hAnsi="Tahoma" w:cs="Tahoma"/>
              </w:rPr>
            </w:pPr>
            <w:r w:rsidRPr="00D87B79">
              <w:rPr>
                <w:rFonts w:ascii="Tahoma" w:hAnsi="Tahoma" w:cs="Tahoma"/>
                <w:color w:val="000000"/>
                <w:lang w:val="it-IT"/>
              </w:rPr>
              <w:t>Excel 2010/2013</w:t>
            </w:r>
          </w:p>
          <w:p w:rsidR="00A92422" w:rsidRPr="00D87B79" w:rsidRDefault="00A92422" w:rsidP="00EA30FC">
            <w:pPr>
              <w:pStyle w:val="appendixtabletext0"/>
              <w:rPr>
                <w:rFonts w:ascii="Tahoma" w:hAnsi="Tahoma" w:cs="Tahoma"/>
              </w:rPr>
            </w:pPr>
            <w:r w:rsidRPr="00D87B79">
              <w:rPr>
                <w:rFonts w:ascii="Tahoma" w:hAnsi="Tahoma" w:cs="Tahoma"/>
                <w:color w:val="000000"/>
                <w:lang w:val="it-IT"/>
              </w:rPr>
              <w:t>PowerPoint 2010/2013</w:t>
            </w:r>
          </w:p>
          <w:p w:rsidR="00A92422" w:rsidRPr="00D87B79" w:rsidRDefault="00A92422" w:rsidP="00EA30FC">
            <w:pPr>
              <w:pStyle w:val="appendixtabletext0"/>
              <w:rPr>
                <w:rFonts w:ascii="Tahoma" w:hAnsi="Tahoma" w:cs="Tahoma"/>
              </w:rPr>
            </w:pPr>
            <w:r w:rsidRPr="00D87B79">
              <w:rPr>
                <w:rFonts w:ascii="Tahoma" w:hAnsi="Tahoma" w:cs="Tahoma"/>
                <w:color w:val="000000"/>
                <w:lang w:val="it-IT"/>
              </w:rPr>
              <w:t>InfoPath 2010/2013</w:t>
            </w:r>
          </w:p>
          <w:p w:rsidR="00A92422" w:rsidRPr="00D87B79" w:rsidRDefault="00A92422" w:rsidP="00EA30FC">
            <w:pPr>
              <w:pStyle w:val="appendixtabletext0"/>
              <w:rPr>
                <w:rFonts w:ascii="Tahoma" w:hAnsi="Tahoma" w:cs="Tahoma"/>
              </w:rPr>
            </w:pPr>
            <w:r w:rsidRPr="00D87B79">
              <w:rPr>
                <w:rFonts w:ascii="Tahoma" w:hAnsi="Tahoma" w:cs="Tahoma"/>
                <w:color w:val="000000"/>
                <w:lang w:val="it-IT"/>
              </w:rPr>
              <w:t>OneNote 2010/2013</w:t>
            </w:r>
          </w:p>
          <w:p w:rsidR="00A92422" w:rsidRPr="00D87B79" w:rsidRDefault="00A92422" w:rsidP="00EA30FC">
            <w:pPr>
              <w:pStyle w:val="appendixtabletext0"/>
              <w:rPr>
                <w:rFonts w:ascii="Tahoma" w:hAnsi="Tahoma" w:cs="Tahoma"/>
              </w:rPr>
            </w:pPr>
            <w:r w:rsidRPr="00D87B79">
              <w:rPr>
                <w:rFonts w:ascii="Tahoma" w:hAnsi="Tahoma" w:cs="Tahoma"/>
                <w:color w:val="000000"/>
                <w:lang w:val="it-IT"/>
              </w:rPr>
              <w:t>Outlook 2010/2013</w:t>
            </w:r>
          </w:p>
          <w:p w:rsidR="00A92422" w:rsidRPr="00D87B79" w:rsidRDefault="00A92422" w:rsidP="00EA30FC">
            <w:pPr>
              <w:pStyle w:val="appendixtabletext0"/>
              <w:rPr>
                <w:rFonts w:ascii="Tahoma" w:hAnsi="Tahoma" w:cs="Tahoma"/>
              </w:rPr>
            </w:pPr>
            <w:r w:rsidRPr="00D87B79">
              <w:rPr>
                <w:rFonts w:ascii="Tahoma" w:hAnsi="Tahoma" w:cs="Tahoma"/>
                <w:color w:val="000000"/>
                <w:lang w:val="it-IT"/>
              </w:rPr>
              <w:lastRenderedPageBreak/>
              <w:t>Publisher 2010/2013</w:t>
            </w:r>
          </w:p>
          <w:p w:rsidR="00A92422" w:rsidRPr="00D87B79" w:rsidRDefault="00A92422" w:rsidP="00EA30FC">
            <w:pPr>
              <w:pStyle w:val="appendixtabletext0"/>
              <w:rPr>
                <w:rFonts w:ascii="Tahoma" w:hAnsi="Tahoma" w:cs="Tahoma"/>
              </w:rPr>
            </w:pPr>
            <w:r w:rsidRPr="00D87B79">
              <w:rPr>
                <w:rFonts w:ascii="Tahoma" w:hAnsi="Tahoma" w:cs="Tahoma"/>
                <w:color w:val="000000"/>
                <w:lang w:val="it-IT"/>
              </w:rPr>
              <w:t>Word 2010/2013</w:t>
            </w:r>
          </w:p>
          <w:p w:rsidR="00A92422" w:rsidRPr="00D87B79" w:rsidRDefault="00A92422" w:rsidP="00EA30FC">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A92422" w:rsidRPr="00D87B79" w:rsidRDefault="00A92422" w:rsidP="00EA30FC">
            <w:pPr>
              <w:pStyle w:val="appendixtabletext0"/>
              <w:rPr>
                <w:rFonts w:ascii="Tahoma" w:hAnsi="Tahoma" w:cs="Tahoma"/>
              </w:rPr>
            </w:pPr>
            <w:r w:rsidRPr="00D87B79">
              <w:rPr>
                <w:rFonts w:ascii="Tahoma" w:hAnsi="Tahoma" w:cs="Tahoma"/>
                <w:color w:val="000000"/>
                <w:lang w:val="it-IT"/>
              </w:rPr>
              <w:lastRenderedPageBreak/>
              <w:t>Office Professional Plus 2013 HUP</w:t>
            </w:r>
          </w:p>
          <w:p w:rsidR="00A92422" w:rsidRPr="00D87B79" w:rsidRDefault="00A92422" w:rsidP="00EA30FC">
            <w:pPr>
              <w:pStyle w:val="appendixtabletext0"/>
              <w:rPr>
                <w:rFonts w:ascii="Tahoma" w:hAnsi="Tahoma" w:cs="Tahoma"/>
              </w:rPr>
            </w:pPr>
            <w:r w:rsidRPr="00D87B79">
              <w:rPr>
                <w:rFonts w:ascii="Tahoma" w:hAnsi="Tahoma" w:cs="Tahoma"/>
                <w:color w:val="000000"/>
                <w:lang w:val="it-IT"/>
              </w:rPr>
              <w:t>o</w:t>
            </w:r>
          </w:p>
          <w:p w:rsidR="00A92422" w:rsidRPr="00D87B79" w:rsidRDefault="00A92422" w:rsidP="00EA30FC">
            <w:pPr>
              <w:pStyle w:val="appendixtabletext0"/>
              <w:rPr>
                <w:rFonts w:ascii="Tahoma" w:hAnsi="Tahoma" w:cs="Tahoma"/>
                <w:color w:val="000000"/>
              </w:rPr>
            </w:pPr>
            <w:r w:rsidRPr="00D87B79">
              <w:rPr>
                <w:rFonts w:ascii="Tahoma" w:hAnsi="Tahoma" w:cs="Tahoma"/>
                <w:color w:val="000000"/>
                <w:lang w:val="it-IT"/>
              </w:rPr>
              <w:t>Office per Mac Home &amp; Business</w:t>
            </w:r>
            <w:r>
              <w:rPr>
                <w:rFonts w:ascii="Tahoma" w:hAnsi="Tahoma" w:cs="Tahoma"/>
                <w:color w:val="000000"/>
                <w:lang w:val="it-IT"/>
              </w:rPr>
              <w:t> </w:t>
            </w:r>
            <w:r w:rsidRPr="00D87B79">
              <w:rPr>
                <w:rFonts w:ascii="Tahoma" w:hAnsi="Tahoma" w:cs="Tahoma"/>
                <w:color w:val="000000"/>
                <w:lang w:val="it-IT"/>
              </w:rPr>
              <w:t>2011</w:t>
            </w:r>
            <w:r>
              <w:rPr>
                <w:rFonts w:ascii="Tahoma" w:hAnsi="Tahoma" w:cs="Tahoma"/>
                <w:color w:val="000000"/>
                <w:lang w:val="it-IT"/>
              </w:rPr>
              <w:t> </w:t>
            </w:r>
            <w:r w:rsidRPr="00D87B79">
              <w:rPr>
                <w:rFonts w:ascii="Tahoma" w:hAnsi="Tahoma" w:cs="Tahoma"/>
                <w:color w:val="000000"/>
                <w:lang w:val="it-IT"/>
              </w:rPr>
              <w:t>HUP</w:t>
            </w:r>
          </w:p>
        </w:tc>
      </w:tr>
      <w:tr w:rsidR="00A92422" w:rsidRPr="00D87B79" w:rsidTr="00EA30FC">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92422" w:rsidRPr="00D87B79" w:rsidRDefault="00A92422" w:rsidP="00EA30FC">
            <w:pPr>
              <w:pStyle w:val="appendixtabletext0"/>
              <w:keepNext/>
              <w:keepLines/>
              <w:rPr>
                <w:rFonts w:ascii="Tahoma" w:hAnsi="Tahoma" w:cs="Tahoma"/>
              </w:rPr>
            </w:pPr>
            <w:r w:rsidRPr="00D87B79">
              <w:rPr>
                <w:rFonts w:ascii="Tahoma" w:hAnsi="Tahoma" w:cs="Tahoma"/>
                <w:color w:val="000000"/>
                <w:lang w:val="it-IT"/>
              </w:rPr>
              <w:lastRenderedPageBreak/>
              <w:t>Visio Standard 2010/2013</w:t>
            </w:r>
            <w:r w:rsidRPr="00D87B79">
              <w:rPr>
                <w:rFonts w:ascii="Tahoma" w:hAnsi="Tahoma" w:cs="Tahoma"/>
              </w:rPr>
              <w:t xml:space="preserve"> </w:t>
            </w:r>
          </w:p>
          <w:p w:rsidR="00A92422" w:rsidRPr="00D87B79" w:rsidRDefault="00A92422" w:rsidP="00EA30FC">
            <w:pPr>
              <w:pStyle w:val="appendixtabletext0"/>
              <w:keepNext/>
              <w:keepLines/>
              <w:rPr>
                <w:rFonts w:ascii="Tahoma" w:hAnsi="Tahoma" w:cs="Tahoma"/>
              </w:rPr>
            </w:pPr>
            <w:r w:rsidRPr="00D87B79">
              <w:rPr>
                <w:rFonts w:ascii="Tahoma" w:hAnsi="Tahoma" w:cs="Tahoma"/>
                <w:color w:val="000000"/>
                <w:lang w:val="it-IT"/>
              </w:rPr>
              <w:t>Visio Professional 2010/2013</w:t>
            </w:r>
            <w:r w:rsidRPr="00D87B79">
              <w:rPr>
                <w:rFonts w:ascii="Tahoma" w:hAnsi="Tahoma" w:cs="Tahoma"/>
              </w:rPr>
              <w:t xml:space="preserve"> </w:t>
            </w:r>
          </w:p>
          <w:p w:rsidR="00A92422" w:rsidRPr="00D87B79" w:rsidRDefault="00A92422" w:rsidP="00EA30FC">
            <w:pPr>
              <w:pStyle w:val="appendixtabletext0"/>
              <w:keepNext/>
              <w:keepLines/>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A92422" w:rsidRPr="00D87B79" w:rsidRDefault="00A92422" w:rsidP="00EA30FC">
            <w:pPr>
              <w:pStyle w:val="appendixtabletext0"/>
              <w:keepNext/>
              <w:keepLines/>
              <w:rPr>
                <w:rFonts w:ascii="Tahoma" w:hAnsi="Tahoma" w:cs="Tahoma"/>
              </w:rPr>
            </w:pPr>
            <w:r w:rsidRPr="00D87B79">
              <w:rPr>
                <w:rFonts w:ascii="Tahoma" w:hAnsi="Tahoma" w:cs="Tahoma"/>
                <w:color w:val="000000"/>
                <w:lang w:val="it-IT"/>
              </w:rPr>
              <w:t>Visio Professional 2013 HUP</w:t>
            </w:r>
          </w:p>
          <w:p w:rsidR="00A92422" w:rsidRPr="00D87B79" w:rsidRDefault="00A92422" w:rsidP="00EA30FC">
            <w:pPr>
              <w:pStyle w:val="appendixtabletext0"/>
              <w:keepNext/>
              <w:keepLines/>
              <w:rPr>
                <w:rFonts w:ascii="Tahoma" w:hAnsi="Tahoma" w:cs="Tahoma"/>
                <w:color w:val="000000"/>
              </w:rPr>
            </w:pPr>
          </w:p>
        </w:tc>
      </w:tr>
      <w:tr w:rsidR="00A92422" w:rsidRPr="00D87B79" w:rsidTr="00EA30FC">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92422" w:rsidRPr="00D87B79" w:rsidRDefault="00A92422" w:rsidP="00EA30FC">
            <w:pPr>
              <w:pStyle w:val="appendixtabletext0"/>
              <w:rPr>
                <w:rFonts w:ascii="Tahoma" w:hAnsi="Tahoma" w:cs="Tahoma"/>
              </w:rPr>
            </w:pPr>
            <w:r w:rsidRPr="00D87B79">
              <w:rPr>
                <w:rFonts w:ascii="Tahoma" w:hAnsi="Tahoma" w:cs="Tahoma"/>
                <w:color w:val="000000"/>
                <w:lang w:val="it-IT"/>
              </w:rPr>
              <w:t>Project Standard 2010/2013</w:t>
            </w:r>
          </w:p>
          <w:p w:rsidR="00A92422" w:rsidRPr="00D87B79" w:rsidRDefault="00A92422" w:rsidP="00EA30FC">
            <w:pPr>
              <w:pStyle w:val="appendixtabletext0"/>
              <w:rPr>
                <w:rFonts w:ascii="Tahoma" w:hAnsi="Tahoma" w:cs="Tahoma"/>
                <w:color w:val="000000"/>
              </w:rPr>
            </w:pPr>
            <w:r w:rsidRPr="00D87B79">
              <w:rPr>
                <w:rFonts w:ascii="Tahoma" w:hAnsi="Tahoma" w:cs="Tahoma"/>
                <w:color w:val="000000"/>
                <w:lang w:val="it-IT"/>
              </w:rPr>
              <w:t>Project Professional 2010/2013</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A92422" w:rsidRPr="00D87B79" w:rsidRDefault="00A92422" w:rsidP="00EA30FC">
            <w:pPr>
              <w:pStyle w:val="appendixtabletext0"/>
              <w:rPr>
                <w:rFonts w:ascii="Tahoma" w:hAnsi="Tahoma" w:cs="Tahoma"/>
              </w:rPr>
            </w:pPr>
            <w:r w:rsidRPr="00D87B79">
              <w:rPr>
                <w:rFonts w:ascii="Tahoma" w:hAnsi="Tahoma" w:cs="Tahoma"/>
                <w:color w:val="000000"/>
                <w:lang w:val="it-IT"/>
              </w:rPr>
              <w:t>Project Standard 2013 HUP</w:t>
            </w:r>
          </w:p>
          <w:p w:rsidR="00A92422" w:rsidRPr="00D87B79" w:rsidRDefault="00A92422" w:rsidP="00EA30FC">
            <w:pPr>
              <w:pStyle w:val="appendixtabletext0"/>
              <w:rPr>
                <w:rFonts w:ascii="Tahoma" w:hAnsi="Tahoma" w:cs="Tahoma"/>
                <w:color w:val="000000"/>
              </w:rPr>
            </w:pPr>
            <w:r w:rsidRPr="00D87B79">
              <w:rPr>
                <w:rFonts w:ascii="Tahoma" w:hAnsi="Tahoma" w:cs="Tahoma"/>
                <w:color w:val="000000"/>
              </w:rPr>
              <w:t xml:space="preserve"> </w:t>
            </w:r>
          </w:p>
        </w:tc>
      </w:tr>
    </w:tbl>
    <w:p w:rsidR="00A92422" w:rsidRPr="00D87B79" w:rsidRDefault="00A92422" w:rsidP="00A92422">
      <w:pPr>
        <w:pStyle w:val="AppendixBodyText"/>
        <w:ind w:left="630"/>
        <w:rPr>
          <w:rFonts w:ascii="Tahoma" w:hAnsi="Tahoma" w:cs="Tahoma"/>
        </w:rPr>
      </w:pPr>
      <w:r w:rsidRPr="00941183">
        <w:rPr>
          <w:rFonts w:ascii="Tahoma" w:hAnsi="Tahoma" w:cs="Tahoma"/>
          <w:i/>
          <w:sz w:val="16"/>
          <w:lang w:val="it-IT"/>
        </w:rPr>
        <w:t>*</w:t>
      </w:r>
      <w:r>
        <w:rPr>
          <w:rFonts w:ascii="Tahoma" w:hAnsi="Tahoma" w:cs="Tahoma"/>
          <w:i/>
          <w:sz w:val="16"/>
          <w:lang w:val="it-IT"/>
        </w:rPr>
        <w:t xml:space="preserve"> </w:t>
      </w:r>
      <w:r w:rsidRPr="00941183">
        <w:rPr>
          <w:rFonts w:ascii="Tahoma" w:hAnsi="Tahoma" w:cs="Tahoma"/>
          <w:i/>
          <w:sz w:val="16"/>
          <w:lang w:val="it-IT"/>
        </w:rPr>
        <w:t>La disponibilità</w:t>
      </w:r>
      <w:r w:rsidRPr="00D87B79">
        <w:rPr>
          <w:rFonts w:ascii="Tahoma" w:hAnsi="Tahoma" w:cs="Tahoma"/>
          <w:i/>
          <w:sz w:val="16"/>
          <w:lang w:val="it-IT"/>
        </w:rPr>
        <w:t xml:space="preserve"> del software Home Use Program varia in base alla regione, all’offerta e alla lingua.</w:t>
      </w:r>
      <w:r w:rsidRPr="00D87B79">
        <w:rPr>
          <w:rFonts w:ascii="Tahoma" w:hAnsi="Tahoma" w:cs="Tahoma"/>
        </w:rPr>
        <w:t xml:space="preserve"> </w:t>
      </w:r>
    </w:p>
    <w:p w:rsidR="00A92422" w:rsidRPr="00D87B79" w:rsidRDefault="00A92422" w:rsidP="00A92422">
      <w:pPr>
        <w:pStyle w:val="AppendixBodyText"/>
        <w:ind w:left="630"/>
        <w:rPr>
          <w:rFonts w:ascii="Tahoma" w:hAnsi="Tahoma" w:cs="Tahoma"/>
        </w:rPr>
      </w:pPr>
      <w:r w:rsidRPr="00D87B79">
        <w:rPr>
          <w:rFonts w:ascii="Tahoma" w:hAnsi="Tahoma" w:cs="Tahoma"/>
          <w:i/>
          <w:sz w:val="16"/>
          <w:lang w:val="it-IT"/>
        </w:rPr>
        <w:t xml:space="preserve">Ulteriori informazioni, tra cui i dettagli relativi alla disponibilità futura del software aggiuntivo Home Use Program, sono reperibili all’indirizzo </w:t>
      </w:r>
      <w:hyperlink r:id="rId17" w:history="1">
        <w:r w:rsidRPr="00D87B79">
          <w:rPr>
            <w:rStyle w:val="Hyperlink"/>
            <w:rFonts w:ascii="Tahoma" w:hAnsi="Tahoma" w:cs="Tahoma"/>
            <w:i/>
            <w:sz w:val="16"/>
            <w:lang w:val="it-IT"/>
          </w:rPr>
          <w:t>http://www.microsoft.com/licensing</w:t>
        </w:r>
      </w:hyperlink>
      <w:r w:rsidRPr="00D87B79">
        <w:rPr>
          <w:rFonts w:ascii="Tahoma" w:hAnsi="Tahoma" w:cs="Tahoma"/>
          <w:i/>
          <w:sz w:val="16"/>
          <w:lang w:val="it-IT"/>
        </w:rPr>
        <w:t>.</w:t>
      </w:r>
    </w:p>
    <w:p w:rsidR="00A92422" w:rsidRPr="00D87B79" w:rsidRDefault="00A92422" w:rsidP="00A92422">
      <w:pPr>
        <w:pStyle w:val="AppendixBodyText"/>
        <w:ind w:left="630"/>
        <w:rPr>
          <w:rFonts w:ascii="Tahoma" w:hAnsi="Tahoma" w:cs="Tahoma"/>
        </w:rPr>
      </w:pPr>
      <w:r w:rsidRPr="00D87B79">
        <w:rPr>
          <w:rFonts w:ascii="Tahoma" w:hAnsi="Tahoma" w:cs="Tahoma"/>
          <w:i/>
          <w:sz w:val="16"/>
          <w:lang w:val="it-IT"/>
        </w:rPr>
        <w:t>** Nota per le società con Contratti Campus e School e Open Value Subscription-Education Solutions:</w:t>
      </w:r>
      <w:r w:rsidRPr="00D87B79">
        <w:rPr>
          <w:rFonts w:ascii="Tahoma" w:hAnsi="Tahoma" w:cs="Tahoma"/>
          <w:i/>
          <w:sz w:val="16"/>
          <w:szCs w:val="16"/>
        </w:rPr>
        <w:t xml:space="preserve"> </w:t>
      </w:r>
      <w:r w:rsidRPr="00D87B79">
        <w:rPr>
          <w:rFonts w:ascii="Tahoma" w:hAnsi="Tahoma" w:cs="Tahoma"/>
          <w:i/>
          <w:sz w:val="16"/>
          <w:lang w:val="it-IT"/>
        </w:rPr>
        <w:t>fare riferimento ai</w:t>
      </w:r>
      <w:r>
        <w:rPr>
          <w:rFonts w:ascii="Tahoma" w:hAnsi="Tahoma" w:cs="Tahoma"/>
          <w:i/>
          <w:sz w:val="16"/>
          <w:lang w:val="it-IT"/>
        </w:rPr>
        <w:t> </w:t>
      </w:r>
      <w:r w:rsidRPr="00D87B79">
        <w:rPr>
          <w:rFonts w:ascii="Tahoma" w:hAnsi="Tahoma" w:cs="Tahoma"/>
          <w:i/>
          <w:sz w:val="16"/>
          <w:lang w:val="it-IT"/>
        </w:rPr>
        <w:t>contratti CASA (3.5 o versione superiore) o OVS-ES per conoscere ulteriori regole specifiche del programma.</w:t>
      </w:r>
    </w:p>
    <w:p w:rsidR="00A92422" w:rsidRPr="00D87B79" w:rsidRDefault="00A92422" w:rsidP="00A92422">
      <w:pPr>
        <w:ind w:left="630"/>
        <w:rPr>
          <w:rFonts w:cs="Tahoma"/>
        </w:rPr>
      </w:pPr>
      <w:r w:rsidRPr="00D87B79">
        <w:rPr>
          <w:rFonts w:cs="Tahoma"/>
          <w:i/>
          <w:sz w:val="16"/>
          <w:lang w:val="it-IT"/>
        </w:rPr>
        <w:t xml:space="preserve">*** SharePoint Designer è ora un prodotto gratuito disponibile per il download facendo clic sul seguente collegamento </w:t>
      </w:r>
      <w:hyperlink r:id="rId18" w:history="1">
        <w:r w:rsidRPr="00D87B79">
          <w:rPr>
            <w:rFonts w:cs="Tahoma"/>
            <w:i/>
            <w:color w:val="0000FF"/>
            <w:sz w:val="16"/>
            <w:u w:val="single"/>
            <w:lang w:val="it-IT"/>
          </w:rPr>
          <w:t>http://www.microsoft.com/spd</w:t>
        </w:r>
      </w:hyperlink>
      <w:r w:rsidRPr="00D87B79">
        <w:rPr>
          <w:rFonts w:cs="Tahoma"/>
          <w:i/>
          <w:sz w:val="16"/>
          <w:lang w:val="it-IT"/>
        </w:rPr>
        <w:t>.</w:t>
      </w:r>
    </w:p>
    <w:p w:rsidR="00A92422" w:rsidRPr="00D87B79" w:rsidRDefault="00A92422" w:rsidP="00A92422">
      <w:pPr>
        <w:outlineLvl w:val="2"/>
        <w:rPr>
          <w:rFonts w:cs="Tahoma"/>
        </w:rPr>
      </w:pPr>
      <w:bookmarkStart w:id="858" w:name="_Toc281378922"/>
    </w:p>
    <w:bookmarkEnd w:id="858"/>
    <w:p w:rsidR="00A92422" w:rsidRPr="00D87B79" w:rsidRDefault="00A92422" w:rsidP="00A92422">
      <w:pPr>
        <w:outlineLvl w:val="2"/>
        <w:rPr>
          <w:rFonts w:cs="Tahoma"/>
        </w:rPr>
      </w:pPr>
      <w:r w:rsidRPr="00D87B79">
        <w:rPr>
          <w:rFonts w:cs="Tahoma"/>
          <w:b/>
          <w:sz w:val="20"/>
          <w:lang w:val="it-IT"/>
        </w:rPr>
        <w:t>Enterprise Source Licensing Program</w:t>
      </w:r>
      <w:r w:rsidRPr="00D87B79">
        <w:rPr>
          <w:rFonts w:cs="Tahoma"/>
        </w:rPr>
        <w:t xml:space="preserve"> </w:t>
      </w:r>
    </w:p>
    <w:p w:rsidR="00A92422" w:rsidRPr="00D87B79" w:rsidRDefault="00A92422" w:rsidP="00A92422">
      <w:pPr>
        <w:outlineLvl w:val="2"/>
        <w:rPr>
          <w:rFonts w:cs="Tahoma"/>
        </w:rPr>
      </w:pPr>
    </w:p>
    <w:p w:rsidR="00A92422" w:rsidRPr="00D87B79" w:rsidRDefault="00A92422" w:rsidP="00A92422">
      <w:pPr>
        <w:rPr>
          <w:rFonts w:cs="Tahoma"/>
        </w:rPr>
      </w:pPr>
      <w:r w:rsidRPr="00D87B79">
        <w:rPr>
          <w:rFonts w:cs="Tahoma"/>
          <w:lang w:val="it-IT"/>
        </w:rPr>
        <w:t>Le società con Partecipazione a Software Assurance e con 1.500 o una quantità superiore di desktop con licenza nel</w:t>
      </w:r>
      <w:r>
        <w:rPr>
          <w:rFonts w:cs="Tahoma"/>
          <w:lang w:val="it-IT"/>
        </w:rPr>
        <w:t> </w:t>
      </w:r>
      <w:r w:rsidRPr="00D87B79">
        <w:rPr>
          <w:rFonts w:cs="Tahoma"/>
          <w:lang w:val="it-IT"/>
        </w:rPr>
        <w:t>pool di sistemi potranno essere idonee a partecipare al programma Enterprise Source Licensing Program (ESLP) durante il periodo di validità della copertura Software Assurance.</w:t>
      </w:r>
      <w:r w:rsidRPr="00D87B79">
        <w:rPr>
          <w:rFonts w:cs="Tahoma"/>
        </w:rPr>
        <w:t xml:space="preserve"> </w:t>
      </w:r>
      <w:r w:rsidRPr="00D87B79">
        <w:rPr>
          <w:rFonts w:cs="Tahoma"/>
          <w:lang w:val="it-IT"/>
        </w:rPr>
        <w:t>Il programma ESLP consente l’accesso al codice sorgente di Microsoft Windows per sviluppo e supporto interno.</w:t>
      </w:r>
      <w:r w:rsidRPr="00D87B79">
        <w:rPr>
          <w:rFonts w:cs="Tahoma"/>
        </w:rPr>
        <w:t xml:space="preserve"> </w:t>
      </w:r>
      <w:r w:rsidRPr="00D87B79">
        <w:rPr>
          <w:rFonts w:cs="Tahoma"/>
          <w:lang w:val="it-IT"/>
        </w:rPr>
        <w:t>Il programma ESLP non è disponibile in tutti i paesi e</w:t>
      </w:r>
      <w:r>
        <w:rPr>
          <w:rFonts w:cs="Tahoma"/>
          <w:lang w:val="it-IT"/>
        </w:rPr>
        <w:t> </w:t>
      </w:r>
      <w:r w:rsidRPr="00D87B79">
        <w:rPr>
          <w:rFonts w:cs="Tahoma"/>
          <w:lang w:val="it-IT"/>
        </w:rPr>
        <w:t>il vantaggio è concesso per contratto/iscrizione.</w:t>
      </w:r>
    </w:p>
    <w:p w:rsidR="00A92422" w:rsidRDefault="00A92422" w:rsidP="00A92422">
      <w:pPr>
        <w:rPr>
          <w:rFonts w:cs="Tahoma"/>
        </w:rPr>
      </w:pPr>
    </w:p>
    <w:p w:rsidR="00A92422" w:rsidRPr="00D87B79" w:rsidRDefault="00A92422" w:rsidP="00A92422">
      <w:pPr>
        <w:rPr>
          <w:rFonts w:cs="Tahoma"/>
        </w:rPr>
      </w:pPr>
      <w:r w:rsidRPr="00D87B79">
        <w:rPr>
          <w:rFonts w:cs="Tahoma"/>
          <w:lang w:val="it-IT"/>
        </w:rPr>
        <w:t>Il modulo di applicazione può essere scaricato dal sito Web Volume Licensing Service Center (VLSC).</w:t>
      </w:r>
      <w:r w:rsidRPr="00D87B79">
        <w:rPr>
          <w:rFonts w:cs="Tahoma"/>
        </w:rPr>
        <w:t xml:space="preserve"> </w:t>
      </w:r>
      <w:r w:rsidRPr="00D87B79">
        <w:rPr>
          <w:rFonts w:cs="Tahoma"/>
          <w:lang w:val="it-IT"/>
        </w:rPr>
        <w:t>L’idoneità e</w:t>
      </w:r>
      <w:r>
        <w:rPr>
          <w:rFonts w:cs="Tahoma"/>
          <w:lang w:val="it-IT"/>
        </w:rPr>
        <w:t> </w:t>
      </w:r>
      <w:r w:rsidRPr="00D87B79">
        <w:rPr>
          <w:rFonts w:cs="Tahoma"/>
          <w:lang w:val="it-IT"/>
        </w:rPr>
        <w:t>le</w:t>
      </w:r>
      <w:r>
        <w:rPr>
          <w:rFonts w:cs="Tahoma"/>
          <w:lang w:val="it-IT"/>
        </w:rPr>
        <w:t> </w:t>
      </w:r>
      <w:r w:rsidRPr="00D87B79">
        <w:rPr>
          <w:rFonts w:cs="Tahoma"/>
          <w:lang w:val="it-IT"/>
        </w:rPr>
        <w:t xml:space="preserve">aree di disponibilità sono soggette alle condizioni di Microsoft (per dettagli, visitare la pagina </w:t>
      </w:r>
      <w:hyperlink r:id="rId19" w:history="1">
        <w:r w:rsidRPr="00D87B79">
          <w:rPr>
            <w:rFonts w:cs="Tahoma"/>
            <w:color w:val="0000FF"/>
            <w:u w:val="single"/>
            <w:lang w:val="it-IT"/>
          </w:rPr>
          <w:t>www.microsoft.com/resources/sharedsource/Licensing/Enterprise.mspx</w:t>
        </w:r>
      </w:hyperlink>
      <w:r w:rsidRPr="00D87B79">
        <w:rPr>
          <w:rFonts w:cs="Tahoma"/>
          <w:lang w:val="it-IT"/>
        </w:rPr>
        <w:t>).</w:t>
      </w:r>
      <w:r w:rsidRPr="00D87B79">
        <w:rPr>
          <w:rFonts w:cs="Tahoma"/>
        </w:rPr>
        <w:t xml:space="preserve"> </w:t>
      </w:r>
      <w:r w:rsidRPr="00D87B79">
        <w:rPr>
          <w:rFonts w:cs="Tahoma"/>
          <w:lang w:val="it-IT"/>
        </w:rPr>
        <w:t>I programmi Academic sono idonei per</w:t>
      </w:r>
      <w:r>
        <w:rPr>
          <w:rFonts w:cs="Tahoma"/>
          <w:lang w:val="it-IT"/>
        </w:rPr>
        <w:t> </w:t>
      </w:r>
      <w:r w:rsidRPr="00D87B79">
        <w:rPr>
          <w:rFonts w:cs="Tahoma"/>
          <w:lang w:val="it-IT"/>
        </w:rPr>
        <w:t>l’accesso al programma Microsoft Research Source Licensing Program.</w:t>
      </w:r>
    </w:p>
    <w:p w:rsidR="00A92422" w:rsidRPr="00382A55" w:rsidRDefault="00A92422" w:rsidP="00A92422">
      <w:pPr>
        <w:pStyle w:val="Heading3"/>
        <w:rPr>
          <w:rFonts w:ascii="Tahoma" w:hAnsi="Tahoma" w:cs="Tahoma"/>
          <w:sz w:val="18"/>
          <w:szCs w:val="18"/>
        </w:rPr>
      </w:pPr>
    </w:p>
    <w:p w:rsidR="00A92422" w:rsidRPr="00D87B79" w:rsidRDefault="00A92422" w:rsidP="00A92422">
      <w:pPr>
        <w:pStyle w:val="Heading3"/>
        <w:rPr>
          <w:rFonts w:ascii="Tahoma" w:hAnsi="Tahoma" w:cs="Tahoma"/>
        </w:rPr>
      </w:pPr>
      <w:bookmarkStart w:id="859" w:name="_Toc336338236"/>
      <w:bookmarkStart w:id="860" w:name="_Toc342900288"/>
      <w:bookmarkEnd w:id="859"/>
      <w:r w:rsidRPr="00D87B79">
        <w:rPr>
          <w:rFonts w:ascii="Tahoma" w:hAnsi="Tahoma" w:cs="Tahoma"/>
          <w:lang w:val="it-IT"/>
        </w:rPr>
        <w:t>Supporto per la Risoluzione dei Problemi 24x7</w:t>
      </w:r>
      <w:bookmarkEnd w:id="860"/>
    </w:p>
    <w:p w:rsidR="00A92422" w:rsidRPr="00D87B79" w:rsidRDefault="00A92422" w:rsidP="00A92422">
      <w:pPr>
        <w:rPr>
          <w:rFonts w:cs="Tahoma"/>
        </w:rPr>
      </w:pPr>
    </w:p>
    <w:p w:rsidR="00A92422" w:rsidRPr="00D87B79" w:rsidRDefault="00A92422" w:rsidP="00A92422">
      <w:pPr>
        <w:rPr>
          <w:rFonts w:cs="Tahoma"/>
        </w:rPr>
      </w:pPr>
      <w:r w:rsidRPr="00D87B79">
        <w:rPr>
          <w:rFonts w:cs="Tahoma"/>
          <w:szCs w:val="18"/>
          <w:lang w:val="it-IT"/>
        </w:rPr>
        <w:t>Le società che non siano società con contratti Campus e School e Open Value Subscription - Education Solutions, ma</w:t>
      </w:r>
      <w:r>
        <w:rPr>
          <w:rFonts w:cs="Tahoma"/>
          <w:szCs w:val="18"/>
          <w:lang w:val="it-IT"/>
        </w:rPr>
        <w:t> </w:t>
      </w:r>
      <w:r w:rsidRPr="00D87B79">
        <w:rPr>
          <w:rFonts w:cs="Tahoma"/>
          <w:szCs w:val="18"/>
          <w:lang w:val="it-IT"/>
        </w:rPr>
        <w:t>con copertura Software Assurance, sono idonee a beneficiare del Supporto per la Risoluzione dei Problemi 24x7 durante il periodo di validità della copertura.</w:t>
      </w:r>
      <w:r w:rsidRPr="00D87B79">
        <w:rPr>
          <w:rFonts w:cs="Tahoma"/>
          <w:szCs w:val="18"/>
        </w:rPr>
        <w:t xml:space="preserve"> </w:t>
      </w:r>
    </w:p>
    <w:p w:rsidR="00A92422" w:rsidRPr="00382A55" w:rsidRDefault="00A92422" w:rsidP="00A92422">
      <w:pPr>
        <w:pStyle w:val="AppendixBodyText"/>
        <w:spacing w:after="0"/>
        <w:rPr>
          <w:rFonts w:ascii="Tahoma" w:hAnsi="Tahoma" w:cs="Tahoma"/>
          <w:sz w:val="18"/>
          <w:szCs w:val="18"/>
        </w:rPr>
      </w:pPr>
    </w:p>
    <w:p w:rsidR="00A92422" w:rsidRPr="00D87B79" w:rsidRDefault="00A92422" w:rsidP="00A92422">
      <w:pPr>
        <w:pStyle w:val="AppendixBodyText"/>
        <w:spacing w:after="0"/>
        <w:rPr>
          <w:rFonts w:ascii="Tahoma" w:hAnsi="Tahoma" w:cs="Tahoma"/>
        </w:rPr>
      </w:pPr>
      <w:r w:rsidRPr="00D87B79">
        <w:rPr>
          <w:rFonts w:ascii="Tahoma" w:hAnsi="Tahoma" w:cs="Tahoma"/>
          <w:sz w:val="18"/>
          <w:szCs w:val="18"/>
          <w:lang w:val="it-IT"/>
        </w:rPr>
        <w:t>Il servizio Supporto per la Risoluzione dei Problemi 24x7 fornisce assistenza quando, durante l’utilizzo dei prodotti Microsoft, si verificano problemi con sintomi specifici, la cui causa sia ragionevolmente attribuibile ai prodotti Microsoft.</w:t>
      </w:r>
      <w:r w:rsidRPr="00D87B79">
        <w:rPr>
          <w:rFonts w:ascii="Tahoma" w:hAnsi="Tahoma" w:cs="Tahoma"/>
          <w:sz w:val="18"/>
          <w:szCs w:val="18"/>
        </w:rPr>
        <w:t xml:space="preserve"> </w:t>
      </w:r>
      <w:r w:rsidRPr="00D87B79">
        <w:rPr>
          <w:rFonts w:ascii="Tahoma" w:hAnsi="Tahoma" w:cs="Tahoma"/>
          <w:sz w:val="18"/>
          <w:szCs w:val="18"/>
          <w:lang w:val="it-IT"/>
        </w:rPr>
        <w:t>Microsoft porrà in essere sforzi ragionevoli per fornire assistenza alle società in caso di richieste di supporto, conformemente ai criteri di Supporto dei Prodotti Microsoft.</w:t>
      </w:r>
      <w:r w:rsidRPr="00D87B79">
        <w:rPr>
          <w:rFonts w:ascii="Tahoma" w:hAnsi="Tahoma" w:cs="Tahoma"/>
          <w:sz w:val="18"/>
          <w:szCs w:val="18"/>
        </w:rPr>
        <w:t xml:space="preserve"> </w:t>
      </w:r>
      <w:r w:rsidRPr="00D87B79">
        <w:rPr>
          <w:rFonts w:ascii="Tahoma" w:hAnsi="Tahoma" w:cs="Tahoma"/>
          <w:sz w:val="18"/>
          <w:szCs w:val="18"/>
          <w:lang w:val="it-IT"/>
        </w:rPr>
        <w:t>Microsoft si riserva il diritto di rifiutare richieste irragionevoli di servizi di supporto e potrà talvolta richiedere alle società di stipulare un ulteriore contratto di servizio a un costo aggiuntivo.</w:t>
      </w:r>
      <w:r w:rsidRPr="00D87B79">
        <w:rPr>
          <w:rFonts w:ascii="Tahoma" w:hAnsi="Tahoma" w:cs="Tahoma"/>
          <w:sz w:val="18"/>
          <w:szCs w:val="18"/>
        </w:rPr>
        <w:t xml:space="preserve"> </w:t>
      </w:r>
    </w:p>
    <w:p w:rsidR="00A92422" w:rsidRPr="00382A55" w:rsidRDefault="00A92422" w:rsidP="00A92422">
      <w:pPr>
        <w:pStyle w:val="AppendixBodyText"/>
        <w:spacing w:after="0"/>
        <w:rPr>
          <w:rFonts w:ascii="Tahoma" w:hAnsi="Tahoma" w:cs="Tahoma"/>
          <w:sz w:val="18"/>
          <w:szCs w:val="18"/>
        </w:rPr>
      </w:pPr>
    </w:p>
    <w:p w:rsidR="00A92422" w:rsidRPr="00EF2AFE" w:rsidRDefault="00A92422" w:rsidP="00A92422">
      <w:pPr>
        <w:pStyle w:val="AppendixBodyText"/>
        <w:spacing w:after="0"/>
        <w:rPr>
          <w:rFonts w:ascii="Tahoma" w:hAnsi="Tahoma" w:cs="Tahoma"/>
          <w:sz w:val="18"/>
          <w:szCs w:val="18"/>
        </w:rPr>
      </w:pPr>
      <w:r w:rsidRPr="00EF2AFE">
        <w:rPr>
          <w:rFonts w:ascii="Tahoma" w:hAnsi="Tahoma" w:cs="Tahoma"/>
          <w:sz w:val="18"/>
          <w:szCs w:val="18"/>
          <w:lang w:val="it-IT"/>
        </w:rPr>
        <w:t>Microsoft può aggiungere il supporto per i nuovi prodotti o interrompere il supporto per i prodotti già esistenti.</w:t>
      </w:r>
      <w:r w:rsidRPr="00EF2AFE">
        <w:rPr>
          <w:rFonts w:ascii="Tahoma" w:hAnsi="Tahoma" w:cs="Tahoma"/>
          <w:sz w:val="18"/>
          <w:szCs w:val="18"/>
        </w:rPr>
        <w:t xml:space="preserve"> </w:t>
      </w:r>
      <w:r w:rsidRPr="00EF2AFE">
        <w:rPr>
          <w:rFonts w:ascii="Tahoma" w:hAnsi="Tahoma" w:cs="Tahoma"/>
          <w:sz w:val="18"/>
          <w:szCs w:val="18"/>
          <w:lang w:val="it-IT"/>
        </w:rPr>
        <w:t>Potrebbero esservi casi nei quali l’implementazione, da parte della società, dei prodotti Microsoft non possa di fatto essere oggetto di supporto.</w:t>
      </w:r>
      <w:r w:rsidRPr="00EF2AFE">
        <w:rPr>
          <w:rFonts w:ascii="Tahoma" w:hAnsi="Tahoma" w:cs="Tahoma"/>
          <w:sz w:val="18"/>
          <w:szCs w:val="18"/>
        </w:rPr>
        <w:t xml:space="preserve"> </w:t>
      </w:r>
      <w:r w:rsidRPr="00EF2AFE">
        <w:rPr>
          <w:rFonts w:ascii="Tahoma" w:hAnsi="Tahoma" w:cs="Tahoma"/>
          <w:sz w:val="18"/>
          <w:szCs w:val="18"/>
          <w:lang w:val="it-IT"/>
        </w:rPr>
        <w:t>Qualora giunga a tale conclusione, Microsoft informerà la società, essendo tale comunicazione parte della fornitura dei servizi di supporto.</w:t>
      </w:r>
      <w:r w:rsidRPr="00EF2AFE">
        <w:rPr>
          <w:rFonts w:ascii="Tahoma" w:hAnsi="Tahoma" w:cs="Tahoma"/>
          <w:sz w:val="18"/>
          <w:szCs w:val="18"/>
        </w:rPr>
        <w:t xml:space="preserve"> </w:t>
      </w:r>
      <w:r w:rsidRPr="00EF2AFE">
        <w:rPr>
          <w:rFonts w:ascii="Tahoma" w:hAnsi="Tahoma" w:cs="Tahoma"/>
          <w:sz w:val="18"/>
          <w:szCs w:val="18"/>
          <w:lang w:val="it-IT"/>
        </w:rPr>
        <w:t>Qualora la società non modifichi l’implementazione al fine di poterla rendere effettivamente oggetto di supporto entro i 30 giorni successivi a tale comunicazione, Microsoft non avrà alcuna obbligazione di fornire ulteriori servizi di supporto per tale implementazione. Tuttavia, Microsoft continuerà a fornire supporto per le altre implementazioni delle società coperte dalle condizioni.</w:t>
      </w:r>
      <w:r w:rsidRPr="00EF2AFE">
        <w:rPr>
          <w:rFonts w:ascii="Tahoma" w:hAnsi="Tahoma" w:cs="Tahoma"/>
          <w:sz w:val="18"/>
          <w:szCs w:val="18"/>
        </w:rPr>
        <w:t xml:space="preserve"> </w:t>
      </w:r>
    </w:p>
    <w:p w:rsidR="00A92422" w:rsidRPr="00EF2AFE" w:rsidRDefault="00A92422" w:rsidP="00A92422">
      <w:pPr>
        <w:pStyle w:val="AppendixBodyText"/>
        <w:spacing w:after="0"/>
        <w:rPr>
          <w:rFonts w:ascii="Tahoma" w:hAnsi="Tahoma" w:cs="Tahoma"/>
          <w:sz w:val="18"/>
          <w:szCs w:val="18"/>
        </w:rPr>
      </w:pPr>
    </w:p>
    <w:p w:rsidR="00A92422" w:rsidRPr="00D87B79" w:rsidRDefault="00A92422" w:rsidP="00A92422">
      <w:pPr>
        <w:pStyle w:val="AppendixBodyText"/>
        <w:spacing w:after="0"/>
        <w:rPr>
          <w:rFonts w:ascii="Tahoma" w:hAnsi="Tahoma" w:cs="Tahoma"/>
        </w:rPr>
      </w:pPr>
      <w:r w:rsidRPr="00D87B79">
        <w:rPr>
          <w:rFonts w:ascii="Tahoma" w:hAnsi="Tahoma" w:cs="Tahoma"/>
          <w:sz w:val="18"/>
          <w:szCs w:val="18"/>
          <w:lang w:val="it-IT"/>
        </w:rPr>
        <w:t>Una richiesta di assistenza break-fix, definita anche intervento, è costituita da un’unica problematica di assistenza e</w:t>
      </w:r>
      <w:r>
        <w:rPr>
          <w:rFonts w:ascii="Tahoma" w:hAnsi="Tahoma" w:cs="Tahoma"/>
          <w:sz w:val="18"/>
          <w:szCs w:val="18"/>
          <w:lang w:val="it-IT"/>
        </w:rPr>
        <w:t> </w:t>
      </w:r>
      <w:r w:rsidRPr="00D87B79">
        <w:rPr>
          <w:rFonts w:ascii="Tahoma" w:hAnsi="Tahoma" w:cs="Tahoma"/>
          <w:sz w:val="18"/>
          <w:szCs w:val="18"/>
          <w:lang w:val="it-IT"/>
        </w:rPr>
        <w:t>dal corrispondente impegno necessario per risolverla.</w:t>
      </w:r>
      <w:r w:rsidRPr="00D87B79">
        <w:rPr>
          <w:rFonts w:ascii="Tahoma" w:hAnsi="Tahoma" w:cs="Tahoma"/>
          <w:sz w:val="18"/>
          <w:szCs w:val="18"/>
        </w:rPr>
        <w:t xml:space="preserve"> </w:t>
      </w:r>
      <w:r w:rsidRPr="00D87B79">
        <w:rPr>
          <w:rFonts w:ascii="Tahoma" w:hAnsi="Tahoma" w:cs="Tahoma"/>
          <w:sz w:val="18"/>
          <w:szCs w:val="18"/>
          <w:lang w:val="it-IT"/>
        </w:rPr>
        <w:t>Un’unica problematica di assistenza è altresì un problema che</w:t>
      </w:r>
      <w:r>
        <w:rPr>
          <w:rFonts w:ascii="Tahoma" w:hAnsi="Tahoma" w:cs="Tahoma"/>
          <w:sz w:val="18"/>
          <w:szCs w:val="18"/>
          <w:lang w:val="it-IT"/>
        </w:rPr>
        <w:t> </w:t>
      </w:r>
      <w:r w:rsidRPr="00D87B79">
        <w:rPr>
          <w:rFonts w:ascii="Tahoma" w:hAnsi="Tahoma" w:cs="Tahoma"/>
          <w:sz w:val="18"/>
          <w:szCs w:val="18"/>
          <w:lang w:val="it-IT"/>
        </w:rPr>
        <w:t>non può essere suddiviso in problematiche subordinate.</w:t>
      </w:r>
      <w:r w:rsidRPr="00D87B79">
        <w:rPr>
          <w:rFonts w:ascii="Tahoma" w:hAnsi="Tahoma" w:cs="Tahoma"/>
          <w:sz w:val="18"/>
          <w:szCs w:val="18"/>
        </w:rPr>
        <w:t xml:space="preserve"> </w:t>
      </w:r>
      <w:r w:rsidRPr="00D87B79">
        <w:rPr>
          <w:rFonts w:ascii="Tahoma" w:hAnsi="Tahoma" w:cs="Tahoma"/>
          <w:sz w:val="18"/>
          <w:szCs w:val="18"/>
          <w:lang w:val="it-IT"/>
        </w:rPr>
        <w:t>Se un problema è composto da problematiche subordinate, ogni problematica dovrà essere considerata un intervento distinto.</w:t>
      </w:r>
      <w:r w:rsidRPr="00D87B79">
        <w:rPr>
          <w:rFonts w:ascii="Tahoma" w:hAnsi="Tahoma" w:cs="Tahoma"/>
          <w:sz w:val="18"/>
          <w:szCs w:val="18"/>
        </w:rPr>
        <w:t xml:space="preserve"> </w:t>
      </w:r>
      <w:r w:rsidRPr="00D87B79">
        <w:rPr>
          <w:rFonts w:ascii="Tahoma" w:hAnsi="Tahoma" w:cs="Tahoma"/>
          <w:sz w:val="18"/>
          <w:szCs w:val="18"/>
          <w:lang w:val="it-IT"/>
        </w:rPr>
        <w:t xml:space="preserve">In determinate situazioni Microsoft potrà fornire alle società una modifica al codice del prodotto software Microsoft disponibile sul mercato per risolvere </w:t>
      </w:r>
      <w:r w:rsidRPr="00D87B79">
        <w:rPr>
          <w:rFonts w:ascii="Tahoma" w:hAnsi="Tahoma" w:cs="Tahoma"/>
          <w:sz w:val="18"/>
          <w:szCs w:val="18"/>
          <w:lang w:val="it-IT"/>
        </w:rPr>
        <w:lastRenderedPageBreak/>
        <w:t>problemi critici (“Hotfix”) in risposta alla richiesta di assistenza. Le Hotfix vengono sviluppate per risolvere problemi specifici delle società e non vengono sottoposte a un ciclo completo di test.</w:t>
      </w:r>
      <w:r w:rsidRPr="00D87B79">
        <w:rPr>
          <w:rFonts w:ascii="Tahoma" w:hAnsi="Tahoma" w:cs="Tahoma"/>
        </w:rPr>
        <w:t xml:space="preserve"> </w:t>
      </w:r>
      <w:r w:rsidRPr="00D87B79">
        <w:rPr>
          <w:rFonts w:ascii="Tahoma" w:hAnsi="Tahoma" w:cs="Tahoma"/>
          <w:sz w:val="18"/>
          <w:lang w:val="it-IT"/>
        </w:rPr>
        <w:t>Salvo diversamente specificato nel presente documento, le Hotfix non potranno essere distribuite a terzi non consociati senza il preventivo consenso scritto di Microsoft.</w:t>
      </w:r>
    </w:p>
    <w:p w:rsidR="00A92422" w:rsidRPr="00D87B79" w:rsidRDefault="00A92422" w:rsidP="00A92422">
      <w:pPr>
        <w:pStyle w:val="AppendixBodyText"/>
        <w:spacing w:after="0"/>
        <w:rPr>
          <w:rFonts w:ascii="Tahoma" w:hAnsi="Tahoma" w:cs="Tahoma"/>
        </w:rPr>
      </w:pPr>
      <w:r w:rsidRPr="00D87B79">
        <w:rPr>
          <w:rFonts w:ascii="Tahoma" w:hAnsi="Tahoma" w:cs="Tahoma"/>
          <w:sz w:val="18"/>
          <w:lang w:val="it-IT"/>
        </w:rPr>
        <w:t xml:space="preserve">I prodotti disponibili tramite contratti multilicenza (Volume Licensing) e che usufruiscono del Supporto Mainstream come stabilito nei </w:t>
      </w:r>
      <w:hyperlink r:id="rId20" w:history="1">
        <w:r w:rsidRPr="00D87B79">
          <w:rPr>
            <w:rFonts w:ascii="Tahoma" w:hAnsi="Tahoma" w:cs="Tahoma"/>
            <w:color w:val="0000FF"/>
            <w:sz w:val="18"/>
            <w:u w:val="single"/>
            <w:lang w:val="it-IT"/>
          </w:rPr>
          <w:t>Criteri per il Ciclo di Vita del Supporto di Microsoft</w:t>
        </w:r>
      </w:hyperlink>
      <w:r w:rsidRPr="00D87B79">
        <w:rPr>
          <w:rFonts w:ascii="Tahoma" w:hAnsi="Tahoma" w:cs="Tahoma"/>
          <w:sz w:val="18"/>
          <w:lang w:val="it-IT"/>
        </w:rPr>
        <w:t xml:space="preserve"> </w:t>
      </w:r>
      <w:r>
        <w:rPr>
          <w:rFonts w:ascii="Tahoma" w:hAnsi="Tahoma" w:cs="Tahoma"/>
          <w:sz w:val="18"/>
          <w:lang w:val="it-IT"/>
        </w:rPr>
        <w:t xml:space="preserve"> </w:t>
      </w:r>
      <w:r w:rsidRPr="00D87B79">
        <w:rPr>
          <w:rFonts w:ascii="Tahoma" w:hAnsi="Tahoma" w:cs="Tahoma"/>
          <w:sz w:val="18"/>
          <w:lang w:val="it-IT"/>
        </w:rPr>
        <w:t>sono idonei a ricevere il Supporto per la Risoluzione dei Problemi 24x7.</w:t>
      </w:r>
      <w:r w:rsidRPr="00D87B79">
        <w:rPr>
          <w:rFonts w:ascii="Tahoma" w:hAnsi="Tahoma" w:cs="Tahoma"/>
        </w:rPr>
        <w:t xml:space="preserve"> </w:t>
      </w:r>
      <w:r w:rsidRPr="00D87B79">
        <w:rPr>
          <w:rFonts w:ascii="Tahoma" w:hAnsi="Tahoma" w:cs="Tahoma"/>
          <w:color w:val="000000"/>
          <w:sz w:val="18"/>
          <w:lang w:val="it-IT"/>
        </w:rPr>
        <w:t>L’idoneità del prodotto a ricevere supporto telefonico è collegata alla disponibilità dell’offerta Software Assurance per il prodotto stesso.</w:t>
      </w:r>
      <w:r w:rsidRPr="00D87B79">
        <w:rPr>
          <w:rFonts w:ascii="Tahoma" w:hAnsi="Tahoma" w:cs="Tahoma"/>
        </w:rPr>
        <w:t xml:space="preserve"> </w:t>
      </w:r>
      <w:r w:rsidRPr="00D87B79">
        <w:rPr>
          <w:rFonts w:ascii="Tahoma" w:hAnsi="Tahoma" w:cs="Tahoma"/>
          <w:color w:val="000000"/>
          <w:sz w:val="18"/>
          <w:lang w:val="it-IT"/>
        </w:rPr>
        <w:t>Per i prodotti per i quali non è disponibile alcuna opzione Software Assurance per il server, ma per le CAL, la spesa SA relativa alle CAL prende in considerazione gli interventi da utilizzare per i prodotti idonei nella modalità indicata di seguito nella sezione Premi per Interventi Tramite Supporto Telefonico.</w:t>
      </w:r>
      <w:r w:rsidRPr="00D87B79">
        <w:rPr>
          <w:rFonts w:ascii="Tahoma" w:hAnsi="Tahoma" w:cs="Tahoma"/>
        </w:rPr>
        <w:t xml:space="preserve"> </w:t>
      </w:r>
      <w:r w:rsidRPr="00D87B79">
        <w:rPr>
          <w:rFonts w:ascii="Tahoma" w:hAnsi="Tahoma" w:cs="Tahoma"/>
          <w:color w:val="000000"/>
          <w:sz w:val="18"/>
          <w:lang w:val="it-IT"/>
        </w:rPr>
        <w:t>Per consultare i criteri di assistenza e supporto, fare riferimento alla sezione specifica del prodotto.</w:t>
      </w:r>
      <w:r w:rsidRPr="00D87B79">
        <w:rPr>
          <w:rFonts w:ascii="Tahoma" w:hAnsi="Tahoma" w:cs="Tahoma"/>
        </w:rPr>
        <w:t xml:space="preserve"> </w:t>
      </w:r>
      <w:r w:rsidRPr="00D87B79">
        <w:rPr>
          <w:rFonts w:ascii="Tahoma" w:hAnsi="Tahoma" w:cs="Tahoma"/>
          <w:color w:val="000000"/>
          <w:sz w:val="18"/>
          <w:lang w:val="it-IT"/>
        </w:rPr>
        <w:t>Sono idonee anche le versioni precedenti dei prodotti per cui è previsto il Supporto Mainstream e che le</w:t>
      </w:r>
      <w:r>
        <w:rPr>
          <w:rFonts w:ascii="Tahoma" w:hAnsi="Tahoma" w:cs="Tahoma"/>
          <w:color w:val="000000"/>
          <w:sz w:val="18"/>
          <w:lang w:val="it-IT"/>
        </w:rPr>
        <w:t> </w:t>
      </w:r>
      <w:r w:rsidRPr="00D87B79">
        <w:rPr>
          <w:rFonts w:ascii="Tahoma" w:hAnsi="Tahoma" w:cs="Tahoma"/>
          <w:color w:val="000000"/>
          <w:sz w:val="18"/>
          <w:lang w:val="it-IT"/>
        </w:rPr>
        <w:t>società scelgono di utilizzare al posto della versione con licenza in uso.</w:t>
      </w:r>
      <w:r w:rsidRPr="00D87B79">
        <w:rPr>
          <w:rFonts w:ascii="Tahoma" w:hAnsi="Tahoma" w:cs="Tahoma"/>
        </w:rPr>
        <w:t xml:space="preserve"> </w:t>
      </w:r>
      <w:r w:rsidRPr="00D87B79">
        <w:rPr>
          <w:rFonts w:ascii="Tahoma" w:hAnsi="Tahoma" w:cs="Tahoma"/>
          <w:color w:val="000000"/>
          <w:sz w:val="18"/>
          <w:lang w:val="it-IT"/>
        </w:rPr>
        <w:t>Sono esclusi la Developer Edition di tutti i</w:t>
      </w:r>
      <w:r>
        <w:rPr>
          <w:rFonts w:ascii="Tahoma" w:hAnsi="Tahoma" w:cs="Tahoma"/>
          <w:color w:val="000000"/>
          <w:sz w:val="18"/>
          <w:lang w:val="it-IT"/>
        </w:rPr>
        <w:t> </w:t>
      </w:r>
      <w:r w:rsidRPr="00D87B79">
        <w:rPr>
          <w:rFonts w:ascii="Tahoma" w:hAnsi="Tahoma" w:cs="Tahoma"/>
          <w:color w:val="000000"/>
          <w:sz w:val="18"/>
          <w:lang w:val="it-IT"/>
        </w:rPr>
        <w:t>server, i prodotti HED e gli Abbonamenti MSDN.</w:t>
      </w:r>
    </w:p>
    <w:p w:rsidR="00A92422" w:rsidRPr="00EF2AFE" w:rsidRDefault="00A92422" w:rsidP="00A92422">
      <w:pPr>
        <w:pStyle w:val="AppendixBodyText"/>
        <w:spacing w:after="0"/>
        <w:rPr>
          <w:rFonts w:ascii="Tahoma" w:hAnsi="Tahoma" w:cs="Tahoma"/>
          <w:sz w:val="18"/>
          <w:szCs w:val="18"/>
        </w:rPr>
      </w:pPr>
    </w:p>
    <w:p w:rsidR="00A92422" w:rsidRPr="00580B6E" w:rsidRDefault="00A92422" w:rsidP="00A92422">
      <w:pPr>
        <w:pStyle w:val="AppendixBodyText"/>
        <w:spacing w:after="0"/>
        <w:rPr>
          <w:rFonts w:ascii="Tahoma" w:hAnsi="Tahoma" w:cs="Tahoma"/>
          <w:sz w:val="18"/>
          <w:szCs w:val="18"/>
        </w:rPr>
      </w:pPr>
      <w:r w:rsidRPr="00580B6E">
        <w:rPr>
          <w:rFonts w:ascii="Tahoma" w:hAnsi="Tahoma" w:cs="Tahoma"/>
          <w:sz w:val="18"/>
          <w:szCs w:val="18"/>
          <w:lang w:val="it-IT"/>
        </w:rPr>
        <w:t>Microsoft potrà utilizzare qualsiasi informazione tecnica ottenuta tramite la fornitura di servizi correlati ai suoi prodotti per la risoluzione dei problemi, il miglioramento delle funzionalità dei prodotti e i fix, nonché per la knowledge base di Microsoft.</w:t>
      </w:r>
      <w:r w:rsidRPr="00580B6E">
        <w:rPr>
          <w:rFonts w:ascii="Tahoma" w:hAnsi="Tahoma" w:cs="Tahoma"/>
          <w:sz w:val="18"/>
          <w:szCs w:val="18"/>
        </w:rPr>
        <w:t xml:space="preserve"> </w:t>
      </w:r>
      <w:r w:rsidRPr="00580B6E">
        <w:rPr>
          <w:rFonts w:ascii="Tahoma" w:hAnsi="Tahoma" w:cs="Tahoma"/>
          <w:sz w:val="18"/>
          <w:szCs w:val="18"/>
          <w:lang w:val="it-IT"/>
        </w:rPr>
        <w:t>Microsoft accetta di non citare la società o divulgare informazioni riservate di quest’ultima in alcun articolo della knowledge base.</w:t>
      </w:r>
      <w:r w:rsidRPr="00580B6E">
        <w:rPr>
          <w:rFonts w:ascii="Tahoma" w:hAnsi="Tahoma" w:cs="Tahoma"/>
          <w:sz w:val="18"/>
          <w:szCs w:val="18"/>
        </w:rPr>
        <w:t xml:space="preserve"> </w:t>
      </w:r>
      <w:r w:rsidRPr="00580B6E">
        <w:rPr>
          <w:rFonts w:ascii="Tahoma" w:hAnsi="Tahoma" w:cs="Tahoma"/>
          <w:sz w:val="18"/>
          <w:szCs w:val="18"/>
          <w:lang w:val="it-IT"/>
        </w:rPr>
        <w:t>Microsoft non è obbligata a limitare gli incarichi di lavoro futuri delle persone che hanno avuto accesso alle informazioni riservate della società.</w:t>
      </w:r>
      <w:r w:rsidRPr="00580B6E">
        <w:rPr>
          <w:rFonts w:ascii="Tahoma" w:hAnsi="Tahoma" w:cs="Tahoma"/>
          <w:sz w:val="18"/>
          <w:szCs w:val="18"/>
        </w:rPr>
        <w:t xml:space="preserve"> </w:t>
      </w:r>
      <w:r w:rsidRPr="00580B6E">
        <w:rPr>
          <w:rFonts w:ascii="Tahoma" w:hAnsi="Tahoma" w:cs="Tahoma"/>
          <w:sz w:val="18"/>
          <w:szCs w:val="18"/>
          <w:lang w:val="it-IT"/>
        </w:rPr>
        <w:t>Inoltre, la società, Microsoft e tali persone sono libere di utilizzare le informazioni che tali persone ricordano relativamente all’information technology, inclusi idee, concetti, know-how o tecniche, a condizione che le informazioni riservate dell’altra parte non siano divulgate durante tale utilizzo.</w:t>
      </w:r>
    </w:p>
    <w:p w:rsidR="00A92422" w:rsidRPr="00EF2AFE" w:rsidRDefault="00A92422" w:rsidP="00A92422">
      <w:pPr>
        <w:pStyle w:val="AppendixBodyText"/>
        <w:spacing w:after="0"/>
        <w:rPr>
          <w:rFonts w:ascii="Tahoma" w:hAnsi="Tahoma" w:cs="Tahoma"/>
          <w:sz w:val="18"/>
          <w:szCs w:val="18"/>
        </w:rPr>
      </w:pPr>
    </w:p>
    <w:p w:rsidR="00A92422" w:rsidRDefault="00A92422" w:rsidP="00A92422">
      <w:pPr>
        <w:pStyle w:val="AppendixBodyText"/>
        <w:spacing w:after="0"/>
        <w:rPr>
          <w:rFonts w:ascii="Tahoma" w:hAnsi="Tahoma" w:cs="Tahoma"/>
          <w:sz w:val="18"/>
          <w:szCs w:val="18"/>
        </w:rPr>
      </w:pPr>
      <w:r w:rsidRPr="00580B6E">
        <w:rPr>
          <w:rFonts w:ascii="Tahoma" w:hAnsi="Tahoma" w:cs="Tahoma"/>
          <w:sz w:val="18"/>
          <w:szCs w:val="18"/>
          <w:lang w:val="it-IT"/>
        </w:rPr>
        <w:t>Il diritto della società di utilizzare eventuali fix, che Microsoft potrà rendere disponibili nel corso dell’erogazione dei servizi, è disciplinato dal contratto di licenza per il prodotto al quale il fix fa riferimento, oppure, nel caso in cui il fix non sia fornito per un prodotto specifico, da altre condizioni definite da Microsoft.</w:t>
      </w:r>
      <w:r w:rsidRPr="00580B6E">
        <w:rPr>
          <w:rFonts w:ascii="Tahoma" w:hAnsi="Tahoma" w:cs="Tahoma"/>
          <w:sz w:val="18"/>
          <w:szCs w:val="18"/>
        </w:rPr>
        <w:t xml:space="preserve"> </w:t>
      </w:r>
      <w:r w:rsidRPr="00580B6E">
        <w:rPr>
          <w:rFonts w:ascii="Tahoma" w:hAnsi="Tahoma" w:cs="Tahoma"/>
          <w:sz w:val="18"/>
          <w:szCs w:val="18"/>
          <w:lang w:val="it-IT"/>
        </w:rPr>
        <w:t>Tutti i fix forniti sono concessi in licenza alla società.</w:t>
      </w:r>
    </w:p>
    <w:p w:rsidR="00A92422" w:rsidRDefault="00A92422" w:rsidP="00A92422">
      <w:pPr>
        <w:pStyle w:val="AppendixBodyText"/>
        <w:spacing w:after="0"/>
        <w:rPr>
          <w:rFonts w:ascii="Tahoma" w:hAnsi="Tahoma" w:cs="Tahoma"/>
          <w:sz w:val="18"/>
          <w:szCs w:val="18"/>
        </w:rPr>
      </w:pPr>
    </w:p>
    <w:p w:rsidR="00A92422" w:rsidRPr="00D87B79" w:rsidRDefault="00A92422" w:rsidP="00A92422">
      <w:pPr>
        <w:pStyle w:val="AppendixBodyText"/>
        <w:spacing w:after="0"/>
        <w:rPr>
          <w:rFonts w:ascii="Tahoma" w:hAnsi="Tahoma" w:cs="Tahoma"/>
        </w:rPr>
      </w:pPr>
      <w:r w:rsidRPr="00D87B79">
        <w:rPr>
          <w:rFonts w:ascii="Tahoma" w:hAnsi="Tahoma" w:cs="Tahoma"/>
          <w:sz w:val="18"/>
          <w:szCs w:val="18"/>
          <w:lang w:val="it-IT"/>
        </w:rPr>
        <w:t>Il supporto tecnico può essere avviato formulando le richieste di intervento in formato elettronico, tramite Web o per</w:t>
      </w:r>
      <w:r>
        <w:rPr>
          <w:rFonts w:ascii="Tahoma" w:hAnsi="Tahoma" w:cs="Tahoma"/>
          <w:sz w:val="18"/>
          <w:szCs w:val="18"/>
          <w:lang w:val="it-IT"/>
        </w:rPr>
        <w:t> </w:t>
      </w:r>
      <w:r w:rsidRPr="00D87B79">
        <w:rPr>
          <w:rFonts w:ascii="Tahoma" w:hAnsi="Tahoma" w:cs="Tahoma"/>
          <w:sz w:val="18"/>
          <w:szCs w:val="18"/>
          <w:lang w:val="it-IT"/>
        </w:rPr>
        <w:t>telefono.</w:t>
      </w:r>
      <w:r w:rsidRPr="00D87B79">
        <w:rPr>
          <w:rFonts w:ascii="Tahoma" w:hAnsi="Tahoma" w:cs="Tahoma"/>
          <w:sz w:val="18"/>
          <w:szCs w:val="18"/>
        </w:rPr>
        <w:t xml:space="preserve"> </w:t>
      </w:r>
      <w:r w:rsidRPr="00D87B79">
        <w:rPr>
          <w:rFonts w:ascii="Tahoma" w:hAnsi="Tahoma" w:cs="Tahoma"/>
          <w:sz w:val="18"/>
          <w:szCs w:val="18"/>
          <w:lang w:val="it-IT"/>
        </w:rPr>
        <w:t>Disposizioni diverse si applicano a ciascun tipo di strumento.</w:t>
      </w:r>
      <w:r w:rsidRPr="00D87B79">
        <w:rPr>
          <w:rFonts w:ascii="Tahoma" w:hAnsi="Tahoma" w:cs="Tahoma"/>
        </w:rPr>
        <w:t xml:space="preserve"> </w:t>
      </w:r>
      <w:r w:rsidRPr="00D87B79">
        <w:rPr>
          <w:rFonts w:ascii="Tahoma" w:hAnsi="Tahoma" w:cs="Tahoma"/>
          <w:sz w:val="18"/>
          <w:lang w:val="it-IT"/>
        </w:rPr>
        <w:t>Il Supporto per la Risoluzione dei Problemi 24x7 assegna alle società un determinato numero di interventi e fornisce loro i contatti a cui rivolgersi per richiedere tali interventi.</w:t>
      </w:r>
    </w:p>
    <w:p w:rsidR="00A92422" w:rsidRPr="00EF2AFE" w:rsidRDefault="00A92422" w:rsidP="00A92422">
      <w:pPr>
        <w:pStyle w:val="AppendixBodyText"/>
        <w:spacing w:after="0"/>
        <w:rPr>
          <w:rFonts w:ascii="Tahoma" w:hAnsi="Tahoma" w:cs="Tahoma"/>
          <w:sz w:val="18"/>
          <w:szCs w:val="18"/>
        </w:rPr>
      </w:pPr>
    </w:p>
    <w:p w:rsidR="00A92422" w:rsidRPr="00D87B79" w:rsidRDefault="00A92422" w:rsidP="00A92422">
      <w:pPr>
        <w:rPr>
          <w:rFonts w:cs="Tahoma"/>
        </w:rPr>
      </w:pPr>
      <w:bookmarkStart w:id="861" w:name="_Toc240899163"/>
      <w:bookmarkEnd w:id="861"/>
      <w:r w:rsidRPr="00D87B79">
        <w:rPr>
          <w:rFonts w:cs="Tahoma"/>
          <w:b/>
          <w:sz w:val="20"/>
          <w:lang w:val="it-IT"/>
        </w:rPr>
        <w:t>Premi per Interventi Tramite Supporto Telefonico</w:t>
      </w:r>
    </w:p>
    <w:p w:rsidR="00A92422" w:rsidRPr="00EF2AFE" w:rsidRDefault="00A92422" w:rsidP="00A92422">
      <w:pPr>
        <w:pStyle w:val="AppendixBodyText"/>
        <w:spacing w:after="0"/>
        <w:rPr>
          <w:rFonts w:ascii="Tahoma" w:hAnsi="Tahoma" w:cs="Tahoma"/>
          <w:sz w:val="18"/>
          <w:szCs w:val="18"/>
        </w:rPr>
      </w:pPr>
    </w:p>
    <w:p w:rsidR="00A92422" w:rsidRPr="00ED13A6" w:rsidRDefault="00A92422" w:rsidP="00A92422">
      <w:pPr>
        <w:pStyle w:val="AppendixBodyText"/>
        <w:spacing w:after="0"/>
        <w:rPr>
          <w:rFonts w:ascii="Tahoma" w:hAnsi="Tahoma" w:cs="Tahoma"/>
          <w:sz w:val="18"/>
          <w:szCs w:val="18"/>
        </w:rPr>
      </w:pPr>
      <w:r w:rsidRPr="00ED13A6">
        <w:rPr>
          <w:rFonts w:ascii="Tahoma" w:hAnsi="Tahoma" w:cs="Tahoma"/>
          <w:sz w:val="18"/>
          <w:szCs w:val="18"/>
          <w:lang w:val="it-IT"/>
        </w:rPr>
        <w:t>Il numero di interventi per cui è consentito richiedere il supporto telefonico varia da società a società, in base alla spesa sostenuta per Software Assurance (SA) e all’opzione di pagamento.</w:t>
      </w:r>
      <w:r w:rsidRPr="00ED13A6">
        <w:rPr>
          <w:rFonts w:ascii="Tahoma" w:hAnsi="Tahoma" w:cs="Tahoma"/>
          <w:sz w:val="18"/>
          <w:szCs w:val="18"/>
        </w:rPr>
        <w:t xml:space="preserve"> </w:t>
      </w:r>
      <w:r w:rsidRPr="00ED13A6">
        <w:rPr>
          <w:rFonts w:ascii="Tahoma" w:hAnsi="Tahoma" w:cs="Tahoma"/>
          <w:sz w:val="18"/>
          <w:szCs w:val="18"/>
          <w:lang w:val="it-IT"/>
        </w:rPr>
        <w:t>A questo proposito, “spesa SA” non significa letteralmente i soldi effettivi spesi dalla società.</w:t>
      </w:r>
      <w:r w:rsidRPr="00ED13A6">
        <w:rPr>
          <w:rFonts w:ascii="Tahoma" w:hAnsi="Tahoma" w:cs="Tahoma"/>
          <w:sz w:val="18"/>
          <w:szCs w:val="18"/>
        </w:rPr>
        <w:t xml:space="preserve"> </w:t>
      </w:r>
      <w:r w:rsidRPr="00ED13A6">
        <w:rPr>
          <w:rFonts w:ascii="Tahoma" w:hAnsi="Tahoma" w:cs="Tahoma"/>
          <w:sz w:val="18"/>
          <w:szCs w:val="18"/>
          <w:lang w:val="it-IT"/>
        </w:rPr>
        <w:t>Si tratta, invece, dell’importo approssimativo speso dal cliente nella copertura Software Assurance per questi prodotti.</w:t>
      </w:r>
      <w:r w:rsidRPr="00ED13A6">
        <w:rPr>
          <w:rFonts w:ascii="Tahoma" w:hAnsi="Tahoma" w:cs="Tahoma"/>
          <w:sz w:val="18"/>
          <w:szCs w:val="18"/>
        </w:rPr>
        <w:t xml:space="preserve"> </w:t>
      </w:r>
      <w:r w:rsidRPr="00ED13A6">
        <w:rPr>
          <w:rFonts w:ascii="Tahoma" w:hAnsi="Tahoma" w:cs="Tahoma"/>
          <w:sz w:val="18"/>
          <w:szCs w:val="18"/>
          <w:lang w:val="it-IT"/>
        </w:rPr>
        <w:t>Per le società che partecipano ai programmi “subscription”, rappresenta l’importo approssimativo della spesa totale che la società ha dovuto affrontare per ottenere in licenza tali prodotti ai sensi della sua iscrizione o del suo contratto.</w:t>
      </w:r>
      <w:r w:rsidRPr="00ED13A6">
        <w:rPr>
          <w:rFonts w:ascii="Tahoma" w:hAnsi="Tahoma" w:cs="Tahoma"/>
          <w:sz w:val="18"/>
          <w:szCs w:val="18"/>
        </w:rPr>
        <w:t xml:space="preserve"> </w:t>
      </w:r>
      <w:r w:rsidRPr="00ED13A6">
        <w:rPr>
          <w:rFonts w:ascii="Tahoma" w:hAnsi="Tahoma" w:cs="Tahoma"/>
          <w:sz w:val="18"/>
          <w:szCs w:val="18"/>
          <w:lang w:val="it-IT"/>
        </w:rPr>
        <w:t>L’intervento gratuito è assegnato ai sensi dell’iscrizione Enterprise e Select, della registrazione Select Plus e del contratto Open Value con copertura SA, su almeno un prodotto software Server qualificante.</w:t>
      </w:r>
    </w:p>
    <w:p w:rsidR="00A92422" w:rsidRPr="00ED13A6" w:rsidRDefault="00A92422" w:rsidP="00A92422">
      <w:pPr>
        <w:pStyle w:val="AppendixBodyText"/>
        <w:spacing w:after="0"/>
        <w:rPr>
          <w:rFonts w:ascii="Tahoma" w:hAnsi="Tahoma" w:cs="Tahoma"/>
          <w:sz w:val="18"/>
          <w:szCs w:val="18"/>
        </w:rPr>
      </w:pPr>
    </w:p>
    <w:tbl>
      <w:tblPr>
        <w:tblW w:w="88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99"/>
        <w:gridCol w:w="871"/>
        <w:gridCol w:w="3152"/>
        <w:gridCol w:w="2889"/>
      </w:tblGrid>
      <w:tr w:rsidR="00A92422" w:rsidRPr="00D87B79" w:rsidTr="00EA30FC">
        <w:trPr>
          <w:trHeight w:val="178"/>
          <w:tblHeader/>
        </w:trPr>
        <w:tc>
          <w:tcPr>
            <w:tcW w:w="1899" w:type="dxa"/>
            <w:tcBorders>
              <w:top w:val="single" w:sz="8" w:space="0" w:color="auto"/>
              <w:left w:val="single" w:sz="8" w:space="0" w:color="auto"/>
              <w:bottom w:val="single" w:sz="8" w:space="0" w:color="auto"/>
              <w:right w:val="single" w:sz="8" w:space="0" w:color="auto"/>
            </w:tcBorders>
            <w:shd w:val="clear" w:color="auto" w:fill="FFCC99"/>
            <w:vAlign w:val="bottom"/>
          </w:tcPr>
          <w:p w:rsidR="00A92422" w:rsidRPr="00D87B79" w:rsidRDefault="00A92422" w:rsidP="00EA30FC">
            <w:pPr>
              <w:pStyle w:val="AppendixBodyText"/>
              <w:rPr>
                <w:rFonts w:ascii="Tahoma" w:hAnsi="Tahoma" w:cs="Tahoma"/>
                <w:b/>
                <w:bCs/>
              </w:rPr>
            </w:pPr>
            <w:r w:rsidRPr="00D87B79">
              <w:rPr>
                <w:rFonts w:ascii="Tahoma" w:hAnsi="Tahoma" w:cs="Tahoma"/>
                <w:b/>
                <w:bCs/>
                <w:lang w:val="it-IT"/>
              </w:rPr>
              <w:t>Denominazione Valuta</w:t>
            </w:r>
          </w:p>
        </w:tc>
        <w:tc>
          <w:tcPr>
            <w:tcW w:w="871" w:type="dxa"/>
            <w:tcBorders>
              <w:top w:val="single" w:sz="8" w:space="0" w:color="auto"/>
              <w:left w:val="single" w:sz="8" w:space="0" w:color="auto"/>
              <w:bottom w:val="single" w:sz="8" w:space="0" w:color="auto"/>
              <w:right w:val="single" w:sz="8" w:space="0" w:color="auto"/>
            </w:tcBorders>
            <w:shd w:val="clear" w:color="auto" w:fill="FFCC99"/>
            <w:vAlign w:val="bottom"/>
          </w:tcPr>
          <w:p w:rsidR="00A92422" w:rsidRPr="00D87B79" w:rsidRDefault="00A92422" w:rsidP="00EA30FC">
            <w:pPr>
              <w:pStyle w:val="AppendixBodyText"/>
              <w:rPr>
                <w:rFonts w:ascii="Tahoma" w:hAnsi="Tahoma" w:cs="Tahoma"/>
                <w:b/>
                <w:bCs/>
              </w:rPr>
            </w:pPr>
            <w:r w:rsidRPr="00D87B79">
              <w:rPr>
                <w:rFonts w:ascii="Tahoma" w:hAnsi="Tahoma" w:cs="Tahoma"/>
                <w:b/>
                <w:bCs/>
                <w:lang w:val="it-IT"/>
              </w:rPr>
              <w:t>Codice Valuta</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bottom"/>
          </w:tcPr>
          <w:p w:rsidR="00A92422" w:rsidRPr="00D87B79" w:rsidRDefault="00A92422" w:rsidP="00EA30FC">
            <w:pPr>
              <w:pStyle w:val="AppendixBodyText"/>
              <w:rPr>
                <w:rFonts w:ascii="Tahoma" w:hAnsi="Tahoma" w:cs="Tahoma"/>
              </w:rPr>
            </w:pPr>
            <w:r w:rsidRPr="00D87B79">
              <w:rPr>
                <w:rFonts w:ascii="Tahoma" w:hAnsi="Tahoma" w:cs="Tahoma"/>
                <w:b/>
                <w:lang w:val="it-IT"/>
              </w:rPr>
              <w:t>Incrementi Premi Interventi</w:t>
            </w:r>
          </w:p>
          <w:p w:rsidR="00A92422" w:rsidRPr="00D87B79" w:rsidRDefault="00A92422" w:rsidP="00EA30FC">
            <w:pPr>
              <w:pStyle w:val="AppendixBodyText"/>
              <w:rPr>
                <w:rFonts w:ascii="Tahoma" w:hAnsi="Tahoma" w:cs="Tahoma"/>
                <w:b/>
                <w:bCs/>
              </w:rPr>
            </w:pPr>
            <w:r w:rsidRPr="00D87B79">
              <w:rPr>
                <w:rFonts w:ascii="Tahoma" w:hAnsi="Tahoma" w:cs="Tahoma"/>
                <w:b/>
                <w:bCs/>
                <w:lang w:val="it-IT"/>
              </w:rPr>
              <w:t>Server/CAL</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A92422" w:rsidRPr="00D87B79" w:rsidRDefault="00A92422" w:rsidP="00EA30FC">
            <w:pPr>
              <w:pStyle w:val="AppendixBodyText"/>
              <w:rPr>
                <w:rFonts w:ascii="Tahoma" w:hAnsi="Tahoma" w:cs="Tahoma"/>
              </w:rPr>
            </w:pPr>
            <w:r w:rsidRPr="00D87B79">
              <w:rPr>
                <w:rFonts w:ascii="Tahoma" w:hAnsi="Tahoma" w:cs="Tahoma"/>
                <w:b/>
                <w:lang w:val="it-IT"/>
              </w:rPr>
              <w:t>Incrementi Premi Interventi</w:t>
            </w:r>
          </w:p>
          <w:p w:rsidR="00A92422" w:rsidRPr="00D87B79" w:rsidRDefault="00A92422" w:rsidP="00EA30FC">
            <w:pPr>
              <w:pStyle w:val="AppendixBodyText"/>
              <w:rPr>
                <w:rFonts w:ascii="Tahoma" w:hAnsi="Tahoma" w:cs="Tahoma"/>
                <w:b/>
                <w:bCs/>
              </w:rPr>
            </w:pPr>
            <w:r w:rsidRPr="00D87B79">
              <w:rPr>
                <w:rFonts w:ascii="Tahoma" w:hAnsi="Tahoma" w:cs="Tahoma"/>
                <w:b/>
                <w:bCs/>
                <w:lang w:val="it-IT"/>
              </w:rPr>
              <w:t>Server/CAL</w:t>
            </w:r>
          </w:p>
        </w:tc>
      </w:tr>
      <w:tr w:rsidR="00A92422" w:rsidRPr="00D87B79" w:rsidTr="00EA30FC">
        <w:trPr>
          <w:trHeight w:val="236"/>
        </w:trPr>
        <w:tc>
          <w:tcPr>
            <w:tcW w:w="1899"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Dollaro statunitense</w:t>
            </w:r>
          </w:p>
        </w:tc>
        <w:tc>
          <w:tcPr>
            <w:tcW w:w="871"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USD</w:t>
            </w:r>
          </w:p>
        </w:tc>
        <w:tc>
          <w:tcPr>
            <w:tcW w:w="3152"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rPr>
              <w:t>$20</w:t>
            </w:r>
            <w:r>
              <w:rPr>
                <w:rFonts w:ascii="Tahoma" w:hAnsi="Tahoma" w:cs="Tahoma"/>
                <w:sz w:val="18"/>
                <w:szCs w:val="18"/>
              </w:rPr>
              <w:t>.</w:t>
            </w:r>
            <w:r w:rsidRPr="00D87B79">
              <w:rPr>
                <w:rFonts w:ascii="Tahoma" w:hAnsi="Tahoma" w:cs="Tahoma"/>
                <w:sz w:val="18"/>
                <w:szCs w:val="18"/>
              </w:rPr>
              <w:t>000</w:t>
            </w:r>
          </w:p>
        </w:tc>
        <w:tc>
          <w:tcPr>
            <w:tcW w:w="2889"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rPr>
              <w:t>$200</w:t>
            </w:r>
            <w:r>
              <w:rPr>
                <w:rFonts w:ascii="Tahoma" w:hAnsi="Tahoma" w:cs="Tahoma"/>
                <w:sz w:val="18"/>
                <w:szCs w:val="18"/>
              </w:rPr>
              <w:t>.</w:t>
            </w:r>
            <w:r w:rsidRPr="00D87B79">
              <w:rPr>
                <w:rFonts w:ascii="Tahoma" w:hAnsi="Tahoma" w:cs="Tahoma"/>
                <w:sz w:val="18"/>
                <w:szCs w:val="18"/>
              </w:rPr>
              <w:t>000</w:t>
            </w:r>
          </w:p>
        </w:tc>
      </w:tr>
      <w:tr w:rsidR="00A92422" w:rsidRPr="00D87B79" w:rsidTr="00EA30FC">
        <w:trPr>
          <w:trHeight w:val="236"/>
        </w:trPr>
        <w:tc>
          <w:tcPr>
            <w:tcW w:w="1899"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Dollaro australiano</w:t>
            </w:r>
          </w:p>
        </w:tc>
        <w:tc>
          <w:tcPr>
            <w:tcW w:w="871"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AUD</w:t>
            </w:r>
          </w:p>
        </w:tc>
        <w:tc>
          <w:tcPr>
            <w:tcW w:w="3152"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rPr>
              <w:t>30</w:t>
            </w:r>
            <w:r>
              <w:rPr>
                <w:rFonts w:ascii="Tahoma" w:hAnsi="Tahoma" w:cs="Tahoma"/>
                <w:sz w:val="18"/>
                <w:szCs w:val="18"/>
              </w:rPr>
              <w:t>.</w:t>
            </w:r>
            <w:r w:rsidRPr="00D87B79">
              <w:rPr>
                <w:rFonts w:ascii="Tahoma" w:hAnsi="Tahoma" w:cs="Tahoma"/>
                <w:sz w:val="18"/>
                <w:szCs w:val="18"/>
              </w:rPr>
              <w:t>000</w:t>
            </w:r>
          </w:p>
        </w:tc>
        <w:tc>
          <w:tcPr>
            <w:tcW w:w="2889"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rPr>
              <w:t>300</w:t>
            </w:r>
            <w:r>
              <w:rPr>
                <w:rFonts w:ascii="Tahoma" w:hAnsi="Tahoma" w:cs="Tahoma"/>
                <w:sz w:val="18"/>
                <w:szCs w:val="18"/>
              </w:rPr>
              <w:t>.</w:t>
            </w:r>
            <w:r w:rsidRPr="00D87B79">
              <w:rPr>
                <w:rFonts w:ascii="Tahoma" w:hAnsi="Tahoma" w:cs="Tahoma"/>
                <w:sz w:val="18"/>
                <w:szCs w:val="18"/>
              </w:rPr>
              <w:t>000</w:t>
            </w:r>
          </w:p>
        </w:tc>
      </w:tr>
      <w:tr w:rsidR="00A92422" w:rsidRPr="00D87B79" w:rsidTr="00EA30FC">
        <w:trPr>
          <w:trHeight w:val="236"/>
        </w:trPr>
        <w:tc>
          <w:tcPr>
            <w:tcW w:w="1899"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Dollaro canadese</w:t>
            </w:r>
          </w:p>
        </w:tc>
        <w:tc>
          <w:tcPr>
            <w:tcW w:w="871"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CAD</w:t>
            </w:r>
          </w:p>
        </w:tc>
        <w:tc>
          <w:tcPr>
            <w:tcW w:w="3152"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rPr>
              <w:t>27</w:t>
            </w:r>
            <w:r>
              <w:rPr>
                <w:rFonts w:ascii="Tahoma" w:hAnsi="Tahoma" w:cs="Tahoma"/>
                <w:sz w:val="18"/>
                <w:szCs w:val="18"/>
              </w:rPr>
              <w:t>.</w:t>
            </w:r>
            <w:r w:rsidRPr="00D87B79">
              <w:rPr>
                <w:rFonts w:ascii="Tahoma" w:hAnsi="Tahoma" w:cs="Tahoma"/>
                <w:sz w:val="18"/>
                <w:szCs w:val="18"/>
              </w:rPr>
              <w:t>000</w:t>
            </w:r>
          </w:p>
        </w:tc>
        <w:tc>
          <w:tcPr>
            <w:tcW w:w="2889"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rPr>
              <w:t>270</w:t>
            </w:r>
            <w:r>
              <w:rPr>
                <w:rFonts w:ascii="Tahoma" w:hAnsi="Tahoma" w:cs="Tahoma"/>
                <w:sz w:val="18"/>
                <w:szCs w:val="18"/>
              </w:rPr>
              <w:t>.</w:t>
            </w:r>
            <w:r w:rsidRPr="00D87B79">
              <w:rPr>
                <w:rFonts w:ascii="Tahoma" w:hAnsi="Tahoma" w:cs="Tahoma"/>
                <w:sz w:val="18"/>
                <w:szCs w:val="18"/>
              </w:rPr>
              <w:t>000</w:t>
            </w:r>
          </w:p>
        </w:tc>
      </w:tr>
      <w:tr w:rsidR="00A92422" w:rsidRPr="00D87B79" w:rsidTr="00EA30FC">
        <w:trPr>
          <w:trHeight w:val="236"/>
        </w:trPr>
        <w:tc>
          <w:tcPr>
            <w:tcW w:w="1899"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Franco svizzero</w:t>
            </w:r>
          </w:p>
        </w:tc>
        <w:tc>
          <w:tcPr>
            <w:tcW w:w="871"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CHF</w:t>
            </w:r>
          </w:p>
        </w:tc>
        <w:tc>
          <w:tcPr>
            <w:tcW w:w="3152"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S Fr.</w:t>
            </w:r>
            <w:r w:rsidRPr="00D87B79">
              <w:rPr>
                <w:rFonts w:ascii="Tahoma" w:hAnsi="Tahoma" w:cs="Tahoma"/>
                <w:sz w:val="18"/>
                <w:szCs w:val="18"/>
              </w:rPr>
              <w:t xml:space="preserve"> 33</w:t>
            </w:r>
            <w:r>
              <w:rPr>
                <w:rFonts w:ascii="Tahoma" w:hAnsi="Tahoma" w:cs="Tahoma"/>
                <w:sz w:val="18"/>
                <w:szCs w:val="18"/>
              </w:rPr>
              <w:t>.</w:t>
            </w:r>
            <w:r w:rsidRPr="00D87B79">
              <w:rPr>
                <w:rFonts w:ascii="Tahoma" w:hAnsi="Tahoma" w:cs="Tahoma"/>
                <w:sz w:val="18"/>
                <w:szCs w:val="18"/>
              </w:rPr>
              <w:t>000</w:t>
            </w:r>
          </w:p>
        </w:tc>
        <w:tc>
          <w:tcPr>
            <w:tcW w:w="2889"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S Fr.</w:t>
            </w:r>
            <w:r w:rsidRPr="00D87B79">
              <w:rPr>
                <w:rFonts w:ascii="Tahoma" w:hAnsi="Tahoma" w:cs="Tahoma"/>
                <w:sz w:val="18"/>
                <w:szCs w:val="18"/>
              </w:rPr>
              <w:t xml:space="preserve"> 330</w:t>
            </w:r>
            <w:r>
              <w:rPr>
                <w:rFonts w:ascii="Tahoma" w:hAnsi="Tahoma" w:cs="Tahoma"/>
                <w:sz w:val="18"/>
                <w:szCs w:val="18"/>
              </w:rPr>
              <w:t>.</w:t>
            </w:r>
            <w:r w:rsidRPr="00D87B79">
              <w:rPr>
                <w:rFonts w:ascii="Tahoma" w:hAnsi="Tahoma" w:cs="Tahoma"/>
                <w:sz w:val="18"/>
                <w:szCs w:val="18"/>
              </w:rPr>
              <w:t>000</w:t>
            </w:r>
          </w:p>
        </w:tc>
      </w:tr>
      <w:tr w:rsidR="00A92422" w:rsidRPr="00D87B79" w:rsidTr="00EA30FC">
        <w:trPr>
          <w:trHeight w:val="236"/>
        </w:trPr>
        <w:tc>
          <w:tcPr>
            <w:tcW w:w="1899"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Renminbi cinese</w:t>
            </w:r>
          </w:p>
        </w:tc>
        <w:tc>
          <w:tcPr>
            <w:tcW w:w="871"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CNY</w:t>
            </w:r>
          </w:p>
        </w:tc>
        <w:tc>
          <w:tcPr>
            <w:tcW w:w="3152"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CRC 165.000</w:t>
            </w:r>
          </w:p>
        </w:tc>
        <w:tc>
          <w:tcPr>
            <w:tcW w:w="2889"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CRC 1.650.000</w:t>
            </w:r>
          </w:p>
        </w:tc>
      </w:tr>
      <w:tr w:rsidR="00A92422" w:rsidRPr="00D87B79" w:rsidTr="00EA30FC">
        <w:trPr>
          <w:trHeight w:val="236"/>
        </w:trPr>
        <w:tc>
          <w:tcPr>
            <w:tcW w:w="1899"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Corone Danesi</w:t>
            </w:r>
          </w:p>
        </w:tc>
        <w:tc>
          <w:tcPr>
            <w:tcW w:w="871"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DKK</w:t>
            </w:r>
          </w:p>
        </w:tc>
        <w:tc>
          <w:tcPr>
            <w:tcW w:w="3152"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kr 160.000</w:t>
            </w:r>
          </w:p>
        </w:tc>
        <w:tc>
          <w:tcPr>
            <w:tcW w:w="2889"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kr 1.600.000</w:t>
            </w:r>
          </w:p>
        </w:tc>
      </w:tr>
      <w:tr w:rsidR="00A92422" w:rsidRPr="00D87B79" w:rsidTr="00EA30FC">
        <w:trPr>
          <w:trHeight w:val="236"/>
        </w:trPr>
        <w:tc>
          <w:tcPr>
            <w:tcW w:w="1899"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EURO</w:t>
            </w:r>
          </w:p>
        </w:tc>
        <w:tc>
          <w:tcPr>
            <w:tcW w:w="871"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EUR</w:t>
            </w:r>
          </w:p>
        </w:tc>
        <w:tc>
          <w:tcPr>
            <w:tcW w:w="3152"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rPr>
              <w:t>21</w:t>
            </w:r>
            <w:r>
              <w:rPr>
                <w:rFonts w:ascii="Tahoma" w:hAnsi="Tahoma" w:cs="Tahoma"/>
                <w:sz w:val="18"/>
                <w:szCs w:val="18"/>
              </w:rPr>
              <w:t>.</w:t>
            </w:r>
            <w:r w:rsidRPr="00D87B79">
              <w:rPr>
                <w:rFonts w:ascii="Tahoma" w:hAnsi="Tahoma" w:cs="Tahoma"/>
                <w:sz w:val="18"/>
                <w:szCs w:val="18"/>
              </w:rPr>
              <w:t>500</w:t>
            </w:r>
          </w:p>
        </w:tc>
        <w:tc>
          <w:tcPr>
            <w:tcW w:w="2889"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rPr>
              <w:t>215</w:t>
            </w:r>
            <w:r>
              <w:rPr>
                <w:rFonts w:ascii="Tahoma" w:hAnsi="Tahoma" w:cs="Tahoma"/>
                <w:sz w:val="18"/>
                <w:szCs w:val="18"/>
              </w:rPr>
              <w:t>.</w:t>
            </w:r>
            <w:r w:rsidRPr="00D87B79">
              <w:rPr>
                <w:rFonts w:ascii="Tahoma" w:hAnsi="Tahoma" w:cs="Tahoma"/>
                <w:sz w:val="18"/>
                <w:szCs w:val="18"/>
              </w:rPr>
              <w:t>000</w:t>
            </w:r>
          </w:p>
        </w:tc>
      </w:tr>
      <w:tr w:rsidR="00A92422" w:rsidRPr="00D87B79" w:rsidTr="00EA30FC">
        <w:trPr>
          <w:trHeight w:val="236"/>
        </w:trPr>
        <w:tc>
          <w:tcPr>
            <w:tcW w:w="1899"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Sterlina britannica</w:t>
            </w:r>
          </w:p>
        </w:tc>
        <w:tc>
          <w:tcPr>
            <w:tcW w:w="871"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GBP</w:t>
            </w:r>
          </w:p>
        </w:tc>
        <w:tc>
          <w:tcPr>
            <w:tcW w:w="3152"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rPr>
              <w:t>£13</w:t>
            </w:r>
            <w:r>
              <w:rPr>
                <w:rFonts w:ascii="Tahoma" w:hAnsi="Tahoma" w:cs="Tahoma"/>
                <w:sz w:val="18"/>
                <w:szCs w:val="18"/>
              </w:rPr>
              <w:t>.</w:t>
            </w:r>
            <w:r w:rsidRPr="00D87B79">
              <w:rPr>
                <w:rFonts w:ascii="Tahoma" w:hAnsi="Tahoma" w:cs="Tahoma"/>
                <w:sz w:val="18"/>
                <w:szCs w:val="18"/>
              </w:rPr>
              <w:t>500</w:t>
            </w:r>
          </w:p>
        </w:tc>
        <w:tc>
          <w:tcPr>
            <w:tcW w:w="2889"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rPr>
              <w:t>£135</w:t>
            </w:r>
            <w:r>
              <w:rPr>
                <w:rFonts w:ascii="Tahoma" w:hAnsi="Tahoma" w:cs="Tahoma"/>
                <w:sz w:val="18"/>
                <w:szCs w:val="18"/>
              </w:rPr>
              <w:t>.</w:t>
            </w:r>
            <w:r w:rsidRPr="00D87B79">
              <w:rPr>
                <w:rFonts w:ascii="Tahoma" w:hAnsi="Tahoma" w:cs="Tahoma"/>
                <w:sz w:val="18"/>
                <w:szCs w:val="18"/>
              </w:rPr>
              <w:t>000</w:t>
            </w:r>
          </w:p>
        </w:tc>
      </w:tr>
      <w:tr w:rsidR="00A92422" w:rsidRPr="00D87B79" w:rsidTr="00EA30FC">
        <w:trPr>
          <w:trHeight w:val="236"/>
        </w:trPr>
        <w:tc>
          <w:tcPr>
            <w:tcW w:w="1899"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lastRenderedPageBreak/>
              <w:t>Yen Giapponesi</w:t>
            </w:r>
          </w:p>
        </w:tc>
        <w:tc>
          <w:tcPr>
            <w:tcW w:w="871"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JPY</w:t>
            </w:r>
          </w:p>
        </w:tc>
        <w:tc>
          <w:tcPr>
            <w:tcW w:w="3152"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JPY 2.400.000</w:t>
            </w:r>
          </w:p>
        </w:tc>
        <w:tc>
          <w:tcPr>
            <w:tcW w:w="2889"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JPY 24.000.000</w:t>
            </w:r>
          </w:p>
        </w:tc>
      </w:tr>
      <w:tr w:rsidR="00A92422" w:rsidRPr="00D87B79" w:rsidTr="00EA30FC">
        <w:trPr>
          <w:trHeight w:val="236"/>
        </w:trPr>
        <w:tc>
          <w:tcPr>
            <w:tcW w:w="1899"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Won Coreani</w:t>
            </w:r>
          </w:p>
        </w:tc>
        <w:tc>
          <w:tcPr>
            <w:tcW w:w="871"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KRW</w:t>
            </w:r>
          </w:p>
        </w:tc>
        <w:tc>
          <w:tcPr>
            <w:tcW w:w="3152"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KWD 24.000.000</w:t>
            </w:r>
          </w:p>
        </w:tc>
        <w:tc>
          <w:tcPr>
            <w:tcW w:w="2889"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KWD 240.000.000</w:t>
            </w:r>
          </w:p>
        </w:tc>
      </w:tr>
      <w:tr w:rsidR="00A92422" w:rsidRPr="00D87B79" w:rsidTr="00EA30FC">
        <w:trPr>
          <w:trHeight w:val="236"/>
        </w:trPr>
        <w:tc>
          <w:tcPr>
            <w:tcW w:w="1899"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Corone Norvegesi</w:t>
            </w:r>
          </w:p>
        </w:tc>
        <w:tc>
          <w:tcPr>
            <w:tcW w:w="871"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NOK</w:t>
            </w:r>
          </w:p>
        </w:tc>
        <w:tc>
          <w:tcPr>
            <w:tcW w:w="3152"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kr 165.000</w:t>
            </w:r>
          </w:p>
        </w:tc>
        <w:tc>
          <w:tcPr>
            <w:tcW w:w="2889"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kr 1.650.000</w:t>
            </w:r>
          </w:p>
        </w:tc>
      </w:tr>
      <w:tr w:rsidR="00A92422" w:rsidRPr="00D87B79" w:rsidTr="00EA30FC">
        <w:trPr>
          <w:trHeight w:val="236"/>
        </w:trPr>
        <w:tc>
          <w:tcPr>
            <w:tcW w:w="1899"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Dollaro neozelandese</w:t>
            </w:r>
          </w:p>
        </w:tc>
        <w:tc>
          <w:tcPr>
            <w:tcW w:w="871"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NZD</w:t>
            </w:r>
          </w:p>
        </w:tc>
        <w:tc>
          <w:tcPr>
            <w:tcW w:w="3152"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rPr>
              <w:t>35</w:t>
            </w:r>
            <w:r>
              <w:rPr>
                <w:rFonts w:ascii="Tahoma" w:hAnsi="Tahoma" w:cs="Tahoma"/>
                <w:sz w:val="18"/>
                <w:szCs w:val="18"/>
              </w:rPr>
              <w:t>.</w:t>
            </w:r>
            <w:r w:rsidRPr="00D87B79">
              <w:rPr>
                <w:rFonts w:ascii="Tahoma" w:hAnsi="Tahoma" w:cs="Tahoma"/>
                <w:sz w:val="18"/>
                <w:szCs w:val="18"/>
              </w:rPr>
              <w:t>000</w:t>
            </w:r>
          </w:p>
        </w:tc>
        <w:tc>
          <w:tcPr>
            <w:tcW w:w="2889"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rPr>
              <w:t>350</w:t>
            </w:r>
            <w:r>
              <w:rPr>
                <w:rFonts w:ascii="Tahoma" w:hAnsi="Tahoma" w:cs="Tahoma"/>
                <w:sz w:val="18"/>
                <w:szCs w:val="18"/>
              </w:rPr>
              <w:t>.</w:t>
            </w:r>
            <w:r w:rsidRPr="00D87B79">
              <w:rPr>
                <w:rFonts w:ascii="Tahoma" w:hAnsi="Tahoma" w:cs="Tahoma"/>
                <w:sz w:val="18"/>
                <w:szCs w:val="18"/>
              </w:rPr>
              <w:t>000</w:t>
            </w:r>
          </w:p>
        </w:tc>
      </w:tr>
      <w:tr w:rsidR="00A92422" w:rsidRPr="00D87B79" w:rsidTr="00EA30FC">
        <w:trPr>
          <w:trHeight w:val="236"/>
        </w:trPr>
        <w:tc>
          <w:tcPr>
            <w:tcW w:w="1899"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Corone Svedesi</w:t>
            </w:r>
          </w:p>
        </w:tc>
        <w:tc>
          <w:tcPr>
            <w:tcW w:w="871"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SEK</w:t>
            </w:r>
          </w:p>
        </w:tc>
        <w:tc>
          <w:tcPr>
            <w:tcW w:w="3152"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kr 200.000</w:t>
            </w:r>
          </w:p>
        </w:tc>
        <w:tc>
          <w:tcPr>
            <w:tcW w:w="2889"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kr 2.000.000</w:t>
            </w:r>
          </w:p>
        </w:tc>
      </w:tr>
      <w:tr w:rsidR="00A92422" w:rsidRPr="00D87B79" w:rsidTr="00EA30FC">
        <w:trPr>
          <w:trHeight w:val="236"/>
        </w:trPr>
        <w:tc>
          <w:tcPr>
            <w:tcW w:w="1899"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Nuovo dollaro taiwanese</w:t>
            </w:r>
          </w:p>
        </w:tc>
        <w:tc>
          <w:tcPr>
            <w:tcW w:w="871"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TWD</w:t>
            </w:r>
          </w:p>
        </w:tc>
        <w:tc>
          <w:tcPr>
            <w:tcW w:w="3152"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NTD 700.000</w:t>
            </w:r>
          </w:p>
        </w:tc>
        <w:tc>
          <w:tcPr>
            <w:tcW w:w="2889"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NTD 7.000.000</w:t>
            </w:r>
          </w:p>
        </w:tc>
      </w:tr>
      <w:tr w:rsidR="00A92422" w:rsidRPr="00D87B79" w:rsidTr="00EA30FC">
        <w:trPr>
          <w:trHeight w:val="236"/>
        </w:trPr>
        <w:tc>
          <w:tcPr>
            <w:tcW w:w="1899" w:type="dxa"/>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Rupia indiana</w:t>
            </w:r>
          </w:p>
        </w:tc>
        <w:tc>
          <w:tcPr>
            <w:tcW w:w="871" w:type="dxa"/>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INR</w:t>
            </w:r>
          </w:p>
        </w:tc>
        <w:tc>
          <w:tcPr>
            <w:tcW w:w="3152" w:type="dxa"/>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INR 1.000.000</w:t>
            </w:r>
          </w:p>
        </w:tc>
        <w:tc>
          <w:tcPr>
            <w:tcW w:w="2889" w:type="dxa"/>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INR 10.000.000</w:t>
            </w:r>
          </w:p>
        </w:tc>
      </w:tr>
      <w:tr w:rsidR="00A92422" w:rsidRPr="00D87B79" w:rsidTr="00EA30FC">
        <w:trPr>
          <w:trHeight w:val="236"/>
        </w:trPr>
        <w:tc>
          <w:tcPr>
            <w:tcW w:w="1899" w:type="dxa"/>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Rublo russo</w:t>
            </w:r>
          </w:p>
        </w:tc>
        <w:tc>
          <w:tcPr>
            <w:tcW w:w="871" w:type="dxa"/>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RUB</w:t>
            </w:r>
          </w:p>
        </w:tc>
        <w:tc>
          <w:tcPr>
            <w:tcW w:w="3152" w:type="dxa"/>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RUB 660.000</w:t>
            </w:r>
          </w:p>
        </w:tc>
        <w:tc>
          <w:tcPr>
            <w:tcW w:w="2889" w:type="dxa"/>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RUB 6.600.000</w:t>
            </w:r>
          </w:p>
        </w:tc>
      </w:tr>
    </w:tbl>
    <w:p w:rsidR="00A92422" w:rsidRPr="00A863DB" w:rsidRDefault="00A92422" w:rsidP="00A92422">
      <w:pPr>
        <w:pStyle w:val="AppendixBodyText"/>
        <w:rPr>
          <w:rFonts w:ascii="Tahoma" w:hAnsi="Tahoma" w:cs="Tahoma"/>
          <w:sz w:val="18"/>
          <w:szCs w:val="18"/>
        </w:rPr>
      </w:pPr>
    </w:p>
    <w:p w:rsidR="00A92422" w:rsidRPr="00A566E4" w:rsidRDefault="00A92422" w:rsidP="00A92422">
      <w:pPr>
        <w:pStyle w:val="AppendixBodyText"/>
        <w:spacing w:after="0"/>
        <w:rPr>
          <w:rFonts w:ascii="Tahoma" w:hAnsi="Tahoma" w:cs="Tahoma"/>
          <w:sz w:val="18"/>
          <w:szCs w:val="18"/>
        </w:rPr>
      </w:pPr>
      <w:r w:rsidRPr="00A566E4">
        <w:rPr>
          <w:rFonts w:ascii="Tahoma" w:hAnsi="Tahoma" w:cs="Tahoma"/>
          <w:sz w:val="18"/>
          <w:szCs w:val="18"/>
          <w:lang w:val="it-IT"/>
        </w:rPr>
        <w:t>Gli interventi basati sulla spesa SA sono concessi in base alla spesa SA per server e desktop, ai sensi di un’iscrizione Enterprise o Select qualificante, della registrazione Select Plus, del Contratto Open Value o del Numero di Autorizzazione Open License.</w:t>
      </w:r>
      <w:r w:rsidRPr="00A566E4">
        <w:rPr>
          <w:rFonts w:ascii="Tahoma" w:hAnsi="Tahoma" w:cs="Tahoma"/>
          <w:sz w:val="18"/>
          <w:szCs w:val="18"/>
        </w:rPr>
        <w:t xml:space="preserve"> </w:t>
      </w:r>
      <w:r w:rsidRPr="00A566E4">
        <w:rPr>
          <w:rFonts w:ascii="Tahoma" w:hAnsi="Tahoma" w:cs="Tahoma"/>
          <w:sz w:val="18"/>
          <w:szCs w:val="18"/>
          <w:lang w:val="it-IT"/>
        </w:rPr>
        <w:t>Indicativamente, per ogni $ 20.000 di spesa SA per Server e CAL, Microsoft concede un intervento.</w:t>
      </w:r>
      <w:r w:rsidRPr="00A566E4">
        <w:rPr>
          <w:rFonts w:ascii="Tahoma" w:hAnsi="Tahoma" w:cs="Tahoma"/>
          <w:sz w:val="18"/>
          <w:szCs w:val="18"/>
        </w:rPr>
        <w:t xml:space="preserve"> </w:t>
      </w:r>
      <w:r w:rsidRPr="00A566E4">
        <w:rPr>
          <w:rFonts w:ascii="Tahoma" w:hAnsi="Tahoma" w:cs="Tahoma"/>
          <w:sz w:val="18"/>
          <w:szCs w:val="18"/>
          <w:lang w:val="it-IT"/>
        </w:rPr>
        <w:t>Per circa $ 200.000 di spesa SA per Sistemi e Pool di Applicazioni, Microsoft concede un intervento.</w:t>
      </w:r>
      <w:r w:rsidRPr="00A566E4">
        <w:rPr>
          <w:rFonts w:ascii="Tahoma" w:hAnsi="Tahoma" w:cs="Tahoma"/>
          <w:sz w:val="18"/>
          <w:szCs w:val="18"/>
        </w:rPr>
        <w:t xml:space="preserve"> </w:t>
      </w:r>
      <w:r w:rsidRPr="00A566E4">
        <w:rPr>
          <w:rFonts w:ascii="Tahoma" w:hAnsi="Tahoma" w:cs="Tahoma"/>
          <w:sz w:val="18"/>
          <w:szCs w:val="18"/>
          <w:lang w:val="it-IT"/>
        </w:rPr>
        <w:t>La seguente tabella mostra le somme equivalenti, approssimative, in valuta per i premi basate sulla spesa SA, in caso di contratti stipulati in valute diverse dall’USD.</w:t>
      </w:r>
      <w:r w:rsidRPr="00A566E4">
        <w:rPr>
          <w:rFonts w:ascii="Tahoma" w:hAnsi="Tahoma" w:cs="Tahoma"/>
          <w:sz w:val="18"/>
          <w:szCs w:val="18"/>
        </w:rPr>
        <w:t xml:space="preserve"> </w:t>
      </w:r>
      <w:r w:rsidRPr="00A566E4">
        <w:rPr>
          <w:rFonts w:ascii="Tahoma" w:hAnsi="Tahoma" w:cs="Tahoma"/>
          <w:sz w:val="18"/>
          <w:szCs w:val="18"/>
          <w:lang w:val="it-IT"/>
        </w:rPr>
        <w:t>A causa delle fluttuazioni dei tassi di cambio, i valori riportati nella tabella sono soggetti a variazione.</w:t>
      </w:r>
    </w:p>
    <w:p w:rsidR="00A92422" w:rsidRPr="00A863DB" w:rsidRDefault="00A92422" w:rsidP="00A92422">
      <w:pPr>
        <w:pStyle w:val="AppendixBodyText"/>
        <w:spacing w:after="0"/>
        <w:rPr>
          <w:rFonts w:ascii="Tahoma" w:hAnsi="Tahoma" w:cs="Tahoma"/>
          <w:sz w:val="18"/>
          <w:szCs w:val="18"/>
        </w:rPr>
      </w:pPr>
    </w:p>
    <w:p w:rsidR="00A92422" w:rsidRPr="00A566E4" w:rsidRDefault="00A92422" w:rsidP="00A92422">
      <w:pPr>
        <w:pStyle w:val="AppendixBodyText"/>
        <w:spacing w:after="0"/>
        <w:rPr>
          <w:rFonts w:ascii="Tahoma" w:hAnsi="Tahoma" w:cs="Tahoma"/>
          <w:sz w:val="18"/>
          <w:szCs w:val="18"/>
        </w:rPr>
      </w:pPr>
      <w:r w:rsidRPr="00A566E4">
        <w:rPr>
          <w:rFonts w:ascii="Tahoma" w:hAnsi="Tahoma" w:cs="Tahoma"/>
          <w:sz w:val="18"/>
          <w:szCs w:val="18"/>
          <w:lang w:val="it-IT"/>
        </w:rPr>
        <w:t>Gli interventi sono concessi nel corso di validità della copertura Software Assurance, a seconda dell’opzione di</w:t>
      </w:r>
      <w:r>
        <w:rPr>
          <w:rFonts w:ascii="Tahoma" w:hAnsi="Tahoma" w:cs="Tahoma"/>
          <w:sz w:val="18"/>
          <w:szCs w:val="18"/>
          <w:lang w:val="it-IT"/>
        </w:rPr>
        <w:t> </w:t>
      </w:r>
      <w:r w:rsidRPr="00A566E4">
        <w:rPr>
          <w:rFonts w:ascii="Tahoma" w:hAnsi="Tahoma" w:cs="Tahoma"/>
          <w:sz w:val="18"/>
          <w:szCs w:val="18"/>
          <w:lang w:val="it-IT"/>
        </w:rPr>
        <w:t>pagamento.</w:t>
      </w:r>
      <w:r w:rsidRPr="00A566E4">
        <w:rPr>
          <w:rFonts w:ascii="Tahoma" w:hAnsi="Tahoma" w:cs="Tahoma"/>
          <w:sz w:val="18"/>
          <w:szCs w:val="18"/>
        </w:rPr>
        <w:t xml:space="preserve"> </w:t>
      </w:r>
      <w:r w:rsidRPr="00A566E4">
        <w:rPr>
          <w:rFonts w:ascii="Tahoma" w:hAnsi="Tahoma" w:cs="Tahoma"/>
          <w:sz w:val="18"/>
          <w:szCs w:val="18"/>
          <w:lang w:val="it-IT"/>
        </w:rPr>
        <w:t>I contratti con pagamenti dilazionati prevedono anch’essi l’assegnazione di interventi durante il loro periodo di validità; i contratti che prevedono pagamenti in soluzione unica beneficiano dei premi in via anticipata.</w:t>
      </w:r>
      <w:r w:rsidRPr="00A566E4">
        <w:rPr>
          <w:rFonts w:ascii="Tahoma" w:hAnsi="Tahoma" w:cs="Tahoma"/>
          <w:sz w:val="18"/>
          <w:szCs w:val="18"/>
        </w:rPr>
        <w:t xml:space="preserve"> </w:t>
      </w:r>
      <w:r w:rsidRPr="00A566E4">
        <w:rPr>
          <w:rFonts w:ascii="Tahoma" w:hAnsi="Tahoma" w:cs="Tahoma"/>
          <w:sz w:val="18"/>
          <w:szCs w:val="18"/>
          <w:lang w:val="it-IT"/>
        </w:rPr>
        <w:t>Gli acquisti effettuati dopo l’ordine iniziale comporteranno un nuovo calcolo degli interventi assegnati e della concessione annuale.</w:t>
      </w:r>
      <w:r w:rsidRPr="00A566E4">
        <w:rPr>
          <w:rFonts w:ascii="Tahoma" w:hAnsi="Tahoma" w:cs="Tahoma"/>
          <w:sz w:val="18"/>
          <w:szCs w:val="18"/>
        </w:rPr>
        <w:t xml:space="preserve"> </w:t>
      </w:r>
      <w:r w:rsidRPr="00A566E4">
        <w:rPr>
          <w:rFonts w:ascii="Tahoma" w:hAnsi="Tahoma" w:cs="Tahoma"/>
          <w:sz w:val="18"/>
          <w:szCs w:val="18"/>
          <w:lang w:val="it-IT"/>
        </w:rPr>
        <w:t>Gli interventi con Supporto Telefonico non utilizzati scadranno al termine della copertura Software Assurance.</w:t>
      </w:r>
      <w:r w:rsidRPr="00A566E4">
        <w:rPr>
          <w:rFonts w:ascii="Tahoma" w:hAnsi="Tahoma" w:cs="Tahoma"/>
          <w:sz w:val="18"/>
          <w:szCs w:val="18"/>
        </w:rPr>
        <w:t xml:space="preserve"> </w:t>
      </w:r>
      <w:r w:rsidRPr="00A566E4">
        <w:rPr>
          <w:rFonts w:ascii="Tahoma" w:hAnsi="Tahoma" w:cs="Tahoma"/>
          <w:sz w:val="18"/>
          <w:szCs w:val="18"/>
          <w:lang w:val="it-IT"/>
        </w:rPr>
        <w:t>Gli Interventi con Supporto Telefonico non potranno essere trasferiti tra iscrizioni o contratti diversi.</w:t>
      </w:r>
    </w:p>
    <w:p w:rsidR="00A92422" w:rsidRPr="00A863DB" w:rsidRDefault="00A92422" w:rsidP="00A92422">
      <w:pPr>
        <w:pStyle w:val="AppendixBodyText"/>
        <w:spacing w:after="0"/>
        <w:rPr>
          <w:rFonts w:ascii="Tahoma" w:hAnsi="Tahoma" w:cs="Tahoma"/>
          <w:sz w:val="18"/>
          <w:szCs w:val="18"/>
        </w:rPr>
      </w:pPr>
    </w:p>
    <w:p w:rsidR="00A92422" w:rsidRPr="00D87B79" w:rsidRDefault="00A92422" w:rsidP="00A92422">
      <w:pPr>
        <w:pStyle w:val="AppendixBodyText"/>
        <w:spacing w:after="0"/>
        <w:rPr>
          <w:rFonts w:ascii="Tahoma" w:hAnsi="Tahoma" w:cs="Tahoma"/>
        </w:rPr>
      </w:pPr>
      <w:r w:rsidRPr="00D87B79">
        <w:rPr>
          <w:rFonts w:ascii="Tahoma" w:hAnsi="Tahoma" w:cs="Tahoma"/>
          <w:sz w:val="18"/>
          <w:lang w:val="it-IT"/>
        </w:rPr>
        <w:t>L’accesso al supporto telefonico locale è disponibile durante le ore lavorative*</w:t>
      </w:r>
      <w:r w:rsidRPr="003D7C45">
        <w:rPr>
          <w:rFonts w:ascii="Tahoma" w:hAnsi="Tahoma" w:cs="Tahoma"/>
          <w:sz w:val="18"/>
          <w:vertAlign w:val="superscript"/>
          <w:lang w:val="it-IT"/>
        </w:rPr>
        <w:t>(1)</w:t>
      </w:r>
      <w:r w:rsidRPr="00D87B79">
        <w:rPr>
          <w:rFonts w:ascii="Tahoma" w:hAnsi="Tahoma" w:cs="Tahoma"/>
          <w:sz w:val="18"/>
          <w:lang w:val="it-IT"/>
        </w:rPr>
        <w:t>.</w:t>
      </w:r>
      <w:r w:rsidRPr="00D87B79">
        <w:rPr>
          <w:rFonts w:ascii="Tahoma" w:hAnsi="Tahoma" w:cs="Tahoma"/>
        </w:rPr>
        <w:t xml:space="preserve"> </w:t>
      </w:r>
      <w:r w:rsidRPr="00D87B79">
        <w:rPr>
          <w:rFonts w:ascii="Tahoma" w:hAnsi="Tahoma" w:cs="Tahoma"/>
          <w:sz w:val="18"/>
          <w:lang w:val="it-IT"/>
        </w:rPr>
        <w:t>Il supporto telefonico dopo le ore lavorative verrà fornito attraverso centri di supporto regionali e internazionali.</w:t>
      </w:r>
      <w:r w:rsidRPr="00D87B79">
        <w:rPr>
          <w:rFonts w:ascii="Tahoma" w:hAnsi="Tahoma" w:cs="Tahoma"/>
        </w:rPr>
        <w:t xml:space="preserve"> </w:t>
      </w:r>
      <w:r w:rsidRPr="00D87B79">
        <w:rPr>
          <w:rFonts w:ascii="Tahoma" w:hAnsi="Tahoma" w:cs="Tahoma"/>
          <w:sz w:val="18"/>
          <w:lang w:val="it-IT"/>
        </w:rPr>
        <w:t>Il supporto telefonico dopo le ore lavorative può essere utilizzato esclusivamente per richieste di supporto con impatto commerciale critico.</w:t>
      </w:r>
      <w:r w:rsidRPr="00D87B79">
        <w:rPr>
          <w:rFonts w:ascii="Tahoma" w:hAnsi="Tahoma" w:cs="Tahoma"/>
        </w:rPr>
        <w:t xml:space="preserve"> </w:t>
      </w:r>
      <w:r w:rsidRPr="00D87B79">
        <w:rPr>
          <w:rFonts w:ascii="Tahoma" w:hAnsi="Tahoma" w:cs="Tahoma"/>
          <w:sz w:val="18"/>
          <w:lang w:val="it-IT"/>
        </w:rPr>
        <w:t>Le ore lavorative sono definite su base regionale. I rappresentanti Microsoft delle società forniranno indicazioni sulle ore lavorative previste nella regione o nel paese della società.</w:t>
      </w:r>
      <w:r w:rsidRPr="00D87B79">
        <w:rPr>
          <w:rFonts w:ascii="Tahoma" w:hAnsi="Tahoma" w:cs="Tahoma"/>
        </w:rPr>
        <w:t xml:space="preserve"> </w:t>
      </w:r>
      <w:r w:rsidRPr="00D87B79">
        <w:rPr>
          <w:rFonts w:ascii="Tahoma" w:hAnsi="Tahoma" w:cs="Tahoma"/>
          <w:sz w:val="18"/>
          <w:lang w:val="it-IT"/>
        </w:rPr>
        <w:t>Non in tutte le regioni il supporto telefonico è disponibile in</w:t>
      </w:r>
      <w:r>
        <w:rPr>
          <w:rFonts w:ascii="Tahoma" w:hAnsi="Tahoma" w:cs="Tahoma"/>
          <w:sz w:val="18"/>
          <w:lang w:val="it-IT"/>
        </w:rPr>
        <w:t> </w:t>
      </w:r>
      <w:r w:rsidRPr="00D87B79">
        <w:rPr>
          <w:rFonts w:ascii="Tahoma" w:hAnsi="Tahoma" w:cs="Tahoma"/>
          <w:sz w:val="18"/>
          <w:lang w:val="it-IT"/>
        </w:rPr>
        <w:t>tutte le lingue.</w:t>
      </w:r>
      <w:r w:rsidRPr="00D87B79">
        <w:rPr>
          <w:rFonts w:ascii="Tahoma" w:hAnsi="Tahoma" w:cs="Tahoma"/>
        </w:rPr>
        <w:t xml:space="preserve"> </w:t>
      </w:r>
    </w:p>
    <w:p w:rsidR="00A92422" w:rsidRPr="00D87B79" w:rsidRDefault="00A92422" w:rsidP="00A92422">
      <w:pPr>
        <w:pStyle w:val="AppendixBodyText"/>
        <w:spacing w:after="0"/>
        <w:rPr>
          <w:rFonts w:ascii="Tahoma" w:hAnsi="Tahoma" w:cs="Tahoma"/>
        </w:rPr>
      </w:pPr>
    </w:p>
    <w:tbl>
      <w:tblPr>
        <w:tblW w:w="0" w:type="auto"/>
        <w:tblInd w:w="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A92422" w:rsidRPr="00D87B79" w:rsidTr="00EA30FC">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A92422" w:rsidRPr="00D87B79" w:rsidRDefault="00A92422" w:rsidP="00EA30FC">
            <w:pPr>
              <w:pStyle w:val="AppendixBodyText"/>
              <w:rPr>
                <w:rFonts w:ascii="Tahoma" w:hAnsi="Tahoma" w:cs="Tahoma"/>
                <w:b/>
                <w:bCs/>
                <w:vertAlign w:val="superscript"/>
              </w:rPr>
            </w:pPr>
            <w:r w:rsidRPr="00D87B79">
              <w:rPr>
                <w:rFonts w:ascii="Tahoma" w:hAnsi="Tahoma" w:cs="Tahoma"/>
                <w:b/>
                <w:lang w:val="it-IT"/>
              </w:rPr>
              <w:t>*(1) Variazioni delle Ore Lavorative in Base alla Regione</w:t>
            </w:r>
          </w:p>
        </w:tc>
      </w:tr>
      <w:tr w:rsidR="00A92422" w:rsidRPr="00D87B79" w:rsidTr="00EA30FC">
        <w:trPr>
          <w:cantSplit/>
          <w:trHeight w:val="20"/>
        </w:trPr>
        <w:tc>
          <w:tcPr>
            <w:tcW w:w="2629" w:type="dxa"/>
            <w:tcBorders>
              <w:top w:val="single" w:sz="8" w:space="0" w:color="auto"/>
            </w:tcBorders>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Americhe</w:t>
            </w:r>
          </w:p>
        </w:tc>
        <w:tc>
          <w:tcPr>
            <w:tcW w:w="2081" w:type="dxa"/>
            <w:tcBorders>
              <w:top w:val="single" w:sz="8" w:space="0" w:color="auto"/>
            </w:tcBorders>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L-V 6-18 (PST)</w:t>
            </w:r>
          </w:p>
        </w:tc>
      </w:tr>
      <w:tr w:rsidR="00A92422" w:rsidRPr="00D87B79" w:rsidTr="00EA30FC">
        <w:trPr>
          <w:cantSplit/>
          <w:trHeight w:val="20"/>
        </w:trPr>
        <w:tc>
          <w:tcPr>
            <w:tcW w:w="2629" w:type="dxa"/>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EMEA</w:t>
            </w:r>
          </w:p>
        </w:tc>
        <w:tc>
          <w:tcPr>
            <w:tcW w:w="2081" w:type="dxa"/>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L-V 8-18 (GMT)</w:t>
            </w:r>
          </w:p>
        </w:tc>
      </w:tr>
      <w:tr w:rsidR="00A92422" w:rsidRPr="00D87B79" w:rsidTr="00EA30FC">
        <w:trPr>
          <w:cantSplit/>
          <w:trHeight w:val="20"/>
        </w:trPr>
        <w:tc>
          <w:tcPr>
            <w:tcW w:w="2629" w:type="dxa"/>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Australia/Nuova Zelanda</w:t>
            </w:r>
          </w:p>
        </w:tc>
        <w:tc>
          <w:tcPr>
            <w:tcW w:w="2081" w:type="dxa"/>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L-V 7-18</w:t>
            </w:r>
          </w:p>
        </w:tc>
      </w:tr>
      <w:tr w:rsidR="00A92422" w:rsidRPr="00D87B79" w:rsidTr="00EA30FC">
        <w:trPr>
          <w:cantSplit/>
          <w:trHeight w:val="20"/>
        </w:trPr>
        <w:tc>
          <w:tcPr>
            <w:tcW w:w="2629" w:type="dxa"/>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Giappone</w:t>
            </w:r>
          </w:p>
        </w:tc>
        <w:tc>
          <w:tcPr>
            <w:tcW w:w="2081" w:type="dxa"/>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L-V 9.30-19</w:t>
            </w:r>
          </w:p>
        </w:tc>
      </w:tr>
      <w:tr w:rsidR="00A92422" w:rsidRPr="00D87B79" w:rsidTr="00EA30FC">
        <w:trPr>
          <w:cantSplit/>
          <w:trHeight w:val="20"/>
        </w:trPr>
        <w:tc>
          <w:tcPr>
            <w:tcW w:w="2629" w:type="dxa"/>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Asia</w:t>
            </w:r>
          </w:p>
        </w:tc>
        <w:tc>
          <w:tcPr>
            <w:tcW w:w="2081" w:type="dxa"/>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L-V 9-18</w:t>
            </w:r>
          </w:p>
        </w:tc>
      </w:tr>
    </w:tbl>
    <w:p w:rsidR="00A92422" w:rsidRDefault="00A92422" w:rsidP="00A92422">
      <w:pPr>
        <w:rPr>
          <w:rFonts w:cs="Tahoma"/>
          <w:b/>
          <w:sz w:val="20"/>
          <w:lang w:val="it-IT"/>
        </w:rPr>
      </w:pPr>
    </w:p>
    <w:p w:rsidR="00A92422" w:rsidRPr="00D87B79" w:rsidRDefault="00A92422" w:rsidP="00A92422">
      <w:pPr>
        <w:rPr>
          <w:rFonts w:cs="Tahoma"/>
        </w:rPr>
      </w:pPr>
      <w:r w:rsidRPr="00D87B79">
        <w:rPr>
          <w:rFonts w:cs="Tahoma"/>
          <w:b/>
          <w:sz w:val="20"/>
          <w:lang w:val="it-IT"/>
        </w:rPr>
        <w:t>Interventi basati sul Web</w:t>
      </w:r>
      <w:r w:rsidRPr="00D87B79">
        <w:rPr>
          <w:rFonts w:cs="Tahoma"/>
        </w:rPr>
        <w:t xml:space="preserve"> </w:t>
      </w:r>
    </w:p>
    <w:p w:rsidR="00A92422" w:rsidRPr="00D87B79" w:rsidRDefault="00A92422" w:rsidP="00A92422">
      <w:pPr>
        <w:pStyle w:val="AppendixBodyText"/>
        <w:spacing w:after="0"/>
        <w:rPr>
          <w:rFonts w:ascii="Tahoma" w:hAnsi="Tahoma" w:cs="Tahoma"/>
        </w:rPr>
      </w:pPr>
    </w:p>
    <w:p w:rsidR="00A92422" w:rsidRDefault="00A92422" w:rsidP="00A92422">
      <w:pPr>
        <w:pStyle w:val="AppendixBodyText"/>
        <w:spacing w:after="0"/>
        <w:rPr>
          <w:rFonts w:ascii="Tahoma" w:hAnsi="Tahoma" w:cs="Tahoma"/>
          <w:sz w:val="18"/>
          <w:szCs w:val="18"/>
        </w:rPr>
      </w:pPr>
      <w:r w:rsidRPr="0028332C">
        <w:rPr>
          <w:rFonts w:ascii="Tahoma" w:hAnsi="Tahoma" w:cs="Tahoma"/>
          <w:sz w:val="18"/>
          <w:szCs w:val="18"/>
          <w:lang w:val="it-IT"/>
        </w:rPr>
        <w:t>Le società che non siano società con contratti Academic Select License, Select Plus for Academic, Academic Open License, Campus, School, Open Value Subscription - Education Solutions e Open License e con Edizioni Standard ed Enterprise dei prodotti software server che rientrano nella copertura Software Assurance hanno accesso ai servizi di Supporto per la Risoluzione dei Problemi basati sul Web, in base alle necessità.</w:t>
      </w:r>
      <w:r w:rsidRPr="0028332C">
        <w:rPr>
          <w:rFonts w:ascii="Tahoma" w:hAnsi="Tahoma" w:cs="Tahoma"/>
          <w:sz w:val="18"/>
          <w:szCs w:val="18"/>
        </w:rPr>
        <w:t xml:space="preserve"> </w:t>
      </w:r>
      <w:r w:rsidRPr="0028332C">
        <w:rPr>
          <w:rFonts w:ascii="Tahoma" w:hAnsi="Tahoma" w:cs="Tahoma"/>
          <w:sz w:val="18"/>
          <w:szCs w:val="18"/>
          <w:lang w:val="it-IT"/>
        </w:rPr>
        <w:t>L’accesso ai siti di supporto elettronico è disponibile 24 ore al giorno, 7 giorni su 7, ma le risposte vengono fornite durante le Ore Lavorative.</w:t>
      </w:r>
      <w:r w:rsidRPr="0028332C">
        <w:rPr>
          <w:rFonts w:ascii="Tahoma" w:hAnsi="Tahoma" w:cs="Tahoma"/>
          <w:sz w:val="18"/>
          <w:szCs w:val="18"/>
        </w:rPr>
        <w:t xml:space="preserve"> </w:t>
      </w:r>
      <w:r w:rsidRPr="0028332C">
        <w:rPr>
          <w:rFonts w:ascii="Tahoma" w:hAnsi="Tahoma" w:cs="Tahoma"/>
          <w:sz w:val="18"/>
          <w:szCs w:val="18"/>
          <w:lang w:val="it-IT"/>
        </w:rPr>
        <w:t xml:space="preserve">Pertanto, si consiglia di non ricorrere agli Interventi basati sul Web in caso di situazioni con impatto commerciale </w:t>
      </w:r>
      <w:r w:rsidRPr="0028332C">
        <w:rPr>
          <w:rFonts w:ascii="Tahoma" w:hAnsi="Tahoma" w:cs="Tahoma"/>
          <w:sz w:val="18"/>
          <w:szCs w:val="18"/>
          <w:lang w:val="it-IT"/>
        </w:rPr>
        <w:lastRenderedPageBreak/>
        <w:t>critico, che richiedono un’assistenza immediata.</w:t>
      </w:r>
      <w:r w:rsidRPr="0028332C">
        <w:rPr>
          <w:rFonts w:ascii="Tahoma" w:hAnsi="Tahoma" w:cs="Tahoma"/>
          <w:sz w:val="18"/>
          <w:szCs w:val="18"/>
        </w:rPr>
        <w:t xml:space="preserve"> </w:t>
      </w:r>
      <w:r w:rsidRPr="0028332C">
        <w:rPr>
          <w:rFonts w:ascii="Tahoma" w:hAnsi="Tahoma" w:cs="Tahoma"/>
          <w:sz w:val="18"/>
          <w:szCs w:val="18"/>
          <w:lang w:val="it-IT"/>
        </w:rPr>
        <w:t>Consultare le Variazioni delle Ore Lavorative in Base alla Regione nel precedente articolo “Premi per Interventi Tramite Supporto Telefonico”.</w:t>
      </w:r>
    </w:p>
    <w:p w:rsidR="00A92422" w:rsidRDefault="00A92422" w:rsidP="00A92422">
      <w:pPr>
        <w:pStyle w:val="AppendixBodyText"/>
        <w:spacing w:after="0"/>
        <w:rPr>
          <w:rFonts w:ascii="Tahoma" w:hAnsi="Tahoma" w:cs="Tahoma"/>
          <w:sz w:val="18"/>
          <w:szCs w:val="18"/>
        </w:rPr>
      </w:pPr>
    </w:p>
    <w:p w:rsidR="00A92422" w:rsidRPr="0028332C" w:rsidRDefault="00A92422" w:rsidP="00A92422">
      <w:pPr>
        <w:pStyle w:val="AppendixBodyText"/>
        <w:spacing w:after="0"/>
        <w:rPr>
          <w:rFonts w:ascii="Tahoma" w:hAnsi="Tahoma" w:cs="Tahoma"/>
          <w:sz w:val="18"/>
          <w:szCs w:val="18"/>
        </w:rPr>
      </w:pPr>
      <w:r w:rsidRPr="0028332C">
        <w:rPr>
          <w:rFonts w:ascii="Tahoma" w:hAnsi="Tahoma" w:cs="Tahoma"/>
          <w:sz w:val="18"/>
          <w:szCs w:val="18"/>
          <w:lang w:val="it-IT"/>
        </w:rPr>
        <w:t>Gli interventi avviati tramite Telefono verranno computati ai fini del saldo degli interventi telefonici disponibili al momento della risoluzione del problema.</w:t>
      </w:r>
      <w:r w:rsidRPr="0028332C">
        <w:rPr>
          <w:rFonts w:ascii="Tahoma" w:hAnsi="Tahoma" w:cs="Tahoma"/>
          <w:sz w:val="18"/>
          <w:szCs w:val="18"/>
        </w:rPr>
        <w:t xml:space="preserve"> </w:t>
      </w:r>
      <w:r w:rsidRPr="0028332C">
        <w:rPr>
          <w:rFonts w:ascii="Tahoma" w:hAnsi="Tahoma" w:cs="Tahoma"/>
          <w:sz w:val="18"/>
          <w:szCs w:val="18"/>
          <w:lang w:val="it-IT"/>
        </w:rPr>
        <w:t>Gli interventi avviati via Web sono effettuati in base alle necessità e gestiti attraverso il Web, la posta elettronica e altri mezzi elettronici.</w:t>
      </w:r>
      <w:r w:rsidRPr="0028332C">
        <w:rPr>
          <w:rFonts w:ascii="Tahoma" w:hAnsi="Tahoma" w:cs="Tahoma"/>
          <w:sz w:val="18"/>
          <w:szCs w:val="18"/>
        </w:rPr>
        <w:t xml:space="preserve"> </w:t>
      </w:r>
      <w:r w:rsidRPr="0028332C">
        <w:rPr>
          <w:rFonts w:ascii="Tahoma" w:hAnsi="Tahoma" w:cs="Tahoma"/>
          <w:sz w:val="18"/>
          <w:szCs w:val="18"/>
          <w:lang w:val="it-IT"/>
        </w:rPr>
        <w:t>Gli interventi avviati tramite il Web e successivamente convertiti in interventi telefonici dalla società verranno computati ai fini del saldo degli interventi telefonici disponibili al momento della risoluzione del problema.</w:t>
      </w:r>
      <w:r w:rsidRPr="0028332C">
        <w:rPr>
          <w:rFonts w:ascii="Tahoma" w:hAnsi="Tahoma" w:cs="Tahoma"/>
          <w:sz w:val="18"/>
          <w:szCs w:val="18"/>
        </w:rPr>
        <w:t xml:space="preserve"> </w:t>
      </w:r>
      <w:r w:rsidRPr="0028332C">
        <w:rPr>
          <w:rFonts w:ascii="Tahoma" w:hAnsi="Tahoma" w:cs="Tahoma"/>
          <w:sz w:val="18"/>
          <w:szCs w:val="18"/>
          <w:lang w:val="it-IT"/>
        </w:rPr>
        <w:t>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r w:rsidRPr="0028332C">
        <w:rPr>
          <w:rFonts w:ascii="Tahoma" w:hAnsi="Tahoma" w:cs="Tahoma"/>
          <w:sz w:val="18"/>
          <w:szCs w:val="18"/>
        </w:rPr>
        <w:t xml:space="preserve"> </w:t>
      </w:r>
    </w:p>
    <w:p w:rsidR="00A92422" w:rsidRPr="00A505C7" w:rsidRDefault="00A92422" w:rsidP="00A92422">
      <w:pPr>
        <w:pStyle w:val="AppendixBodyText"/>
        <w:spacing w:after="0"/>
        <w:rPr>
          <w:rFonts w:ascii="Tahoma" w:hAnsi="Tahoma" w:cs="Tahoma"/>
          <w:sz w:val="18"/>
          <w:szCs w:val="18"/>
        </w:rPr>
      </w:pPr>
    </w:p>
    <w:p w:rsidR="00A92422" w:rsidRPr="0028332C" w:rsidRDefault="00A92422" w:rsidP="00A92422">
      <w:pPr>
        <w:pStyle w:val="AppendixBodyText"/>
        <w:spacing w:after="0"/>
        <w:rPr>
          <w:rFonts w:ascii="Tahoma" w:hAnsi="Tahoma" w:cs="Tahoma"/>
          <w:sz w:val="18"/>
          <w:szCs w:val="18"/>
        </w:rPr>
      </w:pPr>
      <w:r w:rsidRPr="0028332C">
        <w:rPr>
          <w:rFonts w:ascii="Tahoma" w:hAnsi="Tahoma" w:cs="Tahoma"/>
          <w:sz w:val="18"/>
          <w:szCs w:val="18"/>
          <w:lang w:val="it-IT"/>
        </w:rPr>
        <w:t>Per il Supporto Web relativo agli interventi riguardanti sia il software server che le relative CAL è necessario disporre di Software Assurance.</w:t>
      </w:r>
      <w:r w:rsidRPr="0028332C">
        <w:rPr>
          <w:rFonts w:ascii="Tahoma" w:hAnsi="Tahoma" w:cs="Tahoma"/>
          <w:sz w:val="18"/>
          <w:szCs w:val="18"/>
        </w:rPr>
        <w:t xml:space="preserve"> </w:t>
      </w:r>
      <w:r w:rsidRPr="0028332C">
        <w:rPr>
          <w:rFonts w:ascii="Tahoma" w:hAnsi="Tahoma" w:cs="Tahoma"/>
          <w:sz w:val="18"/>
          <w:szCs w:val="18"/>
          <w:lang w:val="it-IT"/>
        </w:rPr>
        <w:t>Per le copie concesse in licenza del software server che rientra nella copertura Software Assurance, le società potranno sottoporre esclusivamente richieste di Supporto per la Risoluzione dei Problemi basate sul Web.</w:t>
      </w:r>
    </w:p>
    <w:p w:rsidR="00A92422" w:rsidRPr="00A505C7" w:rsidRDefault="00A92422" w:rsidP="00A92422">
      <w:pPr>
        <w:pStyle w:val="AppendixBodyText"/>
        <w:spacing w:after="0"/>
        <w:rPr>
          <w:rFonts w:ascii="Tahoma" w:hAnsi="Tahoma" w:cs="Tahoma"/>
          <w:sz w:val="18"/>
          <w:szCs w:val="18"/>
        </w:rPr>
      </w:pPr>
    </w:p>
    <w:p w:rsidR="00A92422" w:rsidRPr="0028332C" w:rsidRDefault="00A92422" w:rsidP="00A92422">
      <w:pPr>
        <w:pStyle w:val="AppendixBodyText"/>
        <w:spacing w:after="0"/>
        <w:rPr>
          <w:rFonts w:ascii="Tahoma" w:hAnsi="Tahoma" w:cs="Tahoma"/>
          <w:sz w:val="18"/>
          <w:szCs w:val="18"/>
        </w:rPr>
      </w:pPr>
      <w:r w:rsidRPr="0028332C">
        <w:rPr>
          <w:rFonts w:ascii="Tahoma" w:hAnsi="Tahoma" w:cs="Tahoma"/>
          <w:sz w:val="18"/>
          <w:szCs w:val="18"/>
          <w:lang w:val="it-IT"/>
        </w:rPr>
        <w:t>Gli interventi con Supporto Web non sono trasferibili tra licenze.</w:t>
      </w:r>
      <w:r w:rsidRPr="0028332C">
        <w:rPr>
          <w:rFonts w:ascii="Tahoma" w:hAnsi="Tahoma" w:cs="Tahoma"/>
          <w:sz w:val="18"/>
          <w:szCs w:val="18"/>
        </w:rPr>
        <w:t xml:space="preserve"> </w:t>
      </w:r>
      <w:r w:rsidRPr="0028332C">
        <w:rPr>
          <w:rFonts w:ascii="Tahoma" w:hAnsi="Tahoma" w:cs="Tahoma"/>
          <w:sz w:val="18"/>
          <w:szCs w:val="18"/>
          <w:lang w:val="it-IT"/>
        </w:rPr>
        <w:t>Consultare i diritti di utilizzo del prodotto per ulteriori informazioni sull’assegnazione o riassegnazione delle licenze ai server fisici.</w:t>
      </w:r>
    </w:p>
    <w:p w:rsidR="00A92422" w:rsidRPr="00A505C7" w:rsidRDefault="00A92422" w:rsidP="00A92422">
      <w:pPr>
        <w:rPr>
          <w:rFonts w:cs="Tahoma"/>
          <w:b/>
          <w:sz w:val="20"/>
          <w:szCs w:val="20"/>
        </w:rPr>
      </w:pPr>
      <w:bookmarkStart w:id="862" w:name="_Toc240899165"/>
    </w:p>
    <w:bookmarkEnd w:id="862"/>
    <w:p w:rsidR="00A92422" w:rsidRPr="00D87B79" w:rsidRDefault="00A92422" w:rsidP="00A92422">
      <w:pPr>
        <w:rPr>
          <w:rFonts w:cs="Tahoma"/>
        </w:rPr>
      </w:pPr>
      <w:r w:rsidRPr="00D87B79">
        <w:rPr>
          <w:rFonts w:cs="Tahoma"/>
          <w:b/>
          <w:sz w:val="20"/>
          <w:lang w:val="it-IT"/>
        </w:rPr>
        <w:t>Contatti di Supporto</w:t>
      </w:r>
    </w:p>
    <w:p w:rsidR="00A92422" w:rsidRPr="00A505C7" w:rsidRDefault="00A92422" w:rsidP="00A92422">
      <w:pPr>
        <w:pStyle w:val="AppendixBodyText"/>
        <w:spacing w:after="0"/>
        <w:rPr>
          <w:rFonts w:ascii="Tahoma" w:hAnsi="Tahoma" w:cs="Tahoma"/>
          <w:sz w:val="8"/>
          <w:szCs w:val="8"/>
        </w:rPr>
      </w:pPr>
    </w:p>
    <w:p w:rsidR="00A92422" w:rsidRPr="00D87B79" w:rsidRDefault="00A92422" w:rsidP="00A92422">
      <w:pPr>
        <w:pStyle w:val="AppendixBodyText"/>
        <w:spacing w:after="0"/>
        <w:rPr>
          <w:rFonts w:ascii="Tahoma" w:hAnsi="Tahoma" w:cs="Tahoma"/>
        </w:rPr>
      </w:pPr>
      <w:r w:rsidRPr="00D87B79">
        <w:rPr>
          <w:rFonts w:ascii="Tahoma" w:hAnsi="Tahoma" w:cs="Tahoma"/>
          <w:sz w:val="18"/>
          <w:szCs w:val="18"/>
          <w:lang w:val="it-IT"/>
        </w:rPr>
        <w:t>Il numero di contatti di supporto consentiti varia in base al programma Volume License e al numero di licenze indicato in Software Assurance, come mostrato di seguito.</w:t>
      </w:r>
      <w:r w:rsidRPr="00D87B79">
        <w:rPr>
          <w:rFonts w:ascii="Tahoma" w:hAnsi="Tahoma" w:cs="Tahoma"/>
          <w:sz w:val="18"/>
          <w:szCs w:val="18"/>
        </w:rPr>
        <w:t xml:space="preserve"> </w:t>
      </w:r>
      <w:r w:rsidRPr="00D87B79">
        <w:rPr>
          <w:rFonts w:ascii="Tahoma" w:hAnsi="Tahoma" w:cs="Tahoma"/>
          <w:sz w:val="18"/>
          <w:szCs w:val="18"/>
          <w:lang w:val="it-IT"/>
        </w:rPr>
        <w:t>I contatti dovranno essere persone designate, tra cui anche soggetti esterni all’organizzazione della società.</w:t>
      </w:r>
      <w:r w:rsidRPr="00D87B79">
        <w:rPr>
          <w:rFonts w:ascii="Tahoma" w:hAnsi="Tahoma" w:cs="Tahoma"/>
        </w:rPr>
        <w:t xml:space="preserve"> </w:t>
      </w:r>
      <w:r w:rsidRPr="00D87B79">
        <w:rPr>
          <w:rFonts w:ascii="Tahoma" w:hAnsi="Tahoma" w:cs="Tahoma"/>
          <w:sz w:val="18"/>
          <w:lang w:val="it-IT"/>
        </w:rPr>
        <w:t>Tuttavia, non sarà possibile indicare tra i contatti il nome di</w:t>
      </w:r>
      <w:r>
        <w:rPr>
          <w:rFonts w:ascii="Tahoma" w:hAnsi="Tahoma" w:cs="Tahoma"/>
          <w:sz w:val="18"/>
          <w:lang w:val="it-IT"/>
        </w:rPr>
        <w:t> </w:t>
      </w:r>
      <w:r w:rsidRPr="00D87B79">
        <w:rPr>
          <w:rFonts w:ascii="Tahoma" w:hAnsi="Tahoma" w:cs="Tahoma"/>
          <w:sz w:val="18"/>
          <w:lang w:val="it-IT"/>
        </w:rPr>
        <w:t>un’organizzazione, di un dipartimento o di un gruppo.</w:t>
      </w:r>
    </w:p>
    <w:p w:rsidR="00A92422" w:rsidRDefault="00A92422" w:rsidP="00A92422">
      <w:pPr>
        <w:pStyle w:val="AppendixBodyText"/>
        <w:spacing w:after="0"/>
        <w:rPr>
          <w:rFonts w:ascii="Tahoma" w:hAnsi="Tahoma" w:cs="Tahoma"/>
          <w:sz w:val="18"/>
          <w:szCs w:val="18"/>
        </w:rPr>
      </w:pPr>
    </w:p>
    <w:tbl>
      <w:tblPr>
        <w:tblW w:w="9547"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717"/>
        <w:gridCol w:w="1170"/>
        <w:gridCol w:w="1170"/>
        <w:gridCol w:w="1341"/>
        <w:gridCol w:w="1359"/>
        <w:gridCol w:w="1350"/>
        <w:gridCol w:w="1440"/>
      </w:tblGrid>
      <w:tr w:rsidR="00A92422" w:rsidRPr="00D87B79" w:rsidTr="00EA30FC">
        <w:trPr>
          <w:trHeight w:val="178"/>
        </w:trPr>
        <w:tc>
          <w:tcPr>
            <w:tcW w:w="1717" w:type="dxa"/>
            <w:tcBorders>
              <w:top w:val="single" w:sz="8" w:space="0" w:color="auto"/>
              <w:left w:val="single" w:sz="8" w:space="0" w:color="auto"/>
              <w:bottom w:val="single" w:sz="8" w:space="0" w:color="auto"/>
              <w:right w:val="single" w:sz="8" w:space="0" w:color="auto"/>
            </w:tcBorders>
            <w:shd w:val="clear" w:color="auto" w:fill="FFCC99"/>
            <w:vAlign w:val="center"/>
          </w:tcPr>
          <w:p w:rsidR="00A92422" w:rsidRPr="00D87B79" w:rsidRDefault="00A92422" w:rsidP="00EA30FC">
            <w:pPr>
              <w:pStyle w:val="AppendixBodyText"/>
              <w:rPr>
                <w:rFonts w:ascii="Tahoma" w:hAnsi="Tahoma" w:cs="Tahoma"/>
                <w:b/>
                <w:bCs/>
              </w:rPr>
            </w:pPr>
            <w:r w:rsidRPr="00D87B79">
              <w:rPr>
                <w:rFonts w:ascii="Tahoma" w:hAnsi="Tahoma" w:cs="Tahoma"/>
                <w:b/>
                <w:bCs/>
                <w:lang w:val="it-IT"/>
              </w:rPr>
              <w:t>Benefici</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A92422" w:rsidRPr="00D87B79" w:rsidRDefault="00A92422" w:rsidP="00EA30FC">
            <w:pPr>
              <w:pStyle w:val="AppendixBodyText"/>
              <w:rPr>
                <w:rFonts w:ascii="Tahoma" w:hAnsi="Tahoma" w:cs="Tahoma"/>
                <w:b/>
                <w:bCs/>
              </w:rPr>
            </w:pPr>
            <w:r w:rsidRPr="00D87B79">
              <w:rPr>
                <w:rFonts w:ascii="Tahoma" w:hAnsi="Tahoma" w:cs="Tahoma"/>
                <w:b/>
                <w:bCs/>
                <w:lang w:val="it-IT"/>
              </w:rPr>
              <w:t>Licenza Open</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A92422" w:rsidRPr="00D87B79" w:rsidRDefault="00A92422" w:rsidP="00EA30FC">
            <w:pPr>
              <w:pStyle w:val="AppendixBodyText"/>
              <w:rPr>
                <w:rFonts w:ascii="Tahoma" w:hAnsi="Tahoma" w:cs="Tahoma"/>
              </w:rPr>
            </w:pPr>
            <w:r w:rsidRPr="00D87B79">
              <w:rPr>
                <w:rFonts w:ascii="Tahoma" w:hAnsi="Tahoma" w:cs="Tahoma"/>
                <w:b/>
                <w:lang w:val="it-IT"/>
              </w:rPr>
              <w:t>Open Value (1)</w:t>
            </w:r>
          </w:p>
          <w:p w:rsidR="00A92422" w:rsidRPr="00D87B79" w:rsidRDefault="00A92422" w:rsidP="00EA30FC">
            <w:pPr>
              <w:pStyle w:val="AppendixBodyText"/>
              <w:rPr>
                <w:rFonts w:ascii="Tahoma" w:hAnsi="Tahoma" w:cs="Tahoma"/>
                <w:b/>
              </w:rPr>
            </w:pPr>
          </w:p>
        </w:tc>
        <w:tc>
          <w:tcPr>
            <w:tcW w:w="1341" w:type="dxa"/>
            <w:tcBorders>
              <w:top w:val="single" w:sz="8" w:space="0" w:color="auto"/>
              <w:left w:val="single" w:sz="8" w:space="0" w:color="auto"/>
              <w:bottom w:val="single" w:sz="8" w:space="0" w:color="auto"/>
              <w:right w:val="single" w:sz="8" w:space="0" w:color="auto"/>
            </w:tcBorders>
            <w:shd w:val="clear" w:color="auto" w:fill="FFCC99"/>
            <w:vAlign w:val="center"/>
          </w:tcPr>
          <w:p w:rsidR="00A92422" w:rsidRPr="00D87B79" w:rsidRDefault="00A92422" w:rsidP="00EA30FC">
            <w:pPr>
              <w:pStyle w:val="AppendixBodyText"/>
              <w:rPr>
                <w:rFonts w:ascii="Tahoma" w:hAnsi="Tahoma" w:cs="Tahoma"/>
              </w:rPr>
            </w:pPr>
            <w:r w:rsidRPr="00D87B79">
              <w:rPr>
                <w:rFonts w:ascii="Tahoma" w:hAnsi="Tahoma" w:cs="Tahoma"/>
                <w:b/>
                <w:lang w:val="it-IT"/>
              </w:rPr>
              <w:t xml:space="preserve">Licenza Select / Select </w:t>
            </w:r>
            <w:r>
              <w:rPr>
                <w:rFonts w:ascii="Tahoma" w:hAnsi="Tahoma" w:cs="Tahoma"/>
                <w:b/>
                <w:lang w:val="it-IT"/>
              </w:rPr>
              <w:br/>
            </w:r>
            <w:r w:rsidRPr="00D87B79">
              <w:rPr>
                <w:rFonts w:ascii="Tahoma" w:hAnsi="Tahoma" w:cs="Tahoma"/>
                <w:b/>
                <w:lang w:val="it-IT"/>
              </w:rPr>
              <w:t>Plus / EA</w:t>
            </w:r>
          </w:p>
          <w:p w:rsidR="00A92422" w:rsidRPr="00D87B79" w:rsidRDefault="00A92422" w:rsidP="00EA30FC">
            <w:pPr>
              <w:pStyle w:val="AppendixBodyText"/>
              <w:rPr>
                <w:rFonts w:ascii="Tahoma" w:hAnsi="Tahoma" w:cs="Tahoma"/>
                <w:b/>
                <w:bCs/>
              </w:rPr>
            </w:pPr>
            <w:r w:rsidRPr="00D87B79">
              <w:rPr>
                <w:rFonts w:ascii="Tahoma" w:hAnsi="Tahoma" w:cs="Tahoma"/>
                <w:b/>
                <w:bCs/>
                <w:lang w:val="it-IT"/>
              </w:rPr>
              <w:t>Prezzo di riferimento</w:t>
            </w:r>
          </w:p>
        </w:tc>
        <w:tc>
          <w:tcPr>
            <w:tcW w:w="1359" w:type="dxa"/>
            <w:tcBorders>
              <w:top w:val="single" w:sz="8" w:space="0" w:color="auto"/>
              <w:left w:val="single" w:sz="8" w:space="0" w:color="auto"/>
              <w:bottom w:val="single" w:sz="8" w:space="0" w:color="auto"/>
              <w:right w:val="single" w:sz="8" w:space="0" w:color="auto"/>
            </w:tcBorders>
            <w:shd w:val="clear" w:color="auto" w:fill="FFCC99"/>
            <w:vAlign w:val="center"/>
          </w:tcPr>
          <w:p w:rsidR="00A92422" w:rsidRPr="00D87B79" w:rsidRDefault="00A92422" w:rsidP="00EA30FC">
            <w:pPr>
              <w:pStyle w:val="AppendixBodyText"/>
              <w:rPr>
                <w:rFonts w:ascii="Tahoma" w:hAnsi="Tahoma" w:cs="Tahoma"/>
              </w:rPr>
            </w:pPr>
            <w:r w:rsidRPr="00D87B79">
              <w:rPr>
                <w:rFonts w:ascii="Tahoma" w:hAnsi="Tahoma" w:cs="Tahoma"/>
                <w:b/>
                <w:lang w:val="it-IT"/>
              </w:rPr>
              <w:t xml:space="preserve">Licenza Select / Select </w:t>
            </w:r>
            <w:r>
              <w:rPr>
                <w:rFonts w:ascii="Tahoma" w:hAnsi="Tahoma" w:cs="Tahoma"/>
                <w:b/>
                <w:lang w:val="it-IT"/>
              </w:rPr>
              <w:br/>
            </w:r>
            <w:r w:rsidRPr="00D87B79">
              <w:rPr>
                <w:rFonts w:ascii="Tahoma" w:hAnsi="Tahoma" w:cs="Tahoma"/>
                <w:b/>
                <w:lang w:val="it-IT"/>
              </w:rPr>
              <w:t>Plus / EA</w:t>
            </w:r>
          </w:p>
          <w:p w:rsidR="00A92422" w:rsidRPr="00D87B79" w:rsidRDefault="00A92422" w:rsidP="00EA30FC">
            <w:pPr>
              <w:pStyle w:val="AppendixBodyText"/>
              <w:rPr>
                <w:rFonts w:ascii="Tahoma" w:hAnsi="Tahoma" w:cs="Tahoma"/>
                <w:b/>
                <w:bCs/>
              </w:rPr>
            </w:pPr>
            <w:r w:rsidRPr="00D87B79">
              <w:rPr>
                <w:rFonts w:ascii="Tahoma" w:hAnsi="Tahoma" w:cs="Tahoma"/>
                <w:b/>
                <w:bCs/>
                <w:lang w:val="it-IT"/>
              </w:rPr>
              <w:t>Prezzo di riferimento</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rsidR="00A92422" w:rsidRPr="00D87B79" w:rsidRDefault="00A92422" w:rsidP="00EA30FC">
            <w:pPr>
              <w:pStyle w:val="AppendixBodyText"/>
              <w:rPr>
                <w:rFonts w:ascii="Tahoma" w:hAnsi="Tahoma" w:cs="Tahoma"/>
              </w:rPr>
            </w:pPr>
            <w:r w:rsidRPr="00D87B79">
              <w:rPr>
                <w:rFonts w:ascii="Tahoma" w:hAnsi="Tahoma" w:cs="Tahoma"/>
                <w:b/>
                <w:lang w:val="it-IT"/>
              </w:rPr>
              <w:t xml:space="preserve">Licenza Select / Select </w:t>
            </w:r>
            <w:r>
              <w:rPr>
                <w:rFonts w:ascii="Tahoma" w:hAnsi="Tahoma" w:cs="Tahoma"/>
                <w:b/>
                <w:lang w:val="it-IT"/>
              </w:rPr>
              <w:br/>
            </w:r>
            <w:r w:rsidRPr="00D87B79">
              <w:rPr>
                <w:rFonts w:ascii="Tahoma" w:hAnsi="Tahoma" w:cs="Tahoma"/>
                <w:b/>
                <w:lang w:val="it-IT"/>
              </w:rPr>
              <w:t>Plus / EA</w:t>
            </w:r>
          </w:p>
          <w:p w:rsidR="00A92422" w:rsidRPr="00D87B79" w:rsidRDefault="00A92422" w:rsidP="00EA30FC">
            <w:pPr>
              <w:pStyle w:val="AppendixBodyText"/>
              <w:rPr>
                <w:rFonts w:ascii="Tahoma" w:hAnsi="Tahoma" w:cs="Tahoma"/>
                <w:b/>
                <w:bCs/>
              </w:rPr>
            </w:pPr>
            <w:r w:rsidRPr="00D87B79">
              <w:rPr>
                <w:rFonts w:ascii="Tahoma" w:hAnsi="Tahoma" w:cs="Tahoma"/>
                <w:b/>
                <w:bCs/>
                <w:lang w:val="it-IT"/>
              </w:rPr>
              <w:t>Prezzo di riferimento</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A92422" w:rsidRPr="00D87B79" w:rsidRDefault="00A92422" w:rsidP="00EA30FC">
            <w:pPr>
              <w:pStyle w:val="AppendixBodyText"/>
              <w:rPr>
                <w:rFonts w:ascii="Tahoma" w:hAnsi="Tahoma" w:cs="Tahoma"/>
              </w:rPr>
            </w:pPr>
            <w:r w:rsidRPr="00D87B79">
              <w:rPr>
                <w:rFonts w:ascii="Tahoma" w:hAnsi="Tahoma" w:cs="Tahoma"/>
                <w:b/>
                <w:lang w:val="it-IT"/>
              </w:rPr>
              <w:t xml:space="preserve">Licenza Select / Select </w:t>
            </w:r>
            <w:r>
              <w:rPr>
                <w:rFonts w:ascii="Tahoma" w:hAnsi="Tahoma" w:cs="Tahoma"/>
                <w:b/>
                <w:lang w:val="it-IT"/>
              </w:rPr>
              <w:br/>
            </w:r>
            <w:r w:rsidRPr="00D87B79">
              <w:rPr>
                <w:rFonts w:ascii="Tahoma" w:hAnsi="Tahoma" w:cs="Tahoma"/>
                <w:b/>
                <w:lang w:val="it-IT"/>
              </w:rPr>
              <w:t>Plus / EA</w:t>
            </w:r>
          </w:p>
          <w:p w:rsidR="00A92422" w:rsidRPr="00D87B79" w:rsidRDefault="00A92422" w:rsidP="00EA30FC">
            <w:pPr>
              <w:pStyle w:val="AppendixBodyText"/>
              <w:rPr>
                <w:rFonts w:ascii="Tahoma" w:hAnsi="Tahoma" w:cs="Tahoma"/>
                <w:b/>
                <w:bCs/>
              </w:rPr>
            </w:pPr>
            <w:r w:rsidRPr="00D87B79">
              <w:rPr>
                <w:rFonts w:ascii="Tahoma" w:hAnsi="Tahoma" w:cs="Tahoma"/>
                <w:b/>
                <w:bCs/>
                <w:lang w:val="it-IT"/>
              </w:rPr>
              <w:t>Prezzo di riferimento</w:t>
            </w:r>
          </w:p>
        </w:tc>
      </w:tr>
      <w:tr w:rsidR="00A92422" w:rsidRPr="00D87B79" w:rsidTr="00EA30FC">
        <w:trPr>
          <w:trHeight w:val="236"/>
        </w:trPr>
        <w:tc>
          <w:tcPr>
            <w:tcW w:w="1717" w:type="dxa"/>
            <w:vAlign w:val="center"/>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N. di Contatti di</w:t>
            </w:r>
            <w:r>
              <w:rPr>
                <w:rFonts w:ascii="Tahoma" w:hAnsi="Tahoma" w:cs="Tahoma"/>
                <w:sz w:val="18"/>
                <w:szCs w:val="18"/>
                <w:lang w:val="it-IT"/>
              </w:rPr>
              <w:t> </w:t>
            </w:r>
            <w:r w:rsidRPr="00D87B79">
              <w:rPr>
                <w:rFonts w:ascii="Tahoma" w:hAnsi="Tahoma" w:cs="Tahoma"/>
                <w:sz w:val="18"/>
                <w:szCs w:val="18"/>
                <w:lang w:val="it-IT"/>
              </w:rPr>
              <w:t>Supporto Telefonico per la</w:t>
            </w:r>
            <w:r>
              <w:rPr>
                <w:rFonts w:ascii="Tahoma" w:hAnsi="Tahoma" w:cs="Tahoma"/>
                <w:sz w:val="18"/>
                <w:szCs w:val="18"/>
                <w:lang w:val="it-IT"/>
              </w:rPr>
              <w:t> </w:t>
            </w:r>
            <w:r w:rsidRPr="00D87B79">
              <w:rPr>
                <w:rFonts w:ascii="Tahoma" w:hAnsi="Tahoma" w:cs="Tahoma"/>
                <w:sz w:val="18"/>
                <w:szCs w:val="18"/>
                <w:lang w:val="it-IT"/>
              </w:rPr>
              <w:t>Risoluzione dei</w:t>
            </w:r>
            <w:r>
              <w:rPr>
                <w:rFonts w:ascii="Tahoma" w:hAnsi="Tahoma" w:cs="Tahoma"/>
                <w:sz w:val="18"/>
                <w:szCs w:val="18"/>
                <w:lang w:val="it-IT"/>
              </w:rPr>
              <w:t> </w:t>
            </w:r>
            <w:r w:rsidRPr="00D87B79">
              <w:rPr>
                <w:rFonts w:ascii="Tahoma" w:hAnsi="Tahoma" w:cs="Tahoma"/>
                <w:sz w:val="18"/>
                <w:szCs w:val="18"/>
                <w:lang w:val="it-IT"/>
              </w:rPr>
              <w:t>Problemi</w:t>
            </w:r>
          </w:p>
        </w:tc>
        <w:tc>
          <w:tcPr>
            <w:tcW w:w="1170" w:type="dxa"/>
            <w:vAlign w:val="center"/>
          </w:tcPr>
          <w:p w:rsidR="00A92422" w:rsidRPr="00D87B79" w:rsidRDefault="00A92422" w:rsidP="00EA30FC">
            <w:pPr>
              <w:pStyle w:val="AppendixBodyText"/>
              <w:rPr>
                <w:rFonts w:ascii="Tahoma" w:hAnsi="Tahoma" w:cs="Tahoma"/>
                <w:sz w:val="18"/>
                <w:szCs w:val="18"/>
              </w:rPr>
            </w:pPr>
            <w:r w:rsidRPr="00D87B79">
              <w:rPr>
                <w:rFonts w:ascii="Tahoma" w:hAnsi="Tahoma" w:cs="Tahoma"/>
                <w:sz w:val="18"/>
                <w:lang w:val="it-IT"/>
              </w:rPr>
              <w:t>In Base alle Necessità</w:t>
            </w:r>
          </w:p>
        </w:tc>
        <w:tc>
          <w:tcPr>
            <w:tcW w:w="1170" w:type="dxa"/>
            <w:vAlign w:val="center"/>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In Base alle Necessità</w:t>
            </w:r>
          </w:p>
        </w:tc>
        <w:tc>
          <w:tcPr>
            <w:tcW w:w="1341" w:type="dxa"/>
            <w:vAlign w:val="center"/>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In Base alle Necessità</w:t>
            </w:r>
          </w:p>
        </w:tc>
        <w:tc>
          <w:tcPr>
            <w:tcW w:w="1359" w:type="dxa"/>
            <w:vAlign w:val="center"/>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In Base alle Necessità</w:t>
            </w:r>
          </w:p>
        </w:tc>
        <w:tc>
          <w:tcPr>
            <w:tcW w:w="1350" w:type="dxa"/>
            <w:vAlign w:val="center"/>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In Base alle Necessità</w:t>
            </w:r>
          </w:p>
        </w:tc>
        <w:tc>
          <w:tcPr>
            <w:tcW w:w="1440" w:type="dxa"/>
            <w:vAlign w:val="center"/>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In Base alle Necessità</w:t>
            </w:r>
          </w:p>
        </w:tc>
      </w:tr>
      <w:tr w:rsidR="00A92422" w:rsidRPr="00D87B79" w:rsidTr="00EA30FC">
        <w:trPr>
          <w:trHeight w:val="236"/>
        </w:trPr>
        <w:tc>
          <w:tcPr>
            <w:tcW w:w="1717" w:type="dxa"/>
            <w:vAlign w:val="center"/>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N. di Contatti Autorizzati per il Supporto Web</w:t>
            </w:r>
          </w:p>
        </w:tc>
        <w:tc>
          <w:tcPr>
            <w:tcW w:w="1170" w:type="dxa"/>
            <w:vAlign w:val="center"/>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ND</w:t>
            </w:r>
          </w:p>
        </w:tc>
        <w:tc>
          <w:tcPr>
            <w:tcW w:w="1170" w:type="dxa"/>
            <w:vAlign w:val="center"/>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rPr>
              <w:t>1</w:t>
            </w:r>
          </w:p>
        </w:tc>
        <w:tc>
          <w:tcPr>
            <w:tcW w:w="1341" w:type="dxa"/>
            <w:vAlign w:val="center"/>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rPr>
              <w:t>2</w:t>
            </w:r>
          </w:p>
        </w:tc>
        <w:tc>
          <w:tcPr>
            <w:tcW w:w="1359" w:type="dxa"/>
            <w:vAlign w:val="center"/>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rPr>
              <w:t>4</w:t>
            </w:r>
          </w:p>
        </w:tc>
        <w:tc>
          <w:tcPr>
            <w:tcW w:w="1350" w:type="dxa"/>
            <w:vAlign w:val="center"/>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rPr>
              <w:t>8</w:t>
            </w:r>
          </w:p>
        </w:tc>
        <w:tc>
          <w:tcPr>
            <w:tcW w:w="1440" w:type="dxa"/>
            <w:vAlign w:val="center"/>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rPr>
              <w:t>16</w:t>
            </w:r>
          </w:p>
        </w:tc>
      </w:tr>
    </w:tbl>
    <w:p w:rsidR="00A92422" w:rsidRDefault="00A92422" w:rsidP="00A92422">
      <w:pPr>
        <w:pStyle w:val="AppendixBodyText"/>
        <w:spacing w:after="0"/>
        <w:rPr>
          <w:rFonts w:ascii="Tahoma" w:hAnsi="Tahoma" w:cs="Tahoma"/>
        </w:rPr>
      </w:pPr>
    </w:p>
    <w:p w:rsidR="00A92422" w:rsidRPr="00D87B79" w:rsidRDefault="00A92422" w:rsidP="00A92422">
      <w:pPr>
        <w:rPr>
          <w:rFonts w:cs="Tahoma"/>
        </w:rPr>
      </w:pPr>
      <w:bookmarkStart w:id="863" w:name="_Toc240899166"/>
      <w:bookmarkEnd w:id="863"/>
      <w:r w:rsidRPr="00D87B79">
        <w:rPr>
          <w:rFonts w:cs="Tahoma"/>
          <w:b/>
          <w:sz w:val="20"/>
          <w:lang w:val="it-IT"/>
        </w:rPr>
        <w:t>Livello di Servizio per le Società con Copertura Software Assurance</w:t>
      </w:r>
    </w:p>
    <w:p w:rsidR="00A92422" w:rsidRPr="00767BD0" w:rsidRDefault="00A92422" w:rsidP="00A92422">
      <w:pPr>
        <w:rPr>
          <w:rFonts w:cs="Tahoma"/>
          <w:b/>
          <w:sz w:val="20"/>
          <w:szCs w:val="20"/>
        </w:rPr>
      </w:pPr>
    </w:p>
    <w:p w:rsidR="00A92422" w:rsidRPr="00312E3D" w:rsidRDefault="00A92422" w:rsidP="00A92422">
      <w:pPr>
        <w:pStyle w:val="AppendixBodyText"/>
        <w:spacing w:after="0"/>
        <w:rPr>
          <w:rFonts w:ascii="Tahoma" w:hAnsi="Tahoma" w:cs="Tahoma"/>
          <w:sz w:val="18"/>
          <w:szCs w:val="18"/>
        </w:rPr>
      </w:pPr>
      <w:r w:rsidRPr="00312E3D">
        <w:rPr>
          <w:rFonts w:ascii="Tahoma" w:hAnsi="Tahoma" w:cs="Tahoma"/>
          <w:sz w:val="18"/>
          <w:szCs w:val="18"/>
          <w:lang w:val="it-IT"/>
        </w:rPr>
        <w:t>Le richieste di supporto potranno essere formulate telefonicamente o inviate in formato elettronico dalle persone di contatto designate dalla società, a eccezione delle richieste con Severity A e B, che dovranno essere formulate, invece, solo telefonicamente, come descritto di seguito.</w:t>
      </w:r>
      <w:r w:rsidRPr="00312E3D">
        <w:rPr>
          <w:rFonts w:ascii="Tahoma" w:hAnsi="Tahoma" w:cs="Tahoma"/>
          <w:sz w:val="18"/>
          <w:szCs w:val="18"/>
        </w:rPr>
        <w:t xml:space="preserve"> </w:t>
      </w:r>
    </w:p>
    <w:p w:rsidR="00A92422" w:rsidRDefault="00A92422" w:rsidP="00A92422">
      <w:pPr>
        <w:pStyle w:val="AppendixBodyText"/>
        <w:spacing w:after="0"/>
        <w:rPr>
          <w:rFonts w:ascii="Tahoma" w:hAnsi="Tahoma" w:cs="Tahoma"/>
          <w:sz w:val="18"/>
          <w:szCs w:val="18"/>
        </w:rPr>
      </w:pPr>
    </w:p>
    <w:p w:rsidR="00A92422" w:rsidRDefault="00A92422" w:rsidP="00A92422">
      <w:pPr>
        <w:pStyle w:val="AppendixBodyText"/>
        <w:spacing w:after="0"/>
        <w:rPr>
          <w:rFonts w:ascii="Tahoma" w:hAnsi="Tahoma" w:cs="Tahoma"/>
          <w:sz w:val="18"/>
          <w:szCs w:val="18"/>
          <w:lang w:val="it-IT"/>
        </w:rPr>
      </w:pPr>
      <w:r w:rsidRPr="00312E3D">
        <w:rPr>
          <w:rFonts w:ascii="Tahoma" w:hAnsi="Tahoma" w:cs="Tahoma"/>
          <w:sz w:val="18"/>
          <w:szCs w:val="18"/>
          <w:lang w:val="it-IT"/>
        </w:rPr>
        <w:t>Le società avranno la responsabilità di indicare il livello di gravità iniziale in collaborazione con Microsoft. Potranno tuttavia richiedere di modificare il livello di gravità in qualsiasi momento.</w:t>
      </w:r>
      <w:r w:rsidRPr="00312E3D">
        <w:rPr>
          <w:rFonts w:ascii="Tahoma" w:hAnsi="Tahoma" w:cs="Tahoma"/>
          <w:sz w:val="18"/>
          <w:szCs w:val="18"/>
        </w:rPr>
        <w:t xml:space="preserve"> </w:t>
      </w:r>
      <w:r w:rsidRPr="00312E3D">
        <w:rPr>
          <w:rFonts w:ascii="Tahoma" w:hAnsi="Tahoma" w:cs="Tahoma"/>
          <w:sz w:val="18"/>
          <w:szCs w:val="18"/>
          <w:lang w:val="it-IT"/>
        </w:rPr>
        <w:t>La gravità dell’intervento determinerà i livelli di risposta da parte di Microsoft. I tempi di risposta previsti e le responsabilità delle società sono definiti nella seguente tabella:</w:t>
      </w:r>
    </w:p>
    <w:p w:rsidR="00A92422" w:rsidRDefault="00A92422" w:rsidP="00A92422">
      <w:pPr>
        <w:rPr>
          <w:lang w:val="it-IT"/>
        </w:rPr>
      </w:pPr>
      <w:r>
        <w:rPr>
          <w:lang w:val="it-IT"/>
        </w:rPr>
        <w:br w:type="page"/>
      </w:r>
    </w:p>
    <w:p w:rsidR="00A92422" w:rsidRPr="00312E3D" w:rsidRDefault="00A92422" w:rsidP="00A92422">
      <w:pPr>
        <w:pStyle w:val="AppendixBodyText"/>
        <w:spacing w:after="0"/>
        <w:rPr>
          <w:rFonts w:ascii="Tahoma" w:hAnsi="Tahoma" w:cs="Tahoma"/>
          <w:sz w:val="18"/>
          <w:szCs w:val="18"/>
        </w:rPr>
      </w:pPr>
    </w:p>
    <w:p w:rsidR="00A92422" w:rsidRPr="003B7ED9" w:rsidRDefault="00A92422" w:rsidP="00A92422">
      <w:pPr>
        <w:pStyle w:val="AppendixBodyText"/>
        <w:spacing w:after="0"/>
        <w:rPr>
          <w:rFonts w:ascii="Tahoma" w:hAnsi="Tahoma" w:cs="Tahoma"/>
          <w:sz w:val="18"/>
          <w:szCs w:val="18"/>
        </w:rPr>
      </w:pPr>
    </w:p>
    <w:tbl>
      <w:tblPr>
        <w:tblW w:w="9540" w:type="dxa"/>
        <w:tblInd w:w="108" w:type="dxa"/>
        <w:tblLayout w:type="fixed"/>
        <w:tblCellMar>
          <w:left w:w="0" w:type="dxa"/>
          <w:right w:w="0" w:type="dxa"/>
        </w:tblCellMar>
        <w:tblLook w:val="0000" w:firstRow="0" w:lastRow="0" w:firstColumn="0" w:lastColumn="0" w:noHBand="0" w:noVBand="0"/>
      </w:tblPr>
      <w:tblGrid>
        <w:gridCol w:w="1350"/>
        <w:gridCol w:w="2502"/>
        <w:gridCol w:w="2808"/>
        <w:gridCol w:w="2880"/>
      </w:tblGrid>
      <w:tr w:rsidR="00A92422" w:rsidRPr="00D87B79" w:rsidTr="00EA30FC">
        <w:trPr>
          <w:trHeight w:val="477"/>
          <w:tblHeader/>
        </w:trPr>
        <w:tc>
          <w:tcPr>
            <w:tcW w:w="135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A92422" w:rsidRPr="00D87B79" w:rsidRDefault="00A92422" w:rsidP="00EA30FC">
            <w:pPr>
              <w:pStyle w:val="AppendixBodyText"/>
              <w:spacing w:after="0"/>
              <w:jc w:val="center"/>
              <w:rPr>
                <w:rFonts w:ascii="Tahoma" w:hAnsi="Tahoma" w:cs="Tahoma"/>
                <w:b/>
                <w:bCs/>
              </w:rPr>
            </w:pPr>
            <w:r w:rsidRPr="00D87B79">
              <w:rPr>
                <w:rFonts w:ascii="Tahoma" w:hAnsi="Tahoma" w:cs="Tahoma"/>
                <w:b/>
                <w:bCs/>
                <w:lang w:val="it-IT"/>
              </w:rPr>
              <w:t>Severity</w:t>
            </w:r>
          </w:p>
        </w:tc>
        <w:tc>
          <w:tcPr>
            <w:tcW w:w="250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A92422" w:rsidRPr="00D87B79" w:rsidRDefault="00A92422" w:rsidP="00EA30FC">
            <w:pPr>
              <w:pStyle w:val="AppendixBodyText"/>
              <w:spacing w:after="0"/>
              <w:jc w:val="center"/>
              <w:rPr>
                <w:rFonts w:ascii="Tahoma" w:hAnsi="Tahoma" w:cs="Tahoma"/>
                <w:b/>
                <w:bCs/>
              </w:rPr>
            </w:pPr>
            <w:r w:rsidRPr="00D87B79">
              <w:rPr>
                <w:rFonts w:ascii="Tahoma" w:hAnsi="Tahoma" w:cs="Tahoma"/>
                <w:b/>
                <w:bCs/>
                <w:lang w:val="it-IT"/>
              </w:rPr>
              <w:t>Situazione</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A92422" w:rsidRPr="00D87B79" w:rsidRDefault="00A92422" w:rsidP="00EA30FC">
            <w:pPr>
              <w:pStyle w:val="AppendixBodyText"/>
              <w:spacing w:after="0"/>
              <w:jc w:val="center"/>
              <w:rPr>
                <w:rFonts w:ascii="Tahoma" w:hAnsi="Tahoma" w:cs="Tahoma"/>
                <w:b/>
                <w:bCs/>
              </w:rPr>
            </w:pPr>
            <w:r w:rsidRPr="00D87B79">
              <w:rPr>
                <w:rFonts w:ascii="Tahoma" w:hAnsi="Tahoma" w:cs="Tahoma"/>
                <w:b/>
                <w:bCs/>
                <w:lang w:val="it-IT"/>
              </w:rPr>
              <w:t>Risposta Microsoft Prevista</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A92422" w:rsidRPr="00D87B79" w:rsidRDefault="00A92422" w:rsidP="00EA30FC">
            <w:pPr>
              <w:pStyle w:val="AppendixBodyText"/>
              <w:spacing w:after="0"/>
              <w:jc w:val="center"/>
              <w:rPr>
                <w:rFonts w:ascii="Tahoma" w:hAnsi="Tahoma" w:cs="Tahoma"/>
                <w:b/>
                <w:bCs/>
              </w:rPr>
            </w:pPr>
            <w:r w:rsidRPr="00D87B79">
              <w:rPr>
                <w:rFonts w:ascii="Tahoma" w:hAnsi="Tahoma" w:cs="Tahoma"/>
                <w:b/>
                <w:bCs/>
                <w:lang w:val="it-IT"/>
              </w:rPr>
              <w:t>Risposta della Società Prevista</w:t>
            </w:r>
          </w:p>
        </w:tc>
      </w:tr>
      <w:tr w:rsidR="00A92422" w:rsidRPr="00D87B79" w:rsidTr="00EA30FC">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A Formulazione telefonica</w:t>
            </w:r>
            <w:r w:rsidRPr="00D87B79">
              <w:rPr>
                <w:rFonts w:ascii="Tahoma" w:hAnsi="Tahoma" w:cs="Tahoma"/>
                <w:sz w:val="18"/>
                <w:szCs w:val="18"/>
              </w:rPr>
              <w:t xml:space="preserve"> </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rsidR="00A92422" w:rsidRPr="00D87B79" w:rsidRDefault="00A92422" w:rsidP="00EA30FC">
            <w:pPr>
              <w:pStyle w:val="AppendixBodyText"/>
              <w:numPr>
                <w:ilvl w:val="0"/>
                <w:numId w:val="12"/>
              </w:numPr>
              <w:tabs>
                <w:tab w:val="clear" w:pos="1440"/>
                <w:tab w:val="num" w:pos="612"/>
              </w:tabs>
              <w:ind w:left="612"/>
              <w:rPr>
                <w:rFonts w:ascii="Tahoma" w:hAnsi="Tahoma" w:cs="Tahoma"/>
              </w:rPr>
            </w:pPr>
            <w:r w:rsidRPr="00D87B79">
              <w:rPr>
                <w:rFonts w:ascii="Tahoma" w:hAnsi="Tahoma" w:cs="Tahoma"/>
                <w:sz w:val="18"/>
                <w:szCs w:val="18"/>
                <w:lang w:val="it-IT"/>
              </w:rPr>
              <w:t>Impatto commerciale critico</w:t>
            </w:r>
            <w:r w:rsidRPr="00D87B79">
              <w:rPr>
                <w:rFonts w:ascii="Tahoma" w:hAnsi="Tahoma" w:cs="Tahoma"/>
                <w:sz w:val="18"/>
                <w:szCs w:val="18"/>
              </w:rPr>
              <w:t xml:space="preserve"> </w:t>
            </w:r>
          </w:p>
          <w:p w:rsidR="00A92422" w:rsidRPr="00D87B79" w:rsidRDefault="00A92422" w:rsidP="00EA30FC">
            <w:pPr>
              <w:pStyle w:val="AppendixBodyText"/>
              <w:numPr>
                <w:ilvl w:val="0"/>
                <w:numId w:val="12"/>
              </w:numPr>
              <w:tabs>
                <w:tab w:val="clear" w:pos="1440"/>
                <w:tab w:val="num" w:pos="612"/>
              </w:tabs>
              <w:ind w:left="612"/>
              <w:rPr>
                <w:rFonts w:ascii="Tahoma" w:hAnsi="Tahoma" w:cs="Tahoma"/>
                <w:sz w:val="18"/>
                <w:szCs w:val="18"/>
              </w:rPr>
            </w:pPr>
            <w:r w:rsidRPr="00D87B79">
              <w:rPr>
                <w:rFonts w:ascii="Tahoma" w:hAnsi="Tahoma" w:cs="Tahoma"/>
                <w:sz w:val="18"/>
                <w:szCs w:val="18"/>
                <w:lang w:val="it-IT"/>
              </w:rPr>
              <w:t>Perdita o degradazione significativa dei servizi della società</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A92422" w:rsidRPr="00D87B79" w:rsidRDefault="00A92422" w:rsidP="00EA30FC">
            <w:pPr>
              <w:pStyle w:val="AppendixBodyText"/>
              <w:numPr>
                <w:ilvl w:val="0"/>
                <w:numId w:val="12"/>
              </w:numPr>
              <w:tabs>
                <w:tab w:val="clear" w:pos="1440"/>
                <w:tab w:val="num" w:pos="522"/>
              </w:tabs>
              <w:ind w:left="522"/>
              <w:rPr>
                <w:rFonts w:ascii="Tahoma" w:hAnsi="Tahoma" w:cs="Tahoma"/>
              </w:rPr>
            </w:pPr>
            <w:r w:rsidRPr="00D87B79">
              <w:rPr>
                <w:rFonts w:ascii="Tahoma" w:hAnsi="Tahoma" w:cs="Tahoma"/>
                <w:sz w:val="18"/>
                <w:lang w:val="it-IT"/>
              </w:rPr>
              <w:t xml:space="preserve">Risposta alla prima chiamata entro 2 ore lavorative, in base all’offerta di supporto </w:t>
            </w:r>
          </w:p>
          <w:p w:rsidR="00A92422" w:rsidRPr="00D87B79" w:rsidRDefault="00A92422" w:rsidP="00EA30FC">
            <w:pPr>
              <w:pStyle w:val="AppendixBodyText"/>
              <w:numPr>
                <w:ilvl w:val="0"/>
                <w:numId w:val="12"/>
              </w:numPr>
              <w:tabs>
                <w:tab w:val="clear" w:pos="1440"/>
                <w:tab w:val="num" w:pos="522"/>
              </w:tabs>
              <w:ind w:left="522"/>
              <w:rPr>
                <w:rFonts w:ascii="Tahoma" w:hAnsi="Tahoma" w:cs="Tahoma"/>
              </w:rPr>
            </w:pPr>
            <w:r w:rsidRPr="00D87B79">
              <w:rPr>
                <w:rFonts w:ascii="Tahoma" w:hAnsi="Tahoma" w:cs="Tahoma"/>
                <w:sz w:val="18"/>
                <w:lang w:val="it-IT"/>
              </w:rPr>
              <w:t>Risorse Microsoft presso la sede della società, come richiesto.</w:t>
            </w:r>
          </w:p>
          <w:p w:rsidR="00A92422" w:rsidRPr="00D87B79" w:rsidRDefault="00A92422" w:rsidP="00EA30FC">
            <w:pPr>
              <w:pStyle w:val="AppendixBodyText"/>
              <w:numPr>
                <w:ilvl w:val="0"/>
                <w:numId w:val="12"/>
              </w:numPr>
              <w:tabs>
                <w:tab w:val="clear" w:pos="1440"/>
                <w:tab w:val="num" w:pos="522"/>
              </w:tabs>
              <w:ind w:left="522"/>
              <w:rPr>
                <w:rFonts w:ascii="Tahoma" w:hAnsi="Tahoma" w:cs="Tahoma"/>
              </w:rPr>
            </w:pPr>
            <w:r w:rsidRPr="00D87B79">
              <w:rPr>
                <w:rFonts w:ascii="Tahoma" w:hAnsi="Tahoma" w:cs="Tahoma"/>
                <w:sz w:val="18"/>
                <w:lang w:val="it-IT"/>
              </w:rPr>
              <w:t>Impegno continuo 24x7</w:t>
            </w:r>
          </w:p>
          <w:p w:rsidR="00A92422" w:rsidRPr="00D87B79" w:rsidRDefault="00A92422" w:rsidP="00EA30FC">
            <w:pPr>
              <w:pStyle w:val="AppendixBodyText"/>
              <w:numPr>
                <w:ilvl w:val="0"/>
                <w:numId w:val="12"/>
              </w:numPr>
              <w:tabs>
                <w:tab w:val="clear" w:pos="1440"/>
                <w:tab w:val="num" w:pos="522"/>
              </w:tabs>
              <w:ind w:left="522"/>
              <w:rPr>
                <w:rFonts w:ascii="Tahoma" w:hAnsi="Tahoma" w:cs="Tahoma"/>
                <w:sz w:val="18"/>
                <w:szCs w:val="18"/>
              </w:rPr>
            </w:pPr>
            <w:r w:rsidRPr="00D87B79">
              <w:rPr>
                <w:rFonts w:ascii="Tahoma" w:hAnsi="Tahoma" w:cs="Tahoma"/>
                <w:sz w:val="18"/>
                <w:szCs w:val="18"/>
                <w:lang w:val="it-IT"/>
              </w:rPr>
              <w:t>Comunicazione del Senior Management di Microsoft, in base all’offerta di</w:t>
            </w:r>
            <w:r>
              <w:rPr>
                <w:rFonts w:ascii="Tahoma" w:hAnsi="Tahoma" w:cs="Tahoma"/>
                <w:sz w:val="18"/>
                <w:szCs w:val="18"/>
                <w:lang w:val="it-IT"/>
              </w:rPr>
              <w:t> </w:t>
            </w:r>
            <w:r w:rsidRPr="00D87B79">
              <w:rPr>
                <w:rFonts w:ascii="Tahoma" w:hAnsi="Tahoma" w:cs="Tahoma"/>
                <w:sz w:val="18"/>
                <w:szCs w:val="18"/>
                <w:lang w:val="it-IT"/>
              </w:rPr>
              <w:t>supporto</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A92422" w:rsidRPr="00D87B79" w:rsidRDefault="00A92422" w:rsidP="00EA30FC">
            <w:pPr>
              <w:pStyle w:val="AppendixBodyText"/>
              <w:numPr>
                <w:ilvl w:val="0"/>
                <w:numId w:val="12"/>
              </w:numPr>
              <w:tabs>
                <w:tab w:val="clear" w:pos="1440"/>
              </w:tabs>
              <w:ind w:left="432"/>
              <w:rPr>
                <w:rFonts w:ascii="Tahoma" w:hAnsi="Tahoma" w:cs="Tahoma"/>
              </w:rPr>
            </w:pPr>
            <w:r w:rsidRPr="00D87B79">
              <w:rPr>
                <w:rFonts w:ascii="Tahoma" w:hAnsi="Tahoma" w:cs="Tahoma"/>
                <w:sz w:val="18"/>
                <w:lang w:val="it-IT"/>
              </w:rPr>
              <w:t>Allocazione delle risorse appropriate per sostenere l’impegno continuo 24x7</w:t>
            </w:r>
            <w:r w:rsidRPr="00D167D0">
              <w:rPr>
                <w:rFonts w:ascii="Tahoma" w:hAnsi="Tahoma" w:cs="Tahoma"/>
                <w:sz w:val="18"/>
                <w:vertAlign w:val="superscript"/>
                <w:lang w:val="it-IT"/>
              </w:rPr>
              <w:t>2</w:t>
            </w:r>
          </w:p>
          <w:p w:rsidR="00A92422" w:rsidRPr="00D87B79" w:rsidRDefault="00A92422" w:rsidP="00EA30FC">
            <w:pPr>
              <w:pStyle w:val="AppendixBodyText"/>
              <w:numPr>
                <w:ilvl w:val="0"/>
                <w:numId w:val="12"/>
              </w:numPr>
              <w:tabs>
                <w:tab w:val="clear" w:pos="1440"/>
              </w:tabs>
              <w:ind w:left="432"/>
              <w:rPr>
                <w:rFonts w:ascii="Tahoma" w:hAnsi="Tahoma" w:cs="Tahoma"/>
              </w:rPr>
            </w:pPr>
            <w:r w:rsidRPr="00D87B79">
              <w:rPr>
                <w:rFonts w:ascii="Tahoma" w:hAnsi="Tahoma" w:cs="Tahoma"/>
                <w:sz w:val="18"/>
                <w:lang w:val="it-IT"/>
              </w:rPr>
              <w:t>Accesso e risposte rapide dall’autorità di controllo delle modifiche</w:t>
            </w:r>
          </w:p>
          <w:p w:rsidR="00A92422" w:rsidRPr="00D87B79" w:rsidRDefault="00A92422" w:rsidP="00EA30FC">
            <w:pPr>
              <w:pStyle w:val="AppendixBodyText"/>
              <w:numPr>
                <w:ilvl w:val="0"/>
                <w:numId w:val="12"/>
              </w:numPr>
              <w:tabs>
                <w:tab w:val="clear" w:pos="1440"/>
              </w:tabs>
              <w:ind w:left="432"/>
              <w:rPr>
                <w:rFonts w:ascii="Tahoma" w:hAnsi="Tahoma" w:cs="Tahoma"/>
                <w:sz w:val="18"/>
                <w:szCs w:val="18"/>
              </w:rPr>
            </w:pPr>
            <w:r w:rsidRPr="00D87B79">
              <w:rPr>
                <w:rFonts w:ascii="Tahoma" w:hAnsi="Tahoma" w:cs="Tahoma"/>
                <w:sz w:val="18"/>
                <w:szCs w:val="18"/>
                <w:lang w:val="it-IT"/>
              </w:rPr>
              <w:t>Comunicazione della</w:t>
            </w:r>
            <w:r>
              <w:rPr>
                <w:rFonts w:ascii="Tahoma" w:hAnsi="Tahoma" w:cs="Tahoma"/>
                <w:sz w:val="18"/>
                <w:szCs w:val="18"/>
                <w:lang w:val="it-IT"/>
              </w:rPr>
              <w:t> </w:t>
            </w:r>
            <w:r w:rsidRPr="00D87B79">
              <w:rPr>
                <w:rFonts w:ascii="Tahoma" w:hAnsi="Tahoma" w:cs="Tahoma"/>
                <w:sz w:val="18"/>
                <w:szCs w:val="18"/>
                <w:lang w:val="it-IT"/>
              </w:rPr>
              <w:t>direzione</w:t>
            </w:r>
          </w:p>
        </w:tc>
      </w:tr>
      <w:tr w:rsidR="00A92422" w:rsidRPr="00D87B79" w:rsidTr="00EA30FC">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B Formulazione telefonica</w:t>
            </w:r>
            <w:r w:rsidRPr="00D87B79">
              <w:rPr>
                <w:rFonts w:ascii="Tahoma" w:hAnsi="Tahoma" w:cs="Tahoma"/>
                <w:sz w:val="18"/>
                <w:szCs w:val="18"/>
              </w:rPr>
              <w:t xml:space="preserve"> </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rsidR="00A92422" w:rsidRPr="00D87B79" w:rsidRDefault="00A92422" w:rsidP="00EA30FC">
            <w:pPr>
              <w:pStyle w:val="AppendixBodyText"/>
              <w:numPr>
                <w:ilvl w:val="0"/>
                <w:numId w:val="12"/>
              </w:numPr>
              <w:tabs>
                <w:tab w:val="clear" w:pos="1440"/>
                <w:tab w:val="num" w:pos="612"/>
              </w:tabs>
              <w:ind w:left="612"/>
              <w:rPr>
                <w:rFonts w:ascii="Tahoma" w:hAnsi="Tahoma" w:cs="Tahoma"/>
              </w:rPr>
            </w:pPr>
            <w:r w:rsidRPr="00D87B79">
              <w:rPr>
                <w:rFonts w:ascii="Tahoma" w:hAnsi="Tahoma" w:cs="Tahoma"/>
                <w:sz w:val="18"/>
                <w:lang w:val="it-IT"/>
              </w:rPr>
              <w:t>Impatto commerciale moderato:</w:t>
            </w:r>
            <w:r w:rsidRPr="00D87B79">
              <w:rPr>
                <w:rFonts w:ascii="Tahoma" w:hAnsi="Tahoma" w:cs="Tahoma"/>
                <w:sz w:val="18"/>
                <w:szCs w:val="18"/>
              </w:rPr>
              <w:t xml:space="preserve"> </w:t>
            </w:r>
          </w:p>
          <w:p w:rsidR="00A92422" w:rsidRPr="00D87B79" w:rsidRDefault="00A92422" w:rsidP="00EA30FC">
            <w:pPr>
              <w:pStyle w:val="AppendixBodyText"/>
              <w:numPr>
                <w:ilvl w:val="0"/>
                <w:numId w:val="12"/>
              </w:numPr>
              <w:tabs>
                <w:tab w:val="clear" w:pos="1440"/>
                <w:tab w:val="num" w:pos="612"/>
              </w:tabs>
              <w:ind w:left="612"/>
              <w:rPr>
                <w:rFonts w:ascii="Tahoma" w:hAnsi="Tahoma" w:cs="Tahoma"/>
                <w:sz w:val="18"/>
                <w:szCs w:val="18"/>
              </w:rPr>
            </w:pPr>
            <w:r w:rsidRPr="00D87B79">
              <w:rPr>
                <w:rFonts w:ascii="Tahoma" w:hAnsi="Tahoma" w:cs="Tahoma"/>
                <w:sz w:val="18"/>
                <w:szCs w:val="18"/>
                <w:lang w:val="it-IT"/>
              </w:rPr>
              <w:t>Perdita o degradazione moderata dei servizi</w:t>
            </w:r>
            <w:r>
              <w:rPr>
                <w:rFonts w:ascii="Tahoma" w:hAnsi="Tahoma" w:cs="Tahoma"/>
                <w:sz w:val="18"/>
                <w:szCs w:val="18"/>
                <w:lang w:val="it-IT"/>
              </w:rPr>
              <w:t> </w:t>
            </w:r>
            <w:r w:rsidRPr="00D87B79">
              <w:rPr>
                <w:rFonts w:ascii="Tahoma" w:hAnsi="Tahoma" w:cs="Tahoma"/>
                <w:sz w:val="18"/>
                <w:szCs w:val="18"/>
                <w:lang w:val="it-IT"/>
              </w:rPr>
              <w:t>della società e possibilità di continuare il lavoro in modo meno efficiente.</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A92422" w:rsidRPr="00D87B79" w:rsidRDefault="00A92422" w:rsidP="00EA30FC">
            <w:pPr>
              <w:pStyle w:val="AppendixBodyText"/>
              <w:numPr>
                <w:ilvl w:val="0"/>
                <w:numId w:val="12"/>
              </w:numPr>
              <w:tabs>
                <w:tab w:val="num" w:pos="522"/>
              </w:tabs>
              <w:ind w:left="522"/>
              <w:rPr>
                <w:rFonts w:ascii="Tahoma" w:hAnsi="Tahoma" w:cs="Tahoma"/>
              </w:rPr>
            </w:pPr>
            <w:r w:rsidRPr="00D87B79">
              <w:rPr>
                <w:rFonts w:ascii="Tahoma" w:hAnsi="Tahoma" w:cs="Tahoma"/>
                <w:sz w:val="18"/>
                <w:lang w:val="it-IT"/>
              </w:rPr>
              <w:t xml:space="preserve">Risposta alla prima chiamata entro 4 ore lavorative, in base all’offerta di supporto </w:t>
            </w:r>
          </w:p>
          <w:p w:rsidR="00A92422" w:rsidRPr="00D87B79" w:rsidRDefault="00A92422" w:rsidP="00EA30FC">
            <w:pPr>
              <w:pStyle w:val="AppendixBodyText"/>
              <w:numPr>
                <w:ilvl w:val="0"/>
                <w:numId w:val="12"/>
              </w:numPr>
              <w:tabs>
                <w:tab w:val="num" w:pos="522"/>
              </w:tabs>
              <w:ind w:left="522"/>
              <w:rPr>
                <w:rFonts w:ascii="Tahoma" w:hAnsi="Tahoma" w:cs="Tahoma"/>
              </w:rPr>
            </w:pPr>
            <w:r w:rsidRPr="00D87B79">
              <w:rPr>
                <w:rFonts w:ascii="Tahoma" w:hAnsi="Tahoma" w:cs="Tahoma"/>
                <w:sz w:val="18"/>
                <w:lang w:val="it-IT"/>
              </w:rPr>
              <w:t>Impegno solo durante le</w:t>
            </w:r>
            <w:r>
              <w:rPr>
                <w:rFonts w:ascii="Tahoma" w:hAnsi="Tahoma" w:cs="Tahoma"/>
                <w:sz w:val="18"/>
                <w:lang w:val="it-IT"/>
              </w:rPr>
              <w:t> </w:t>
            </w:r>
            <w:r w:rsidRPr="00D87B79">
              <w:rPr>
                <w:rFonts w:ascii="Tahoma" w:hAnsi="Tahoma" w:cs="Tahoma"/>
                <w:sz w:val="18"/>
                <w:lang w:val="it-IT"/>
              </w:rPr>
              <w:t>Ore Lavorative</w:t>
            </w:r>
            <w:r w:rsidRPr="00D87B79">
              <w:rPr>
                <w:rFonts w:ascii="Tahoma" w:hAnsi="Tahoma" w:cs="Tahoma"/>
                <w:sz w:val="18"/>
                <w:vertAlign w:val="superscript"/>
                <w:lang w:val="it-IT"/>
              </w:rPr>
              <w:t>1</w:t>
            </w:r>
          </w:p>
          <w:p w:rsidR="00A92422" w:rsidRPr="00D87B79" w:rsidRDefault="00A92422" w:rsidP="00EA30FC">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A92422" w:rsidRPr="00D87B79" w:rsidRDefault="00A92422" w:rsidP="00EA30FC">
            <w:pPr>
              <w:pStyle w:val="AppendixBodyText"/>
              <w:numPr>
                <w:ilvl w:val="0"/>
                <w:numId w:val="12"/>
              </w:numPr>
              <w:tabs>
                <w:tab w:val="clear" w:pos="1440"/>
                <w:tab w:val="num" w:pos="432"/>
              </w:tabs>
              <w:ind w:left="432" w:hanging="270"/>
              <w:rPr>
                <w:rFonts w:ascii="Tahoma" w:hAnsi="Tahoma" w:cs="Tahoma"/>
              </w:rPr>
            </w:pPr>
            <w:r w:rsidRPr="00D87B79">
              <w:rPr>
                <w:rFonts w:ascii="Tahoma" w:hAnsi="Tahoma" w:cs="Tahoma"/>
                <w:sz w:val="18"/>
                <w:lang w:val="it-IT"/>
              </w:rPr>
              <w:t>Allocazione di risorse appropriate per sostenere l’impegno continuo durante le Ore Lavorative</w:t>
            </w:r>
          </w:p>
          <w:p w:rsidR="00A92422" w:rsidRPr="00D87B79" w:rsidRDefault="00A92422" w:rsidP="00EA30FC">
            <w:pPr>
              <w:pStyle w:val="AppendixBodyText"/>
              <w:numPr>
                <w:ilvl w:val="0"/>
                <w:numId w:val="12"/>
              </w:numPr>
              <w:tabs>
                <w:tab w:val="clear" w:pos="1440"/>
                <w:tab w:val="num" w:pos="432"/>
              </w:tabs>
              <w:ind w:left="432" w:hanging="270"/>
              <w:rPr>
                <w:rFonts w:ascii="Tahoma" w:hAnsi="Tahoma" w:cs="Tahoma"/>
                <w:sz w:val="18"/>
                <w:szCs w:val="18"/>
              </w:rPr>
            </w:pPr>
            <w:r w:rsidRPr="00D87B79">
              <w:rPr>
                <w:rFonts w:ascii="Tahoma" w:hAnsi="Tahoma" w:cs="Tahoma"/>
                <w:sz w:val="18"/>
                <w:szCs w:val="18"/>
                <w:lang w:val="it-IT"/>
              </w:rPr>
              <w:t>Accesso e risposta dall’autorità preposta al controllo delle modifiche entro 4 Ore Lavorative</w:t>
            </w:r>
          </w:p>
        </w:tc>
      </w:tr>
      <w:tr w:rsidR="00A92422" w:rsidRPr="00D87B79" w:rsidTr="00EA30FC">
        <w:trPr>
          <w:cantSplit/>
        </w:trPr>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C Formulazione telefonica o</w:t>
            </w:r>
            <w:r>
              <w:rPr>
                <w:rFonts w:ascii="Tahoma" w:hAnsi="Tahoma" w:cs="Tahoma"/>
                <w:sz w:val="18"/>
                <w:szCs w:val="18"/>
                <w:lang w:val="it-IT"/>
              </w:rPr>
              <w:t> </w:t>
            </w:r>
            <w:r w:rsidRPr="00D87B79">
              <w:rPr>
                <w:rFonts w:ascii="Tahoma" w:hAnsi="Tahoma" w:cs="Tahoma"/>
                <w:sz w:val="18"/>
                <w:szCs w:val="18"/>
                <w:lang w:val="it-IT"/>
              </w:rPr>
              <w:t>invio tramite Web</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rsidR="00A92422" w:rsidRPr="00D87B79" w:rsidRDefault="00A92422" w:rsidP="00EA30FC">
            <w:pPr>
              <w:pStyle w:val="AppendixBodyText"/>
              <w:numPr>
                <w:ilvl w:val="0"/>
                <w:numId w:val="12"/>
              </w:numPr>
              <w:tabs>
                <w:tab w:val="clear" w:pos="1440"/>
                <w:tab w:val="num" w:pos="612"/>
              </w:tabs>
              <w:ind w:left="612"/>
              <w:rPr>
                <w:rFonts w:ascii="Tahoma" w:hAnsi="Tahoma" w:cs="Tahoma"/>
              </w:rPr>
            </w:pPr>
            <w:r w:rsidRPr="00D87B79">
              <w:rPr>
                <w:rFonts w:ascii="Tahoma" w:hAnsi="Tahoma" w:cs="Tahoma"/>
                <w:sz w:val="18"/>
                <w:szCs w:val="18"/>
                <w:lang w:val="it-IT"/>
              </w:rPr>
              <w:t>Impatto commerciale minimo</w:t>
            </w:r>
            <w:r w:rsidRPr="00D87B79">
              <w:rPr>
                <w:rFonts w:ascii="Tahoma" w:hAnsi="Tahoma" w:cs="Tahoma"/>
                <w:sz w:val="18"/>
                <w:szCs w:val="18"/>
              </w:rPr>
              <w:t xml:space="preserve"> </w:t>
            </w:r>
          </w:p>
          <w:p w:rsidR="00A92422" w:rsidRPr="00D87B79" w:rsidRDefault="00A92422" w:rsidP="00EA30FC">
            <w:pPr>
              <w:pStyle w:val="AppendixBodyText"/>
              <w:numPr>
                <w:ilvl w:val="0"/>
                <w:numId w:val="12"/>
              </w:numPr>
              <w:tabs>
                <w:tab w:val="clear" w:pos="1440"/>
                <w:tab w:val="num" w:pos="612"/>
              </w:tabs>
              <w:ind w:left="612"/>
              <w:rPr>
                <w:rFonts w:ascii="Tahoma" w:hAnsi="Tahoma" w:cs="Tahoma"/>
                <w:sz w:val="18"/>
                <w:szCs w:val="18"/>
              </w:rPr>
            </w:pPr>
            <w:r w:rsidRPr="00D87B79">
              <w:rPr>
                <w:rFonts w:ascii="Tahoma" w:hAnsi="Tahoma" w:cs="Tahoma"/>
                <w:sz w:val="18"/>
                <w:szCs w:val="18"/>
                <w:lang w:val="it-IT"/>
              </w:rPr>
              <w:t>Funzionamento della società sostanzialmente nella norma, in alcuni casi con qualche minimo impedimento dei</w:t>
            </w:r>
            <w:r>
              <w:rPr>
                <w:rFonts w:ascii="Tahoma" w:hAnsi="Tahoma" w:cs="Tahoma"/>
                <w:sz w:val="18"/>
                <w:szCs w:val="18"/>
                <w:lang w:val="it-IT"/>
              </w:rPr>
              <w:t> </w:t>
            </w:r>
            <w:r w:rsidRPr="00D87B79">
              <w:rPr>
                <w:rFonts w:ascii="Tahoma" w:hAnsi="Tahoma" w:cs="Tahoma"/>
                <w:sz w:val="18"/>
                <w:szCs w:val="18"/>
                <w:lang w:val="it-IT"/>
              </w:rPr>
              <w:t>servizi.</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A92422" w:rsidRPr="00D87B79" w:rsidRDefault="00A92422" w:rsidP="00EA30FC">
            <w:pPr>
              <w:pStyle w:val="AppendixBodyText"/>
              <w:numPr>
                <w:ilvl w:val="0"/>
                <w:numId w:val="12"/>
              </w:numPr>
              <w:tabs>
                <w:tab w:val="num" w:pos="522"/>
              </w:tabs>
              <w:ind w:left="522"/>
              <w:rPr>
                <w:rFonts w:ascii="Tahoma" w:hAnsi="Tahoma" w:cs="Tahoma"/>
              </w:rPr>
            </w:pPr>
            <w:r w:rsidRPr="00D87B79">
              <w:rPr>
                <w:rFonts w:ascii="Tahoma" w:hAnsi="Tahoma" w:cs="Tahoma"/>
                <w:sz w:val="18"/>
                <w:lang w:val="it-IT"/>
              </w:rPr>
              <w:t xml:space="preserve">Risposta alla prima chiamata entro 1 giorno lavorativo, in base all’offerta di supporto </w:t>
            </w:r>
          </w:p>
          <w:p w:rsidR="00A92422" w:rsidRPr="00D87B79" w:rsidRDefault="00A92422" w:rsidP="00EA30FC">
            <w:pPr>
              <w:pStyle w:val="AppendixBodyText"/>
              <w:numPr>
                <w:ilvl w:val="0"/>
                <w:numId w:val="12"/>
              </w:numPr>
              <w:tabs>
                <w:tab w:val="num" w:pos="522"/>
              </w:tabs>
              <w:ind w:left="522"/>
              <w:rPr>
                <w:rFonts w:ascii="Tahoma" w:hAnsi="Tahoma" w:cs="Tahoma"/>
              </w:rPr>
            </w:pPr>
            <w:r w:rsidRPr="00D87B79">
              <w:rPr>
                <w:rFonts w:ascii="Tahoma" w:hAnsi="Tahoma" w:cs="Tahoma"/>
                <w:sz w:val="18"/>
                <w:lang w:val="it-IT"/>
              </w:rPr>
              <w:t>Impegno solo durante le</w:t>
            </w:r>
            <w:r>
              <w:rPr>
                <w:rFonts w:ascii="Tahoma" w:hAnsi="Tahoma" w:cs="Tahoma"/>
                <w:sz w:val="18"/>
                <w:lang w:val="it-IT"/>
              </w:rPr>
              <w:t> </w:t>
            </w:r>
            <w:r w:rsidRPr="00D87B79">
              <w:rPr>
                <w:rFonts w:ascii="Tahoma" w:hAnsi="Tahoma" w:cs="Tahoma"/>
                <w:sz w:val="18"/>
                <w:lang w:val="it-IT"/>
              </w:rPr>
              <w:t>Ore Lavorative</w:t>
            </w:r>
          </w:p>
          <w:p w:rsidR="00A92422" w:rsidRPr="00D87B79" w:rsidRDefault="00A92422" w:rsidP="00EA30FC">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A92422" w:rsidRPr="00D87B79" w:rsidRDefault="00A92422" w:rsidP="00EA30FC">
            <w:pPr>
              <w:pStyle w:val="AppendixBodyText"/>
              <w:numPr>
                <w:ilvl w:val="0"/>
                <w:numId w:val="12"/>
              </w:numPr>
              <w:tabs>
                <w:tab w:val="clear" w:pos="1440"/>
                <w:tab w:val="num" w:pos="432"/>
              </w:tabs>
              <w:ind w:left="432"/>
              <w:rPr>
                <w:rFonts w:ascii="Tahoma" w:hAnsi="Tahoma" w:cs="Tahoma"/>
              </w:rPr>
            </w:pPr>
            <w:r w:rsidRPr="00D87B79">
              <w:rPr>
                <w:rFonts w:ascii="Tahoma" w:hAnsi="Tahoma" w:cs="Tahoma"/>
                <w:sz w:val="18"/>
                <w:lang w:val="it-IT"/>
              </w:rPr>
              <w:t>Informazioni accurate da parte di chi segue il caso</w:t>
            </w:r>
          </w:p>
          <w:p w:rsidR="00A92422" w:rsidRPr="00D87B79" w:rsidRDefault="00A92422" w:rsidP="00EA30FC">
            <w:pPr>
              <w:pStyle w:val="AppendixBodyText"/>
              <w:numPr>
                <w:ilvl w:val="0"/>
                <w:numId w:val="12"/>
              </w:numPr>
              <w:tabs>
                <w:tab w:val="clear" w:pos="1440"/>
                <w:tab w:val="num" w:pos="432"/>
              </w:tabs>
              <w:ind w:left="432"/>
              <w:rPr>
                <w:rFonts w:ascii="Tahoma" w:hAnsi="Tahoma" w:cs="Tahoma"/>
                <w:sz w:val="18"/>
                <w:szCs w:val="18"/>
              </w:rPr>
            </w:pPr>
            <w:r w:rsidRPr="00D87B79">
              <w:rPr>
                <w:rFonts w:ascii="Tahoma" w:hAnsi="Tahoma" w:cs="Tahoma"/>
                <w:sz w:val="18"/>
                <w:szCs w:val="18"/>
                <w:lang w:val="it-IT"/>
              </w:rPr>
              <w:t>Risposta entro 1 giorno lavorativo.</w:t>
            </w:r>
          </w:p>
        </w:tc>
      </w:tr>
    </w:tbl>
    <w:p w:rsidR="00A92422" w:rsidRPr="00D87B79" w:rsidRDefault="00A92422" w:rsidP="00A92422">
      <w:pPr>
        <w:pStyle w:val="AppendixBodyText"/>
        <w:ind w:left="90" w:right="2160"/>
        <w:rPr>
          <w:rFonts w:ascii="Tahoma" w:hAnsi="Tahoma" w:cs="Tahoma"/>
        </w:rPr>
      </w:pPr>
      <w:r w:rsidRPr="00D167D0">
        <w:rPr>
          <w:rFonts w:ascii="Tahoma" w:hAnsi="Tahoma" w:cs="Tahoma"/>
          <w:i/>
          <w:sz w:val="16"/>
          <w:vertAlign w:val="superscript"/>
          <w:lang w:val="it-IT"/>
        </w:rPr>
        <w:t>1</w:t>
      </w:r>
      <w:r w:rsidRPr="00D87B79">
        <w:rPr>
          <w:rFonts w:ascii="Tahoma" w:hAnsi="Tahoma" w:cs="Tahoma"/>
          <w:i/>
          <w:sz w:val="16"/>
          <w:lang w:val="it-IT"/>
        </w:rPr>
        <w:t xml:space="preserve"> Contattare il rappresentante Microsoft per informazioni sulle ore lavorative locali.</w:t>
      </w:r>
    </w:p>
    <w:p w:rsidR="00A92422" w:rsidRPr="00D87B79" w:rsidRDefault="00A92422" w:rsidP="00A92422">
      <w:pPr>
        <w:pStyle w:val="AppendixBodyText"/>
        <w:ind w:left="90" w:right="2160"/>
        <w:rPr>
          <w:rFonts w:ascii="Tahoma" w:hAnsi="Tahoma" w:cs="Tahoma"/>
        </w:rPr>
      </w:pPr>
      <w:r w:rsidRPr="00D167D0">
        <w:rPr>
          <w:rFonts w:ascii="Tahoma" w:hAnsi="Tahoma" w:cs="Tahoma"/>
          <w:i/>
          <w:sz w:val="16"/>
          <w:vertAlign w:val="superscript"/>
          <w:lang w:val="it-IT"/>
        </w:rPr>
        <w:t>2</w:t>
      </w:r>
      <w:r w:rsidRPr="00D87B79">
        <w:rPr>
          <w:rFonts w:ascii="Tahoma" w:hAnsi="Tahoma" w:cs="Tahoma"/>
          <w:i/>
          <w:sz w:val="16"/>
          <w:lang w:val="it-IT"/>
        </w:rPr>
        <w:t xml:space="preserve"> È possibile che Microsoft riduca il livello di gravità se la società non è in grado di fornire risorse o</w:t>
      </w:r>
      <w:r>
        <w:rPr>
          <w:rFonts w:ascii="Tahoma" w:hAnsi="Tahoma" w:cs="Tahoma"/>
          <w:i/>
          <w:sz w:val="16"/>
          <w:lang w:val="it-IT"/>
        </w:rPr>
        <w:t> </w:t>
      </w:r>
      <w:r w:rsidRPr="00D87B79">
        <w:rPr>
          <w:rFonts w:ascii="Tahoma" w:hAnsi="Tahoma" w:cs="Tahoma"/>
          <w:i/>
          <w:sz w:val="16"/>
          <w:lang w:val="it-IT"/>
        </w:rPr>
        <w:t>risposte adeguate a supporto dell’impegno di Microsoft volto a risolvere il problema.</w:t>
      </w:r>
    </w:p>
    <w:p w:rsidR="00A92422" w:rsidRPr="002C4D35" w:rsidRDefault="00A92422" w:rsidP="00A92422">
      <w:pPr>
        <w:pStyle w:val="AppendixBodyText"/>
        <w:spacing w:after="0"/>
        <w:ind w:right="2160"/>
        <w:rPr>
          <w:rFonts w:ascii="Tahoma" w:hAnsi="Tahoma" w:cs="Tahoma"/>
          <w:sz w:val="18"/>
          <w:szCs w:val="18"/>
        </w:rPr>
      </w:pPr>
    </w:p>
    <w:p w:rsidR="00A92422" w:rsidRPr="002C4D35" w:rsidRDefault="00A92422" w:rsidP="00A92422">
      <w:pPr>
        <w:pStyle w:val="AppendixBodyText"/>
        <w:spacing w:after="0"/>
        <w:rPr>
          <w:rFonts w:ascii="Tahoma" w:hAnsi="Tahoma" w:cs="Tahoma"/>
          <w:sz w:val="18"/>
          <w:szCs w:val="18"/>
        </w:rPr>
      </w:pPr>
      <w:r w:rsidRPr="002C4D35">
        <w:rPr>
          <w:rFonts w:ascii="Tahoma" w:hAnsi="Tahoma" w:cs="Tahoma"/>
          <w:bCs/>
          <w:sz w:val="18"/>
          <w:szCs w:val="18"/>
          <w:lang w:val="it-IT"/>
        </w:rPr>
        <w:t>È possibile che alle società sia chiesto di eseguire attività di individuazione e risoluzione dei problemi, in base a quanto richiesto da Microsoft. Le attività di individuazione e risoluzione dei problemi possono includere attività quali l’esecuzione di procedure di network trace, l’acquisizione di messaggi di errore, la raccolta di informazioni sulla configurazione, la modifica della configurazione dei prodotti, l’installazione di nuove versioni del software o nuovi componenti oppure la modifica dei processi.</w:t>
      </w:r>
      <w:r w:rsidRPr="002C4D35">
        <w:rPr>
          <w:rFonts w:ascii="Tahoma" w:hAnsi="Tahoma" w:cs="Tahoma"/>
          <w:bCs/>
          <w:sz w:val="18"/>
          <w:szCs w:val="18"/>
        </w:rPr>
        <w:t xml:space="preserve"> </w:t>
      </w:r>
    </w:p>
    <w:p w:rsidR="00A92422" w:rsidRPr="00D87B79" w:rsidRDefault="00A92422" w:rsidP="00A92422">
      <w:pPr>
        <w:pStyle w:val="AppendixBodyText"/>
        <w:spacing w:after="0"/>
        <w:rPr>
          <w:rFonts w:ascii="Tahoma" w:hAnsi="Tahoma" w:cs="Tahoma"/>
        </w:rPr>
      </w:pPr>
      <w:r w:rsidRPr="00D87B79">
        <w:rPr>
          <w:rFonts w:ascii="Tahoma" w:hAnsi="Tahoma" w:cs="Tahoma"/>
          <w:sz w:val="18"/>
          <w:lang w:val="it-IT"/>
        </w:rPr>
        <w:t>Le società sono responsabili dell’implementazione delle procedure necessarie per salvaguardare l’integrità e la protezione del software e dei dati di loro proprietà da accessi non autorizzati, nonché del ripristino di file perduti o</w:t>
      </w:r>
      <w:r>
        <w:rPr>
          <w:rFonts w:ascii="Tahoma" w:hAnsi="Tahoma" w:cs="Tahoma"/>
          <w:sz w:val="18"/>
          <w:lang w:val="it-IT"/>
        </w:rPr>
        <w:t> </w:t>
      </w:r>
      <w:r w:rsidRPr="00D87B79">
        <w:rPr>
          <w:rFonts w:ascii="Tahoma" w:hAnsi="Tahoma" w:cs="Tahoma"/>
          <w:sz w:val="18"/>
          <w:lang w:val="it-IT"/>
        </w:rPr>
        <w:t>alterati in seguito a errori irreversibili.</w:t>
      </w:r>
    </w:p>
    <w:p w:rsidR="00A92422" w:rsidRPr="00065CE5" w:rsidRDefault="00A92422" w:rsidP="00A92422">
      <w:pPr>
        <w:pStyle w:val="AppendixBodyText"/>
        <w:spacing w:after="0"/>
        <w:rPr>
          <w:rFonts w:ascii="Tahoma" w:hAnsi="Tahoma" w:cs="Tahoma"/>
          <w:sz w:val="18"/>
          <w:szCs w:val="18"/>
        </w:rPr>
      </w:pPr>
    </w:p>
    <w:p w:rsidR="00A92422" w:rsidRPr="00D87B79" w:rsidRDefault="00A92422" w:rsidP="00A92422">
      <w:pPr>
        <w:pStyle w:val="AppendixBodyText"/>
        <w:spacing w:after="0"/>
        <w:rPr>
          <w:rFonts w:ascii="Tahoma" w:hAnsi="Tahoma" w:cs="Tahoma"/>
        </w:rPr>
      </w:pPr>
      <w:r w:rsidRPr="00D87B79">
        <w:rPr>
          <w:rFonts w:ascii="Tahoma" w:hAnsi="Tahoma" w:cs="Tahoma"/>
          <w:bCs/>
          <w:sz w:val="18"/>
          <w:szCs w:val="18"/>
          <w:lang w:val="it-IT"/>
        </w:rPr>
        <w:t>Questo beneficio di supporto è legato all’investimento SA, non alla versione.</w:t>
      </w:r>
      <w:r w:rsidRPr="00D87B79">
        <w:rPr>
          <w:rFonts w:ascii="Tahoma" w:hAnsi="Tahoma" w:cs="Tahoma"/>
        </w:rPr>
        <w:t xml:space="preserve"> </w:t>
      </w:r>
      <w:r w:rsidRPr="00D87B79">
        <w:rPr>
          <w:rFonts w:ascii="Tahoma" w:hAnsi="Tahoma" w:cs="Tahoma"/>
          <w:sz w:val="18"/>
          <w:lang w:val="it-IT"/>
        </w:rPr>
        <w:t>Le società possono acquistare la versione più recente per utilizzare una versione precedente con diritti di downgrade, ma sono idonee a beneficiare del supporto per tale prodotto soltanto se quest'ultimo rientra tra i prodotti supportati indicati nel sito Web per il ciclo</w:t>
      </w:r>
      <w:r>
        <w:rPr>
          <w:rFonts w:ascii="Tahoma" w:hAnsi="Tahoma" w:cs="Tahoma"/>
          <w:sz w:val="18"/>
          <w:lang w:val="it-IT"/>
        </w:rPr>
        <w:t> </w:t>
      </w:r>
      <w:r w:rsidRPr="00D87B79">
        <w:rPr>
          <w:rFonts w:ascii="Tahoma" w:hAnsi="Tahoma" w:cs="Tahoma"/>
          <w:sz w:val="18"/>
          <w:lang w:val="it-IT"/>
        </w:rPr>
        <w:t xml:space="preserve">di vita dei prodotti Microsoft. L'attuale sito Web per il ciclo di vita dei prodotti Microsoft è consultabile all'indirizzo </w:t>
      </w:r>
      <w:hyperlink r:id="rId21" w:history="1">
        <w:r w:rsidRPr="00D87B79">
          <w:rPr>
            <w:rStyle w:val="Hyperlink"/>
            <w:rFonts w:ascii="Tahoma" w:hAnsi="Tahoma" w:cs="Tahoma"/>
            <w:sz w:val="18"/>
            <w:lang w:val="it-IT"/>
          </w:rPr>
          <w:t>http://support.microsoft.com/common/international.aspx?rdpath=dm;en-us;lifecycle</w:t>
        </w:r>
      </w:hyperlink>
      <w:r w:rsidRPr="00D87B79">
        <w:rPr>
          <w:rFonts w:ascii="Tahoma" w:hAnsi="Tahoma" w:cs="Tahoma"/>
          <w:sz w:val="18"/>
          <w:lang w:val="it-IT"/>
        </w:rPr>
        <w:t>.</w:t>
      </w:r>
      <w:r w:rsidRPr="00D87B79">
        <w:rPr>
          <w:rFonts w:ascii="Tahoma" w:hAnsi="Tahoma" w:cs="Tahoma"/>
        </w:rPr>
        <w:t xml:space="preserve"> </w:t>
      </w:r>
    </w:p>
    <w:p w:rsidR="00A92422" w:rsidRPr="00065CE5" w:rsidRDefault="00A92422" w:rsidP="00A92422">
      <w:pPr>
        <w:pStyle w:val="AppendixBodyText"/>
        <w:spacing w:after="0"/>
        <w:rPr>
          <w:rFonts w:ascii="Tahoma" w:hAnsi="Tahoma" w:cs="Tahoma"/>
          <w:sz w:val="18"/>
          <w:szCs w:val="18"/>
        </w:rPr>
      </w:pPr>
    </w:p>
    <w:p w:rsidR="00A92422" w:rsidRPr="00D87B79" w:rsidRDefault="00A92422" w:rsidP="00A92422">
      <w:pPr>
        <w:pStyle w:val="AppendixBodyText"/>
        <w:spacing w:after="0"/>
        <w:rPr>
          <w:rFonts w:ascii="Tahoma" w:hAnsi="Tahoma" w:cs="Tahoma"/>
        </w:rPr>
      </w:pPr>
      <w:r w:rsidRPr="00D87B79">
        <w:rPr>
          <w:rFonts w:ascii="Tahoma" w:hAnsi="Tahoma" w:cs="Tahoma"/>
          <w:b/>
          <w:color w:val="000000"/>
          <w:lang w:val="it-IT"/>
        </w:rPr>
        <w:t>Conversione degli Interventi di Supporto per la Risoluzione dei Problemi 24x7 Software Assurance in Servizi di Supporto Tecnico Microsoft Premier</w:t>
      </w:r>
    </w:p>
    <w:p w:rsidR="00A92422" w:rsidRPr="00065CE5" w:rsidRDefault="00A92422" w:rsidP="00A92422">
      <w:pPr>
        <w:pStyle w:val="AppendixBodyText"/>
        <w:spacing w:after="0"/>
        <w:rPr>
          <w:rFonts w:ascii="Tahoma" w:hAnsi="Tahoma" w:cs="Tahoma"/>
          <w:sz w:val="18"/>
          <w:szCs w:val="18"/>
        </w:rPr>
      </w:pPr>
    </w:p>
    <w:p w:rsidR="00A92422" w:rsidRPr="00D87B79" w:rsidRDefault="00A92422" w:rsidP="00A92422">
      <w:pPr>
        <w:pStyle w:val="AppendixBodyText"/>
        <w:spacing w:after="0"/>
        <w:rPr>
          <w:rFonts w:ascii="Tahoma" w:hAnsi="Tahoma" w:cs="Tahoma"/>
        </w:rPr>
      </w:pPr>
      <w:r w:rsidRPr="00D87B79">
        <w:rPr>
          <w:rFonts w:ascii="Tahoma" w:hAnsi="Tahoma" w:cs="Tahoma"/>
          <w:color w:val="000000"/>
          <w:sz w:val="18"/>
          <w:lang w:val="it-IT"/>
        </w:rPr>
        <w:t>Le società possono scegliere di convertire gli Interventi di Supporto per la Risoluzione dei Problemi 24x7 Software Assurance (Interventi SA PRS o “SAB”) in:</w:t>
      </w:r>
    </w:p>
    <w:p w:rsidR="00A92422" w:rsidRPr="00065CE5" w:rsidRDefault="00A92422" w:rsidP="00A92422">
      <w:pPr>
        <w:pStyle w:val="AppendixBodyText"/>
        <w:spacing w:after="0"/>
        <w:rPr>
          <w:rFonts w:ascii="Tahoma" w:hAnsi="Tahoma" w:cs="Tahoma"/>
          <w:sz w:val="18"/>
          <w:szCs w:val="18"/>
        </w:rPr>
      </w:pPr>
    </w:p>
    <w:p w:rsidR="00A92422" w:rsidRPr="00D87B79" w:rsidRDefault="00A92422" w:rsidP="00A92422">
      <w:pPr>
        <w:pStyle w:val="AppendixBodyText"/>
        <w:numPr>
          <w:ilvl w:val="0"/>
          <w:numId w:val="25"/>
        </w:numPr>
        <w:tabs>
          <w:tab w:val="left" w:pos="1440"/>
        </w:tabs>
        <w:ind w:left="1440"/>
        <w:rPr>
          <w:rFonts w:ascii="Tahoma" w:hAnsi="Tahoma" w:cs="Tahoma"/>
        </w:rPr>
      </w:pPr>
      <w:r w:rsidRPr="00D87B79">
        <w:rPr>
          <w:rFonts w:ascii="Tahoma" w:hAnsi="Tahoma" w:cs="Tahoma"/>
          <w:color w:val="000000"/>
          <w:sz w:val="18"/>
          <w:lang w:val="it-IT"/>
        </w:rPr>
        <w:t>ore di Supporto per la Risoluzione dei Problemi Premier</w:t>
      </w:r>
    </w:p>
    <w:p w:rsidR="00A92422" w:rsidRPr="00D87B79" w:rsidRDefault="00A92422" w:rsidP="00A92422">
      <w:pPr>
        <w:pStyle w:val="AppendixBodyText"/>
        <w:numPr>
          <w:ilvl w:val="0"/>
          <w:numId w:val="25"/>
        </w:numPr>
        <w:tabs>
          <w:tab w:val="left" w:pos="1440"/>
        </w:tabs>
        <w:ind w:left="1440"/>
        <w:rPr>
          <w:rFonts w:ascii="Tahoma" w:hAnsi="Tahoma" w:cs="Tahoma"/>
        </w:rPr>
      </w:pPr>
      <w:r w:rsidRPr="00D87B79">
        <w:rPr>
          <w:rFonts w:ascii="Tahoma" w:hAnsi="Tahoma" w:cs="Tahoma"/>
          <w:color w:val="000000"/>
          <w:sz w:val="18"/>
          <w:lang w:val="it-IT"/>
        </w:rPr>
        <w:t>ore Dedicated Support Engineer (DSE)</w:t>
      </w:r>
    </w:p>
    <w:p w:rsidR="00A92422" w:rsidRPr="00DD5C9F" w:rsidRDefault="00A92422" w:rsidP="00A92422">
      <w:pPr>
        <w:pStyle w:val="AppendixBodyText"/>
        <w:tabs>
          <w:tab w:val="left" w:pos="1440"/>
        </w:tabs>
        <w:spacing w:after="0"/>
        <w:rPr>
          <w:rFonts w:ascii="Tahoma" w:hAnsi="Tahoma" w:cs="Tahoma"/>
          <w:sz w:val="18"/>
          <w:szCs w:val="18"/>
        </w:rPr>
      </w:pPr>
    </w:p>
    <w:p w:rsidR="00A92422" w:rsidRPr="00D87B79" w:rsidRDefault="00A92422" w:rsidP="00A92422">
      <w:pPr>
        <w:rPr>
          <w:rFonts w:cs="Tahoma"/>
        </w:rPr>
      </w:pPr>
      <w:r w:rsidRPr="00D87B79">
        <w:rPr>
          <w:rFonts w:cs="Tahoma"/>
          <w:color w:val="000000"/>
          <w:lang w:val="it-IT"/>
        </w:rPr>
        <w:t>Questi servizi sono da utilizzare conformemente al loro piano di servizi Premier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considerate ore di Supporto per la Risoluzione dei Problemi Premier e soggetti alla Descrizione dei Servizi Premier. Una volta convertiti, gli interventi non possono più essere reintegrati nell’assegnazione SA della società.</w:t>
      </w:r>
    </w:p>
    <w:p w:rsidR="00A92422" w:rsidRPr="00D167D0" w:rsidRDefault="00A92422" w:rsidP="00A92422">
      <w:pPr>
        <w:pStyle w:val="AppendixBodyText"/>
        <w:spacing w:after="0"/>
        <w:jc w:val="both"/>
        <w:rPr>
          <w:rFonts w:ascii="Tahoma" w:hAnsi="Tahoma" w:cs="Tahoma"/>
          <w:sz w:val="18"/>
          <w:szCs w:val="18"/>
        </w:rPr>
      </w:pPr>
    </w:p>
    <w:p w:rsidR="00A92422" w:rsidRPr="00D87B79" w:rsidRDefault="00A92422" w:rsidP="00A92422">
      <w:pPr>
        <w:pStyle w:val="AppendixBodyText"/>
        <w:spacing w:after="0"/>
        <w:rPr>
          <w:rFonts w:ascii="Tahoma" w:hAnsi="Tahoma" w:cs="Tahoma"/>
        </w:rPr>
      </w:pPr>
      <w:r w:rsidRPr="00D87B79">
        <w:rPr>
          <w:rFonts w:ascii="Tahoma" w:hAnsi="Tahoma" w:cs="Tahoma"/>
          <w:b/>
          <w:color w:val="000000"/>
          <w:lang w:val="it-IT"/>
        </w:rPr>
        <w:t>Ulteriori disposizioni di carattere commerciale</w:t>
      </w:r>
    </w:p>
    <w:p w:rsidR="00A92422" w:rsidRPr="00DD5C9F" w:rsidRDefault="00A92422" w:rsidP="00A92422">
      <w:pPr>
        <w:pStyle w:val="AppendixBodyText"/>
        <w:spacing w:after="0"/>
        <w:rPr>
          <w:rFonts w:ascii="Tahoma" w:hAnsi="Tahoma" w:cs="Tahoma"/>
          <w:sz w:val="18"/>
          <w:szCs w:val="18"/>
        </w:rPr>
      </w:pPr>
    </w:p>
    <w:p w:rsidR="00A92422" w:rsidRPr="00D87B79" w:rsidRDefault="00A92422" w:rsidP="00A92422">
      <w:pPr>
        <w:pStyle w:val="AppendixBodyText"/>
        <w:spacing w:after="0"/>
        <w:rPr>
          <w:rFonts w:ascii="Tahoma" w:hAnsi="Tahoma" w:cs="Tahoma"/>
        </w:rPr>
      </w:pPr>
      <w:r w:rsidRPr="00D87B79">
        <w:rPr>
          <w:rFonts w:ascii="Tahoma" w:hAnsi="Tahoma" w:cs="Tahoma"/>
          <w:sz w:val="18"/>
          <w:szCs w:val="18"/>
          <w:lang w:val="it-IT"/>
        </w:rPr>
        <w:t>La spesa SA non può essere cumulata tra iscrizioni Enterprise o Select, registrazioni Select Plus o Contratti Open Value ai fini dell’idoneità a beneficiare di premi aggiuntivi.</w:t>
      </w:r>
      <w:r w:rsidRPr="00D87B79">
        <w:rPr>
          <w:rFonts w:ascii="Tahoma" w:hAnsi="Tahoma" w:cs="Tahoma"/>
        </w:rPr>
        <w:t xml:space="preserve"> </w:t>
      </w:r>
      <w:r w:rsidRPr="00D87B79">
        <w:rPr>
          <w:rFonts w:ascii="Tahoma" w:hAnsi="Tahoma" w:cs="Tahoma"/>
          <w:sz w:val="18"/>
          <w:lang w:val="it-IT"/>
        </w:rPr>
        <w:t>La spesa di ciascuna iscrizione o contratto è utilizzata per</w:t>
      </w:r>
      <w:r>
        <w:rPr>
          <w:rFonts w:ascii="Tahoma" w:hAnsi="Tahoma" w:cs="Tahoma"/>
          <w:sz w:val="18"/>
          <w:lang w:val="it-IT"/>
        </w:rPr>
        <w:t> </w:t>
      </w:r>
      <w:r w:rsidRPr="00D87B79">
        <w:rPr>
          <w:rFonts w:ascii="Tahoma" w:hAnsi="Tahoma" w:cs="Tahoma"/>
          <w:sz w:val="18"/>
          <w:lang w:val="it-IT"/>
        </w:rPr>
        <w:t>determinare il premio relativo a quell’iscrizione o contratto.</w:t>
      </w:r>
    </w:p>
    <w:p w:rsidR="00A92422" w:rsidRPr="00DD5C9F" w:rsidRDefault="00A92422" w:rsidP="00A92422">
      <w:pPr>
        <w:pStyle w:val="AppendixBodyText"/>
        <w:spacing w:after="0"/>
        <w:jc w:val="both"/>
        <w:rPr>
          <w:rFonts w:ascii="Tahoma" w:hAnsi="Tahoma" w:cs="Tahoma"/>
          <w:sz w:val="18"/>
          <w:szCs w:val="18"/>
        </w:rPr>
      </w:pPr>
    </w:p>
    <w:p w:rsidR="00A92422" w:rsidRPr="00D87B79" w:rsidRDefault="00A92422" w:rsidP="00A92422">
      <w:pPr>
        <w:pStyle w:val="AppendixBodyText"/>
        <w:tabs>
          <w:tab w:val="left" w:pos="1440"/>
        </w:tabs>
        <w:spacing w:after="0"/>
        <w:rPr>
          <w:rFonts w:ascii="Tahoma" w:hAnsi="Tahoma" w:cs="Tahoma"/>
        </w:rPr>
      </w:pPr>
      <w:r w:rsidRPr="00D87B79">
        <w:rPr>
          <w:rFonts w:ascii="Tahoma" w:hAnsi="Tahoma" w:cs="Tahoma"/>
          <w:sz w:val="18"/>
          <w:lang w:val="it-IT"/>
        </w:rPr>
        <w:t>La riduzione della spesa SA in seguito a resi o altre modifiche apportate alla fatturazione, ove ciò sia ammesso, potrebbe comportare la perdita dell’idoneità a ricevere i premi per il Supporto o gli Interventi telefonici nel periodo attuale di attribuzione dei premi o in periodi futuri.</w:t>
      </w:r>
      <w:r w:rsidRPr="00D87B79">
        <w:rPr>
          <w:rFonts w:ascii="Tahoma" w:hAnsi="Tahoma" w:cs="Tahoma"/>
        </w:rPr>
        <w:t xml:space="preserve"> </w:t>
      </w:r>
    </w:p>
    <w:p w:rsidR="00A92422" w:rsidRPr="00D87B79" w:rsidRDefault="00A92422" w:rsidP="00A92422">
      <w:pPr>
        <w:pStyle w:val="Heading3"/>
        <w:rPr>
          <w:rFonts w:ascii="Tahoma" w:hAnsi="Tahoma" w:cs="Tahoma"/>
        </w:rPr>
      </w:pPr>
      <w:bookmarkStart w:id="864" w:name="_Toc336338237"/>
      <w:bookmarkStart w:id="865" w:name="_Toc342900289"/>
      <w:bookmarkEnd w:id="864"/>
      <w:r w:rsidRPr="00D87B79">
        <w:rPr>
          <w:rFonts w:ascii="Tahoma" w:hAnsi="Tahoma" w:cs="Tahoma"/>
          <w:lang w:val="it-IT"/>
        </w:rPr>
        <w:t>Supporto Illimitato per la Risoluzione dei Problemi 24x7</w:t>
      </w:r>
      <w:bookmarkEnd w:id="865"/>
    </w:p>
    <w:p w:rsidR="00A92422" w:rsidRPr="00DD5C9F" w:rsidRDefault="00A92422" w:rsidP="00A92422">
      <w:pPr>
        <w:pStyle w:val="Heading3"/>
        <w:jc w:val="both"/>
        <w:rPr>
          <w:rFonts w:ascii="Tahoma" w:hAnsi="Tahoma" w:cs="Tahoma"/>
          <w:sz w:val="18"/>
          <w:szCs w:val="18"/>
        </w:rPr>
      </w:pPr>
    </w:p>
    <w:p w:rsidR="00A92422" w:rsidRPr="00D87B79" w:rsidRDefault="00A92422" w:rsidP="00A92422">
      <w:pPr>
        <w:jc w:val="both"/>
        <w:rPr>
          <w:rFonts w:cs="Tahoma"/>
        </w:rPr>
      </w:pPr>
      <w:r w:rsidRPr="00D87B79">
        <w:rPr>
          <w:rFonts w:cs="Tahoma"/>
          <w:lang w:val="it-IT"/>
        </w:rPr>
        <w:t>Questo vantaggio è disponibile esclusivamente tramite (1) Enrollment for Application Platform (EAP) ai sensi di un</w:t>
      </w:r>
      <w:r>
        <w:rPr>
          <w:rFonts w:cs="Tahoma"/>
          <w:lang w:val="it-IT"/>
        </w:rPr>
        <w:t> </w:t>
      </w:r>
      <w:r w:rsidRPr="00D87B79">
        <w:rPr>
          <w:rFonts w:cs="Tahoma"/>
          <w:lang w:val="it-IT"/>
        </w:rPr>
        <w:t>Contratto Enterprise e/o (2) l’acquisto di licenze per Parallel Data Warehouse (PDW) ai sensi di un contratto EA, EAP, Select Plus o Select.</w:t>
      </w:r>
    </w:p>
    <w:p w:rsidR="00A92422" w:rsidRPr="00D87B79" w:rsidRDefault="00A92422" w:rsidP="00A92422">
      <w:pPr>
        <w:jc w:val="both"/>
        <w:rPr>
          <w:rFonts w:cs="Tahoma"/>
        </w:rPr>
      </w:pPr>
    </w:p>
    <w:p w:rsidR="00A92422" w:rsidRPr="00D87B79" w:rsidRDefault="00A92422" w:rsidP="00A92422">
      <w:pPr>
        <w:spacing w:line="276" w:lineRule="atLeast"/>
        <w:rPr>
          <w:rFonts w:cs="Tahoma"/>
        </w:rPr>
      </w:pPr>
      <w:r w:rsidRPr="00D87B79">
        <w:rPr>
          <w:rFonts w:cs="Tahoma"/>
          <w:lang w:val="it-IT"/>
        </w:rPr>
        <w:t>Le società, che dispongono di un contratto EAP con una spesa media annuale minima per SA di $250.000 sul totale di</w:t>
      </w:r>
      <w:r>
        <w:rPr>
          <w:rFonts w:cs="Tahoma"/>
          <w:lang w:val="it-IT"/>
        </w:rPr>
        <w:t> </w:t>
      </w:r>
      <w:r w:rsidRPr="00D87B79">
        <w:rPr>
          <w:rFonts w:cs="Tahoma"/>
          <w:lang w:val="it-IT"/>
        </w:rPr>
        <w:t>prodotti qualificanti della Piattaforma Applicativa e che dispongono di un Contratto Premier Services attivo, sono idonee a beneficiare degli interventi previsti dal Supporto Illimitato per la Risoluzione dei Problemi 24x7 (PRS).</w:t>
      </w:r>
      <w:r w:rsidRPr="00D87B79">
        <w:rPr>
          <w:rFonts w:cs="Tahoma"/>
        </w:rPr>
        <w:t xml:space="preserve"> </w:t>
      </w:r>
      <w:r w:rsidRPr="00D87B79">
        <w:rPr>
          <w:rFonts w:cs="Tahoma"/>
          <w:lang w:val="it-IT"/>
        </w:rPr>
        <w:t>I</w:t>
      </w:r>
      <w:r>
        <w:rPr>
          <w:rFonts w:cs="Tahoma"/>
          <w:lang w:val="it-IT"/>
        </w:rPr>
        <w:t> </w:t>
      </w:r>
      <w:r w:rsidRPr="00D87B79">
        <w:rPr>
          <w:rFonts w:cs="Tahoma"/>
          <w:lang w:val="it-IT"/>
        </w:rPr>
        <w:t xml:space="preserve">prodotti elencati di seguito e che usufruiscono del Supporto Mainstream o Esteso come stabilito nei </w:t>
      </w:r>
      <w:hyperlink r:id="rId22" w:history="1">
        <w:r w:rsidRPr="00D87B79">
          <w:rPr>
            <w:rFonts w:cs="Tahoma"/>
            <w:color w:val="0000FF"/>
            <w:u w:val="single"/>
            <w:lang w:val="it-IT"/>
          </w:rPr>
          <w:t>Criteri per il Ciclo di Vita del Supporto di Microsoft</w:t>
        </w:r>
      </w:hyperlink>
      <w:r w:rsidRPr="00D87B79">
        <w:rPr>
          <w:rFonts w:cs="Tahoma"/>
          <w:lang w:val="it-IT"/>
        </w:rPr>
        <w:t xml:space="preserve"> in linea con il contratto Premier di una società sono inclusi nel vantaggio.</w:t>
      </w:r>
    </w:p>
    <w:p w:rsidR="00A92422" w:rsidRPr="00D87B79" w:rsidRDefault="00A92422" w:rsidP="00A92422">
      <w:pPr>
        <w:jc w:val="both"/>
        <w:rPr>
          <w:rFonts w:cs="Tahoma"/>
        </w:rPr>
      </w:pPr>
    </w:p>
    <w:p w:rsidR="00A92422" w:rsidRPr="00D87B79" w:rsidRDefault="00A92422" w:rsidP="00A92422">
      <w:pPr>
        <w:spacing w:line="276" w:lineRule="auto"/>
        <w:jc w:val="both"/>
        <w:rPr>
          <w:rFonts w:cs="Tahoma"/>
        </w:rPr>
      </w:pPr>
      <w:r w:rsidRPr="00D87B79">
        <w:rPr>
          <w:rFonts w:cs="Tahoma"/>
          <w:lang w:val="it-IT"/>
        </w:rPr>
        <w:t>I prodotti della Piattaforma Applicativa che si qualificano sono:</w:t>
      </w:r>
    </w:p>
    <w:p w:rsidR="00A92422" w:rsidRPr="00D87B79" w:rsidRDefault="00A92422" w:rsidP="00A92422">
      <w:pPr>
        <w:jc w:val="both"/>
        <w:rPr>
          <w:rFonts w:cs="Tahoma"/>
        </w:rPr>
      </w:pPr>
    </w:p>
    <w:p w:rsidR="00A92422" w:rsidRPr="00D87B79" w:rsidRDefault="00A92422" w:rsidP="00A92422">
      <w:pPr>
        <w:numPr>
          <w:ilvl w:val="0"/>
          <w:numId w:val="45"/>
        </w:numPr>
        <w:spacing w:after="60"/>
        <w:rPr>
          <w:rFonts w:cs="Tahoma"/>
        </w:rPr>
      </w:pPr>
      <w:r w:rsidRPr="00D87B79">
        <w:rPr>
          <w:rFonts w:cs="Tahoma"/>
          <w:lang w:val="it-IT"/>
        </w:rPr>
        <w:t>CAL per SQL</w:t>
      </w:r>
    </w:p>
    <w:p w:rsidR="00A92422" w:rsidRPr="00D87B79" w:rsidRDefault="00A92422" w:rsidP="00A92422">
      <w:pPr>
        <w:numPr>
          <w:ilvl w:val="0"/>
          <w:numId w:val="45"/>
        </w:numPr>
        <w:spacing w:after="60"/>
        <w:rPr>
          <w:rFonts w:cs="Tahoma"/>
        </w:rPr>
      </w:pPr>
      <w:r w:rsidRPr="00D87B79">
        <w:rPr>
          <w:rFonts w:cs="Tahoma"/>
          <w:lang w:val="it-IT"/>
        </w:rPr>
        <w:t>SQL Server Standard</w:t>
      </w:r>
    </w:p>
    <w:p w:rsidR="00A92422" w:rsidRPr="00D87B79" w:rsidRDefault="00A92422" w:rsidP="00A92422">
      <w:pPr>
        <w:numPr>
          <w:ilvl w:val="0"/>
          <w:numId w:val="45"/>
        </w:numPr>
        <w:spacing w:after="60"/>
        <w:rPr>
          <w:rFonts w:cs="Tahoma"/>
        </w:rPr>
      </w:pPr>
      <w:r w:rsidRPr="00D87B79">
        <w:rPr>
          <w:rFonts w:cs="Tahoma"/>
          <w:lang w:val="it-IT"/>
        </w:rPr>
        <w:t>SQL Server Standard Per Core / Per Processore</w:t>
      </w:r>
    </w:p>
    <w:p w:rsidR="00A92422" w:rsidRPr="00D87B79" w:rsidRDefault="00A92422" w:rsidP="00A92422">
      <w:pPr>
        <w:numPr>
          <w:ilvl w:val="0"/>
          <w:numId w:val="45"/>
        </w:numPr>
        <w:spacing w:after="60"/>
        <w:rPr>
          <w:rFonts w:cs="Tahoma"/>
        </w:rPr>
      </w:pPr>
      <w:r w:rsidRPr="00D87B79">
        <w:rPr>
          <w:rFonts w:cs="Tahoma"/>
          <w:lang w:val="it-IT"/>
        </w:rPr>
        <w:t>SQL Server Enterprise</w:t>
      </w:r>
    </w:p>
    <w:p w:rsidR="00A92422" w:rsidRPr="00D87B79" w:rsidRDefault="00A92422" w:rsidP="00A92422">
      <w:pPr>
        <w:numPr>
          <w:ilvl w:val="0"/>
          <w:numId w:val="45"/>
        </w:numPr>
        <w:spacing w:after="60"/>
        <w:rPr>
          <w:rFonts w:cs="Tahoma"/>
        </w:rPr>
      </w:pPr>
      <w:r w:rsidRPr="00D87B79">
        <w:rPr>
          <w:rFonts w:cs="Tahoma"/>
          <w:lang w:val="it-IT"/>
        </w:rPr>
        <w:t>SQL Server Enterprise Per Core / Per Processore</w:t>
      </w:r>
    </w:p>
    <w:p w:rsidR="00A92422" w:rsidRPr="00D87B79" w:rsidRDefault="00A92422" w:rsidP="00A92422">
      <w:pPr>
        <w:numPr>
          <w:ilvl w:val="0"/>
          <w:numId w:val="45"/>
        </w:numPr>
        <w:spacing w:after="60"/>
        <w:rPr>
          <w:rFonts w:cs="Tahoma"/>
        </w:rPr>
      </w:pPr>
      <w:r w:rsidRPr="00D87B79">
        <w:rPr>
          <w:rFonts w:cs="Tahoma"/>
          <w:lang w:val="it-IT"/>
        </w:rPr>
        <w:t>SQL Server Business Intelligence</w:t>
      </w:r>
    </w:p>
    <w:p w:rsidR="00A92422" w:rsidRPr="00D87B79" w:rsidRDefault="00A92422" w:rsidP="00A92422">
      <w:pPr>
        <w:numPr>
          <w:ilvl w:val="0"/>
          <w:numId w:val="45"/>
        </w:numPr>
        <w:spacing w:after="60"/>
        <w:rPr>
          <w:rFonts w:cs="Tahoma"/>
        </w:rPr>
      </w:pPr>
      <w:r w:rsidRPr="00D87B79">
        <w:rPr>
          <w:rFonts w:cs="Tahoma"/>
          <w:lang w:val="it-IT"/>
        </w:rPr>
        <w:t>SQL Server Datacenter Per Processore</w:t>
      </w:r>
    </w:p>
    <w:p w:rsidR="00A92422" w:rsidRPr="00D87B79" w:rsidRDefault="00A92422" w:rsidP="00A92422">
      <w:pPr>
        <w:numPr>
          <w:ilvl w:val="0"/>
          <w:numId w:val="45"/>
        </w:numPr>
        <w:spacing w:after="60"/>
        <w:rPr>
          <w:rFonts w:cs="Tahoma"/>
        </w:rPr>
      </w:pPr>
      <w:r w:rsidRPr="00D87B79">
        <w:rPr>
          <w:rFonts w:cs="Tahoma"/>
          <w:lang w:val="it-IT"/>
        </w:rPr>
        <w:t>BizTalk Server Standard Per Processore</w:t>
      </w:r>
    </w:p>
    <w:p w:rsidR="00A92422" w:rsidRPr="00D87B79" w:rsidRDefault="00A92422" w:rsidP="00A92422">
      <w:pPr>
        <w:numPr>
          <w:ilvl w:val="0"/>
          <w:numId w:val="45"/>
        </w:numPr>
        <w:spacing w:after="60"/>
        <w:rPr>
          <w:rFonts w:cs="Tahoma"/>
        </w:rPr>
      </w:pPr>
      <w:r w:rsidRPr="00D87B79">
        <w:rPr>
          <w:rFonts w:cs="Tahoma"/>
          <w:lang w:val="it-IT"/>
        </w:rPr>
        <w:t>BizTalk Server Enterprise Per Processore</w:t>
      </w:r>
    </w:p>
    <w:p w:rsidR="00A92422" w:rsidRPr="00D87B79" w:rsidRDefault="00A92422" w:rsidP="00A92422">
      <w:pPr>
        <w:numPr>
          <w:ilvl w:val="0"/>
          <w:numId w:val="45"/>
        </w:numPr>
        <w:spacing w:after="60"/>
        <w:rPr>
          <w:rFonts w:cs="Tahoma"/>
        </w:rPr>
      </w:pPr>
      <w:r w:rsidRPr="00D87B79">
        <w:rPr>
          <w:rFonts w:cs="Tahoma"/>
          <w:lang w:val="it-IT"/>
        </w:rPr>
        <w:t>BizTalk Server Branch Per Processore</w:t>
      </w:r>
    </w:p>
    <w:p w:rsidR="00A92422" w:rsidRPr="00D87B79" w:rsidRDefault="00A92422" w:rsidP="00A92422">
      <w:pPr>
        <w:numPr>
          <w:ilvl w:val="0"/>
          <w:numId w:val="45"/>
        </w:numPr>
        <w:spacing w:after="60"/>
        <w:rPr>
          <w:rFonts w:cs="Tahoma"/>
        </w:rPr>
      </w:pPr>
      <w:r w:rsidRPr="00D87B79">
        <w:rPr>
          <w:rFonts w:cs="Tahoma"/>
          <w:lang w:val="it-IT"/>
        </w:rPr>
        <w:t>Office SharePoint Server</w:t>
      </w:r>
    </w:p>
    <w:p w:rsidR="00A92422" w:rsidRPr="00D87B79" w:rsidRDefault="00A92422" w:rsidP="00A92422">
      <w:pPr>
        <w:numPr>
          <w:ilvl w:val="0"/>
          <w:numId w:val="45"/>
        </w:numPr>
        <w:spacing w:after="60"/>
        <w:rPr>
          <w:rFonts w:cs="Tahoma"/>
        </w:rPr>
      </w:pPr>
      <w:r w:rsidRPr="00D87B79">
        <w:rPr>
          <w:rFonts w:cs="Tahoma"/>
          <w:lang w:val="it-IT"/>
        </w:rPr>
        <w:t>SharePoint Internet</w:t>
      </w:r>
    </w:p>
    <w:p w:rsidR="00A92422" w:rsidRPr="00D87B79" w:rsidRDefault="00A92422" w:rsidP="00A92422">
      <w:pPr>
        <w:numPr>
          <w:ilvl w:val="0"/>
          <w:numId w:val="45"/>
        </w:numPr>
        <w:spacing w:after="60"/>
        <w:rPr>
          <w:rFonts w:cs="Tahoma"/>
        </w:rPr>
      </w:pPr>
      <w:r w:rsidRPr="00D87B79">
        <w:rPr>
          <w:rFonts w:cs="Tahoma"/>
          <w:lang w:val="it-IT"/>
        </w:rPr>
        <w:lastRenderedPageBreak/>
        <w:t>FAST for SharePoint / SharePoint Internet</w:t>
      </w:r>
    </w:p>
    <w:p w:rsidR="00A92422" w:rsidRPr="00D87B79" w:rsidRDefault="00A92422" w:rsidP="00A92422">
      <w:pPr>
        <w:rPr>
          <w:rFonts w:cs="Tahoma"/>
        </w:rPr>
      </w:pPr>
    </w:p>
    <w:p w:rsidR="00A92422" w:rsidRPr="00D87B79" w:rsidRDefault="00A92422" w:rsidP="00A92422">
      <w:pPr>
        <w:pStyle w:val="AppendixBodyText"/>
        <w:spacing w:after="0"/>
        <w:jc w:val="both"/>
        <w:rPr>
          <w:rFonts w:ascii="Tahoma" w:hAnsi="Tahoma" w:cs="Tahoma"/>
        </w:rPr>
      </w:pPr>
      <w:r w:rsidRPr="00D87B79">
        <w:rPr>
          <w:rFonts w:ascii="Tahoma" w:hAnsi="Tahoma" w:cs="Tahoma"/>
          <w:sz w:val="18"/>
          <w:szCs w:val="18"/>
          <w:lang w:val="it-IT"/>
        </w:rPr>
        <w:t>La seguente tabella elenca le conversioni delle soglie di spesa SA, in caso di contratti stipulati in valute diverse</w:t>
      </w:r>
      <w:r>
        <w:rPr>
          <w:rFonts w:ascii="Tahoma" w:hAnsi="Tahoma" w:cs="Tahoma"/>
          <w:sz w:val="18"/>
          <w:szCs w:val="18"/>
          <w:lang w:val="it-IT"/>
        </w:rPr>
        <w:t> </w:t>
      </w:r>
      <w:r w:rsidRPr="00D87B79">
        <w:rPr>
          <w:rFonts w:ascii="Tahoma" w:hAnsi="Tahoma" w:cs="Tahoma"/>
          <w:sz w:val="18"/>
          <w:szCs w:val="18"/>
          <w:lang w:val="it-IT"/>
        </w:rPr>
        <w:t>dall’USD.</w:t>
      </w:r>
      <w:r w:rsidRPr="00D87B79">
        <w:rPr>
          <w:rFonts w:ascii="Tahoma" w:hAnsi="Tahoma" w:cs="Tahoma"/>
        </w:rPr>
        <w:t xml:space="preserve"> </w:t>
      </w:r>
      <w:r w:rsidRPr="00D87B79">
        <w:rPr>
          <w:rFonts w:ascii="Tahoma" w:hAnsi="Tahoma" w:cs="Tahoma"/>
          <w:sz w:val="18"/>
          <w:lang w:val="it-IT"/>
        </w:rPr>
        <w:t>A causa delle fluttuazioni dei tassi di cambio, i valori riportati nella tabella sono soggetti a variazione senza preavviso.</w:t>
      </w:r>
    </w:p>
    <w:p w:rsidR="00A92422" w:rsidRPr="00D87B79" w:rsidRDefault="00A92422" w:rsidP="00A92422">
      <w:pPr>
        <w:pStyle w:val="AppendixBodyText"/>
        <w:spacing w:after="0"/>
        <w:rPr>
          <w:rFonts w:ascii="Tahoma" w:hAnsi="Tahoma" w:cs="Tahoma"/>
        </w:rPr>
      </w:pPr>
    </w:p>
    <w:tbl>
      <w:tblPr>
        <w:tblW w:w="6021" w:type="dxa"/>
        <w:tblInd w:w="10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A92422" w:rsidRPr="00D87B79" w:rsidTr="00EA30FC">
        <w:trPr>
          <w:trHeight w:val="178"/>
          <w:tblHead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rsidR="00A92422" w:rsidRPr="00D87B79" w:rsidRDefault="00A92422" w:rsidP="00EA30FC">
            <w:pPr>
              <w:pStyle w:val="AppendixBodyText"/>
              <w:jc w:val="center"/>
              <w:rPr>
                <w:rFonts w:ascii="Tahoma" w:hAnsi="Tahoma" w:cs="Tahoma"/>
                <w:b/>
                <w:bCs/>
              </w:rPr>
            </w:pPr>
            <w:r w:rsidRPr="00D87B79">
              <w:rPr>
                <w:rFonts w:ascii="Tahoma" w:hAnsi="Tahoma" w:cs="Tahoma"/>
                <w:b/>
                <w:bCs/>
                <w:lang w:val="it-IT"/>
              </w:rPr>
              <w:t>Valuta</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rsidR="00A92422" w:rsidRPr="00D87B79" w:rsidRDefault="00A92422" w:rsidP="00EA30FC">
            <w:pPr>
              <w:pStyle w:val="AppendixBodyText"/>
              <w:jc w:val="center"/>
              <w:rPr>
                <w:rFonts w:ascii="Tahoma" w:hAnsi="Tahoma" w:cs="Tahoma"/>
                <w:b/>
                <w:bCs/>
              </w:rPr>
            </w:pPr>
            <w:r w:rsidRPr="00D87B79">
              <w:rPr>
                <w:rFonts w:ascii="Tahoma" w:hAnsi="Tahoma" w:cs="Tahoma"/>
                <w:b/>
                <w:bCs/>
                <w:lang w:val="it-IT"/>
              </w:rPr>
              <w:t>Codice Valuta</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rsidR="00A92422" w:rsidRPr="00D87B79" w:rsidRDefault="00A92422" w:rsidP="00EA30FC">
            <w:pPr>
              <w:pStyle w:val="AppendixBodyText"/>
              <w:jc w:val="center"/>
              <w:rPr>
                <w:rFonts w:ascii="Tahoma" w:hAnsi="Tahoma" w:cs="Tahoma"/>
                <w:b/>
                <w:bCs/>
              </w:rPr>
            </w:pPr>
            <w:r w:rsidRPr="00D87B79">
              <w:rPr>
                <w:rFonts w:ascii="Tahoma" w:hAnsi="Tahoma" w:cs="Tahoma"/>
                <w:b/>
                <w:bCs/>
                <w:lang w:val="it-IT"/>
              </w:rPr>
              <w:t xml:space="preserve">Spesa Media Annuale Minima per SA per beneficiare del PRS Illimitato 24x7 </w:t>
            </w:r>
          </w:p>
        </w:tc>
      </w:tr>
      <w:tr w:rsidR="00A92422" w:rsidRPr="00D87B79" w:rsidTr="00EA30FC">
        <w:trPr>
          <w:trHeight w:val="236"/>
        </w:trPr>
        <w:tc>
          <w:tcPr>
            <w:tcW w:w="1757"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Dollaro statunitense</w:t>
            </w:r>
          </w:p>
        </w:tc>
        <w:tc>
          <w:tcPr>
            <w:tcW w:w="1112" w:type="dxa"/>
            <w:vAlign w:val="bottom"/>
          </w:tcPr>
          <w:p w:rsidR="00A92422" w:rsidRPr="00D87B79" w:rsidRDefault="00A92422" w:rsidP="00EA30FC">
            <w:pPr>
              <w:pStyle w:val="AppendixBodyText"/>
              <w:jc w:val="center"/>
              <w:rPr>
                <w:rFonts w:ascii="Tahoma" w:hAnsi="Tahoma" w:cs="Tahoma"/>
                <w:sz w:val="18"/>
                <w:szCs w:val="18"/>
              </w:rPr>
            </w:pPr>
            <w:r w:rsidRPr="00D87B79">
              <w:rPr>
                <w:rFonts w:ascii="Tahoma" w:hAnsi="Tahoma" w:cs="Tahoma"/>
                <w:sz w:val="18"/>
                <w:szCs w:val="18"/>
                <w:lang w:val="it-IT"/>
              </w:rPr>
              <w:t>USD</w:t>
            </w:r>
          </w:p>
        </w:tc>
        <w:tc>
          <w:tcPr>
            <w:tcW w:w="3152" w:type="dxa"/>
            <w:vAlign w:val="bottom"/>
          </w:tcPr>
          <w:p w:rsidR="00A92422" w:rsidRPr="00D87B79" w:rsidRDefault="00A92422" w:rsidP="00EA30FC">
            <w:pPr>
              <w:pStyle w:val="AppendixBodyText"/>
              <w:jc w:val="right"/>
              <w:rPr>
                <w:rFonts w:ascii="Tahoma" w:hAnsi="Tahoma" w:cs="Tahoma"/>
                <w:sz w:val="18"/>
                <w:szCs w:val="18"/>
              </w:rPr>
            </w:pPr>
            <w:r w:rsidRPr="00D87B79">
              <w:rPr>
                <w:rFonts w:ascii="Tahoma" w:hAnsi="Tahoma" w:cs="Tahoma"/>
                <w:color w:val="000000"/>
                <w:sz w:val="18"/>
                <w:szCs w:val="18"/>
              </w:rPr>
              <w:t xml:space="preserve"> </w:t>
            </w:r>
            <w:r w:rsidRPr="00D87B79">
              <w:rPr>
                <w:rFonts w:ascii="Tahoma" w:hAnsi="Tahoma" w:cs="Tahoma"/>
                <w:color w:val="000000"/>
                <w:sz w:val="18"/>
              </w:rPr>
              <w:t>250</w:t>
            </w:r>
            <w:r>
              <w:rPr>
                <w:rFonts w:ascii="Tahoma" w:hAnsi="Tahoma" w:cs="Tahoma"/>
                <w:color w:val="000000"/>
                <w:sz w:val="18"/>
              </w:rPr>
              <w:t>.</w:t>
            </w:r>
            <w:r w:rsidRPr="00D87B79">
              <w:rPr>
                <w:rFonts w:ascii="Tahoma" w:hAnsi="Tahoma" w:cs="Tahoma"/>
                <w:color w:val="000000"/>
                <w:sz w:val="18"/>
              </w:rPr>
              <w:t>000</w:t>
            </w:r>
            <w:r w:rsidRPr="00D87B79">
              <w:rPr>
                <w:rFonts w:ascii="Tahoma" w:hAnsi="Tahoma" w:cs="Tahoma"/>
              </w:rPr>
              <w:t xml:space="preserve"> </w:t>
            </w:r>
          </w:p>
        </w:tc>
      </w:tr>
      <w:tr w:rsidR="00A92422" w:rsidRPr="00D87B79" w:rsidTr="00EA30FC">
        <w:trPr>
          <w:trHeight w:val="236"/>
        </w:trPr>
        <w:tc>
          <w:tcPr>
            <w:tcW w:w="1757"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Dollaro australiano</w:t>
            </w:r>
          </w:p>
        </w:tc>
        <w:tc>
          <w:tcPr>
            <w:tcW w:w="1112" w:type="dxa"/>
            <w:vAlign w:val="bottom"/>
          </w:tcPr>
          <w:p w:rsidR="00A92422" w:rsidRPr="00D87B79" w:rsidRDefault="00A92422" w:rsidP="00EA30FC">
            <w:pPr>
              <w:pStyle w:val="AppendixBodyText"/>
              <w:jc w:val="center"/>
              <w:rPr>
                <w:rFonts w:ascii="Tahoma" w:hAnsi="Tahoma" w:cs="Tahoma"/>
                <w:sz w:val="18"/>
                <w:szCs w:val="18"/>
              </w:rPr>
            </w:pPr>
            <w:r w:rsidRPr="00D87B79">
              <w:rPr>
                <w:rFonts w:ascii="Tahoma" w:hAnsi="Tahoma" w:cs="Tahoma"/>
                <w:sz w:val="18"/>
                <w:szCs w:val="18"/>
                <w:lang w:val="it-IT"/>
              </w:rPr>
              <w:t>AUD</w:t>
            </w:r>
          </w:p>
        </w:tc>
        <w:tc>
          <w:tcPr>
            <w:tcW w:w="3152" w:type="dxa"/>
            <w:vAlign w:val="bottom"/>
          </w:tcPr>
          <w:p w:rsidR="00A92422" w:rsidRPr="00D87B79" w:rsidRDefault="00A92422" w:rsidP="00EA30FC">
            <w:pPr>
              <w:pStyle w:val="AppendixBodyText"/>
              <w:jc w:val="right"/>
              <w:rPr>
                <w:rFonts w:ascii="Tahoma" w:hAnsi="Tahoma" w:cs="Tahoma"/>
                <w:sz w:val="18"/>
                <w:szCs w:val="18"/>
              </w:rPr>
            </w:pPr>
            <w:r w:rsidRPr="00D87B79">
              <w:rPr>
                <w:rFonts w:ascii="Tahoma" w:hAnsi="Tahoma" w:cs="Tahoma"/>
                <w:color w:val="000000"/>
                <w:sz w:val="18"/>
                <w:szCs w:val="18"/>
              </w:rPr>
              <w:t xml:space="preserve"> </w:t>
            </w:r>
            <w:r w:rsidRPr="00D87B79">
              <w:rPr>
                <w:rFonts w:ascii="Tahoma" w:hAnsi="Tahoma" w:cs="Tahoma"/>
                <w:color w:val="000000"/>
                <w:sz w:val="18"/>
              </w:rPr>
              <w:t>375</w:t>
            </w:r>
            <w:r>
              <w:rPr>
                <w:rFonts w:ascii="Tahoma" w:hAnsi="Tahoma" w:cs="Tahoma"/>
                <w:color w:val="000000"/>
                <w:sz w:val="18"/>
              </w:rPr>
              <w:t>.</w:t>
            </w:r>
            <w:r w:rsidRPr="00D87B79">
              <w:rPr>
                <w:rFonts w:ascii="Tahoma" w:hAnsi="Tahoma" w:cs="Tahoma"/>
                <w:color w:val="000000"/>
                <w:sz w:val="18"/>
              </w:rPr>
              <w:t>000</w:t>
            </w:r>
            <w:r w:rsidRPr="00D87B79">
              <w:rPr>
                <w:rFonts w:ascii="Tahoma" w:hAnsi="Tahoma" w:cs="Tahoma"/>
              </w:rPr>
              <w:t xml:space="preserve"> </w:t>
            </w:r>
          </w:p>
        </w:tc>
      </w:tr>
      <w:tr w:rsidR="00A92422" w:rsidRPr="00D87B79" w:rsidTr="00EA30FC">
        <w:trPr>
          <w:trHeight w:val="236"/>
        </w:trPr>
        <w:tc>
          <w:tcPr>
            <w:tcW w:w="1757"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Dollaro canadese</w:t>
            </w:r>
          </w:p>
        </w:tc>
        <w:tc>
          <w:tcPr>
            <w:tcW w:w="1112" w:type="dxa"/>
            <w:vAlign w:val="bottom"/>
          </w:tcPr>
          <w:p w:rsidR="00A92422" w:rsidRPr="00D87B79" w:rsidRDefault="00A92422" w:rsidP="00EA30FC">
            <w:pPr>
              <w:pStyle w:val="AppendixBodyText"/>
              <w:jc w:val="center"/>
              <w:rPr>
                <w:rFonts w:ascii="Tahoma" w:hAnsi="Tahoma" w:cs="Tahoma"/>
                <w:sz w:val="18"/>
                <w:szCs w:val="18"/>
              </w:rPr>
            </w:pPr>
            <w:r w:rsidRPr="00D87B79">
              <w:rPr>
                <w:rFonts w:ascii="Tahoma" w:hAnsi="Tahoma" w:cs="Tahoma"/>
                <w:sz w:val="18"/>
                <w:szCs w:val="18"/>
                <w:lang w:val="it-IT"/>
              </w:rPr>
              <w:t>CAD</w:t>
            </w:r>
          </w:p>
        </w:tc>
        <w:tc>
          <w:tcPr>
            <w:tcW w:w="3152" w:type="dxa"/>
            <w:vAlign w:val="bottom"/>
          </w:tcPr>
          <w:p w:rsidR="00A92422" w:rsidRPr="00D87B79" w:rsidRDefault="00A92422" w:rsidP="00EA30FC">
            <w:pPr>
              <w:pStyle w:val="AppendixBodyText"/>
              <w:jc w:val="right"/>
              <w:rPr>
                <w:rFonts w:ascii="Tahoma" w:hAnsi="Tahoma" w:cs="Tahoma"/>
                <w:sz w:val="18"/>
                <w:szCs w:val="18"/>
              </w:rPr>
            </w:pPr>
            <w:r w:rsidRPr="00D87B79">
              <w:rPr>
                <w:rFonts w:ascii="Tahoma" w:hAnsi="Tahoma" w:cs="Tahoma"/>
                <w:color w:val="000000"/>
                <w:sz w:val="18"/>
                <w:szCs w:val="18"/>
              </w:rPr>
              <w:t xml:space="preserve"> </w:t>
            </w:r>
            <w:r w:rsidRPr="00D87B79">
              <w:rPr>
                <w:rFonts w:ascii="Tahoma" w:hAnsi="Tahoma" w:cs="Tahoma"/>
                <w:color w:val="000000"/>
                <w:sz w:val="18"/>
              </w:rPr>
              <w:t>337</w:t>
            </w:r>
            <w:r>
              <w:rPr>
                <w:rFonts w:ascii="Tahoma" w:hAnsi="Tahoma" w:cs="Tahoma"/>
                <w:color w:val="000000"/>
                <w:sz w:val="18"/>
              </w:rPr>
              <w:t>.</w:t>
            </w:r>
            <w:r w:rsidRPr="00D87B79">
              <w:rPr>
                <w:rFonts w:ascii="Tahoma" w:hAnsi="Tahoma" w:cs="Tahoma"/>
                <w:color w:val="000000"/>
                <w:sz w:val="18"/>
              </w:rPr>
              <w:t>500</w:t>
            </w:r>
            <w:r w:rsidRPr="00D87B79">
              <w:rPr>
                <w:rFonts w:ascii="Tahoma" w:hAnsi="Tahoma" w:cs="Tahoma"/>
              </w:rPr>
              <w:t xml:space="preserve"> </w:t>
            </w:r>
          </w:p>
        </w:tc>
      </w:tr>
      <w:tr w:rsidR="00A92422" w:rsidRPr="00D87B79" w:rsidTr="00EA30FC">
        <w:trPr>
          <w:trHeight w:val="236"/>
        </w:trPr>
        <w:tc>
          <w:tcPr>
            <w:tcW w:w="1757"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Franco svizzero</w:t>
            </w:r>
          </w:p>
        </w:tc>
        <w:tc>
          <w:tcPr>
            <w:tcW w:w="1112" w:type="dxa"/>
            <w:vAlign w:val="bottom"/>
          </w:tcPr>
          <w:p w:rsidR="00A92422" w:rsidRPr="00D87B79" w:rsidRDefault="00A92422" w:rsidP="00EA30FC">
            <w:pPr>
              <w:pStyle w:val="AppendixBodyText"/>
              <w:jc w:val="center"/>
              <w:rPr>
                <w:rFonts w:ascii="Tahoma" w:hAnsi="Tahoma" w:cs="Tahoma"/>
                <w:sz w:val="18"/>
                <w:szCs w:val="18"/>
              </w:rPr>
            </w:pPr>
            <w:r w:rsidRPr="00D87B79">
              <w:rPr>
                <w:rFonts w:ascii="Tahoma" w:hAnsi="Tahoma" w:cs="Tahoma"/>
                <w:sz w:val="18"/>
                <w:szCs w:val="18"/>
                <w:lang w:val="it-IT"/>
              </w:rPr>
              <w:t>CHF</w:t>
            </w:r>
          </w:p>
        </w:tc>
        <w:tc>
          <w:tcPr>
            <w:tcW w:w="3152" w:type="dxa"/>
            <w:vAlign w:val="bottom"/>
          </w:tcPr>
          <w:p w:rsidR="00A92422" w:rsidRPr="00D87B79" w:rsidRDefault="00A92422" w:rsidP="00EA30FC">
            <w:pPr>
              <w:pStyle w:val="AppendixBodyText"/>
              <w:jc w:val="right"/>
              <w:rPr>
                <w:rFonts w:ascii="Tahoma" w:hAnsi="Tahoma" w:cs="Tahoma"/>
                <w:sz w:val="18"/>
                <w:szCs w:val="18"/>
              </w:rPr>
            </w:pPr>
            <w:r w:rsidRPr="00D87B79">
              <w:rPr>
                <w:rFonts w:ascii="Tahoma" w:hAnsi="Tahoma" w:cs="Tahoma"/>
                <w:color w:val="000000"/>
                <w:sz w:val="18"/>
                <w:szCs w:val="18"/>
              </w:rPr>
              <w:t xml:space="preserve"> </w:t>
            </w:r>
            <w:r w:rsidRPr="00D87B79">
              <w:rPr>
                <w:rFonts w:ascii="Tahoma" w:hAnsi="Tahoma" w:cs="Tahoma"/>
                <w:color w:val="000000"/>
                <w:sz w:val="18"/>
              </w:rPr>
              <w:t>412</w:t>
            </w:r>
            <w:r>
              <w:rPr>
                <w:rFonts w:ascii="Tahoma" w:hAnsi="Tahoma" w:cs="Tahoma"/>
                <w:color w:val="000000"/>
                <w:sz w:val="18"/>
              </w:rPr>
              <w:t>.</w:t>
            </w:r>
            <w:r w:rsidRPr="00D87B79">
              <w:rPr>
                <w:rFonts w:ascii="Tahoma" w:hAnsi="Tahoma" w:cs="Tahoma"/>
                <w:color w:val="000000"/>
                <w:sz w:val="18"/>
              </w:rPr>
              <w:t>500</w:t>
            </w:r>
            <w:r w:rsidRPr="00D87B79">
              <w:rPr>
                <w:rFonts w:ascii="Tahoma" w:hAnsi="Tahoma" w:cs="Tahoma"/>
              </w:rPr>
              <w:t xml:space="preserve"> </w:t>
            </w:r>
          </w:p>
        </w:tc>
      </w:tr>
      <w:tr w:rsidR="00A92422" w:rsidRPr="00D87B79" w:rsidTr="00EA30FC">
        <w:trPr>
          <w:trHeight w:val="236"/>
        </w:trPr>
        <w:tc>
          <w:tcPr>
            <w:tcW w:w="1757"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Renminbi cinese</w:t>
            </w:r>
          </w:p>
        </w:tc>
        <w:tc>
          <w:tcPr>
            <w:tcW w:w="1112" w:type="dxa"/>
            <w:vAlign w:val="bottom"/>
          </w:tcPr>
          <w:p w:rsidR="00A92422" w:rsidRPr="00D87B79" w:rsidRDefault="00A92422" w:rsidP="00EA30FC">
            <w:pPr>
              <w:pStyle w:val="AppendixBodyText"/>
              <w:jc w:val="center"/>
              <w:rPr>
                <w:rFonts w:ascii="Tahoma" w:hAnsi="Tahoma" w:cs="Tahoma"/>
                <w:sz w:val="18"/>
                <w:szCs w:val="18"/>
              </w:rPr>
            </w:pPr>
            <w:r w:rsidRPr="00D87B79">
              <w:rPr>
                <w:rFonts w:ascii="Tahoma" w:hAnsi="Tahoma" w:cs="Tahoma"/>
                <w:sz w:val="18"/>
                <w:szCs w:val="18"/>
                <w:lang w:val="it-IT"/>
              </w:rPr>
              <w:t>CNY</w:t>
            </w:r>
          </w:p>
        </w:tc>
        <w:tc>
          <w:tcPr>
            <w:tcW w:w="3152" w:type="dxa"/>
            <w:vAlign w:val="bottom"/>
          </w:tcPr>
          <w:p w:rsidR="00A92422" w:rsidRPr="00D87B79" w:rsidRDefault="00A92422" w:rsidP="00EA30FC">
            <w:pPr>
              <w:pStyle w:val="AppendixBodyText"/>
              <w:jc w:val="right"/>
              <w:rPr>
                <w:rFonts w:ascii="Tahoma" w:hAnsi="Tahoma" w:cs="Tahoma"/>
                <w:sz w:val="18"/>
                <w:szCs w:val="18"/>
              </w:rPr>
            </w:pPr>
            <w:r w:rsidRPr="00D87B79">
              <w:rPr>
                <w:rFonts w:ascii="Tahoma" w:hAnsi="Tahoma" w:cs="Tahoma"/>
                <w:color w:val="000000"/>
                <w:sz w:val="18"/>
                <w:szCs w:val="18"/>
              </w:rPr>
              <w:t xml:space="preserve"> </w:t>
            </w:r>
            <w:r w:rsidRPr="00D87B79">
              <w:rPr>
                <w:rFonts w:ascii="Tahoma" w:hAnsi="Tahoma" w:cs="Tahoma"/>
                <w:color w:val="000000"/>
                <w:sz w:val="18"/>
              </w:rPr>
              <w:t>2</w:t>
            </w:r>
            <w:r>
              <w:rPr>
                <w:rFonts w:ascii="Tahoma" w:hAnsi="Tahoma" w:cs="Tahoma"/>
                <w:color w:val="000000"/>
                <w:sz w:val="18"/>
              </w:rPr>
              <w:t>.</w:t>
            </w:r>
            <w:r w:rsidRPr="00D87B79">
              <w:rPr>
                <w:rFonts w:ascii="Tahoma" w:hAnsi="Tahoma" w:cs="Tahoma"/>
                <w:color w:val="000000"/>
                <w:sz w:val="18"/>
              </w:rPr>
              <w:t>062</w:t>
            </w:r>
            <w:r>
              <w:rPr>
                <w:rFonts w:ascii="Tahoma" w:hAnsi="Tahoma" w:cs="Tahoma"/>
                <w:color w:val="000000"/>
                <w:sz w:val="18"/>
              </w:rPr>
              <w:t>.</w:t>
            </w:r>
            <w:r w:rsidRPr="00D87B79">
              <w:rPr>
                <w:rFonts w:ascii="Tahoma" w:hAnsi="Tahoma" w:cs="Tahoma"/>
                <w:color w:val="000000"/>
                <w:sz w:val="18"/>
              </w:rPr>
              <w:t>500</w:t>
            </w:r>
            <w:r w:rsidRPr="00D87B79">
              <w:rPr>
                <w:rFonts w:ascii="Tahoma" w:hAnsi="Tahoma" w:cs="Tahoma"/>
              </w:rPr>
              <w:t xml:space="preserve"> </w:t>
            </w:r>
          </w:p>
        </w:tc>
      </w:tr>
      <w:tr w:rsidR="00A92422" w:rsidRPr="00D87B79" w:rsidTr="00EA30FC">
        <w:trPr>
          <w:trHeight w:val="236"/>
        </w:trPr>
        <w:tc>
          <w:tcPr>
            <w:tcW w:w="1757"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Corone Danesi</w:t>
            </w:r>
          </w:p>
        </w:tc>
        <w:tc>
          <w:tcPr>
            <w:tcW w:w="1112" w:type="dxa"/>
            <w:vAlign w:val="bottom"/>
          </w:tcPr>
          <w:p w:rsidR="00A92422" w:rsidRPr="00D87B79" w:rsidRDefault="00A92422" w:rsidP="00EA30FC">
            <w:pPr>
              <w:pStyle w:val="AppendixBodyText"/>
              <w:jc w:val="center"/>
              <w:rPr>
                <w:rFonts w:ascii="Tahoma" w:hAnsi="Tahoma" w:cs="Tahoma"/>
                <w:sz w:val="18"/>
                <w:szCs w:val="18"/>
              </w:rPr>
            </w:pPr>
            <w:r w:rsidRPr="00D87B79">
              <w:rPr>
                <w:rFonts w:ascii="Tahoma" w:hAnsi="Tahoma" w:cs="Tahoma"/>
                <w:sz w:val="18"/>
                <w:szCs w:val="18"/>
                <w:lang w:val="it-IT"/>
              </w:rPr>
              <w:t>DKK</w:t>
            </w:r>
          </w:p>
        </w:tc>
        <w:tc>
          <w:tcPr>
            <w:tcW w:w="3152" w:type="dxa"/>
            <w:vAlign w:val="bottom"/>
          </w:tcPr>
          <w:p w:rsidR="00A92422" w:rsidRPr="00D87B79" w:rsidRDefault="00A92422" w:rsidP="00EA30FC">
            <w:pPr>
              <w:pStyle w:val="AppendixBodyText"/>
              <w:jc w:val="right"/>
              <w:rPr>
                <w:rFonts w:ascii="Tahoma" w:hAnsi="Tahoma" w:cs="Tahoma"/>
                <w:sz w:val="18"/>
                <w:szCs w:val="18"/>
              </w:rPr>
            </w:pPr>
            <w:r w:rsidRPr="00D87B79">
              <w:rPr>
                <w:rFonts w:ascii="Tahoma" w:hAnsi="Tahoma" w:cs="Tahoma"/>
                <w:color w:val="000000"/>
                <w:sz w:val="18"/>
                <w:szCs w:val="18"/>
              </w:rPr>
              <w:t xml:space="preserve"> </w:t>
            </w:r>
            <w:r w:rsidRPr="00D87B79">
              <w:rPr>
                <w:rFonts w:ascii="Tahoma" w:hAnsi="Tahoma" w:cs="Tahoma"/>
                <w:color w:val="000000"/>
                <w:sz w:val="18"/>
              </w:rPr>
              <w:t>2</w:t>
            </w:r>
            <w:r>
              <w:rPr>
                <w:rFonts w:ascii="Tahoma" w:hAnsi="Tahoma" w:cs="Tahoma"/>
                <w:color w:val="000000"/>
                <w:sz w:val="18"/>
              </w:rPr>
              <w:t>.</w:t>
            </w:r>
            <w:r w:rsidRPr="00D87B79">
              <w:rPr>
                <w:rFonts w:ascii="Tahoma" w:hAnsi="Tahoma" w:cs="Tahoma"/>
                <w:color w:val="000000"/>
                <w:sz w:val="18"/>
              </w:rPr>
              <w:t>000</w:t>
            </w:r>
            <w:r>
              <w:rPr>
                <w:rFonts w:ascii="Tahoma" w:hAnsi="Tahoma" w:cs="Tahoma"/>
                <w:color w:val="000000"/>
                <w:sz w:val="18"/>
              </w:rPr>
              <w:t>.</w:t>
            </w:r>
            <w:r w:rsidRPr="00D87B79">
              <w:rPr>
                <w:rFonts w:ascii="Tahoma" w:hAnsi="Tahoma" w:cs="Tahoma"/>
                <w:color w:val="000000"/>
                <w:sz w:val="18"/>
              </w:rPr>
              <w:t>000</w:t>
            </w:r>
            <w:r w:rsidRPr="00D87B79">
              <w:rPr>
                <w:rFonts w:ascii="Tahoma" w:hAnsi="Tahoma" w:cs="Tahoma"/>
              </w:rPr>
              <w:t xml:space="preserve"> </w:t>
            </w:r>
          </w:p>
        </w:tc>
      </w:tr>
      <w:tr w:rsidR="00A92422" w:rsidRPr="00D87B79" w:rsidTr="00EA30FC">
        <w:trPr>
          <w:trHeight w:val="236"/>
        </w:trPr>
        <w:tc>
          <w:tcPr>
            <w:tcW w:w="1757"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EURO</w:t>
            </w:r>
          </w:p>
        </w:tc>
        <w:tc>
          <w:tcPr>
            <w:tcW w:w="1112" w:type="dxa"/>
            <w:vAlign w:val="bottom"/>
          </w:tcPr>
          <w:p w:rsidR="00A92422" w:rsidRPr="00D87B79" w:rsidRDefault="00A92422" w:rsidP="00EA30FC">
            <w:pPr>
              <w:pStyle w:val="AppendixBodyText"/>
              <w:jc w:val="center"/>
              <w:rPr>
                <w:rFonts w:ascii="Tahoma" w:hAnsi="Tahoma" w:cs="Tahoma"/>
                <w:sz w:val="18"/>
                <w:szCs w:val="18"/>
              </w:rPr>
            </w:pPr>
            <w:r w:rsidRPr="00D87B79">
              <w:rPr>
                <w:rFonts w:ascii="Tahoma" w:hAnsi="Tahoma" w:cs="Tahoma"/>
                <w:sz w:val="18"/>
                <w:szCs w:val="18"/>
                <w:lang w:val="it-IT"/>
              </w:rPr>
              <w:t>EUR</w:t>
            </w:r>
          </w:p>
        </w:tc>
        <w:tc>
          <w:tcPr>
            <w:tcW w:w="3152" w:type="dxa"/>
            <w:vAlign w:val="bottom"/>
          </w:tcPr>
          <w:p w:rsidR="00A92422" w:rsidRPr="00D87B79" w:rsidRDefault="00A92422" w:rsidP="00EA30FC">
            <w:pPr>
              <w:pStyle w:val="AppendixBodyText"/>
              <w:jc w:val="right"/>
              <w:rPr>
                <w:rFonts w:ascii="Tahoma" w:hAnsi="Tahoma" w:cs="Tahoma"/>
                <w:sz w:val="18"/>
                <w:szCs w:val="18"/>
              </w:rPr>
            </w:pPr>
            <w:r w:rsidRPr="00D87B79">
              <w:rPr>
                <w:rFonts w:ascii="Tahoma" w:hAnsi="Tahoma" w:cs="Tahoma"/>
                <w:color w:val="000000"/>
                <w:sz w:val="18"/>
                <w:szCs w:val="18"/>
              </w:rPr>
              <w:t xml:space="preserve"> </w:t>
            </w:r>
            <w:r w:rsidRPr="00D87B79">
              <w:rPr>
                <w:rFonts w:ascii="Tahoma" w:hAnsi="Tahoma" w:cs="Tahoma"/>
                <w:color w:val="000000"/>
                <w:sz w:val="18"/>
              </w:rPr>
              <w:t>268</w:t>
            </w:r>
            <w:r>
              <w:rPr>
                <w:rFonts w:ascii="Tahoma" w:hAnsi="Tahoma" w:cs="Tahoma"/>
                <w:color w:val="000000"/>
                <w:sz w:val="18"/>
              </w:rPr>
              <w:t>.</w:t>
            </w:r>
            <w:r w:rsidRPr="00D87B79">
              <w:rPr>
                <w:rFonts w:ascii="Tahoma" w:hAnsi="Tahoma" w:cs="Tahoma"/>
                <w:color w:val="000000"/>
                <w:sz w:val="18"/>
              </w:rPr>
              <w:t>750</w:t>
            </w:r>
            <w:r w:rsidRPr="00D87B79">
              <w:rPr>
                <w:rFonts w:ascii="Tahoma" w:hAnsi="Tahoma" w:cs="Tahoma"/>
              </w:rPr>
              <w:t xml:space="preserve"> </w:t>
            </w:r>
          </w:p>
        </w:tc>
      </w:tr>
      <w:tr w:rsidR="00A92422" w:rsidRPr="00D87B79" w:rsidTr="00EA30FC">
        <w:trPr>
          <w:trHeight w:val="236"/>
        </w:trPr>
        <w:tc>
          <w:tcPr>
            <w:tcW w:w="1757"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Sterlina britannica</w:t>
            </w:r>
          </w:p>
        </w:tc>
        <w:tc>
          <w:tcPr>
            <w:tcW w:w="1112" w:type="dxa"/>
            <w:vAlign w:val="bottom"/>
          </w:tcPr>
          <w:p w:rsidR="00A92422" w:rsidRPr="00D87B79" w:rsidRDefault="00A92422" w:rsidP="00EA30FC">
            <w:pPr>
              <w:pStyle w:val="AppendixBodyText"/>
              <w:jc w:val="center"/>
              <w:rPr>
                <w:rFonts w:ascii="Tahoma" w:hAnsi="Tahoma" w:cs="Tahoma"/>
                <w:sz w:val="18"/>
                <w:szCs w:val="18"/>
              </w:rPr>
            </w:pPr>
            <w:r w:rsidRPr="00D87B79">
              <w:rPr>
                <w:rFonts w:ascii="Tahoma" w:hAnsi="Tahoma" w:cs="Tahoma"/>
                <w:sz w:val="18"/>
                <w:szCs w:val="18"/>
                <w:lang w:val="it-IT"/>
              </w:rPr>
              <w:t>GBP</w:t>
            </w:r>
          </w:p>
        </w:tc>
        <w:tc>
          <w:tcPr>
            <w:tcW w:w="3152" w:type="dxa"/>
            <w:vAlign w:val="bottom"/>
          </w:tcPr>
          <w:p w:rsidR="00A92422" w:rsidRPr="00D87B79" w:rsidRDefault="00A92422" w:rsidP="00EA30FC">
            <w:pPr>
              <w:pStyle w:val="AppendixBodyText"/>
              <w:jc w:val="right"/>
              <w:rPr>
                <w:rFonts w:ascii="Tahoma" w:hAnsi="Tahoma" w:cs="Tahoma"/>
                <w:sz w:val="18"/>
                <w:szCs w:val="18"/>
              </w:rPr>
            </w:pPr>
            <w:r w:rsidRPr="00D87B79">
              <w:rPr>
                <w:rFonts w:ascii="Tahoma" w:hAnsi="Tahoma" w:cs="Tahoma"/>
                <w:sz w:val="18"/>
                <w:szCs w:val="18"/>
              </w:rPr>
              <w:t xml:space="preserve"> </w:t>
            </w:r>
            <w:r w:rsidRPr="00D87B79">
              <w:rPr>
                <w:rFonts w:ascii="Tahoma" w:hAnsi="Tahoma" w:cs="Tahoma"/>
                <w:color w:val="000000"/>
                <w:sz w:val="18"/>
              </w:rPr>
              <w:t>168</w:t>
            </w:r>
            <w:r>
              <w:rPr>
                <w:rFonts w:ascii="Tahoma" w:hAnsi="Tahoma" w:cs="Tahoma"/>
                <w:color w:val="000000"/>
                <w:sz w:val="18"/>
              </w:rPr>
              <w:t>.</w:t>
            </w:r>
            <w:r w:rsidRPr="00D87B79">
              <w:rPr>
                <w:rFonts w:ascii="Tahoma" w:hAnsi="Tahoma" w:cs="Tahoma"/>
                <w:color w:val="000000"/>
                <w:sz w:val="18"/>
              </w:rPr>
              <w:t>750</w:t>
            </w:r>
            <w:r w:rsidRPr="00D87B79">
              <w:rPr>
                <w:rFonts w:ascii="Tahoma" w:hAnsi="Tahoma" w:cs="Tahoma"/>
              </w:rPr>
              <w:t xml:space="preserve"> </w:t>
            </w:r>
          </w:p>
        </w:tc>
      </w:tr>
      <w:tr w:rsidR="00A92422" w:rsidRPr="00D87B79" w:rsidTr="00EA30FC">
        <w:trPr>
          <w:trHeight w:val="236"/>
        </w:trPr>
        <w:tc>
          <w:tcPr>
            <w:tcW w:w="1757"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Yen Giapponesi</w:t>
            </w:r>
          </w:p>
        </w:tc>
        <w:tc>
          <w:tcPr>
            <w:tcW w:w="1112" w:type="dxa"/>
            <w:vAlign w:val="bottom"/>
          </w:tcPr>
          <w:p w:rsidR="00A92422" w:rsidRPr="00D87B79" w:rsidRDefault="00A92422" w:rsidP="00EA30FC">
            <w:pPr>
              <w:pStyle w:val="AppendixBodyText"/>
              <w:jc w:val="center"/>
              <w:rPr>
                <w:rFonts w:ascii="Tahoma" w:hAnsi="Tahoma" w:cs="Tahoma"/>
                <w:sz w:val="18"/>
                <w:szCs w:val="18"/>
              </w:rPr>
            </w:pPr>
            <w:r w:rsidRPr="00D87B79">
              <w:rPr>
                <w:rFonts w:ascii="Tahoma" w:hAnsi="Tahoma" w:cs="Tahoma"/>
                <w:sz w:val="18"/>
                <w:szCs w:val="18"/>
                <w:lang w:val="it-IT"/>
              </w:rPr>
              <w:t>JPY</w:t>
            </w:r>
          </w:p>
        </w:tc>
        <w:tc>
          <w:tcPr>
            <w:tcW w:w="3152" w:type="dxa"/>
            <w:vAlign w:val="bottom"/>
          </w:tcPr>
          <w:p w:rsidR="00A92422" w:rsidRPr="00D87B79" w:rsidRDefault="00A92422" w:rsidP="00EA30FC">
            <w:pPr>
              <w:pStyle w:val="AppendixBodyText"/>
              <w:jc w:val="right"/>
              <w:rPr>
                <w:rFonts w:ascii="Tahoma" w:hAnsi="Tahoma" w:cs="Tahoma"/>
                <w:sz w:val="18"/>
                <w:szCs w:val="18"/>
              </w:rPr>
            </w:pPr>
            <w:r w:rsidRPr="00D87B79">
              <w:rPr>
                <w:rFonts w:ascii="Tahoma" w:hAnsi="Tahoma" w:cs="Tahoma"/>
                <w:color w:val="000000"/>
                <w:sz w:val="18"/>
                <w:szCs w:val="18"/>
              </w:rPr>
              <w:t xml:space="preserve"> </w:t>
            </w:r>
            <w:r w:rsidRPr="00D87B79">
              <w:rPr>
                <w:rFonts w:ascii="Tahoma" w:hAnsi="Tahoma" w:cs="Tahoma"/>
                <w:color w:val="000000"/>
                <w:sz w:val="18"/>
              </w:rPr>
              <w:t>30</w:t>
            </w:r>
            <w:r>
              <w:rPr>
                <w:rFonts w:ascii="Tahoma" w:hAnsi="Tahoma" w:cs="Tahoma"/>
                <w:color w:val="000000"/>
                <w:sz w:val="18"/>
              </w:rPr>
              <w:t>.</w:t>
            </w:r>
            <w:r w:rsidRPr="00D87B79">
              <w:rPr>
                <w:rFonts w:ascii="Tahoma" w:hAnsi="Tahoma" w:cs="Tahoma"/>
                <w:color w:val="000000"/>
                <w:sz w:val="18"/>
              </w:rPr>
              <w:t>000</w:t>
            </w:r>
            <w:r>
              <w:rPr>
                <w:rFonts w:ascii="Tahoma" w:hAnsi="Tahoma" w:cs="Tahoma"/>
                <w:color w:val="000000"/>
                <w:sz w:val="18"/>
              </w:rPr>
              <w:t>.</w:t>
            </w:r>
            <w:r w:rsidRPr="00D87B79">
              <w:rPr>
                <w:rFonts w:ascii="Tahoma" w:hAnsi="Tahoma" w:cs="Tahoma"/>
                <w:color w:val="000000"/>
                <w:sz w:val="18"/>
              </w:rPr>
              <w:t>000</w:t>
            </w:r>
            <w:r w:rsidRPr="00D87B79">
              <w:rPr>
                <w:rFonts w:ascii="Tahoma" w:hAnsi="Tahoma" w:cs="Tahoma"/>
              </w:rPr>
              <w:t xml:space="preserve"> </w:t>
            </w:r>
          </w:p>
        </w:tc>
      </w:tr>
      <w:tr w:rsidR="00A92422" w:rsidRPr="00D87B79" w:rsidTr="00EA30FC">
        <w:trPr>
          <w:trHeight w:val="236"/>
        </w:trPr>
        <w:tc>
          <w:tcPr>
            <w:tcW w:w="1757"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Won Coreani</w:t>
            </w:r>
          </w:p>
        </w:tc>
        <w:tc>
          <w:tcPr>
            <w:tcW w:w="1112" w:type="dxa"/>
            <w:vAlign w:val="bottom"/>
          </w:tcPr>
          <w:p w:rsidR="00A92422" w:rsidRPr="00D87B79" w:rsidRDefault="00A92422" w:rsidP="00EA30FC">
            <w:pPr>
              <w:pStyle w:val="AppendixBodyText"/>
              <w:jc w:val="center"/>
              <w:rPr>
                <w:rFonts w:ascii="Tahoma" w:hAnsi="Tahoma" w:cs="Tahoma"/>
                <w:sz w:val="18"/>
                <w:szCs w:val="18"/>
              </w:rPr>
            </w:pPr>
            <w:r w:rsidRPr="00D87B79">
              <w:rPr>
                <w:rFonts w:ascii="Tahoma" w:hAnsi="Tahoma" w:cs="Tahoma"/>
                <w:sz w:val="18"/>
                <w:szCs w:val="18"/>
                <w:lang w:val="it-IT"/>
              </w:rPr>
              <w:t>KRW</w:t>
            </w:r>
          </w:p>
        </w:tc>
        <w:tc>
          <w:tcPr>
            <w:tcW w:w="3152" w:type="dxa"/>
            <w:vAlign w:val="bottom"/>
          </w:tcPr>
          <w:p w:rsidR="00A92422" w:rsidRPr="00D87B79" w:rsidRDefault="00A92422" w:rsidP="00EA30FC">
            <w:pPr>
              <w:pStyle w:val="AppendixBodyText"/>
              <w:jc w:val="right"/>
              <w:rPr>
                <w:rFonts w:ascii="Tahoma" w:hAnsi="Tahoma" w:cs="Tahoma"/>
                <w:sz w:val="18"/>
                <w:szCs w:val="18"/>
              </w:rPr>
            </w:pPr>
            <w:r w:rsidRPr="00D87B79">
              <w:rPr>
                <w:rFonts w:ascii="Tahoma" w:hAnsi="Tahoma" w:cs="Tahoma"/>
                <w:color w:val="000000"/>
                <w:sz w:val="18"/>
                <w:szCs w:val="18"/>
              </w:rPr>
              <w:t xml:space="preserve"> </w:t>
            </w:r>
            <w:r w:rsidRPr="00D87B79">
              <w:rPr>
                <w:rFonts w:ascii="Tahoma" w:hAnsi="Tahoma" w:cs="Tahoma"/>
                <w:color w:val="000000"/>
                <w:sz w:val="18"/>
              </w:rPr>
              <w:t>300</w:t>
            </w:r>
            <w:r>
              <w:rPr>
                <w:rFonts w:ascii="Tahoma" w:hAnsi="Tahoma" w:cs="Tahoma"/>
                <w:color w:val="000000"/>
                <w:sz w:val="18"/>
              </w:rPr>
              <w:t>.</w:t>
            </w:r>
            <w:r w:rsidRPr="00D87B79">
              <w:rPr>
                <w:rFonts w:ascii="Tahoma" w:hAnsi="Tahoma" w:cs="Tahoma"/>
                <w:color w:val="000000"/>
                <w:sz w:val="18"/>
              </w:rPr>
              <w:t>000</w:t>
            </w:r>
            <w:r>
              <w:rPr>
                <w:rFonts w:ascii="Tahoma" w:hAnsi="Tahoma" w:cs="Tahoma"/>
                <w:color w:val="000000"/>
                <w:sz w:val="18"/>
              </w:rPr>
              <w:t>.</w:t>
            </w:r>
            <w:r w:rsidRPr="00D87B79">
              <w:rPr>
                <w:rFonts w:ascii="Tahoma" w:hAnsi="Tahoma" w:cs="Tahoma"/>
                <w:color w:val="000000"/>
                <w:sz w:val="18"/>
              </w:rPr>
              <w:t>000</w:t>
            </w:r>
            <w:r w:rsidRPr="00D87B79">
              <w:rPr>
                <w:rFonts w:ascii="Tahoma" w:hAnsi="Tahoma" w:cs="Tahoma"/>
              </w:rPr>
              <w:t xml:space="preserve"> </w:t>
            </w:r>
          </w:p>
        </w:tc>
      </w:tr>
      <w:tr w:rsidR="00A92422" w:rsidRPr="00D87B79" w:rsidTr="00EA30FC">
        <w:trPr>
          <w:trHeight w:val="236"/>
        </w:trPr>
        <w:tc>
          <w:tcPr>
            <w:tcW w:w="1757"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Corone Norvegesi</w:t>
            </w:r>
          </w:p>
        </w:tc>
        <w:tc>
          <w:tcPr>
            <w:tcW w:w="1112" w:type="dxa"/>
            <w:vAlign w:val="bottom"/>
          </w:tcPr>
          <w:p w:rsidR="00A92422" w:rsidRPr="00D87B79" w:rsidRDefault="00A92422" w:rsidP="00EA30FC">
            <w:pPr>
              <w:pStyle w:val="AppendixBodyText"/>
              <w:jc w:val="center"/>
              <w:rPr>
                <w:rFonts w:ascii="Tahoma" w:hAnsi="Tahoma" w:cs="Tahoma"/>
                <w:sz w:val="18"/>
                <w:szCs w:val="18"/>
              </w:rPr>
            </w:pPr>
            <w:r w:rsidRPr="00D87B79">
              <w:rPr>
                <w:rFonts w:ascii="Tahoma" w:hAnsi="Tahoma" w:cs="Tahoma"/>
                <w:sz w:val="18"/>
                <w:szCs w:val="18"/>
                <w:lang w:val="it-IT"/>
              </w:rPr>
              <w:t>NOK</w:t>
            </w:r>
          </w:p>
        </w:tc>
        <w:tc>
          <w:tcPr>
            <w:tcW w:w="3152" w:type="dxa"/>
            <w:vAlign w:val="bottom"/>
          </w:tcPr>
          <w:p w:rsidR="00A92422" w:rsidRPr="00D87B79" w:rsidRDefault="00A92422" w:rsidP="00EA30FC">
            <w:pPr>
              <w:pStyle w:val="AppendixBodyText"/>
              <w:jc w:val="right"/>
              <w:rPr>
                <w:rFonts w:ascii="Tahoma" w:hAnsi="Tahoma" w:cs="Tahoma"/>
                <w:sz w:val="18"/>
                <w:szCs w:val="18"/>
              </w:rPr>
            </w:pPr>
            <w:r w:rsidRPr="00D87B79">
              <w:rPr>
                <w:rFonts w:ascii="Tahoma" w:hAnsi="Tahoma" w:cs="Tahoma"/>
                <w:color w:val="000000"/>
                <w:sz w:val="18"/>
                <w:szCs w:val="18"/>
              </w:rPr>
              <w:t xml:space="preserve"> </w:t>
            </w:r>
            <w:r w:rsidRPr="00D87B79">
              <w:rPr>
                <w:rFonts w:ascii="Tahoma" w:hAnsi="Tahoma" w:cs="Tahoma"/>
                <w:color w:val="000000"/>
                <w:sz w:val="18"/>
              </w:rPr>
              <w:t>2</w:t>
            </w:r>
            <w:r>
              <w:rPr>
                <w:rFonts w:ascii="Tahoma" w:hAnsi="Tahoma" w:cs="Tahoma"/>
                <w:color w:val="000000"/>
                <w:sz w:val="18"/>
              </w:rPr>
              <w:t>.</w:t>
            </w:r>
            <w:r w:rsidRPr="00D87B79">
              <w:rPr>
                <w:rFonts w:ascii="Tahoma" w:hAnsi="Tahoma" w:cs="Tahoma"/>
                <w:color w:val="000000"/>
                <w:sz w:val="18"/>
              </w:rPr>
              <w:t>062</w:t>
            </w:r>
            <w:r>
              <w:rPr>
                <w:rFonts w:ascii="Tahoma" w:hAnsi="Tahoma" w:cs="Tahoma"/>
                <w:color w:val="000000"/>
                <w:sz w:val="18"/>
              </w:rPr>
              <w:t>.</w:t>
            </w:r>
            <w:r w:rsidRPr="00D87B79">
              <w:rPr>
                <w:rFonts w:ascii="Tahoma" w:hAnsi="Tahoma" w:cs="Tahoma"/>
                <w:color w:val="000000"/>
                <w:sz w:val="18"/>
              </w:rPr>
              <w:t>500</w:t>
            </w:r>
            <w:r w:rsidRPr="00D87B79">
              <w:rPr>
                <w:rFonts w:ascii="Tahoma" w:hAnsi="Tahoma" w:cs="Tahoma"/>
              </w:rPr>
              <w:t xml:space="preserve"> </w:t>
            </w:r>
          </w:p>
        </w:tc>
      </w:tr>
      <w:tr w:rsidR="00A92422" w:rsidRPr="00D87B79" w:rsidTr="00EA30FC">
        <w:trPr>
          <w:trHeight w:val="236"/>
        </w:trPr>
        <w:tc>
          <w:tcPr>
            <w:tcW w:w="1757"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Dollaro neozelandese</w:t>
            </w:r>
          </w:p>
        </w:tc>
        <w:tc>
          <w:tcPr>
            <w:tcW w:w="1112" w:type="dxa"/>
            <w:vAlign w:val="bottom"/>
          </w:tcPr>
          <w:p w:rsidR="00A92422" w:rsidRPr="00D87B79" w:rsidRDefault="00A92422" w:rsidP="00EA30FC">
            <w:pPr>
              <w:pStyle w:val="AppendixBodyText"/>
              <w:jc w:val="center"/>
              <w:rPr>
                <w:rFonts w:ascii="Tahoma" w:hAnsi="Tahoma" w:cs="Tahoma"/>
                <w:sz w:val="18"/>
                <w:szCs w:val="18"/>
              </w:rPr>
            </w:pPr>
            <w:r w:rsidRPr="00D87B79">
              <w:rPr>
                <w:rFonts w:ascii="Tahoma" w:hAnsi="Tahoma" w:cs="Tahoma"/>
                <w:sz w:val="18"/>
                <w:szCs w:val="18"/>
                <w:lang w:val="it-IT"/>
              </w:rPr>
              <w:t>NZD</w:t>
            </w:r>
          </w:p>
        </w:tc>
        <w:tc>
          <w:tcPr>
            <w:tcW w:w="3152" w:type="dxa"/>
            <w:vAlign w:val="bottom"/>
          </w:tcPr>
          <w:p w:rsidR="00A92422" w:rsidRPr="00D87B79" w:rsidRDefault="00A92422" w:rsidP="00EA30FC">
            <w:pPr>
              <w:pStyle w:val="AppendixBodyText"/>
              <w:jc w:val="right"/>
              <w:rPr>
                <w:rFonts w:ascii="Tahoma" w:hAnsi="Tahoma" w:cs="Tahoma"/>
                <w:sz w:val="18"/>
                <w:szCs w:val="18"/>
              </w:rPr>
            </w:pPr>
            <w:r w:rsidRPr="00D87B79">
              <w:rPr>
                <w:rFonts w:ascii="Tahoma" w:hAnsi="Tahoma" w:cs="Tahoma"/>
                <w:color w:val="000000"/>
                <w:sz w:val="18"/>
                <w:szCs w:val="18"/>
              </w:rPr>
              <w:t xml:space="preserve"> </w:t>
            </w:r>
            <w:r w:rsidRPr="00D87B79">
              <w:rPr>
                <w:rFonts w:ascii="Tahoma" w:hAnsi="Tahoma" w:cs="Tahoma"/>
                <w:color w:val="000000"/>
                <w:sz w:val="18"/>
              </w:rPr>
              <w:t>437</w:t>
            </w:r>
            <w:r>
              <w:rPr>
                <w:rFonts w:ascii="Tahoma" w:hAnsi="Tahoma" w:cs="Tahoma"/>
                <w:color w:val="000000"/>
                <w:sz w:val="18"/>
              </w:rPr>
              <w:t>.</w:t>
            </w:r>
            <w:r w:rsidRPr="00D87B79">
              <w:rPr>
                <w:rFonts w:ascii="Tahoma" w:hAnsi="Tahoma" w:cs="Tahoma"/>
                <w:color w:val="000000"/>
                <w:sz w:val="18"/>
              </w:rPr>
              <w:t>500</w:t>
            </w:r>
            <w:r w:rsidRPr="00D87B79">
              <w:rPr>
                <w:rFonts w:ascii="Tahoma" w:hAnsi="Tahoma" w:cs="Tahoma"/>
              </w:rPr>
              <w:t xml:space="preserve"> </w:t>
            </w:r>
          </w:p>
        </w:tc>
      </w:tr>
      <w:tr w:rsidR="00A92422" w:rsidRPr="00D87B79" w:rsidTr="00EA30FC">
        <w:trPr>
          <w:trHeight w:val="236"/>
        </w:trPr>
        <w:tc>
          <w:tcPr>
            <w:tcW w:w="1757"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Corone Svedesi</w:t>
            </w:r>
          </w:p>
        </w:tc>
        <w:tc>
          <w:tcPr>
            <w:tcW w:w="1112" w:type="dxa"/>
            <w:vAlign w:val="bottom"/>
          </w:tcPr>
          <w:p w:rsidR="00A92422" w:rsidRPr="00D87B79" w:rsidRDefault="00A92422" w:rsidP="00EA30FC">
            <w:pPr>
              <w:pStyle w:val="AppendixBodyText"/>
              <w:jc w:val="center"/>
              <w:rPr>
                <w:rFonts w:ascii="Tahoma" w:hAnsi="Tahoma" w:cs="Tahoma"/>
                <w:sz w:val="18"/>
                <w:szCs w:val="18"/>
              </w:rPr>
            </w:pPr>
            <w:r w:rsidRPr="00D87B79">
              <w:rPr>
                <w:rFonts w:ascii="Tahoma" w:hAnsi="Tahoma" w:cs="Tahoma"/>
                <w:sz w:val="18"/>
                <w:szCs w:val="18"/>
                <w:lang w:val="it-IT"/>
              </w:rPr>
              <w:t>SEK</w:t>
            </w:r>
          </w:p>
        </w:tc>
        <w:tc>
          <w:tcPr>
            <w:tcW w:w="3152" w:type="dxa"/>
            <w:vAlign w:val="bottom"/>
          </w:tcPr>
          <w:p w:rsidR="00A92422" w:rsidRPr="00D87B79" w:rsidRDefault="00A92422" w:rsidP="00EA30FC">
            <w:pPr>
              <w:pStyle w:val="AppendixBodyText"/>
              <w:jc w:val="right"/>
              <w:rPr>
                <w:rFonts w:ascii="Tahoma" w:hAnsi="Tahoma" w:cs="Tahoma"/>
                <w:sz w:val="18"/>
                <w:szCs w:val="18"/>
              </w:rPr>
            </w:pPr>
            <w:r w:rsidRPr="00D87B79">
              <w:rPr>
                <w:rFonts w:ascii="Tahoma" w:hAnsi="Tahoma" w:cs="Tahoma"/>
                <w:color w:val="000000"/>
                <w:sz w:val="18"/>
                <w:szCs w:val="18"/>
              </w:rPr>
              <w:t xml:space="preserve"> </w:t>
            </w:r>
            <w:r w:rsidRPr="00D87B79">
              <w:rPr>
                <w:rFonts w:ascii="Tahoma" w:hAnsi="Tahoma" w:cs="Tahoma"/>
                <w:color w:val="000000"/>
                <w:sz w:val="18"/>
              </w:rPr>
              <w:t>2</w:t>
            </w:r>
            <w:r>
              <w:rPr>
                <w:rFonts w:ascii="Tahoma" w:hAnsi="Tahoma" w:cs="Tahoma"/>
                <w:color w:val="000000"/>
                <w:sz w:val="18"/>
              </w:rPr>
              <w:t>.</w:t>
            </w:r>
            <w:r w:rsidRPr="00D87B79">
              <w:rPr>
                <w:rFonts w:ascii="Tahoma" w:hAnsi="Tahoma" w:cs="Tahoma"/>
                <w:color w:val="000000"/>
                <w:sz w:val="18"/>
              </w:rPr>
              <w:t>500</w:t>
            </w:r>
            <w:r>
              <w:rPr>
                <w:rFonts w:ascii="Tahoma" w:hAnsi="Tahoma" w:cs="Tahoma"/>
                <w:color w:val="000000"/>
                <w:sz w:val="18"/>
              </w:rPr>
              <w:t>.</w:t>
            </w:r>
            <w:r w:rsidRPr="00D87B79">
              <w:rPr>
                <w:rFonts w:ascii="Tahoma" w:hAnsi="Tahoma" w:cs="Tahoma"/>
                <w:color w:val="000000"/>
                <w:sz w:val="18"/>
              </w:rPr>
              <w:t>000</w:t>
            </w:r>
            <w:r w:rsidRPr="00D87B79">
              <w:rPr>
                <w:rFonts w:ascii="Tahoma" w:hAnsi="Tahoma" w:cs="Tahoma"/>
              </w:rPr>
              <w:t xml:space="preserve"> </w:t>
            </w:r>
          </w:p>
        </w:tc>
      </w:tr>
      <w:tr w:rsidR="00A92422" w:rsidRPr="00D87B79" w:rsidTr="00EA30FC">
        <w:trPr>
          <w:trHeight w:val="236"/>
        </w:trPr>
        <w:tc>
          <w:tcPr>
            <w:tcW w:w="1757"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szCs w:val="18"/>
                <w:lang w:val="it-IT"/>
              </w:rPr>
              <w:t>Nuovo dollaro taiwanese</w:t>
            </w:r>
          </w:p>
        </w:tc>
        <w:tc>
          <w:tcPr>
            <w:tcW w:w="1112" w:type="dxa"/>
            <w:vAlign w:val="bottom"/>
          </w:tcPr>
          <w:p w:rsidR="00A92422" w:rsidRPr="00D87B79" w:rsidRDefault="00A92422" w:rsidP="00EA30FC">
            <w:pPr>
              <w:pStyle w:val="AppendixBodyText"/>
              <w:jc w:val="center"/>
              <w:rPr>
                <w:rFonts w:ascii="Tahoma" w:hAnsi="Tahoma" w:cs="Tahoma"/>
                <w:sz w:val="18"/>
                <w:szCs w:val="18"/>
              </w:rPr>
            </w:pPr>
            <w:r w:rsidRPr="00D87B79">
              <w:rPr>
                <w:rFonts w:ascii="Tahoma" w:hAnsi="Tahoma" w:cs="Tahoma"/>
                <w:sz w:val="18"/>
                <w:szCs w:val="18"/>
                <w:lang w:val="it-IT"/>
              </w:rPr>
              <w:t>TWD</w:t>
            </w:r>
          </w:p>
        </w:tc>
        <w:tc>
          <w:tcPr>
            <w:tcW w:w="3152" w:type="dxa"/>
            <w:vAlign w:val="bottom"/>
          </w:tcPr>
          <w:p w:rsidR="00A92422" w:rsidRPr="00D87B79" w:rsidRDefault="00A92422" w:rsidP="00EA30FC">
            <w:pPr>
              <w:pStyle w:val="AppendixBodyText"/>
              <w:jc w:val="right"/>
              <w:rPr>
                <w:rFonts w:ascii="Tahoma" w:hAnsi="Tahoma" w:cs="Tahoma"/>
                <w:sz w:val="18"/>
                <w:szCs w:val="18"/>
              </w:rPr>
            </w:pPr>
            <w:r w:rsidRPr="00D87B79">
              <w:rPr>
                <w:rFonts w:ascii="Tahoma" w:hAnsi="Tahoma" w:cs="Tahoma"/>
                <w:color w:val="000000"/>
                <w:sz w:val="18"/>
                <w:szCs w:val="18"/>
              </w:rPr>
              <w:t xml:space="preserve"> </w:t>
            </w:r>
            <w:r w:rsidRPr="00D87B79">
              <w:rPr>
                <w:rFonts w:ascii="Tahoma" w:hAnsi="Tahoma" w:cs="Tahoma"/>
                <w:color w:val="000000"/>
                <w:sz w:val="18"/>
              </w:rPr>
              <w:t>8</w:t>
            </w:r>
            <w:r>
              <w:rPr>
                <w:rFonts w:ascii="Tahoma" w:hAnsi="Tahoma" w:cs="Tahoma"/>
                <w:color w:val="000000"/>
                <w:sz w:val="18"/>
              </w:rPr>
              <w:t>.</w:t>
            </w:r>
            <w:r w:rsidRPr="00D87B79">
              <w:rPr>
                <w:rFonts w:ascii="Tahoma" w:hAnsi="Tahoma" w:cs="Tahoma"/>
                <w:color w:val="000000"/>
                <w:sz w:val="18"/>
              </w:rPr>
              <w:t>750</w:t>
            </w:r>
            <w:r>
              <w:rPr>
                <w:rFonts w:ascii="Tahoma" w:hAnsi="Tahoma" w:cs="Tahoma"/>
                <w:color w:val="000000"/>
                <w:sz w:val="18"/>
              </w:rPr>
              <w:t>.</w:t>
            </w:r>
            <w:r w:rsidRPr="00D87B79">
              <w:rPr>
                <w:rFonts w:ascii="Tahoma" w:hAnsi="Tahoma" w:cs="Tahoma"/>
                <w:color w:val="000000"/>
                <w:sz w:val="18"/>
              </w:rPr>
              <w:t>000</w:t>
            </w:r>
            <w:r w:rsidRPr="00D87B79">
              <w:rPr>
                <w:rFonts w:ascii="Tahoma" w:hAnsi="Tahoma" w:cs="Tahoma"/>
              </w:rPr>
              <w:t xml:space="preserve"> </w:t>
            </w:r>
          </w:p>
        </w:tc>
      </w:tr>
      <w:tr w:rsidR="00A92422" w:rsidRPr="00D87B79" w:rsidTr="00EA30FC">
        <w:trPr>
          <w:trHeight w:val="236"/>
        </w:trPr>
        <w:tc>
          <w:tcPr>
            <w:tcW w:w="1757"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lang w:val="it-IT"/>
              </w:rPr>
              <w:t>Rupia indiana</w:t>
            </w:r>
          </w:p>
        </w:tc>
        <w:tc>
          <w:tcPr>
            <w:tcW w:w="1112" w:type="dxa"/>
            <w:vAlign w:val="bottom"/>
          </w:tcPr>
          <w:p w:rsidR="00A92422" w:rsidRPr="00D87B79" w:rsidRDefault="00A92422" w:rsidP="00EA30FC">
            <w:pPr>
              <w:pStyle w:val="AppendixBodyText"/>
              <w:jc w:val="center"/>
              <w:rPr>
                <w:rFonts w:ascii="Tahoma" w:hAnsi="Tahoma" w:cs="Tahoma"/>
                <w:sz w:val="18"/>
                <w:szCs w:val="18"/>
              </w:rPr>
            </w:pPr>
            <w:r w:rsidRPr="00D87B79">
              <w:rPr>
                <w:rFonts w:ascii="Tahoma" w:hAnsi="Tahoma" w:cs="Tahoma"/>
                <w:sz w:val="18"/>
                <w:lang w:val="it-IT"/>
              </w:rPr>
              <w:t>INR</w:t>
            </w:r>
          </w:p>
        </w:tc>
        <w:tc>
          <w:tcPr>
            <w:tcW w:w="3152" w:type="dxa"/>
            <w:vAlign w:val="bottom"/>
          </w:tcPr>
          <w:p w:rsidR="00A92422" w:rsidRPr="00D87B79" w:rsidRDefault="00A92422" w:rsidP="00EA30FC">
            <w:pPr>
              <w:pStyle w:val="AppendixBodyText"/>
              <w:jc w:val="right"/>
              <w:rPr>
                <w:rFonts w:ascii="Tahoma" w:hAnsi="Tahoma" w:cs="Tahoma"/>
                <w:color w:val="000000"/>
                <w:sz w:val="18"/>
                <w:szCs w:val="18"/>
              </w:rPr>
            </w:pPr>
            <w:r w:rsidRPr="00D87B79">
              <w:rPr>
                <w:rFonts w:ascii="Tahoma" w:hAnsi="Tahoma" w:cs="Tahoma"/>
                <w:sz w:val="18"/>
              </w:rPr>
              <w:t>12</w:t>
            </w:r>
            <w:r>
              <w:rPr>
                <w:rFonts w:ascii="Tahoma" w:hAnsi="Tahoma" w:cs="Tahoma"/>
                <w:sz w:val="18"/>
              </w:rPr>
              <w:t>.</w:t>
            </w:r>
            <w:r w:rsidRPr="00D87B79">
              <w:rPr>
                <w:rFonts w:ascii="Tahoma" w:hAnsi="Tahoma" w:cs="Tahoma"/>
                <w:sz w:val="18"/>
              </w:rPr>
              <w:t>500</w:t>
            </w:r>
            <w:r>
              <w:rPr>
                <w:rFonts w:ascii="Tahoma" w:hAnsi="Tahoma" w:cs="Tahoma"/>
                <w:sz w:val="18"/>
              </w:rPr>
              <w:t>.</w:t>
            </w:r>
            <w:r w:rsidRPr="00D87B79">
              <w:rPr>
                <w:rFonts w:ascii="Tahoma" w:hAnsi="Tahoma" w:cs="Tahoma"/>
                <w:sz w:val="18"/>
              </w:rPr>
              <w:t>000</w:t>
            </w:r>
          </w:p>
        </w:tc>
      </w:tr>
      <w:tr w:rsidR="00A92422" w:rsidRPr="00D87B79" w:rsidTr="00EA30FC">
        <w:trPr>
          <w:trHeight w:val="236"/>
        </w:trPr>
        <w:tc>
          <w:tcPr>
            <w:tcW w:w="1757" w:type="dxa"/>
            <w:vAlign w:val="bottom"/>
          </w:tcPr>
          <w:p w:rsidR="00A92422" w:rsidRPr="00D87B79" w:rsidRDefault="00A92422" w:rsidP="00EA30FC">
            <w:pPr>
              <w:pStyle w:val="AppendixBodyText"/>
              <w:rPr>
                <w:rFonts w:ascii="Tahoma" w:hAnsi="Tahoma" w:cs="Tahoma"/>
                <w:sz w:val="18"/>
                <w:szCs w:val="18"/>
              </w:rPr>
            </w:pPr>
            <w:r w:rsidRPr="00D87B79">
              <w:rPr>
                <w:rFonts w:ascii="Tahoma" w:hAnsi="Tahoma" w:cs="Tahoma"/>
                <w:sz w:val="18"/>
                <w:lang w:val="it-IT"/>
              </w:rPr>
              <w:t>Rublo russo</w:t>
            </w:r>
          </w:p>
        </w:tc>
        <w:tc>
          <w:tcPr>
            <w:tcW w:w="1112" w:type="dxa"/>
            <w:vAlign w:val="bottom"/>
          </w:tcPr>
          <w:p w:rsidR="00A92422" w:rsidRPr="00D87B79" w:rsidRDefault="00A92422" w:rsidP="00EA30FC">
            <w:pPr>
              <w:pStyle w:val="AppendixBodyText"/>
              <w:jc w:val="center"/>
              <w:rPr>
                <w:rFonts w:ascii="Tahoma" w:hAnsi="Tahoma" w:cs="Tahoma"/>
                <w:sz w:val="18"/>
                <w:szCs w:val="18"/>
              </w:rPr>
            </w:pPr>
            <w:r w:rsidRPr="00D87B79">
              <w:rPr>
                <w:rFonts w:ascii="Tahoma" w:hAnsi="Tahoma" w:cs="Tahoma"/>
                <w:sz w:val="18"/>
                <w:lang w:val="it-IT"/>
              </w:rPr>
              <w:t>RUB</w:t>
            </w:r>
          </w:p>
        </w:tc>
        <w:tc>
          <w:tcPr>
            <w:tcW w:w="3152" w:type="dxa"/>
            <w:vAlign w:val="bottom"/>
          </w:tcPr>
          <w:p w:rsidR="00A92422" w:rsidRPr="00D87B79" w:rsidRDefault="00A92422" w:rsidP="00EA30FC">
            <w:pPr>
              <w:pStyle w:val="AppendixBodyText"/>
              <w:jc w:val="right"/>
              <w:rPr>
                <w:rFonts w:ascii="Tahoma" w:hAnsi="Tahoma" w:cs="Tahoma"/>
                <w:color w:val="000000"/>
                <w:sz w:val="18"/>
                <w:szCs w:val="18"/>
              </w:rPr>
            </w:pPr>
            <w:r w:rsidRPr="00D87B79">
              <w:rPr>
                <w:rFonts w:ascii="Tahoma" w:hAnsi="Tahoma" w:cs="Tahoma"/>
                <w:sz w:val="18"/>
              </w:rPr>
              <w:t>8</w:t>
            </w:r>
            <w:r>
              <w:rPr>
                <w:rFonts w:ascii="Tahoma" w:hAnsi="Tahoma" w:cs="Tahoma"/>
                <w:sz w:val="18"/>
              </w:rPr>
              <w:t>.</w:t>
            </w:r>
            <w:r w:rsidRPr="00D87B79">
              <w:rPr>
                <w:rFonts w:ascii="Tahoma" w:hAnsi="Tahoma" w:cs="Tahoma"/>
                <w:sz w:val="18"/>
              </w:rPr>
              <w:t>250</w:t>
            </w:r>
            <w:r>
              <w:rPr>
                <w:rFonts w:ascii="Tahoma" w:hAnsi="Tahoma" w:cs="Tahoma"/>
                <w:sz w:val="18"/>
              </w:rPr>
              <w:t>.</w:t>
            </w:r>
            <w:r w:rsidRPr="00D87B79">
              <w:rPr>
                <w:rFonts w:ascii="Tahoma" w:hAnsi="Tahoma" w:cs="Tahoma"/>
                <w:sz w:val="18"/>
              </w:rPr>
              <w:t>000</w:t>
            </w:r>
          </w:p>
        </w:tc>
      </w:tr>
    </w:tbl>
    <w:p w:rsidR="00A92422" w:rsidRPr="00D87B79" w:rsidRDefault="00A92422" w:rsidP="00A92422">
      <w:pPr>
        <w:pStyle w:val="Heading3"/>
        <w:rPr>
          <w:rFonts w:ascii="Tahoma" w:hAnsi="Tahoma" w:cs="Tahoma"/>
        </w:rPr>
      </w:pPr>
    </w:p>
    <w:p w:rsidR="00A92422" w:rsidRPr="00D87B79" w:rsidRDefault="00A92422" w:rsidP="00A92422">
      <w:pPr>
        <w:ind w:left="720"/>
        <w:jc w:val="both"/>
        <w:rPr>
          <w:rFonts w:cs="Tahoma"/>
        </w:rPr>
      </w:pPr>
    </w:p>
    <w:p w:rsidR="00A92422" w:rsidRPr="00D87B79" w:rsidRDefault="00A92422" w:rsidP="00A92422">
      <w:pPr>
        <w:jc w:val="both"/>
        <w:rPr>
          <w:rFonts w:cs="Tahoma"/>
        </w:rPr>
      </w:pPr>
      <w:r w:rsidRPr="00D87B79">
        <w:rPr>
          <w:rFonts w:cs="Tahoma"/>
          <w:lang w:val="it-IT"/>
        </w:rPr>
        <w:t>Quando l’impegno di spesa media annuale per SA su prodotti qualificanti della Piattaforma Applicativa idonei a</w:t>
      </w:r>
      <w:r>
        <w:rPr>
          <w:rFonts w:cs="Tahoma"/>
          <w:lang w:val="it-IT"/>
        </w:rPr>
        <w:t> </w:t>
      </w:r>
      <w:r w:rsidRPr="00D87B79">
        <w:rPr>
          <w:rFonts w:cs="Tahoma"/>
          <w:lang w:val="it-IT"/>
        </w:rPr>
        <w:t>beneficiare del PRS Illimitato 24x7 è superiore a $250.000, Microsoft non concederà gli interventi sulla base della spesa SA effettiva relativa a tali prodotti.</w:t>
      </w:r>
      <w:r w:rsidRPr="00D87B79">
        <w:rPr>
          <w:rFonts w:cs="Tahoma"/>
        </w:rPr>
        <w:t xml:space="preserve"> </w:t>
      </w:r>
      <w:r w:rsidRPr="00D87B79">
        <w:rPr>
          <w:rFonts w:cs="Tahoma"/>
          <w:lang w:val="it-IT"/>
        </w:rPr>
        <w:t>Qualora una società diventi idonea a beneficiare del PRS Illimitato 24x7 durante il periodo di validità dei contratti, qualunque intervento concesso precedentemente in base alla copertura SA e non utilizzato sarà sottratto dal saldo della società.</w:t>
      </w:r>
      <w:r w:rsidRPr="00D87B79">
        <w:rPr>
          <w:rFonts w:cs="Tahoma"/>
        </w:rPr>
        <w:t xml:space="preserve"> </w:t>
      </w:r>
      <w:r w:rsidRPr="00D87B79">
        <w:rPr>
          <w:rFonts w:cs="Tahoma"/>
          <w:lang w:val="it-IT"/>
        </w:rPr>
        <w:t>Gli interventi PRS Illimitati 24x7 non possono essere convertiti in</w:t>
      </w:r>
      <w:r>
        <w:rPr>
          <w:rFonts w:cs="Tahoma"/>
          <w:lang w:val="it-IT"/>
        </w:rPr>
        <w:t> </w:t>
      </w:r>
      <w:r w:rsidRPr="00D87B79">
        <w:rPr>
          <w:rFonts w:cs="Tahoma"/>
          <w:lang w:val="it-IT"/>
        </w:rPr>
        <w:t>ore o interventi di Supporto per la Risoluzione dei Problemi Premier.</w:t>
      </w:r>
      <w:r w:rsidRPr="00D87B79">
        <w:rPr>
          <w:rFonts w:cs="Tahoma"/>
        </w:rPr>
        <w:t xml:space="preserve"> </w:t>
      </w:r>
    </w:p>
    <w:p w:rsidR="00A92422" w:rsidRPr="00D87B79" w:rsidRDefault="00A92422" w:rsidP="00A92422">
      <w:pPr>
        <w:rPr>
          <w:rFonts w:cs="Tahoma"/>
        </w:rPr>
      </w:pPr>
    </w:p>
    <w:p w:rsidR="00A92422" w:rsidRPr="00D87B79" w:rsidRDefault="00A92422" w:rsidP="00A92422">
      <w:pPr>
        <w:jc w:val="both"/>
        <w:rPr>
          <w:rFonts w:cs="Tahoma"/>
        </w:rPr>
      </w:pPr>
      <w:r w:rsidRPr="00D87B79">
        <w:rPr>
          <w:rFonts w:cs="Tahoma"/>
          <w:lang w:val="it-IT"/>
        </w:rPr>
        <w:t>Le società che hanno stipulato Contratti per la Piattaforma Applicativa (APA) entrati in vigore prima del 1 luglio 2009, con una spesa media annuale per SA su prodotti qualificanti della Piattaforma Applicativa superiore a $250.000 e che dispongono di un Contratto Premier Services attivo, acquisiranno il diritto di beneficiare del PRS Illimitato 24x7 in</w:t>
      </w:r>
      <w:r>
        <w:rPr>
          <w:rFonts w:cs="Tahoma"/>
          <w:lang w:val="it-IT"/>
        </w:rPr>
        <w:t> </w:t>
      </w:r>
      <w:r w:rsidRPr="00D87B79">
        <w:rPr>
          <w:rFonts w:cs="Tahoma"/>
          <w:lang w:val="it-IT"/>
        </w:rPr>
        <w:t>occasione della prima ricorrenza annuale della data di entrata in vigore dell'APA.</w:t>
      </w:r>
      <w:r w:rsidRPr="00D87B79">
        <w:rPr>
          <w:rFonts w:cs="Tahoma"/>
        </w:rPr>
        <w:t xml:space="preserve"> </w:t>
      </w:r>
    </w:p>
    <w:p w:rsidR="00A92422" w:rsidRPr="00D87B79" w:rsidRDefault="00A92422" w:rsidP="00A92422">
      <w:pPr>
        <w:rPr>
          <w:rFonts w:cs="Tahoma"/>
        </w:rPr>
      </w:pPr>
    </w:p>
    <w:p w:rsidR="00A92422" w:rsidRPr="00D87B79" w:rsidRDefault="00A92422" w:rsidP="00A92422">
      <w:pPr>
        <w:spacing w:line="276" w:lineRule="auto"/>
        <w:rPr>
          <w:rFonts w:cs="Tahoma"/>
        </w:rPr>
      </w:pPr>
      <w:r w:rsidRPr="00D87B79">
        <w:rPr>
          <w:rFonts w:cs="Tahoma"/>
          <w:lang w:val="it-IT"/>
        </w:rPr>
        <w:t>(2) Le società che acquistano licenze per PDW e dispongono di un Contratto Premier Services attivo sono idonee per</w:t>
      </w:r>
      <w:r>
        <w:rPr>
          <w:rFonts w:cs="Tahoma"/>
          <w:lang w:val="it-IT"/>
        </w:rPr>
        <w:t> </w:t>
      </w:r>
      <w:r w:rsidRPr="00D87B79">
        <w:rPr>
          <w:rFonts w:cs="Tahoma"/>
          <w:lang w:val="it-IT"/>
        </w:rPr>
        <w:t>gli interventi PRS Illimitati 24x7.</w:t>
      </w:r>
    </w:p>
    <w:p w:rsidR="00A92422" w:rsidRPr="00D87B79" w:rsidRDefault="00A92422" w:rsidP="00A92422">
      <w:pPr>
        <w:spacing w:line="276" w:lineRule="auto"/>
        <w:rPr>
          <w:rFonts w:cs="Tahoma"/>
        </w:rPr>
      </w:pPr>
    </w:p>
    <w:p w:rsidR="00A92422" w:rsidRPr="00D87B79" w:rsidRDefault="00A92422" w:rsidP="00A92422">
      <w:pPr>
        <w:spacing w:line="276" w:lineRule="auto"/>
        <w:jc w:val="both"/>
        <w:rPr>
          <w:rFonts w:cs="Tahoma"/>
        </w:rPr>
      </w:pPr>
      <w:r w:rsidRPr="00D87B79">
        <w:rPr>
          <w:rFonts w:cs="Tahoma"/>
          <w:lang w:val="it-IT"/>
        </w:rPr>
        <w:t>Quando le società acquistano licenze per PDW, Microsoft non concederà interventi sulla base della spesa effettiva per</w:t>
      </w:r>
      <w:r>
        <w:rPr>
          <w:rFonts w:cs="Tahoma"/>
          <w:lang w:val="it-IT"/>
        </w:rPr>
        <w:t> </w:t>
      </w:r>
      <w:r w:rsidRPr="00D87B79">
        <w:rPr>
          <w:rFonts w:cs="Tahoma"/>
          <w:lang w:val="it-IT"/>
        </w:rPr>
        <w:t>SA relativa a tale prodotto.</w:t>
      </w:r>
      <w:r w:rsidRPr="00D87B79">
        <w:rPr>
          <w:rFonts w:cs="Tahoma"/>
        </w:rPr>
        <w:t xml:space="preserve"> </w:t>
      </w:r>
      <w:r w:rsidRPr="00D87B79">
        <w:rPr>
          <w:rFonts w:cs="Tahoma"/>
          <w:lang w:val="it-IT"/>
        </w:rPr>
        <w:t>Gli interventi PRS Illimitati 24x7 non possono essere convertiti in ore o interventi di</w:t>
      </w:r>
      <w:r>
        <w:rPr>
          <w:rFonts w:cs="Tahoma"/>
          <w:lang w:val="it-IT"/>
        </w:rPr>
        <w:t> </w:t>
      </w:r>
      <w:r w:rsidRPr="00D87B79">
        <w:rPr>
          <w:rFonts w:cs="Tahoma"/>
          <w:lang w:val="it-IT"/>
        </w:rPr>
        <w:t>Supporto per la Risoluzione dei Problemi Premier.</w:t>
      </w:r>
      <w:r w:rsidRPr="00D87B79">
        <w:rPr>
          <w:rFonts w:cs="Tahoma"/>
        </w:rPr>
        <w:t xml:space="preserve"> </w:t>
      </w:r>
    </w:p>
    <w:p w:rsidR="00A92422" w:rsidRPr="00D87B79" w:rsidRDefault="00A92422" w:rsidP="00A92422">
      <w:pPr>
        <w:jc w:val="both"/>
        <w:rPr>
          <w:rFonts w:cs="Tahoma"/>
        </w:rPr>
      </w:pPr>
      <w:r w:rsidRPr="00D87B79">
        <w:rPr>
          <w:rFonts w:cs="Tahoma"/>
          <w:color w:val="000000"/>
          <w:lang w:val="it-IT"/>
        </w:rPr>
        <w:t>Mentre il numero di interventi PRS 24x7 non viene determinato in base alla spesa SA, il numero di contatti di</w:t>
      </w:r>
      <w:r>
        <w:rPr>
          <w:rFonts w:cs="Tahoma"/>
          <w:color w:val="000000"/>
          <w:lang w:val="it-IT"/>
        </w:rPr>
        <w:t> </w:t>
      </w:r>
      <w:r w:rsidRPr="00D87B79">
        <w:rPr>
          <w:rFonts w:cs="Tahoma"/>
          <w:color w:val="000000"/>
          <w:lang w:val="it-IT"/>
        </w:rPr>
        <w:t>supporto consentiti per gestire il PRS Illimitato 24x7 varia in base all’ammontare della spesa SA.</w:t>
      </w:r>
      <w:r w:rsidRPr="00D87B79">
        <w:rPr>
          <w:rFonts w:cs="Tahoma"/>
        </w:rPr>
        <w:t xml:space="preserve"> </w:t>
      </w:r>
      <w:r w:rsidRPr="00D87B79">
        <w:rPr>
          <w:rFonts w:cs="Tahoma"/>
          <w:color w:val="000000"/>
          <w:lang w:val="it-IT"/>
        </w:rPr>
        <w:t>Tutte le società idonee hanno diritto ad almeno quattro contatti autorizzati più un contatto aggiuntivo per ogni $125.000 aggiuntivi di</w:t>
      </w:r>
      <w:r>
        <w:rPr>
          <w:rFonts w:cs="Tahoma"/>
          <w:color w:val="000000"/>
          <w:lang w:val="it-IT"/>
        </w:rPr>
        <w:t> </w:t>
      </w:r>
      <w:r w:rsidRPr="00D87B79">
        <w:rPr>
          <w:rFonts w:cs="Tahoma"/>
          <w:color w:val="000000"/>
          <w:lang w:val="it-IT"/>
        </w:rPr>
        <w:t>spesa SA in base al programma o ai programmi EAP o VL ai sensi dei quali hanno acquistato le licenze per PDW.</w:t>
      </w:r>
      <w:r w:rsidRPr="00D87B79">
        <w:rPr>
          <w:rFonts w:cs="Tahoma"/>
        </w:rPr>
        <w:t xml:space="preserve"> </w:t>
      </w:r>
      <w:r w:rsidRPr="00D87B79">
        <w:rPr>
          <w:rFonts w:cs="Tahoma"/>
          <w:color w:val="000000"/>
          <w:lang w:val="it-IT"/>
        </w:rPr>
        <w:lastRenderedPageBreak/>
        <w:t>In</w:t>
      </w:r>
      <w:r>
        <w:rPr>
          <w:rFonts w:cs="Tahoma"/>
          <w:color w:val="000000"/>
          <w:lang w:val="it-IT"/>
        </w:rPr>
        <w:t> </w:t>
      </w:r>
      <w:r w:rsidRPr="00D87B79">
        <w:rPr>
          <w:rFonts w:cs="Tahoma"/>
          <w:color w:val="000000"/>
          <w:lang w:val="it-IT"/>
        </w:rPr>
        <w:t>caso di contratti in valuta estera, le società idonee hanno diritto ad almeno quattro contratti autorizzati più un</w:t>
      </w:r>
      <w:r>
        <w:rPr>
          <w:rFonts w:cs="Tahoma"/>
          <w:color w:val="000000"/>
          <w:lang w:val="it-IT"/>
        </w:rPr>
        <w:t> </w:t>
      </w:r>
      <w:r w:rsidRPr="00D87B79">
        <w:rPr>
          <w:rFonts w:cs="Tahoma"/>
          <w:color w:val="000000"/>
          <w:lang w:val="it-IT"/>
        </w:rPr>
        <w:t>contratto aggiuntivo per ogni spesa SA incrementale pari a $125.000 della spesa SA media annuale effettuata nella valuta estera applicabile.</w:t>
      </w:r>
      <w:r w:rsidRPr="00D87B79">
        <w:rPr>
          <w:rFonts w:cs="Tahoma"/>
        </w:rPr>
        <w:t xml:space="preserve"> </w:t>
      </w:r>
      <w:r w:rsidRPr="00D87B79">
        <w:rPr>
          <w:rFonts w:cs="Tahoma"/>
          <w:color w:val="000000"/>
          <w:lang w:val="it-IT"/>
        </w:rPr>
        <w:t>Fare riferimento alla tabella seguente:</w:t>
      </w:r>
    </w:p>
    <w:p w:rsidR="00A92422" w:rsidRPr="00D87B79" w:rsidRDefault="00A92422" w:rsidP="00A92422">
      <w:pPr>
        <w:jc w:val="both"/>
        <w:rPr>
          <w:rFonts w:cs="Tahoma"/>
        </w:rPr>
      </w:pPr>
    </w:p>
    <w:p w:rsidR="00A92422" w:rsidRPr="00D87B79" w:rsidRDefault="00A92422" w:rsidP="00A92422">
      <w:pPr>
        <w:jc w:val="both"/>
        <w:rPr>
          <w:rFonts w:cs="Tahoma"/>
        </w:rPr>
      </w:pPr>
      <w:r w:rsidRPr="00D87B79">
        <w:rPr>
          <w:rFonts w:cs="Tahoma"/>
          <w:color w:val="000000"/>
          <w:lang w:val="it-IT"/>
        </w:rPr>
        <w:t>La seguente tabella si applica alle società in possesso di un’EAP o APA:</w:t>
      </w:r>
    </w:p>
    <w:p w:rsidR="00A92422" w:rsidRPr="00D87B79" w:rsidRDefault="00A92422" w:rsidP="00A92422">
      <w:pPr>
        <w:rPr>
          <w:rFonts w:cs="Tahoma"/>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92422" w:rsidRPr="00D87B79" w:rsidTr="00EA30FC">
        <w:tc>
          <w:tcPr>
            <w:tcW w:w="2160" w:type="dxa"/>
            <w:shd w:val="clear" w:color="auto" w:fill="FABF8F"/>
          </w:tcPr>
          <w:p w:rsidR="00A92422" w:rsidRPr="00D87B79" w:rsidRDefault="00A92422" w:rsidP="00EA30FC">
            <w:pPr>
              <w:jc w:val="center"/>
              <w:rPr>
                <w:rFonts w:cs="Tahoma"/>
                <w:color w:val="000000"/>
                <w:szCs w:val="18"/>
              </w:rPr>
            </w:pPr>
            <w:r w:rsidRPr="00D87B79">
              <w:rPr>
                <w:rFonts w:cs="Tahoma"/>
                <w:b/>
                <w:color w:val="000000"/>
                <w:lang w:val="it-IT"/>
              </w:rPr>
              <w:t>Spesa Media Annuale per SA</w:t>
            </w:r>
          </w:p>
        </w:tc>
        <w:tc>
          <w:tcPr>
            <w:tcW w:w="2520" w:type="dxa"/>
            <w:shd w:val="clear" w:color="auto" w:fill="FABF8F"/>
          </w:tcPr>
          <w:p w:rsidR="00A92422" w:rsidRPr="00D87B79" w:rsidRDefault="00A92422" w:rsidP="00EA30FC">
            <w:pPr>
              <w:jc w:val="center"/>
              <w:rPr>
                <w:rFonts w:cs="Tahoma"/>
                <w:color w:val="000000"/>
                <w:szCs w:val="18"/>
              </w:rPr>
            </w:pPr>
            <w:r w:rsidRPr="00D87B79">
              <w:rPr>
                <w:rFonts w:cs="Tahoma"/>
                <w:b/>
                <w:color w:val="000000"/>
                <w:lang w:val="it-IT"/>
              </w:rPr>
              <w:t>Contatti di supporto consentiti</w:t>
            </w:r>
          </w:p>
        </w:tc>
      </w:tr>
      <w:tr w:rsidR="00A92422" w:rsidRPr="00D87B79" w:rsidTr="00EA30FC">
        <w:tc>
          <w:tcPr>
            <w:tcW w:w="2160" w:type="dxa"/>
          </w:tcPr>
          <w:p w:rsidR="00A92422" w:rsidRPr="00D87B79" w:rsidRDefault="00A92422" w:rsidP="00EA30FC">
            <w:pPr>
              <w:jc w:val="center"/>
              <w:rPr>
                <w:rFonts w:cs="Tahoma"/>
                <w:color w:val="000000"/>
                <w:szCs w:val="18"/>
              </w:rPr>
            </w:pPr>
            <w:r w:rsidRPr="00D87B79">
              <w:rPr>
                <w:rFonts w:cs="Tahoma"/>
                <w:color w:val="000000"/>
                <w:szCs w:val="18"/>
              </w:rPr>
              <w:t>$250</w:t>
            </w:r>
            <w:r>
              <w:rPr>
                <w:rFonts w:cs="Tahoma"/>
                <w:color w:val="000000"/>
                <w:szCs w:val="18"/>
              </w:rPr>
              <w:t>.</w:t>
            </w:r>
            <w:r w:rsidRPr="00D87B79">
              <w:rPr>
                <w:rFonts w:cs="Tahoma"/>
                <w:color w:val="000000"/>
                <w:szCs w:val="18"/>
              </w:rPr>
              <w:t>000 - $374</w:t>
            </w:r>
            <w:r>
              <w:rPr>
                <w:rFonts w:cs="Tahoma"/>
                <w:color w:val="000000"/>
                <w:szCs w:val="18"/>
              </w:rPr>
              <w:t>.</w:t>
            </w:r>
            <w:r w:rsidRPr="00D87B79">
              <w:rPr>
                <w:rFonts w:cs="Tahoma"/>
                <w:color w:val="000000"/>
                <w:szCs w:val="18"/>
              </w:rPr>
              <w:t>999</w:t>
            </w:r>
          </w:p>
        </w:tc>
        <w:tc>
          <w:tcPr>
            <w:tcW w:w="2520" w:type="dxa"/>
          </w:tcPr>
          <w:p w:rsidR="00A92422" w:rsidRPr="00D87B79" w:rsidRDefault="00A92422" w:rsidP="00EA30FC">
            <w:pPr>
              <w:jc w:val="center"/>
              <w:rPr>
                <w:rFonts w:cs="Tahoma"/>
                <w:color w:val="000000"/>
                <w:szCs w:val="18"/>
              </w:rPr>
            </w:pPr>
            <w:r w:rsidRPr="00D87B79">
              <w:rPr>
                <w:rFonts w:cs="Tahoma"/>
                <w:color w:val="000000"/>
                <w:szCs w:val="18"/>
              </w:rPr>
              <w:t>4</w:t>
            </w:r>
          </w:p>
        </w:tc>
      </w:tr>
      <w:tr w:rsidR="00A92422" w:rsidRPr="00D87B79" w:rsidTr="00EA30FC">
        <w:tc>
          <w:tcPr>
            <w:tcW w:w="2160" w:type="dxa"/>
          </w:tcPr>
          <w:p w:rsidR="00A92422" w:rsidRPr="00D87B79" w:rsidRDefault="00A92422" w:rsidP="00EA30FC">
            <w:pPr>
              <w:jc w:val="center"/>
              <w:rPr>
                <w:rFonts w:cs="Tahoma"/>
                <w:szCs w:val="18"/>
              </w:rPr>
            </w:pPr>
            <w:r w:rsidRPr="00D87B79">
              <w:rPr>
                <w:rFonts w:cs="Tahoma"/>
                <w:szCs w:val="18"/>
              </w:rPr>
              <w:t>$375</w:t>
            </w:r>
            <w:r>
              <w:rPr>
                <w:rFonts w:cs="Tahoma"/>
                <w:szCs w:val="18"/>
              </w:rPr>
              <w:t>.</w:t>
            </w:r>
            <w:r w:rsidRPr="00D87B79">
              <w:rPr>
                <w:rFonts w:cs="Tahoma"/>
                <w:szCs w:val="18"/>
              </w:rPr>
              <w:t>000 - $499</w:t>
            </w:r>
            <w:r>
              <w:rPr>
                <w:rFonts w:cs="Tahoma"/>
                <w:szCs w:val="18"/>
              </w:rPr>
              <w:t>.</w:t>
            </w:r>
            <w:r w:rsidRPr="00D87B79">
              <w:rPr>
                <w:rFonts w:cs="Tahoma"/>
                <w:szCs w:val="18"/>
              </w:rPr>
              <w:t>999</w:t>
            </w:r>
          </w:p>
        </w:tc>
        <w:tc>
          <w:tcPr>
            <w:tcW w:w="2520" w:type="dxa"/>
          </w:tcPr>
          <w:p w:rsidR="00A92422" w:rsidRPr="00D87B79" w:rsidRDefault="00A92422" w:rsidP="00EA30FC">
            <w:pPr>
              <w:jc w:val="center"/>
              <w:rPr>
                <w:rFonts w:cs="Tahoma"/>
                <w:szCs w:val="18"/>
              </w:rPr>
            </w:pPr>
            <w:r w:rsidRPr="00D87B79">
              <w:rPr>
                <w:rFonts w:cs="Tahoma"/>
                <w:szCs w:val="18"/>
              </w:rPr>
              <w:t>5</w:t>
            </w:r>
          </w:p>
        </w:tc>
      </w:tr>
      <w:tr w:rsidR="00A92422" w:rsidRPr="00D87B79" w:rsidTr="00EA30FC">
        <w:tc>
          <w:tcPr>
            <w:tcW w:w="2160" w:type="dxa"/>
          </w:tcPr>
          <w:p w:rsidR="00A92422" w:rsidRPr="00D87B79" w:rsidRDefault="00A92422" w:rsidP="00EA30FC">
            <w:pPr>
              <w:jc w:val="center"/>
              <w:rPr>
                <w:rFonts w:cs="Tahoma"/>
                <w:szCs w:val="18"/>
              </w:rPr>
            </w:pPr>
            <w:r w:rsidRPr="00D87B79">
              <w:rPr>
                <w:rFonts w:cs="Tahoma"/>
                <w:szCs w:val="18"/>
              </w:rPr>
              <w:t>$500</w:t>
            </w:r>
            <w:r>
              <w:rPr>
                <w:rFonts w:cs="Tahoma"/>
                <w:szCs w:val="18"/>
              </w:rPr>
              <w:t>.</w:t>
            </w:r>
            <w:r w:rsidRPr="00D87B79">
              <w:rPr>
                <w:rFonts w:cs="Tahoma"/>
                <w:szCs w:val="18"/>
              </w:rPr>
              <w:t>000 - $624</w:t>
            </w:r>
            <w:r>
              <w:rPr>
                <w:rFonts w:cs="Tahoma"/>
                <w:szCs w:val="18"/>
              </w:rPr>
              <w:t>.</w:t>
            </w:r>
            <w:r w:rsidRPr="00D87B79">
              <w:rPr>
                <w:rFonts w:cs="Tahoma"/>
                <w:szCs w:val="18"/>
              </w:rPr>
              <w:t>999</w:t>
            </w:r>
          </w:p>
        </w:tc>
        <w:tc>
          <w:tcPr>
            <w:tcW w:w="2520" w:type="dxa"/>
          </w:tcPr>
          <w:p w:rsidR="00A92422" w:rsidRPr="00D87B79" w:rsidRDefault="00A92422" w:rsidP="00EA30FC">
            <w:pPr>
              <w:jc w:val="center"/>
              <w:rPr>
                <w:rFonts w:cs="Tahoma"/>
                <w:szCs w:val="18"/>
              </w:rPr>
            </w:pPr>
            <w:r w:rsidRPr="00D87B79">
              <w:rPr>
                <w:rFonts w:cs="Tahoma"/>
                <w:szCs w:val="18"/>
              </w:rPr>
              <w:t>6</w:t>
            </w:r>
          </w:p>
        </w:tc>
      </w:tr>
      <w:tr w:rsidR="00A92422" w:rsidRPr="00D87B79" w:rsidTr="00EA30FC">
        <w:tc>
          <w:tcPr>
            <w:tcW w:w="2160" w:type="dxa"/>
          </w:tcPr>
          <w:p w:rsidR="00A92422" w:rsidRPr="00D87B79" w:rsidRDefault="00A92422" w:rsidP="00EA30FC">
            <w:pPr>
              <w:jc w:val="center"/>
              <w:rPr>
                <w:rFonts w:cs="Tahoma"/>
                <w:szCs w:val="18"/>
              </w:rPr>
            </w:pPr>
            <w:r w:rsidRPr="00D87B79">
              <w:rPr>
                <w:rFonts w:cs="Tahoma"/>
                <w:szCs w:val="18"/>
              </w:rPr>
              <w:t>$625</w:t>
            </w:r>
            <w:r>
              <w:rPr>
                <w:rFonts w:cs="Tahoma"/>
                <w:szCs w:val="18"/>
              </w:rPr>
              <w:t>.</w:t>
            </w:r>
            <w:r w:rsidRPr="00D87B79">
              <w:rPr>
                <w:rFonts w:cs="Tahoma"/>
                <w:szCs w:val="18"/>
              </w:rPr>
              <w:t>000 - $749</w:t>
            </w:r>
            <w:r>
              <w:rPr>
                <w:rFonts w:cs="Tahoma"/>
                <w:szCs w:val="18"/>
              </w:rPr>
              <w:t>.</w:t>
            </w:r>
            <w:r w:rsidRPr="00D87B79">
              <w:rPr>
                <w:rFonts w:cs="Tahoma"/>
                <w:szCs w:val="18"/>
              </w:rPr>
              <w:t>999</w:t>
            </w:r>
          </w:p>
        </w:tc>
        <w:tc>
          <w:tcPr>
            <w:tcW w:w="2520" w:type="dxa"/>
          </w:tcPr>
          <w:p w:rsidR="00A92422" w:rsidRPr="00D87B79" w:rsidRDefault="00A92422" w:rsidP="00EA30FC">
            <w:pPr>
              <w:jc w:val="center"/>
              <w:rPr>
                <w:rFonts w:cs="Tahoma"/>
                <w:szCs w:val="18"/>
              </w:rPr>
            </w:pPr>
            <w:r w:rsidRPr="00D87B79">
              <w:rPr>
                <w:rFonts w:cs="Tahoma"/>
                <w:szCs w:val="18"/>
              </w:rPr>
              <w:t>7</w:t>
            </w:r>
          </w:p>
        </w:tc>
      </w:tr>
      <w:tr w:rsidR="00A92422" w:rsidRPr="00D87B79" w:rsidTr="00EA30FC">
        <w:tc>
          <w:tcPr>
            <w:tcW w:w="2160" w:type="dxa"/>
          </w:tcPr>
          <w:p w:rsidR="00A92422" w:rsidRPr="00D87B79" w:rsidRDefault="00A92422" w:rsidP="00EA30FC">
            <w:pPr>
              <w:jc w:val="center"/>
              <w:rPr>
                <w:rFonts w:cs="Tahoma"/>
                <w:szCs w:val="18"/>
              </w:rPr>
            </w:pPr>
            <w:r w:rsidRPr="00D87B79">
              <w:rPr>
                <w:rFonts w:cs="Tahoma"/>
                <w:szCs w:val="18"/>
              </w:rPr>
              <w:t>$750</w:t>
            </w:r>
            <w:r>
              <w:rPr>
                <w:rFonts w:cs="Tahoma"/>
                <w:szCs w:val="18"/>
              </w:rPr>
              <w:t>.</w:t>
            </w:r>
            <w:r w:rsidRPr="00D87B79">
              <w:rPr>
                <w:rFonts w:cs="Tahoma"/>
                <w:szCs w:val="18"/>
              </w:rPr>
              <w:t>000 - $874</w:t>
            </w:r>
            <w:r>
              <w:rPr>
                <w:rFonts w:cs="Tahoma"/>
                <w:szCs w:val="18"/>
              </w:rPr>
              <w:t>.</w:t>
            </w:r>
            <w:r w:rsidRPr="00D87B79">
              <w:rPr>
                <w:rFonts w:cs="Tahoma"/>
                <w:szCs w:val="18"/>
              </w:rPr>
              <w:t>999</w:t>
            </w:r>
          </w:p>
        </w:tc>
        <w:tc>
          <w:tcPr>
            <w:tcW w:w="2520" w:type="dxa"/>
          </w:tcPr>
          <w:p w:rsidR="00A92422" w:rsidRPr="00D87B79" w:rsidRDefault="00A92422" w:rsidP="00EA30FC">
            <w:pPr>
              <w:jc w:val="center"/>
              <w:rPr>
                <w:rFonts w:cs="Tahoma"/>
                <w:szCs w:val="18"/>
              </w:rPr>
            </w:pPr>
            <w:r w:rsidRPr="00D87B79">
              <w:rPr>
                <w:rFonts w:cs="Tahoma"/>
                <w:szCs w:val="18"/>
              </w:rPr>
              <w:t>8</w:t>
            </w:r>
          </w:p>
        </w:tc>
      </w:tr>
    </w:tbl>
    <w:p w:rsidR="00A92422" w:rsidRPr="00D87B79" w:rsidRDefault="00A92422" w:rsidP="00A92422">
      <w:pPr>
        <w:rPr>
          <w:rFonts w:cs="Tahoma"/>
        </w:rPr>
      </w:pPr>
    </w:p>
    <w:p w:rsidR="00A92422" w:rsidRPr="00D87B79" w:rsidRDefault="00A92422" w:rsidP="00A92422">
      <w:pPr>
        <w:rPr>
          <w:rFonts w:cs="Tahoma"/>
        </w:rPr>
      </w:pPr>
      <w:r w:rsidRPr="00D87B79">
        <w:rPr>
          <w:rFonts w:cs="Tahoma"/>
          <w:lang w:val="it-IT"/>
        </w:rPr>
        <w:t>La seguente tabella si applica alle società in possesso di licenze per PDW:</w:t>
      </w:r>
    </w:p>
    <w:p w:rsidR="00A92422" w:rsidRPr="00D87B79" w:rsidRDefault="00A92422" w:rsidP="00A92422">
      <w:pPr>
        <w:rPr>
          <w:rFonts w:cs="Tahoma"/>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92422" w:rsidRPr="00D87B79" w:rsidTr="00EA30FC">
        <w:tc>
          <w:tcPr>
            <w:tcW w:w="2160" w:type="dxa"/>
            <w:shd w:val="clear" w:color="auto" w:fill="FABF8F"/>
          </w:tcPr>
          <w:p w:rsidR="00A92422" w:rsidRPr="00D87B79" w:rsidRDefault="00A92422" w:rsidP="00EA30FC">
            <w:pPr>
              <w:jc w:val="center"/>
              <w:rPr>
                <w:rFonts w:cs="Tahoma"/>
                <w:color w:val="000000"/>
                <w:szCs w:val="18"/>
              </w:rPr>
            </w:pPr>
            <w:r w:rsidRPr="00D87B79">
              <w:rPr>
                <w:rFonts w:cs="Tahoma"/>
                <w:b/>
                <w:color w:val="000000"/>
                <w:lang w:val="it-IT"/>
              </w:rPr>
              <w:t>Spesa Media Annuale per SA</w:t>
            </w:r>
          </w:p>
        </w:tc>
        <w:tc>
          <w:tcPr>
            <w:tcW w:w="2520" w:type="dxa"/>
            <w:shd w:val="clear" w:color="auto" w:fill="FABF8F"/>
          </w:tcPr>
          <w:p w:rsidR="00A92422" w:rsidRPr="00D87B79" w:rsidRDefault="00A92422" w:rsidP="00EA30FC">
            <w:pPr>
              <w:jc w:val="center"/>
              <w:rPr>
                <w:rFonts w:cs="Tahoma"/>
                <w:color w:val="000000"/>
                <w:szCs w:val="18"/>
              </w:rPr>
            </w:pPr>
            <w:r w:rsidRPr="00D87B79">
              <w:rPr>
                <w:rFonts w:cs="Tahoma"/>
                <w:b/>
                <w:color w:val="000000"/>
                <w:lang w:val="it-IT"/>
              </w:rPr>
              <w:t>Contatti di supporto consentiti</w:t>
            </w:r>
          </w:p>
        </w:tc>
      </w:tr>
      <w:tr w:rsidR="00A92422" w:rsidRPr="00D87B79" w:rsidTr="00EA30FC">
        <w:tc>
          <w:tcPr>
            <w:tcW w:w="2160" w:type="dxa"/>
          </w:tcPr>
          <w:p w:rsidR="00A92422" w:rsidRPr="00D87B79" w:rsidRDefault="00A92422" w:rsidP="00EA30FC">
            <w:pPr>
              <w:jc w:val="center"/>
              <w:rPr>
                <w:rFonts w:cs="Tahoma"/>
                <w:color w:val="000000"/>
                <w:szCs w:val="18"/>
              </w:rPr>
            </w:pPr>
            <w:r w:rsidRPr="00D87B79">
              <w:rPr>
                <w:rFonts w:cs="Tahoma"/>
                <w:color w:val="000000"/>
              </w:rPr>
              <w:t>$</w:t>
            </w:r>
            <w:r w:rsidRPr="00D87B79">
              <w:rPr>
                <w:rFonts w:eastAsia="Times New Roman" w:cs="Tahoma"/>
                <w:color w:val="000000"/>
              </w:rPr>
              <w:t>0</w:t>
            </w:r>
            <w:r w:rsidRPr="00D87B79">
              <w:rPr>
                <w:rFonts w:cs="Tahoma"/>
                <w:color w:val="000000"/>
              </w:rPr>
              <w:t xml:space="preserve"> - $374</w:t>
            </w:r>
            <w:r>
              <w:rPr>
                <w:rFonts w:cs="Tahoma"/>
                <w:color w:val="000000"/>
              </w:rPr>
              <w:t>.</w:t>
            </w:r>
            <w:r w:rsidRPr="00D87B79">
              <w:rPr>
                <w:rFonts w:cs="Tahoma"/>
                <w:color w:val="000000"/>
              </w:rPr>
              <w:t>999</w:t>
            </w:r>
          </w:p>
        </w:tc>
        <w:tc>
          <w:tcPr>
            <w:tcW w:w="2520" w:type="dxa"/>
          </w:tcPr>
          <w:p w:rsidR="00A92422" w:rsidRPr="00D87B79" w:rsidRDefault="00A92422" w:rsidP="00EA30FC">
            <w:pPr>
              <w:jc w:val="center"/>
              <w:rPr>
                <w:rFonts w:cs="Tahoma"/>
                <w:color w:val="000000"/>
                <w:szCs w:val="18"/>
              </w:rPr>
            </w:pPr>
            <w:r w:rsidRPr="00D87B79">
              <w:rPr>
                <w:rFonts w:cs="Tahoma"/>
                <w:color w:val="000000"/>
                <w:szCs w:val="18"/>
              </w:rPr>
              <w:t>4</w:t>
            </w:r>
          </w:p>
        </w:tc>
      </w:tr>
      <w:tr w:rsidR="00A92422" w:rsidRPr="00D87B79" w:rsidTr="00EA30FC">
        <w:tc>
          <w:tcPr>
            <w:tcW w:w="2160" w:type="dxa"/>
          </w:tcPr>
          <w:p w:rsidR="00A92422" w:rsidRPr="00D87B79" w:rsidRDefault="00A92422" w:rsidP="00EA30FC">
            <w:pPr>
              <w:jc w:val="center"/>
              <w:rPr>
                <w:rFonts w:cs="Tahoma"/>
                <w:szCs w:val="18"/>
              </w:rPr>
            </w:pPr>
            <w:r w:rsidRPr="00D87B79">
              <w:rPr>
                <w:rFonts w:cs="Tahoma"/>
                <w:szCs w:val="18"/>
              </w:rPr>
              <w:t>$375</w:t>
            </w:r>
            <w:r>
              <w:rPr>
                <w:rFonts w:cs="Tahoma"/>
                <w:szCs w:val="18"/>
              </w:rPr>
              <w:t>.</w:t>
            </w:r>
            <w:r w:rsidRPr="00D87B79">
              <w:rPr>
                <w:rFonts w:cs="Tahoma"/>
                <w:szCs w:val="18"/>
              </w:rPr>
              <w:t>000 - $499</w:t>
            </w:r>
            <w:r>
              <w:rPr>
                <w:rFonts w:cs="Tahoma"/>
                <w:szCs w:val="18"/>
              </w:rPr>
              <w:t>.</w:t>
            </w:r>
            <w:r w:rsidRPr="00D87B79">
              <w:rPr>
                <w:rFonts w:cs="Tahoma"/>
                <w:szCs w:val="18"/>
              </w:rPr>
              <w:t>999</w:t>
            </w:r>
          </w:p>
        </w:tc>
        <w:tc>
          <w:tcPr>
            <w:tcW w:w="2520" w:type="dxa"/>
          </w:tcPr>
          <w:p w:rsidR="00A92422" w:rsidRPr="00D87B79" w:rsidRDefault="00A92422" w:rsidP="00EA30FC">
            <w:pPr>
              <w:jc w:val="center"/>
              <w:rPr>
                <w:rFonts w:cs="Tahoma"/>
                <w:szCs w:val="18"/>
              </w:rPr>
            </w:pPr>
            <w:r w:rsidRPr="00D87B79">
              <w:rPr>
                <w:rFonts w:cs="Tahoma"/>
                <w:szCs w:val="18"/>
              </w:rPr>
              <w:t>5</w:t>
            </w:r>
          </w:p>
        </w:tc>
      </w:tr>
      <w:tr w:rsidR="00A92422" w:rsidRPr="00D87B79" w:rsidTr="00EA30FC">
        <w:tc>
          <w:tcPr>
            <w:tcW w:w="2160" w:type="dxa"/>
          </w:tcPr>
          <w:p w:rsidR="00A92422" w:rsidRPr="00D87B79" w:rsidRDefault="00A92422" w:rsidP="00EA30FC">
            <w:pPr>
              <w:jc w:val="center"/>
              <w:rPr>
                <w:rFonts w:cs="Tahoma"/>
                <w:szCs w:val="18"/>
              </w:rPr>
            </w:pPr>
            <w:r w:rsidRPr="00D87B79">
              <w:rPr>
                <w:rFonts w:cs="Tahoma"/>
                <w:szCs w:val="18"/>
              </w:rPr>
              <w:t>$500</w:t>
            </w:r>
            <w:r>
              <w:rPr>
                <w:rFonts w:cs="Tahoma"/>
                <w:szCs w:val="18"/>
              </w:rPr>
              <w:t>.</w:t>
            </w:r>
            <w:r w:rsidRPr="00D87B79">
              <w:rPr>
                <w:rFonts w:cs="Tahoma"/>
                <w:szCs w:val="18"/>
              </w:rPr>
              <w:t>000 - $624</w:t>
            </w:r>
            <w:r>
              <w:rPr>
                <w:rFonts w:cs="Tahoma"/>
                <w:szCs w:val="18"/>
              </w:rPr>
              <w:t>.</w:t>
            </w:r>
            <w:r w:rsidRPr="00D87B79">
              <w:rPr>
                <w:rFonts w:cs="Tahoma"/>
                <w:szCs w:val="18"/>
              </w:rPr>
              <w:t>999</w:t>
            </w:r>
          </w:p>
        </w:tc>
        <w:tc>
          <w:tcPr>
            <w:tcW w:w="2520" w:type="dxa"/>
          </w:tcPr>
          <w:p w:rsidR="00A92422" w:rsidRPr="00D87B79" w:rsidRDefault="00A92422" w:rsidP="00EA30FC">
            <w:pPr>
              <w:jc w:val="center"/>
              <w:rPr>
                <w:rFonts w:cs="Tahoma"/>
                <w:szCs w:val="18"/>
              </w:rPr>
            </w:pPr>
            <w:r w:rsidRPr="00D87B79">
              <w:rPr>
                <w:rFonts w:cs="Tahoma"/>
                <w:szCs w:val="18"/>
              </w:rPr>
              <w:t>6</w:t>
            </w:r>
          </w:p>
        </w:tc>
      </w:tr>
      <w:tr w:rsidR="00A92422" w:rsidRPr="00D87B79" w:rsidTr="00EA30FC">
        <w:tc>
          <w:tcPr>
            <w:tcW w:w="2160" w:type="dxa"/>
          </w:tcPr>
          <w:p w:rsidR="00A92422" w:rsidRPr="00D87B79" w:rsidRDefault="00A92422" w:rsidP="00EA30FC">
            <w:pPr>
              <w:jc w:val="center"/>
              <w:rPr>
                <w:rFonts w:cs="Tahoma"/>
                <w:szCs w:val="18"/>
              </w:rPr>
            </w:pPr>
            <w:r w:rsidRPr="00D87B79">
              <w:rPr>
                <w:rFonts w:cs="Tahoma"/>
                <w:szCs w:val="18"/>
              </w:rPr>
              <w:t>$625</w:t>
            </w:r>
            <w:r>
              <w:rPr>
                <w:rFonts w:cs="Tahoma"/>
                <w:szCs w:val="18"/>
              </w:rPr>
              <w:t>.</w:t>
            </w:r>
            <w:r w:rsidRPr="00D87B79">
              <w:rPr>
                <w:rFonts w:cs="Tahoma"/>
                <w:szCs w:val="18"/>
              </w:rPr>
              <w:t>000 - $749</w:t>
            </w:r>
            <w:r>
              <w:rPr>
                <w:rFonts w:cs="Tahoma"/>
                <w:szCs w:val="18"/>
              </w:rPr>
              <w:t>.</w:t>
            </w:r>
            <w:r w:rsidRPr="00D87B79">
              <w:rPr>
                <w:rFonts w:cs="Tahoma"/>
                <w:szCs w:val="18"/>
              </w:rPr>
              <w:t>999</w:t>
            </w:r>
          </w:p>
        </w:tc>
        <w:tc>
          <w:tcPr>
            <w:tcW w:w="2520" w:type="dxa"/>
          </w:tcPr>
          <w:p w:rsidR="00A92422" w:rsidRPr="00D87B79" w:rsidRDefault="00A92422" w:rsidP="00EA30FC">
            <w:pPr>
              <w:jc w:val="center"/>
              <w:rPr>
                <w:rFonts w:cs="Tahoma"/>
                <w:szCs w:val="18"/>
              </w:rPr>
            </w:pPr>
            <w:r w:rsidRPr="00D87B79">
              <w:rPr>
                <w:rFonts w:cs="Tahoma"/>
                <w:szCs w:val="18"/>
              </w:rPr>
              <w:t>7</w:t>
            </w:r>
          </w:p>
        </w:tc>
      </w:tr>
      <w:tr w:rsidR="00A92422" w:rsidRPr="00D87B79" w:rsidTr="00EA30FC">
        <w:tc>
          <w:tcPr>
            <w:tcW w:w="2160" w:type="dxa"/>
          </w:tcPr>
          <w:p w:rsidR="00A92422" w:rsidRPr="00D87B79" w:rsidRDefault="00A92422" w:rsidP="00EA30FC">
            <w:pPr>
              <w:jc w:val="center"/>
              <w:rPr>
                <w:rFonts w:cs="Tahoma"/>
                <w:szCs w:val="18"/>
              </w:rPr>
            </w:pPr>
            <w:r w:rsidRPr="00D87B79">
              <w:rPr>
                <w:rFonts w:cs="Tahoma"/>
                <w:szCs w:val="18"/>
              </w:rPr>
              <w:t>$750</w:t>
            </w:r>
            <w:r>
              <w:rPr>
                <w:rFonts w:cs="Tahoma"/>
                <w:szCs w:val="18"/>
              </w:rPr>
              <w:t>.</w:t>
            </w:r>
            <w:r w:rsidRPr="00D87B79">
              <w:rPr>
                <w:rFonts w:cs="Tahoma"/>
                <w:szCs w:val="18"/>
              </w:rPr>
              <w:t>000 - $874</w:t>
            </w:r>
            <w:r>
              <w:rPr>
                <w:rFonts w:cs="Tahoma"/>
                <w:szCs w:val="18"/>
              </w:rPr>
              <w:t>.</w:t>
            </w:r>
            <w:r w:rsidRPr="00D87B79">
              <w:rPr>
                <w:rFonts w:cs="Tahoma"/>
                <w:szCs w:val="18"/>
              </w:rPr>
              <w:t>999</w:t>
            </w:r>
          </w:p>
        </w:tc>
        <w:tc>
          <w:tcPr>
            <w:tcW w:w="2520" w:type="dxa"/>
          </w:tcPr>
          <w:p w:rsidR="00A92422" w:rsidRPr="00D87B79" w:rsidRDefault="00A92422" w:rsidP="00EA30FC">
            <w:pPr>
              <w:jc w:val="center"/>
              <w:rPr>
                <w:rFonts w:cs="Tahoma"/>
                <w:szCs w:val="18"/>
              </w:rPr>
            </w:pPr>
            <w:r w:rsidRPr="00D87B79">
              <w:rPr>
                <w:rFonts w:cs="Tahoma"/>
                <w:szCs w:val="18"/>
              </w:rPr>
              <w:t>8</w:t>
            </w:r>
          </w:p>
        </w:tc>
      </w:tr>
    </w:tbl>
    <w:p w:rsidR="00A92422" w:rsidRPr="00D87B79" w:rsidRDefault="00A92422" w:rsidP="00A92422">
      <w:pPr>
        <w:jc w:val="both"/>
        <w:rPr>
          <w:rFonts w:cs="Tahoma"/>
        </w:rPr>
      </w:pPr>
    </w:p>
    <w:p w:rsidR="00A92422" w:rsidRPr="00D87B79" w:rsidRDefault="00A92422" w:rsidP="00A92422">
      <w:pPr>
        <w:jc w:val="both"/>
        <w:rPr>
          <w:rFonts w:cs="Tahoma"/>
        </w:rPr>
      </w:pPr>
      <w:r w:rsidRPr="00D87B79">
        <w:rPr>
          <w:rFonts w:cs="Tahoma"/>
          <w:szCs w:val="18"/>
          <w:lang w:val="it-IT"/>
        </w:rPr>
        <w:t>Le richieste di supporto dovrebbero essere effettuate via telefono o Web da un contatto designato dalla società e</w:t>
      </w:r>
      <w:r>
        <w:rPr>
          <w:rFonts w:cs="Tahoma"/>
          <w:szCs w:val="18"/>
          <w:lang w:val="it-IT"/>
        </w:rPr>
        <w:t> </w:t>
      </w:r>
      <w:r w:rsidRPr="00D87B79">
        <w:rPr>
          <w:rFonts w:cs="Tahoma"/>
          <w:szCs w:val="18"/>
          <w:lang w:val="it-IT"/>
        </w:rPr>
        <w:t>seguire la procedura descritta nel Contratto Premier Services della società.</w:t>
      </w:r>
      <w:r w:rsidRPr="00D87B79">
        <w:rPr>
          <w:rFonts w:cs="Tahoma"/>
          <w:szCs w:val="18"/>
        </w:rPr>
        <w:t xml:space="preserve"> </w:t>
      </w:r>
      <w:r w:rsidRPr="00D87B79">
        <w:rPr>
          <w:rFonts w:cs="Tahoma"/>
          <w:szCs w:val="18"/>
          <w:lang w:val="it-IT"/>
        </w:rPr>
        <w:t>Il vantaggio PRS Illimitato 24x7 include soltanto i Servizi per la Risoluzione dei Problemi.</w:t>
      </w:r>
      <w:r w:rsidRPr="00D87B79">
        <w:rPr>
          <w:rFonts w:cs="Tahoma"/>
          <w:szCs w:val="18"/>
        </w:rPr>
        <w:t xml:space="preserve"> </w:t>
      </w:r>
      <w:r w:rsidRPr="00D87B79">
        <w:rPr>
          <w:rFonts w:cs="Tahoma"/>
          <w:szCs w:val="18"/>
          <w:lang w:val="it-IT"/>
        </w:rPr>
        <w:t>Il tempo eventualmente dedicato dal Technical Account Manager (TAM) o dal Designated Support Engineer (DSE) alla risoluzione del problema sarà conteggiato nell’ambito del</w:t>
      </w:r>
      <w:r>
        <w:rPr>
          <w:rFonts w:cs="Tahoma"/>
          <w:szCs w:val="18"/>
          <w:lang w:val="it-IT"/>
        </w:rPr>
        <w:t> </w:t>
      </w:r>
      <w:r w:rsidRPr="00D87B79">
        <w:rPr>
          <w:rFonts w:cs="Tahoma"/>
          <w:szCs w:val="18"/>
          <w:lang w:val="it-IT"/>
        </w:rPr>
        <w:t>Contratto Premier Services della società.</w:t>
      </w:r>
      <w:r w:rsidRPr="00D87B79">
        <w:rPr>
          <w:rFonts w:cs="Tahoma"/>
          <w:szCs w:val="18"/>
        </w:rPr>
        <w:t xml:space="preserve"> </w:t>
      </w:r>
    </w:p>
    <w:p w:rsidR="00A92422" w:rsidRPr="003F5B7E" w:rsidRDefault="00A92422" w:rsidP="00A92422">
      <w:pPr>
        <w:pStyle w:val="Heading3"/>
        <w:rPr>
          <w:rFonts w:ascii="Tahoma" w:hAnsi="Tahoma" w:cs="Tahoma"/>
          <w:sz w:val="18"/>
          <w:szCs w:val="18"/>
        </w:rPr>
      </w:pPr>
    </w:p>
    <w:p w:rsidR="00A92422" w:rsidRPr="00D87B79" w:rsidRDefault="00A92422" w:rsidP="00A92422">
      <w:pPr>
        <w:pStyle w:val="Heading3"/>
        <w:rPr>
          <w:rFonts w:ascii="Tahoma" w:hAnsi="Tahoma" w:cs="Tahoma"/>
        </w:rPr>
      </w:pPr>
      <w:bookmarkStart w:id="866" w:name="_Toc336338238"/>
      <w:bookmarkStart w:id="867" w:name="_Toc342900290"/>
      <w:bookmarkEnd w:id="866"/>
      <w:r w:rsidRPr="00D87B79">
        <w:rPr>
          <w:rFonts w:ascii="Tahoma" w:hAnsi="Tahoma" w:cs="Tahoma"/>
          <w:color w:val="000000"/>
          <w:lang w:val="it-IT"/>
        </w:rPr>
        <w:t>System Center Advisor</w:t>
      </w:r>
      <w:bookmarkEnd w:id="867"/>
    </w:p>
    <w:p w:rsidR="00A92422" w:rsidRPr="00D87B79" w:rsidRDefault="00A92422" w:rsidP="00A92422">
      <w:pPr>
        <w:rPr>
          <w:rFonts w:cs="Tahoma"/>
        </w:rPr>
      </w:pPr>
    </w:p>
    <w:p w:rsidR="00A92422" w:rsidRPr="00D87B79" w:rsidRDefault="00A92422" w:rsidP="00A92422">
      <w:pPr>
        <w:rPr>
          <w:rFonts w:cs="Tahoma"/>
        </w:rPr>
      </w:pPr>
      <w:r w:rsidRPr="00D87B79">
        <w:rPr>
          <w:rFonts w:cs="Tahoma"/>
          <w:lang w:val="it-IT"/>
        </w:rPr>
        <w:t>Le società con copertura Software Assurance attiva per le licenze software per le edizioni di Windows Server, SQL Server, Exchange Server e SharePoint Server identificate nella tabella che segue sono idonee a utilizzare System Center Advisor come specificato nei Diritti di Utilizzo del Prodotto.</w:t>
      </w:r>
      <w:r w:rsidRPr="00D87B79">
        <w:rPr>
          <w:rFonts w:cs="Tahoma"/>
        </w:rPr>
        <w:t xml:space="preserve"> </w:t>
      </w:r>
    </w:p>
    <w:p w:rsidR="00A92422" w:rsidRPr="00D87B79" w:rsidRDefault="00A92422" w:rsidP="00A92422">
      <w:pPr>
        <w:outlineLvl w:val="2"/>
        <w:rPr>
          <w:rFonts w:cs="Tahoma"/>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1474"/>
      </w:tblGrid>
      <w:tr w:rsidR="00A92422" w:rsidRPr="00D87B79" w:rsidTr="00EA30FC">
        <w:trPr>
          <w:tblHeader/>
        </w:trPr>
        <w:tc>
          <w:tcPr>
            <w:tcW w:w="3760" w:type="dxa"/>
            <w:gridSpan w:val="2"/>
            <w:shd w:val="clear" w:color="auto" w:fill="FABF8F"/>
          </w:tcPr>
          <w:p w:rsidR="00A92422" w:rsidRPr="00D87B79" w:rsidRDefault="00A92422" w:rsidP="00EA30FC">
            <w:pPr>
              <w:spacing w:after="200" w:line="276" w:lineRule="auto"/>
              <w:jc w:val="center"/>
              <w:rPr>
                <w:rFonts w:cs="Tahoma"/>
                <w:b/>
                <w:bCs/>
                <w:color w:val="000000"/>
                <w:szCs w:val="18"/>
                <w:lang w:eastAsia="ja-JP"/>
              </w:rPr>
            </w:pPr>
            <w:r w:rsidRPr="00D87B79">
              <w:rPr>
                <w:rFonts w:cs="Tahoma"/>
                <w:b/>
                <w:bCs/>
                <w:color w:val="000000"/>
                <w:szCs w:val="18"/>
                <w:lang w:val="it-IT" w:eastAsia="ja-JP"/>
              </w:rPr>
              <w:t>Software Server Qualificante*</w:t>
            </w:r>
          </w:p>
        </w:tc>
        <w:tc>
          <w:tcPr>
            <w:tcW w:w="1774" w:type="dxa"/>
            <w:shd w:val="clear" w:color="auto" w:fill="FABF8F"/>
          </w:tcPr>
          <w:p w:rsidR="00A92422" w:rsidRPr="00D87B79" w:rsidRDefault="00A92422" w:rsidP="00EA30FC">
            <w:pPr>
              <w:spacing w:after="200" w:line="276" w:lineRule="auto"/>
              <w:jc w:val="center"/>
              <w:rPr>
                <w:rFonts w:cs="Tahoma"/>
                <w:b/>
                <w:bCs/>
                <w:color w:val="000000"/>
                <w:szCs w:val="18"/>
                <w:lang w:eastAsia="ja-JP"/>
              </w:rPr>
            </w:pPr>
          </w:p>
        </w:tc>
        <w:tc>
          <w:tcPr>
            <w:tcW w:w="1830" w:type="dxa"/>
            <w:shd w:val="clear" w:color="auto" w:fill="FABF8F"/>
          </w:tcPr>
          <w:p w:rsidR="00A92422" w:rsidRPr="00D87B79" w:rsidRDefault="00A92422" w:rsidP="00EA30FC">
            <w:pPr>
              <w:spacing w:after="200" w:line="276" w:lineRule="auto"/>
              <w:jc w:val="center"/>
              <w:rPr>
                <w:rFonts w:cs="Tahoma"/>
                <w:b/>
                <w:bCs/>
                <w:color w:val="000000"/>
                <w:szCs w:val="18"/>
                <w:lang w:eastAsia="ja-JP"/>
              </w:rPr>
            </w:pPr>
          </w:p>
        </w:tc>
        <w:tc>
          <w:tcPr>
            <w:tcW w:w="1474" w:type="dxa"/>
            <w:shd w:val="clear" w:color="auto" w:fill="FABF8F"/>
          </w:tcPr>
          <w:p w:rsidR="00A92422" w:rsidRPr="00D87B79" w:rsidRDefault="00A92422" w:rsidP="00EA30FC">
            <w:pPr>
              <w:spacing w:after="200" w:line="276" w:lineRule="auto"/>
              <w:jc w:val="center"/>
              <w:rPr>
                <w:rFonts w:cs="Tahoma"/>
                <w:b/>
                <w:bCs/>
                <w:color w:val="000000"/>
                <w:szCs w:val="18"/>
                <w:lang w:eastAsia="ja-JP"/>
              </w:rPr>
            </w:pPr>
          </w:p>
        </w:tc>
      </w:tr>
      <w:tr w:rsidR="00A92422" w:rsidRPr="00D87B79" w:rsidTr="00EA30FC">
        <w:trPr>
          <w:tblHeader/>
        </w:trPr>
        <w:tc>
          <w:tcPr>
            <w:tcW w:w="1912" w:type="dxa"/>
            <w:shd w:val="clear" w:color="auto" w:fill="FABF8F"/>
          </w:tcPr>
          <w:p w:rsidR="00A92422" w:rsidRPr="00D87B79" w:rsidRDefault="00A92422" w:rsidP="00EA30FC">
            <w:pPr>
              <w:spacing w:after="200" w:line="276" w:lineRule="auto"/>
              <w:jc w:val="center"/>
              <w:rPr>
                <w:rFonts w:cs="Tahoma"/>
                <w:color w:val="000000"/>
                <w:szCs w:val="18"/>
                <w:lang w:eastAsia="ja-JP"/>
              </w:rPr>
            </w:pPr>
            <w:r w:rsidRPr="00D87B79">
              <w:rPr>
                <w:rFonts w:cs="Tahoma"/>
                <w:b/>
                <w:color w:val="000000"/>
                <w:lang w:val="it-IT"/>
              </w:rPr>
              <w:t>Windows Server</w:t>
            </w:r>
          </w:p>
        </w:tc>
        <w:tc>
          <w:tcPr>
            <w:tcW w:w="1848" w:type="dxa"/>
            <w:shd w:val="clear" w:color="auto" w:fill="FABF8F"/>
          </w:tcPr>
          <w:p w:rsidR="00A92422" w:rsidRPr="00D87B79" w:rsidRDefault="00A92422" w:rsidP="00EA30FC">
            <w:pPr>
              <w:spacing w:after="200" w:line="276" w:lineRule="auto"/>
              <w:jc w:val="center"/>
              <w:rPr>
                <w:rFonts w:cs="Tahoma"/>
                <w:color w:val="000000"/>
                <w:szCs w:val="18"/>
                <w:lang w:eastAsia="ja-JP"/>
              </w:rPr>
            </w:pPr>
            <w:r w:rsidRPr="00D87B79">
              <w:rPr>
                <w:rFonts w:cs="Tahoma"/>
                <w:b/>
                <w:color w:val="000000"/>
                <w:lang w:val="it-IT"/>
              </w:rPr>
              <w:t>SQL Server</w:t>
            </w:r>
          </w:p>
        </w:tc>
        <w:tc>
          <w:tcPr>
            <w:tcW w:w="1774" w:type="dxa"/>
            <w:shd w:val="clear" w:color="auto" w:fill="FABF8F"/>
          </w:tcPr>
          <w:p w:rsidR="00A92422" w:rsidRPr="00D87B79" w:rsidRDefault="00A92422" w:rsidP="00EA30FC">
            <w:pPr>
              <w:spacing w:after="200" w:line="276" w:lineRule="auto"/>
              <w:jc w:val="center"/>
              <w:rPr>
                <w:rFonts w:cs="Tahoma"/>
                <w:b/>
                <w:bCs/>
                <w:color w:val="000000"/>
                <w:szCs w:val="18"/>
                <w:lang w:eastAsia="ja-JP"/>
              </w:rPr>
            </w:pPr>
            <w:r w:rsidRPr="00D87B79">
              <w:rPr>
                <w:rFonts w:cs="Tahoma"/>
                <w:b/>
                <w:color w:val="000000"/>
                <w:lang w:val="it-IT"/>
              </w:rPr>
              <w:t>Exchange Server</w:t>
            </w:r>
          </w:p>
        </w:tc>
        <w:tc>
          <w:tcPr>
            <w:tcW w:w="1830" w:type="dxa"/>
            <w:shd w:val="clear" w:color="auto" w:fill="FABF8F"/>
          </w:tcPr>
          <w:p w:rsidR="00A92422" w:rsidRPr="00D87B79" w:rsidRDefault="00A92422" w:rsidP="00EA30FC">
            <w:pPr>
              <w:spacing w:after="200" w:line="276" w:lineRule="auto"/>
              <w:jc w:val="center"/>
              <w:rPr>
                <w:rFonts w:cs="Tahoma"/>
                <w:b/>
                <w:bCs/>
                <w:color w:val="000000"/>
                <w:szCs w:val="18"/>
                <w:lang w:eastAsia="ja-JP"/>
              </w:rPr>
            </w:pPr>
            <w:r w:rsidRPr="00D87B79">
              <w:rPr>
                <w:rFonts w:cs="Tahoma"/>
                <w:b/>
                <w:color w:val="000000"/>
                <w:lang w:val="it-IT"/>
              </w:rPr>
              <w:t>SharePoint Server</w:t>
            </w:r>
          </w:p>
        </w:tc>
        <w:tc>
          <w:tcPr>
            <w:tcW w:w="1474" w:type="dxa"/>
            <w:shd w:val="clear" w:color="auto" w:fill="FABF8F"/>
          </w:tcPr>
          <w:p w:rsidR="00A92422" w:rsidRPr="00D87B79" w:rsidRDefault="00A92422" w:rsidP="00EA30FC">
            <w:pPr>
              <w:spacing w:after="200" w:line="276" w:lineRule="auto"/>
              <w:jc w:val="center"/>
              <w:rPr>
                <w:rFonts w:cs="Tahoma"/>
                <w:b/>
                <w:bCs/>
                <w:color w:val="000000"/>
                <w:szCs w:val="18"/>
                <w:lang w:eastAsia="ja-JP"/>
              </w:rPr>
            </w:pPr>
            <w:r w:rsidRPr="00D87B79">
              <w:rPr>
                <w:rFonts w:cs="Tahoma"/>
                <w:b/>
                <w:color w:val="000000"/>
                <w:lang w:val="it-IT"/>
              </w:rPr>
              <w:t>Lync Server</w:t>
            </w:r>
          </w:p>
        </w:tc>
      </w:tr>
      <w:tr w:rsidR="00A92422" w:rsidRPr="00D87B79" w:rsidTr="00EA30FC">
        <w:tc>
          <w:tcPr>
            <w:tcW w:w="1912" w:type="dxa"/>
          </w:tcPr>
          <w:p w:rsidR="00A92422" w:rsidRPr="00D87B79" w:rsidRDefault="00A92422" w:rsidP="00EA30FC">
            <w:pPr>
              <w:spacing w:after="200" w:line="276" w:lineRule="auto"/>
              <w:jc w:val="center"/>
              <w:rPr>
                <w:rFonts w:cs="Tahoma"/>
                <w:color w:val="000000"/>
                <w:szCs w:val="18"/>
                <w:lang w:eastAsia="ja-JP"/>
              </w:rPr>
            </w:pPr>
            <w:r w:rsidRPr="00D87B79">
              <w:rPr>
                <w:rFonts w:cs="Tahoma"/>
                <w:color w:val="000000"/>
                <w:szCs w:val="18"/>
                <w:lang w:val="it-IT" w:eastAsia="ja-JP"/>
              </w:rPr>
              <w:t>Windows Server Datacenter</w:t>
            </w:r>
          </w:p>
        </w:tc>
        <w:tc>
          <w:tcPr>
            <w:tcW w:w="1848" w:type="dxa"/>
          </w:tcPr>
          <w:p w:rsidR="00A92422" w:rsidRPr="00D87B79" w:rsidRDefault="00A92422" w:rsidP="00EA30FC">
            <w:pPr>
              <w:spacing w:after="200" w:line="276" w:lineRule="auto"/>
              <w:jc w:val="center"/>
              <w:rPr>
                <w:rFonts w:cs="Tahoma"/>
                <w:color w:val="000000"/>
                <w:szCs w:val="18"/>
                <w:lang w:eastAsia="ja-JP"/>
              </w:rPr>
            </w:pPr>
            <w:r w:rsidRPr="00D87B79">
              <w:rPr>
                <w:rFonts w:cs="Tahoma"/>
                <w:color w:val="000000"/>
                <w:szCs w:val="18"/>
                <w:lang w:val="it-IT" w:eastAsia="ja-JP"/>
              </w:rPr>
              <w:t>SQL Server Parallel Data Warehouse</w:t>
            </w:r>
            <w:r w:rsidRPr="00D87B79">
              <w:rPr>
                <w:rFonts w:cs="Tahoma"/>
                <w:color w:val="000000"/>
                <w:szCs w:val="18"/>
                <w:lang w:eastAsia="ja-JP"/>
              </w:rPr>
              <w:t xml:space="preserve"> </w:t>
            </w:r>
          </w:p>
        </w:tc>
        <w:tc>
          <w:tcPr>
            <w:tcW w:w="1774" w:type="dxa"/>
          </w:tcPr>
          <w:p w:rsidR="00A92422" w:rsidRPr="00D87B79" w:rsidRDefault="00A92422" w:rsidP="00EA30FC">
            <w:pPr>
              <w:spacing w:after="200" w:line="276" w:lineRule="auto"/>
              <w:jc w:val="center"/>
              <w:rPr>
                <w:rFonts w:cs="Tahoma"/>
                <w:color w:val="000000"/>
                <w:szCs w:val="18"/>
                <w:lang w:eastAsia="ja-JP"/>
              </w:rPr>
            </w:pPr>
            <w:r w:rsidRPr="00D87B79">
              <w:rPr>
                <w:rFonts w:cs="Tahoma"/>
                <w:color w:val="000000"/>
                <w:lang w:val="it-IT"/>
              </w:rPr>
              <w:t>Exchange Small Business Server</w:t>
            </w:r>
          </w:p>
        </w:tc>
        <w:tc>
          <w:tcPr>
            <w:tcW w:w="1830" w:type="dxa"/>
          </w:tcPr>
          <w:p w:rsidR="00A92422" w:rsidRPr="00D87B79" w:rsidRDefault="00A92422" w:rsidP="00EA30FC">
            <w:pPr>
              <w:spacing w:after="200" w:line="276" w:lineRule="auto"/>
              <w:jc w:val="center"/>
              <w:rPr>
                <w:rFonts w:cs="Tahoma"/>
                <w:color w:val="000000"/>
                <w:szCs w:val="18"/>
                <w:lang w:eastAsia="ja-JP"/>
              </w:rPr>
            </w:pPr>
            <w:r w:rsidRPr="00D87B79">
              <w:rPr>
                <w:rFonts w:cs="Tahoma"/>
                <w:color w:val="000000"/>
                <w:lang w:val="it-IT"/>
              </w:rPr>
              <w:t>SharePoint for Internet Sites Server Enterprise</w:t>
            </w:r>
          </w:p>
        </w:tc>
        <w:tc>
          <w:tcPr>
            <w:tcW w:w="1474" w:type="dxa"/>
          </w:tcPr>
          <w:p w:rsidR="00A92422" w:rsidRPr="00D87B79" w:rsidRDefault="00A92422" w:rsidP="00EA30FC">
            <w:pPr>
              <w:spacing w:after="200" w:line="276" w:lineRule="auto"/>
              <w:jc w:val="center"/>
              <w:rPr>
                <w:rFonts w:cs="Tahoma"/>
                <w:color w:val="000000"/>
                <w:szCs w:val="18"/>
                <w:lang w:eastAsia="ja-JP"/>
              </w:rPr>
            </w:pPr>
            <w:r w:rsidRPr="00D87B79">
              <w:rPr>
                <w:rFonts w:cs="Tahoma"/>
                <w:color w:val="000000"/>
                <w:lang w:val="it-IT"/>
              </w:rPr>
              <w:t>Lync Server 2010 Enterprise Edition</w:t>
            </w:r>
          </w:p>
        </w:tc>
      </w:tr>
      <w:tr w:rsidR="00A92422" w:rsidRPr="00D87B79" w:rsidTr="00EA30FC">
        <w:tc>
          <w:tcPr>
            <w:tcW w:w="1912" w:type="dxa"/>
          </w:tcPr>
          <w:p w:rsidR="00A92422" w:rsidRPr="00D87B79" w:rsidRDefault="00A92422" w:rsidP="00EA30FC">
            <w:pPr>
              <w:spacing w:after="200" w:line="276" w:lineRule="auto"/>
              <w:jc w:val="center"/>
              <w:rPr>
                <w:rFonts w:cs="Tahoma"/>
                <w:szCs w:val="18"/>
              </w:rPr>
            </w:pPr>
            <w:r w:rsidRPr="00D87B79">
              <w:rPr>
                <w:rFonts w:cs="Tahoma"/>
                <w:color w:val="000000"/>
                <w:lang w:val="it-IT"/>
              </w:rPr>
              <w:t>Windows Server Enterprise</w:t>
            </w:r>
          </w:p>
        </w:tc>
        <w:tc>
          <w:tcPr>
            <w:tcW w:w="1848" w:type="dxa"/>
          </w:tcPr>
          <w:p w:rsidR="00A92422" w:rsidRPr="00D87B79" w:rsidRDefault="00A92422" w:rsidP="00EA30FC">
            <w:pPr>
              <w:spacing w:after="200" w:line="276" w:lineRule="auto"/>
              <w:jc w:val="center"/>
              <w:rPr>
                <w:rFonts w:cs="Tahoma"/>
                <w:szCs w:val="18"/>
                <w:lang w:eastAsia="ja-JP"/>
              </w:rPr>
            </w:pPr>
            <w:r w:rsidRPr="00D87B79">
              <w:rPr>
                <w:rFonts w:cs="Tahoma"/>
                <w:color w:val="000000"/>
                <w:lang w:val="it-IT"/>
              </w:rPr>
              <w:t>SQL Server Datacenter</w:t>
            </w:r>
          </w:p>
        </w:tc>
        <w:tc>
          <w:tcPr>
            <w:tcW w:w="1774" w:type="dxa"/>
          </w:tcPr>
          <w:p w:rsidR="00A92422" w:rsidRPr="00D87B79" w:rsidRDefault="00A92422" w:rsidP="00EA30FC">
            <w:pPr>
              <w:spacing w:after="200" w:line="276" w:lineRule="auto"/>
              <w:jc w:val="center"/>
              <w:rPr>
                <w:rFonts w:cs="Tahoma"/>
                <w:color w:val="000000"/>
                <w:szCs w:val="18"/>
                <w:lang w:eastAsia="ja-JP"/>
              </w:rPr>
            </w:pPr>
            <w:r w:rsidRPr="00D87B79">
              <w:rPr>
                <w:rFonts w:cs="Tahoma"/>
                <w:color w:val="000000"/>
                <w:lang w:val="it-IT"/>
              </w:rPr>
              <w:t>Exchange Server Enterprise</w:t>
            </w:r>
          </w:p>
        </w:tc>
        <w:tc>
          <w:tcPr>
            <w:tcW w:w="1830" w:type="dxa"/>
          </w:tcPr>
          <w:p w:rsidR="00A92422" w:rsidRPr="00D87B79" w:rsidRDefault="00A92422" w:rsidP="00EA30FC">
            <w:pPr>
              <w:spacing w:after="200" w:line="276" w:lineRule="auto"/>
              <w:jc w:val="center"/>
              <w:rPr>
                <w:rFonts w:cs="Tahoma"/>
                <w:color w:val="000000"/>
                <w:szCs w:val="18"/>
                <w:lang w:eastAsia="ja-JP"/>
              </w:rPr>
            </w:pPr>
            <w:r w:rsidRPr="00D87B79">
              <w:rPr>
                <w:rFonts w:cs="Tahoma"/>
                <w:color w:val="000000"/>
                <w:lang w:val="it-IT"/>
              </w:rPr>
              <w:t>SharePoint for Internet Sites Server Standard</w:t>
            </w:r>
          </w:p>
        </w:tc>
        <w:tc>
          <w:tcPr>
            <w:tcW w:w="1474" w:type="dxa"/>
          </w:tcPr>
          <w:p w:rsidR="00A92422" w:rsidRPr="00D87B79" w:rsidRDefault="00A92422" w:rsidP="00EA30FC">
            <w:pPr>
              <w:spacing w:after="200" w:line="276" w:lineRule="auto"/>
              <w:jc w:val="center"/>
              <w:rPr>
                <w:rFonts w:cs="Tahoma"/>
                <w:color w:val="000000"/>
                <w:szCs w:val="18"/>
                <w:lang w:eastAsia="ja-JP"/>
              </w:rPr>
            </w:pPr>
            <w:r w:rsidRPr="00D87B79">
              <w:rPr>
                <w:rFonts w:cs="Tahoma"/>
                <w:color w:val="000000"/>
                <w:lang w:val="it-IT"/>
              </w:rPr>
              <w:t>Lync Server 2010 Standard Edition</w:t>
            </w:r>
          </w:p>
        </w:tc>
      </w:tr>
      <w:tr w:rsidR="00A92422" w:rsidRPr="00D87B79" w:rsidTr="00EA30FC">
        <w:tc>
          <w:tcPr>
            <w:tcW w:w="1912" w:type="dxa"/>
          </w:tcPr>
          <w:p w:rsidR="00A92422" w:rsidRPr="00D87B79" w:rsidRDefault="00A92422" w:rsidP="00EA30FC">
            <w:pPr>
              <w:spacing w:after="200" w:line="276" w:lineRule="auto"/>
              <w:jc w:val="center"/>
              <w:rPr>
                <w:rFonts w:cs="Tahoma"/>
                <w:szCs w:val="18"/>
                <w:lang w:eastAsia="ja-JP"/>
              </w:rPr>
            </w:pPr>
            <w:r w:rsidRPr="00D87B79">
              <w:rPr>
                <w:rFonts w:cs="Tahoma"/>
                <w:color w:val="000000"/>
                <w:lang w:val="it-IT"/>
              </w:rPr>
              <w:t>Windows Server Standard</w:t>
            </w:r>
          </w:p>
        </w:tc>
        <w:tc>
          <w:tcPr>
            <w:tcW w:w="1848" w:type="dxa"/>
          </w:tcPr>
          <w:p w:rsidR="00A92422" w:rsidRPr="00D87B79" w:rsidRDefault="00A92422" w:rsidP="00EA30FC">
            <w:pPr>
              <w:spacing w:after="200" w:line="276" w:lineRule="auto"/>
              <w:jc w:val="center"/>
              <w:rPr>
                <w:rFonts w:cs="Tahoma"/>
                <w:szCs w:val="18"/>
                <w:lang w:eastAsia="ja-JP"/>
              </w:rPr>
            </w:pPr>
            <w:r w:rsidRPr="00D87B79">
              <w:rPr>
                <w:rFonts w:cs="Tahoma"/>
                <w:szCs w:val="18"/>
                <w:lang w:val="it-IT" w:eastAsia="ja-JP"/>
              </w:rPr>
              <w:t>SQL Server Enterprise</w:t>
            </w:r>
          </w:p>
        </w:tc>
        <w:tc>
          <w:tcPr>
            <w:tcW w:w="1774" w:type="dxa"/>
          </w:tcPr>
          <w:p w:rsidR="00A92422" w:rsidRPr="00D87B79" w:rsidRDefault="00A92422" w:rsidP="00EA30FC">
            <w:pPr>
              <w:spacing w:after="200" w:line="276" w:lineRule="auto"/>
              <w:jc w:val="center"/>
              <w:rPr>
                <w:rFonts w:cs="Tahoma"/>
                <w:color w:val="000000"/>
                <w:szCs w:val="18"/>
                <w:lang w:eastAsia="ja-JP"/>
              </w:rPr>
            </w:pPr>
            <w:r w:rsidRPr="00D87B79">
              <w:rPr>
                <w:rFonts w:cs="Tahoma"/>
                <w:color w:val="000000"/>
                <w:lang w:val="it-IT"/>
              </w:rPr>
              <w:t>Exchange Server Standard</w:t>
            </w:r>
          </w:p>
        </w:tc>
        <w:tc>
          <w:tcPr>
            <w:tcW w:w="1830" w:type="dxa"/>
          </w:tcPr>
          <w:p w:rsidR="00A92422" w:rsidRPr="00D87B79" w:rsidRDefault="00A92422" w:rsidP="00EA30FC">
            <w:pPr>
              <w:spacing w:after="200" w:line="276" w:lineRule="auto"/>
              <w:jc w:val="center"/>
              <w:rPr>
                <w:rFonts w:cs="Tahoma"/>
                <w:color w:val="000000"/>
                <w:szCs w:val="18"/>
                <w:lang w:eastAsia="ja-JP"/>
              </w:rPr>
            </w:pPr>
            <w:r w:rsidRPr="00D87B79">
              <w:rPr>
                <w:rFonts w:cs="Tahoma"/>
                <w:color w:val="000000"/>
                <w:lang w:val="it-IT"/>
              </w:rPr>
              <w:t>SharePoint Server</w:t>
            </w:r>
          </w:p>
        </w:tc>
        <w:tc>
          <w:tcPr>
            <w:tcW w:w="1474" w:type="dxa"/>
          </w:tcPr>
          <w:p w:rsidR="00A92422" w:rsidRPr="00D87B79" w:rsidRDefault="00A92422" w:rsidP="00EA30FC">
            <w:pPr>
              <w:spacing w:after="200" w:line="276" w:lineRule="auto"/>
              <w:jc w:val="center"/>
              <w:rPr>
                <w:rFonts w:cs="Tahoma"/>
                <w:color w:val="000000"/>
                <w:szCs w:val="18"/>
                <w:lang w:eastAsia="ja-JP"/>
              </w:rPr>
            </w:pPr>
          </w:p>
        </w:tc>
      </w:tr>
      <w:tr w:rsidR="00A92422" w:rsidRPr="00D87B79" w:rsidTr="00EA30FC">
        <w:tc>
          <w:tcPr>
            <w:tcW w:w="1912" w:type="dxa"/>
          </w:tcPr>
          <w:p w:rsidR="00A92422" w:rsidRPr="00D87B79" w:rsidRDefault="00A92422" w:rsidP="00EA30FC">
            <w:pPr>
              <w:spacing w:after="200" w:line="276" w:lineRule="auto"/>
              <w:jc w:val="center"/>
              <w:rPr>
                <w:rFonts w:cs="Tahoma"/>
                <w:szCs w:val="18"/>
                <w:lang w:eastAsia="ja-JP"/>
              </w:rPr>
            </w:pPr>
            <w:r w:rsidRPr="00D87B79">
              <w:rPr>
                <w:rFonts w:cs="Tahoma"/>
                <w:szCs w:val="18"/>
                <w:lang w:val="it-IT" w:eastAsia="ja-JP"/>
              </w:rPr>
              <w:t>Premium Add-on per Windows Small Business Server</w:t>
            </w:r>
          </w:p>
        </w:tc>
        <w:tc>
          <w:tcPr>
            <w:tcW w:w="1848" w:type="dxa"/>
          </w:tcPr>
          <w:p w:rsidR="00A92422" w:rsidRPr="00D87B79" w:rsidRDefault="00A92422" w:rsidP="00EA30FC">
            <w:pPr>
              <w:spacing w:after="200" w:line="276" w:lineRule="auto"/>
              <w:jc w:val="center"/>
              <w:rPr>
                <w:rFonts w:cs="Tahoma"/>
                <w:szCs w:val="18"/>
                <w:lang w:eastAsia="ja-JP"/>
              </w:rPr>
            </w:pPr>
            <w:r w:rsidRPr="00D87B79">
              <w:rPr>
                <w:rFonts w:cs="Tahoma"/>
                <w:szCs w:val="18"/>
                <w:lang w:val="it-IT" w:eastAsia="ja-JP"/>
              </w:rPr>
              <w:t>SQL Server Standard</w:t>
            </w:r>
          </w:p>
        </w:tc>
        <w:tc>
          <w:tcPr>
            <w:tcW w:w="1774" w:type="dxa"/>
          </w:tcPr>
          <w:p w:rsidR="00A92422" w:rsidRPr="00D87B79" w:rsidRDefault="00A92422" w:rsidP="00EA30FC">
            <w:pPr>
              <w:spacing w:after="200" w:line="276" w:lineRule="auto"/>
              <w:jc w:val="center"/>
              <w:rPr>
                <w:rFonts w:cs="Tahoma"/>
                <w:szCs w:val="18"/>
                <w:lang w:eastAsia="ja-JP"/>
              </w:rPr>
            </w:pPr>
          </w:p>
        </w:tc>
        <w:tc>
          <w:tcPr>
            <w:tcW w:w="1830" w:type="dxa"/>
          </w:tcPr>
          <w:p w:rsidR="00A92422" w:rsidRPr="00D87B79" w:rsidRDefault="00A92422" w:rsidP="00EA30FC">
            <w:pPr>
              <w:spacing w:after="200" w:line="276" w:lineRule="auto"/>
              <w:jc w:val="center"/>
              <w:rPr>
                <w:rFonts w:cs="Tahoma"/>
                <w:szCs w:val="18"/>
                <w:lang w:eastAsia="ja-JP"/>
              </w:rPr>
            </w:pPr>
          </w:p>
        </w:tc>
        <w:tc>
          <w:tcPr>
            <w:tcW w:w="1474" w:type="dxa"/>
          </w:tcPr>
          <w:p w:rsidR="00A92422" w:rsidRPr="00D87B79" w:rsidRDefault="00A92422" w:rsidP="00EA30FC">
            <w:pPr>
              <w:spacing w:after="200" w:line="276" w:lineRule="auto"/>
              <w:jc w:val="center"/>
              <w:rPr>
                <w:rFonts w:cs="Tahoma"/>
                <w:szCs w:val="18"/>
                <w:lang w:eastAsia="ja-JP"/>
              </w:rPr>
            </w:pPr>
          </w:p>
        </w:tc>
      </w:tr>
      <w:tr w:rsidR="00A92422" w:rsidRPr="00D87B79" w:rsidTr="00EA30FC">
        <w:tc>
          <w:tcPr>
            <w:tcW w:w="1912" w:type="dxa"/>
          </w:tcPr>
          <w:p w:rsidR="00A92422" w:rsidRPr="00D87B79" w:rsidRDefault="00A92422" w:rsidP="00EA30FC">
            <w:pPr>
              <w:spacing w:after="200" w:line="276" w:lineRule="auto"/>
              <w:jc w:val="center"/>
              <w:rPr>
                <w:rFonts w:cs="Tahoma"/>
                <w:szCs w:val="18"/>
                <w:lang w:eastAsia="ja-JP"/>
              </w:rPr>
            </w:pPr>
            <w:r w:rsidRPr="00D87B79">
              <w:rPr>
                <w:rFonts w:cs="Tahoma"/>
                <w:szCs w:val="18"/>
                <w:lang w:val="it-IT" w:eastAsia="ja-JP"/>
              </w:rPr>
              <w:lastRenderedPageBreak/>
              <w:t>Windows Small Business Server Standard</w:t>
            </w:r>
          </w:p>
        </w:tc>
        <w:tc>
          <w:tcPr>
            <w:tcW w:w="1848" w:type="dxa"/>
          </w:tcPr>
          <w:p w:rsidR="00A92422" w:rsidRPr="00D87B79" w:rsidRDefault="00A92422" w:rsidP="00EA30FC">
            <w:pPr>
              <w:spacing w:after="200" w:line="276" w:lineRule="auto"/>
              <w:jc w:val="center"/>
              <w:rPr>
                <w:rFonts w:cs="Tahoma"/>
                <w:szCs w:val="18"/>
                <w:lang w:eastAsia="ja-JP"/>
              </w:rPr>
            </w:pPr>
            <w:r w:rsidRPr="00D87B79">
              <w:rPr>
                <w:rFonts w:cs="Tahoma"/>
                <w:szCs w:val="18"/>
                <w:lang w:val="it-IT" w:eastAsia="ja-JP"/>
              </w:rPr>
              <w:t>SQL Server Workgroup</w:t>
            </w:r>
          </w:p>
        </w:tc>
        <w:tc>
          <w:tcPr>
            <w:tcW w:w="1774" w:type="dxa"/>
          </w:tcPr>
          <w:p w:rsidR="00A92422" w:rsidRPr="00D87B79" w:rsidRDefault="00A92422" w:rsidP="00EA30FC">
            <w:pPr>
              <w:spacing w:after="200" w:line="276" w:lineRule="auto"/>
              <w:jc w:val="center"/>
              <w:rPr>
                <w:rFonts w:cs="Tahoma"/>
                <w:szCs w:val="18"/>
                <w:lang w:eastAsia="ja-JP"/>
              </w:rPr>
            </w:pPr>
          </w:p>
        </w:tc>
        <w:tc>
          <w:tcPr>
            <w:tcW w:w="1830" w:type="dxa"/>
          </w:tcPr>
          <w:p w:rsidR="00A92422" w:rsidRPr="00D87B79" w:rsidRDefault="00A92422" w:rsidP="00EA30FC">
            <w:pPr>
              <w:spacing w:after="200" w:line="276" w:lineRule="auto"/>
              <w:jc w:val="center"/>
              <w:rPr>
                <w:rFonts w:cs="Tahoma"/>
                <w:szCs w:val="18"/>
                <w:lang w:eastAsia="ja-JP"/>
              </w:rPr>
            </w:pPr>
          </w:p>
        </w:tc>
        <w:tc>
          <w:tcPr>
            <w:tcW w:w="1474" w:type="dxa"/>
          </w:tcPr>
          <w:p w:rsidR="00A92422" w:rsidRPr="00D87B79" w:rsidRDefault="00A92422" w:rsidP="00EA30FC">
            <w:pPr>
              <w:spacing w:after="200" w:line="276" w:lineRule="auto"/>
              <w:jc w:val="center"/>
              <w:rPr>
                <w:rFonts w:cs="Tahoma"/>
                <w:szCs w:val="18"/>
                <w:lang w:eastAsia="ja-JP"/>
              </w:rPr>
            </w:pPr>
          </w:p>
        </w:tc>
      </w:tr>
      <w:tr w:rsidR="00A92422" w:rsidRPr="00D87B79" w:rsidTr="00EA30FC">
        <w:tc>
          <w:tcPr>
            <w:tcW w:w="1912" w:type="dxa"/>
          </w:tcPr>
          <w:p w:rsidR="00A92422" w:rsidRPr="00D87B79" w:rsidRDefault="00A92422" w:rsidP="00EA30FC">
            <w:pPr>
              <w:spacing w:after="200" w:line="276" w:lineRule="auto"/>
              <w:jc w:val="center"/>
              <w:rPr>
                <w:rFonts w:cs="Tahoma"/>
                <w:szCs w:val="18"/>
                <w:lang w:eastAsia="ja-JP"/>
              </w:rPr>
            </w:pPr>
            <w:r w:rsidRPr="00D87B79">
              <w:rPr>
                <w:rFonts w:cs="Tahoma"/>
                <w:szCs w:val="18"/>
                <w:lang w:val="it-IT" w:eastAsia="ja-JP"/>
              </w:rPr>
              <w:t>Windows Small Business Server Essentials</w:t>
            </w:r>
          </w:p>
        </w:tc>
        <w:tc>
          <w:tcPr>
            <w:tcW w:w="1848" w:type="dxa"/>
          </w:tcPr>
          <w:p w:rsidR="00A92422" w:rsidRPr="00D87B79" w:rsidRDefault="00A92422" w:rsidP="00EA30FC">
            <w:pPr>
              <w:spacing w:after="200" w:line="276" w:lineRule="auto"/>
              <w:jc w:val="center"/>
              <w:rPr>
                <w:rFonts w:cs="Tahoma"/>
                <w:szCs w:val="18"/>
                <w:lang w:eastAsia="ja-JP"/>
              </w:rPr>
            </w:pPr>
            <w:r w:rsidRPr="00D87B79">
              <w:rPr>
                <w:rFonts w:cs="Tahoma"/>
                <w:szCs w:val="18"/>
                <w:lang w:val="it-IT" w:eastAsia="ja-JP"/>
              </w:rPr>
              <w:t>SQL Server Small Business</w:t>
            </w:r>
          </w:p>
        </w:tc>
        <w:tc>
          <w:tcPr>
            <w:tcW w:w="1774" w:type="dxa"/>
          </w:tcPr>
          <w:p w:rsidR="00A92422" w:rsidRPr="00D87B79" w:rsidRDefault="00A92422" w:rsidP="00EA30FC">
            <w:pPr>
              <w:spacing w:after="200" w:line="276" w:lineRule="auto"/>
              <w:jc w:val="center"/>
              <w:rPr>
                <w:rFonts w:cs="Tahoma"/>
                <w:szCs w:val="18"/>
                <w:lang w:eastAsia="ja-JP"/>
              </w:rPr>
            </w:pPr>
          </w:p>
        </w:tc>
        <w:tc>
          <w:tcPr>
            <w:tcW w:w="1830" w:type="dxa"/>
          </w:tcPr>
          <w:p w:rsidR="00A92422" w:rsidRPr="00D87B79" w:rsidRDefault="00A92422" w:rsidP="00EA30FC">
            <w:pPr>
              <w:spacing w:after="200" w:line="276" w:lineRule="auto"/>
              <w:jc w:val="center"/>
              <w:rPr>
                <w:rFonts w:cs="Tahoma"/>
                <w:szCs w:val="18"/>
                <w:lang w:eastAsia="ja-JP"/>
              </w:rPr>
            </w:pPr>
          </w:p>
        </w:tc>
        <w:tc>
          <w:tcPr>
            <w:tcW w:w="1474" w:type="dxa"/>
          </w:tcPr>
          <w:p w:rsidR="00A92422" w:rsidRPr="00D87B79" w:rsidRDefault="00A92422" w:rsidP="00EA30FC">
            <w:pPr>
              <w:spacing w:after="200" w:line="276" w:lineRule="auto"/>
              <w:jc w:val="center"/>
              <w:rPr>
                <w:rFonts w:cs="Tahoma"/>
                <w:szCs w:val="18"/>
                <w:lang w:eastAsia="ja-JP"/>
              </w:rPr>
            </w:pPr>
          </w:p>
        </w:tc>
      </w:tr>
      <w:tr w:rsidR="00A92422" w:rsidRPr="00D87B79" w:rsidTr="00EA30FC">
        <w:tc>
          <w:tcPr>
            <w:tcW w:w="1912" w:type="dxa"/>
          </w:tcPr>
          <w:p w:rsidR="00A92422" w:rsidRPr="00D87B79" w:rsidRDefault="00A92422" w:rsidP="00EA30FC">
            <w:pPr>
              <w:spacing w:after="200" w:line="276" w:lineRule="auto"/>
              <w:jc w:val="center"/>
              <w:rPr>
                <w:rFonts w:cs="Tahoma"/>
                <w:szCs w:val="18"/>
                <w:lang w:eastAsia="ja-JP"/>
              </w:rPr>
            </w:pPr>
            <w:r w:rsidRPr="00D87B79">
              <w:rPr>
                <w:rFonts w:cs="Tahoma"/>
                <w:szCs w:val="18"/>
                <w:lang w:val="it-IT" w:eastAsia="ja-JP"/>
              </w:rPr>
              <w:t>Windows Web Server</w:t>
            </w:r>
          </w:p>
        </w:tc>
        <w:tc>
          <w:tcPr>
            <w:tcW w:w="1848" w:type="dxa"/>
          </w:tcPr>
          <w:p w:rsidR="00A92422" w:rsidRPr="00D87B79" w:rsidRDefault="00A92422" w:rsidP="00EA30FC">
            <w:pPr>
              <w:spacing w:after="200" w:line="276" w:lineRule="auto"/>
              <w:jc w:val="center"/>
              <w:rPr>
                <w:rFonts w:cs="Tahoma"/>
                <w:szCs w:val="18"/>
                <w:lang w:eastAsia="ja-JP"/>
              </w:rPr>
            </w:pPr>
            <w:r w:rsidRPr="00D87B79">
              <w:rPr>
                <w:rFonts w:cs="Tahoma"/>
                <w:szCs w:val="18"/>
                <w:lang w:val="it-IT" w:eastAsia="ja-JP"/>
              </w:rPr>
              <w:t>SQL Server Web</w:t>
            </w:r>
          </w:p>
        </w:tc>
        <w:tc>
          <w:tcPr>
            <w:tcW w:w="1774" w:type="dxa"/>
          </w:tcPr>
          <w:p w:rsidR="00A92422" w:rsidRPr="00D87B79" w:rsidRDefault="00A92422" w:rsidP="00EA30FC">
            <w:pPr>
              <w:spacing w:after="200" w:line="276" w:lineRule="auto"/>
              <w:jc w:val="center"/>
              <w:rPr>
                <w:rFonts w:cs="Tahoma"/>
                <w:szCs w:val="18"/>
                <w:lang w:eastAsia="ja-JP"/>
              </w:rPr>
            </w:pPr>
          </w:p>
        </w:tc>
        <w:tc>
          <w:tcPr>
            <w:tcW w:w="1830" w:type="dxa"/>
          </w:tcPr>
          <w:p w:rsidR="00A92422" w:rsidRPr="00D87B79" w:rsidRDefault="00A92422" w:rsidP="00EA30FC">
            <w:pPr>
              <w:spacing w:after="200" w:line="276" w:lineRule="auto"/>
              <w:jc w:val="center"/>
              <w:rPr>
                <w:rFonts w:cs="Tahoma"/>
                <w:szCs w:val="18"/>
                <w:lang w:eastAsia="ja-JP"/>
              </w:rPr>
            </w:pPr>
          </w:p>
        </w:tc>
        <w:tc>
          <w:tcPr>
            <w:tcW w:w="1474" w:type="dxa"/>
          </w:tcPr>
          <w:p w:rsidR="00A92422" w:rsidRPr="00D87B79" w:rsidRDefault="00A92422" w:rsidP="00EA30FC">
            <w:pPr>
              <w:spacing w:after="200" w:line="276" w:lineRule="auto"/>
              <w:jc w:val="center"/>
              <w:rPr>
                <w:rFonts w:cs="Tahoma"/>
                <w:szCs w:val="18"/>
                <w:lang w:eastAsia="ja-JP"/>
              </w:rPr>
            </w:pPr>
          </w:p>
        </w:tc>
      </w:tr>
      <w:tr w:rsidR="00A92422" w:rsidRPr="00D87B79" w:rsidTr="00EA30FC">
        <w:tc>
          <w:tcPr>
            <w:tcW w:w="1912" w:type="dxa"/>
          </w:tcPr>
          <w:p w:rsidR="00A92422" w:rsidRPr="00D87B79" w:rsidRDefault="00A92422" w:rsidP="00EA30FC">
            <w:pPr>
              <w:spacing w:after="200" w:line="276" w:lineRule="auto"/>
              <w:jc w:val="center"/>
              <w:rPr>
                <w:rFonts w:cs="Tahoma"/>
                <w:szCs w:val="18"/>
                <w:lang w:eastAsia="ja-JP"/>
              </w:rPr>
            </w:pPr>
            <w:r w:rsidRPr="00D87B79">
              <w:rPr>
                <w:rFonts w:cs="Tahoma"/>
                <w:szCs w:val="18"/>
                <w:lang w:val="it-IT" w:eastAsia="ja-JP"/>
              </w:rPr>
              <w:t>Windows HPC Server</w:t>
            </w:r>
            <w:r>
              <w:rPr>
                <w:rFonts w:cs="Tahoma"/>
                <w:szCs w:val="18"/>
                <w:lang w:val="it-IT" w:eastAsia="ja-JP"/>
              </w:rPr>
              <w:t> </w:t>
            </w:r>
            <w:r w:rsidRPr="00D87B79">
              <w:rPr>
                <w:rFonts w:cs="Tahoma"/>
                <w:szCs w:val="18"/>
                <w:lang w:val="it-IT" w:eastAsia="ja-JP"/>
              </w:rPr>
              <w:t>Suite</w:t>
            </w:r>
          </w:p>
        </w:tc>
        <w:tc>
          <w:tcPr>
            <w:tcW w:w="1848" w:type="dxa"/>
          </w:tcPr>
          <w:p w:rsidR="00A92422" w:rsidRPr="00D87B79" w:rsidRDefault="00A92422" w:rsidP="00EA30FC">
            <w:pPr>
              <w:spacing w:after="200" w:line="276" w:lineRule="auto"/>
              <w:jc w:val="center"/>
              <w:rPr>
                <w:rFonts w:cs="Tahoma"/>
                <w:szCs w:val="18"/>
                <w:lang w:eastAsia="ja-JP"/>
              </w:rPr>
            </w:pPr>
            <w:r w:rsidRPr="00D87B79">
              <w:rPr>
                <w:rFonts w:cs="Tahoma"/>
                <w:szCs w:val="18"/>
                <w:lang w:val="it-IT" w:eastAsia="ja-JP"/>
              </w:rPr>
              <w:t>SQL Server Developer</w:t>
            </w:r>
          </w:p>
        </w:tc>
        <w:tc>
          <w:tcPr>
            <w:tcW w:w="1774" w:type="dxa"/>
          </w:tcPr>
          <w:p w:rsidR="00A92422" w:rsidRPr="00D87B79" w:rsidRDefault="00A92422" w:rsidP="00EA30FC">
            <w:pPr>
              <w:spacing w:after="200" w:line="276" w:lineRule="auto"/>
              <w:jc w:val="center"/>
              <w:rPr>
                <w:rFonts w:cs="Tahoma"/>
                <w:szCs w:val="18"/>
                <w:lang w:eastAsia="ja-JP"/>
              </w:rPr>
            </w:pPr>
          </w:p>
        </w:tc>
        <w:tc>
          <w:tcPr>
            <w:tcW w:w="1830" w:type="dxa"/>
          </w:tcPr>
          <w:p w:rsidR="00A92422" w:rsidRPr="00D87B79" w:rsidRDefault="00A92422" w:rsidP="00EA30FC">
            <w:pPr>
              <w:spacing w:after="200" w:line="276" w:lineRule="auto"/>
              <w:jc w:val="center"/>
              <w:rPr>
                <w:rFonts w:cs="Tahoma"/>
                <w:szCs w:val="18"/>
                <w:lang w:eastAsia="ja-JP"/>
              </w:rPr>
            </w:pPr>
          </w:p>
        </w:tc>
        <w:tc>
          <w:tcPr>
            <w:tcW w:w="1474" w:type="dxa"/>
          </w:tcPr>
          <w:p w:rsidR="00A92422" w:rsidRPr="00D87B79" w:rsidRDefault="00A92422" w:rsidP="00EA30FC">
            <w:pPr>
              <w:spacing w:after="200" w:line="276" w:lineRule="auto"/>
              <w:jc w:val="center"/>
              <w:rPr>
                <w:rFonts w:cs="Tahoma"/>
                <w:szCs w:val="18"/>
                <w:lang w:eastAsia="ja-JP"/>
              </w:rPr>
            </w:pPr>
          </w:p>
        </w:tc>
      </w:tr>
      <w:tr w:rsidR="00A92422" w:rsidRPr="00D87B79" w:rsidTr="00EA30FC">
        <w:tc>
          <w:tcPr>
            <w:tcW w:w="1912" w:type="dxa"/>
          </w:tcPr>
          <w:p w:rsidR="00A92422" w:rsidRPr="00D87B79" w:rsidRDefault="00A92422" w:rsidP="00EA30FC">
            <w:pPr>
              <w:spacing w:after="200" w:line="276" w:lineRule="auto"/>
              <w:jc w:val="center"/>
              <w:rPr>
                <w:rFonts w:cs="Tahoma"/>
                <w:szCs w:val="18"/>
                <w:lang w:eastAsia="ja-JP"/>
              </w:rPr>
            </w:pPr>
            <w:r w:rsidRPr="00D87B79">
              <w:rPr>
                <w:rFonts w:cs="Tahoma"/>
                <w:szCs w:val="18"/>
                <w:lang w:val="it-IT" w:eastAsia="ja-JP"/>
              </w:rPr>
              <w:t>Windows Server HPC</w:t>
            </w:r>
            <w:r>
              <w:rPr>
                <w:rFonts w:cs="Tahoma"/>
                <w:szCs w:val="18"/>
                <w:lang w:val="it-IT" w:eastAsia="ja-JP"/>
              </w:rPr>
              <w:t> </w:t>
            </w:r>
            <w:r w:rsidRPr="00D87B79">
              <w:rPr>
                <w:rFonts w:cs="Tahoma"/>
                <w:szCs w:val="18"/>
                <w:lang w:val="it-IT" w:eastAsia="ja-JP"/>
              </w:rPr>
              <w:t>Edition</w:t>
            </w:r>
          </w:p>
        </w:tc>
        <w:tc>
          <w:tcPr>
            <w:tcW w:w="1848" w:type="dxa"/>
          </w:tcPr>
          <w:p w:rsidR="00A92422" w:rsidRPr="00D87B79" w:rsidRDefault="00A92422" w:rsidP="00EA30FC">
            <w:pPr>
              <w:spacing w:after="200" w:line="276" w:lineRule="auto"/>
              <w:jc w:val="center"/>
              <w:rPr>
                <w:rFonts w:cs="Tahoma"/>
                <w:szCs w:val="18"/>
                <w:lang w:eastAsia="ja-JP"/>
              </w:rPr>
            </w:pPr>
            <w:r w:rsidRPr="00D87B79">
              <w:rPr>
                <w:rFonts w:cs="Tahoma"/>
                <w:lang w:val="it-IT"/>
              </w:rPr>
              <w:t>SQL Server Business Intelligence</w:t>
            </w:r>
          </w:p>
        </w:tc>
        <w:tc>
          <w:tcPr>
            <w:tcW w:w="1774" w:type="dxa"/>
          </w:tcPr>
          <w:p w:rsidR="00A92422" w:rsidRPr="00D87B79" w:rsidRDefault="00A92422" w:rsidP="00EA30FC">
            <w:pPr>
              <w:spacing w:after="200" w:line="276" w:lineRule="auto"/>
              <w:jc w:val="center"/>
              <w:rPr>
                <w:rFonts w:cs="Tahoma"/>
                <w:szCs w:val="18"/>
                <w:lang w:eastAsia="ja-JP"/>
              </w:rPr>
            </w:pPr>
          </w:p>
        </w:tc>
        <w:tc>
          <w:tcPr>
            <w:tcW w:w="1830" w:type="dxa"/>
          </w:tcPr>
          <w:p w:rsidR="00A92422" w:rsidRPr="00D87B79" w:rsidRDefault="00A92422" w:rsidP="00EA30FC">
            <w:pPr>
              <w:spacing w:after="200" w:line="276" w:lineRule="auto"/>
              <w:jc w:val="center"/>
              <w:rPr>
                <w:rFonts w:cs="Tahoma"/>
                <w:szCs w:val="18"/>
                <w:lang w:eastAsia="ja-JP"/>
              </w:rPr>
            </w:pPr>
          </w:p>
        </w:tc>
        <w:tc>
          <w:tcPr>
            <w:tcW w:w="1474" w:type="dxa"/>
          </w:tcPr>
          <w:p w:rsidR="00A92422" w:rsidRPr="00D87B79" w:rsidRDefault="00A92422" w:rsidP="00EA30FC">
            <w:pPr>
              <w:spacing w:after="200" w:line="276" w:lineRule="auto"/>
              <w:jc w:val="center"/>
              <w:rPr>
                <w:rFonts w:cs="Tahoma"/>
                <w:szCs w:val="18"/>
                <w:lang w:eastAsia="ja-JP"/>
              </w:rPr>
            </w:pPr>
          </w:p>
        </w:tc>
      </w:tr>
      <w:tr w:rsidR="00A92422" w:rsidRPr="00D87B79" w:rsidTr="00EA30FC">
        <w:tc>
          <w:tcPr>
            <w:tcW w:w="1912" w:type="dxa"/>
          </w:tcPr>
          <w:p w:rsidR="00A92422" w:rsidRPr="00D87B79" w:rsidRDefault="00A92422" w:rsidP="00EA30FC">
            <w:pPr>
              <w:spacing w:after="200" w:line="276" w:lineRule="auto"/>
              <w:jc w:val="center"/>
              <w:rPr>
                <w:rFonts w:cs="Tahoma"/>
                <w:szCs w:val="18"/>
                <w:lang w:eastAsia="ja-JP"/>
              </w:rPr>
            </w:pPr>
            <w:r w:rsidRPr="00D87B79">
              <w:rPr>
                <w:rFonts w:cs="Tahoma"/>
                <w:szCs w:val="18"/>
                <w:lang w:val="it-IT" w:eastAsia="ja-JP"/>
              </w:rPr>
              <w:t>Core Infrastructure Server Suite Datacenter</w:t>
            </w:r>
            <w:r w:rsidRPr="00D87B79">
              <w:rPr>
                <w:rFonts w:cs="Tahoma"/>
                <w:szCs w:val="18"/>
                <w:lang w:eastAsia="ja-JP"/>
              </w:rPr>
              <w:t xml:space="preserve"> </w:t>
            </w:r>
          </w:p>
        </w:tc>
        <w:tc>
          <w:tcPr>
            <w:tcW w:w="1848" w:type="dxa"/>
          </w:tcPr>
          <w:p w:rsidR="00A92422" w:rsidRPr="00D87B79" w:rsidRDefault="00A92422" w:rsidP="00EA30FC">
            <w:pPr>
              <w:spacing w:after="200" w:line="276" w:lineRule="auto"/>
              <w:jc w:val="center"/>
              <w:rPr>
                <w:rFonts w:cs="Tahoma"/>
                <w:szCs w:val="18"/>
              </w:rPr>
            </w:pPr>
          </w:p>
        </w:tc>
        <w:tc>
          <w:tcPr>
            <w:tcW w:w="1774" w:type="dxa"/>
          </w:tcPr>
          <w:p w:rsidR="00A92422" w:rsidRPr="00D87B79" w:rsidRDefault="00A92422" w:rsidP="00EA30FC">
            <w:pPr>
              <w:spacing w:after="200" w:line="276" w:lineRule="auto"/>
              <w:jc w:val="center"/>
              <w:rPr>
                <w:rFonts w:cs="Tahoma"/>
                <w:szCs w:val="18"/>
              </w:rPr>
            </w:pPr>
          </w:p>
        </w:tc>
        <w:tc>
          <w:tcPr>
            <w:tcW w:w="1830" w:type="dxa"/>
          </w:tcPr>
          <w:p w:rsidR="00A92422" w:rsidRPr="00D87B79" w:rsidRDefault="00A92422" w:rsidP="00EA30FC">
            <w:pPr>
              <w:spacing w:after="200" w:line="276" w:lineRule="auto"/>
              <w:jc w:val="center"/>
              <w:rPr>
                <w:rFonts w:cs="Tahoma"/>
                <w:szCs w:val="18"/>
              </w:rPr>
            </w:pPr>
          </w:p>
        </w:tc>
        <w:tc>
          <w:tcPr>
            <w:tcW w:w="1474" w:type="dxa"/>
          </w:tcPr>
          <w:p w:rsidR="00A92422" w:rsidRPr="00D87B79" w:rsidRDefault="00A92422" w:rsidP="00EA30FC">
            <w:pPr>
              <w:spacing w:after="200" w:line="276" w:lineRule="auto"/>
              <w:jc w:val="center"/>
              <w:rPr>
                <w:rFonts w:cs="Tahoma"/>
                <w:szCs w:val="18"/>
              </w:rPr>
            </w:pPr>
          </w:p>
        </w:tc>
      </w:tr>
      <w:tr w:rsidR="00A92422" w:rsidRPr="00D87B79" w:rsidTr="00EA30FC">
        <w:tc>
          <w:tcPr>
            <w:tcW w:w="1912" w:type="dxa"/>
          </w:tcPr>
          <w:p w:rsidR="00A92422" w:rsidRPr="00D87B79" w:rsidRDefault="00A92422" w:rsidP="00EA30FC">
            <w:pPr>
              <w:spacing w:after="200" w:line="276" w:lineRule="auto"/>
              <w:jc w:val="center"/>
              <w:rPr>
                <w:rFonts w:cs="Tahoma"/>
                <w:szCs w:val="18"/>
                <w:lang w:eastAsia="ja-JP"/>
              </w:rPr>
            </w:pPr>
            <w:r w:rsidRPr="00D87B79">
              <w:rPr>
                <w:rFonts w:cs="Tahoma"/>
                <w:szCs w:val="18"/>
                <w:lang w:val="it-IT" w:eastAsia="ja-JP"/>
              </w:rPr>
              <w:t>Core Infrastructure Server Suite Enterprise</w:t>
            </w:r>
          </w:p>
        </w:tc>
        <w:tc>
          <w:tcPr>
            <w:tcW w:w="1848" w:type="dxa"/>
          </w:tcPr>
          <w:p w:rsidR="00A92422" w:rsidRPr="00D87B79" w:rsidRDefault="00A92422" w:rsidP="00EA30FC">
            <w:pPr>
              <w:spacing w:after="200" w:line="276" w:lineRule="auto"/>
              <w:jc w:val="center"/>
              <w:rPr>
                <w:rFonts w:cs="Tahoma"/>
                <w:szCs w:val="18"/>
              </w:rPr>
            </w:pPr>
          </w:p>
        </w:tc>
        <w:tc>
          <w:tcPr>
            <w:tcW w:w="1774" w:type="dxa"/>
          </w:tcPr>
          <w:p w:rsidR="00A92422" w:rsidRPr="00D87B79" w:rsidRDefault="00A92422" w:rsidP="00EA30FC">
            <w:pPr>
              <w:spacing w:after="200" w:line="276" w:lineRule="auto"/>
              <w:jc w:val="center"/>
              <w:rPr>
                <w:rFonts w:cs="Tahoma"/>
                <w:szCs w:val="18"/>
              </w:rPr>
            </w:pPr>
          </w:p>
        </w:tc>
        <w:tc>
          <w:tcPr>
            <w:tcW w:w="1830" w:type="dxa"/>
          </w:tcPr>
          <w:p w:rsidR="00A92422" w:rsidRPr="00D87B79" w:rsidRDefault="00A92422" w:rsidP="00EA30FC">
            <w:pPr>
              <w:spacing w:after="200" w:line="276" w:lineRule="auto"/>
              <w:jc w:val="center"/>
              <w:rPr>
                <w:rFonts w:cs="Tahoma"/>
                <w:szCs w:val="18"/>
              </w:rPr>
            </w:pPr>
          </w:p>
        </w:tc>
        <w:tc>
          <w:tcPr>
            <w:tcW w:w="1474" w:type="dxa"/>
          </w:tcPr>
          <w:p w:rsidR="00A92422" w:rsidRPr="00D87B79" w:rsidRDefault="00A92422" w:rsidP="00EA30FC">
            <w:pPr>
              <w:spacing w:after="200" w:line="276" w:lineRule="auto"/>
              <w:jc w:val="center"/>
              <w:rPr>
                <w:rFonts w:cs="Tahoma"/>
                <w:szCs w:val="18"/>
              </w:rPr>
            </w:pPr>
          </w:p>
        </w:tc>
      </w:tr>
      <w:tr w:rsidR="00A92422" w:rsidRPr="00D87B79" w:rsidTr="00EA30FC">
        <w:tc>
          <w:tcPr>
            <w:tcW w:w="1912" w:type="dxa"/>
          </w:tcPr>
          <w:p w:rsidR="00A92422" w:rsidRPr="00D87B79" w:rsidRDefault="00A92422" w:rsidP="00EA30FC">
            <w:pPr>
              <w:spacing w:after="200" w:line="276" w:lineRule="auto"/>
              <w:jc w:val="center"/>
              <w:rPr>
                <w:rFonts w:cs="Tahoma"/>
                <w:szCs w:val="18"/>
                <w:lang w:eastAsia="ja-JP"/>
              </w:rPr>
            </w:pPr>
            <w:r w:rsidRPr="00D87B79">
              <w:rPr>
                <w:rFonts w:cs="Tahoma"/>
                <w:szCs w:val="18"/>
                <w:lang w:val="it-IT" w:eastAsia="ja-JP"/>
              </w:rPr>
              <w:t>Core Infrastructure Server Suite Standard</w:t>
            </w:r>
          </w:p>
        </w:tc>
        <w:tc>
          <w:tcPr>
            <w:tcW w:w="1848" w:type="dxa"/>
          </w:tcPr>
          <w:p w:rsidR="00A92422" w:rsidRPr="00D87B79" w:rsidRDefault="00A92422" w:rsidP="00EA30FC">
            <w:pPr>
              <w:spacing w:after="200" w:line="276" w:lineRule="auto"/>
              <w:jc w:val="center"/>
              <w:rPr>
                <w:rFonts w:cs="Tahoma"/>
                <w:szCs w:val="18"/>
              </w:rPr>
            </w:pPr>
          </w:p>
        </w:tc>
        <w:tc>
          <w:tcPr>
            <w:tcW w:w="1774" w:type="dxa"/>
          </w:tcPr>
          <w:p w:rsidR="00A92422" w:rsidRPr="00D87B79" w:rsidRDefault="00A92422" w:rsidP="00EA30FC">
            <w:pPr>
              <w:spacing w:after="200" w:line="276" w:lineRule="auto"/>
              <w:jc w:val="center"/>
              <w:rPr>
                <w:rFonts w:cs="Tahoma"/>
                <w:szCs w:val="18"/>
              </w:rPr>
            </w:pPr>
          </w:p>
        </w:tc>
        <w:tc>
          <w:tcPr>
            <w:tcW w:w="1830" w:type="dxa"/>
          </w:tcPr>
          <w:p w:rsidR="00A92422" w:rsidRPr="00D87B79" w:rsidRDefault="00A92422" w:rsidP="00EA30FC">
            <w:pPr>
              <w:spacing w:after="200" w:line="276" w:lineRule="auto"/>
              <w:jc w:val="center"/>
              <w:rPr>
                <w:rFonts w:cs="Tahoma"/>
                <w:szCs w:val="18"/>
              </w:rPr>
            </w:pPr>
          </w:p>
        </w:tc>
        <w:tc>
          <w:tcPr>
            <w:tcW w:w="1474" w:type="dxa"/>
          </w:tcPr>
          <w:p w:rsidR="00A92422" w:rsidRPr="00D87B79" w:rsidRDefault="00A92422" w:rsidP="00EA30FC">
            <w:pPr>
              <w:spacing w:after="200" w:line="276" w:lineRule="auto"/>
              <w:jc w:val="center"/>
              <w:rPr>
                <w:rFonts w:cs="Tahoma"/>
                <w:szCs w:val="18"/>
              </w:rPr>
            </w:pPr>
          </w:p>
        </w:tc>
      </w:tr>
    </w:tbl>
    <w:p w:rsidR="00A92422" w:rsidRPr="00D87B79" w:rsidRDefault="00A92422" w:rsidP="00A92422">
      <w:pPr>
        <w:rPr>
          <w:rFonts w:cs="Tahoma"/>
        </w:rPr>
      </w:pPr>
    </w:p>
    <w:p w:rsidR="00A92422" w:rsidRPr="00D87B79" w:rsidRDefault="00A92422" w:rsidP="00A92422">
      <w:pPr>
        <w:rPr>
          <w:rFonts w:cs="Tahoma"/>
        </w:rPr>
      </w:pPr>
      <w:r w:rsidRPr="00D87B79">
        <w:rPr>
          <w:rFonts w:cs="Tahoma"/>
          <w:bCs/>
          <w:szCs w:val="18"/>
          <w:lang w:val="it-IT"/>
        </w:rPr>
        <w:t>*La copertura Software Assurance per le Licenze CAL per il Software Server Qualificante non qualifica le società per</w:t>
      </w:r>
      <w:r>
        <w:rPr>
          <w:rFonts w:cs="Tahoma"/>
          <w:bCs/>
          <w:szCs w:val="18"/>
          <w:lang w:val="it-IT"/>
        </w:rPr>
        <w:t> </w:t>
      </w:r>
      <w:r w:rsidRPr="00D87B79">
        <w:rPr>
          <w:rFonts w:cs="Tahoma"/>
          <w:bCs/>
          <w:szCs w:val="18"/>
          <w:lang w:val="it-IT"/>
        </w:rPr>
        <w:t>il</w:t>
      </w:r>
      <w:r>
        <w:rPr>
          <w:rFonts w:cs="Tahoma"/>
          <w:bCs/>
          <w:szCs w:val="18"/>
          <w:lang w:val="it-IT"/>
        </w:rPr>
        <w:t> </w:t>
      </w:r>
      <w:r w:rsidRPr="00D87B79">
        <w:rPr>
          <w:rFonts w:cs="Tahoma"/>
          <w:bCs/>
          <w:szCs w:val="18"/>
          <w:lang w:val="it-IT"/>
        </w:rPr>
        <w:t>vantaggio di Software Assurance System Center Advisor.</w:t>
      </w:r>
      <w:r w:rsidRPr="00D87B79">
        <w:rPr>
          <w:rFonts w:cs="Tahoma"/>
        </w:rPr>
        <w:t xml:space="preserve"> </w:t>
      </w:r>
      <w:r w:rsidRPr="00D87B79">
        <w:rPr>
          <w:rFonts w:cs="Tahoma"/>
          <w:lang w:val="it-IT"/>
        </w:rPr>
        <w:t>Le società dovranno disporre di una copertura per le</w:t>
      </w:r>
      <w:r>
        <w:rPr>
          <w:rFonts w:cs="Tahoma"/>
          <w:lang w:val="it-IT"/>
        </w:rPr>
        <w:t> </w:t>
      </w:r>
      <w:r w:rsidRPr="00D87B79">
        <w:rPr>
          <w:rFonts w:cs="Tahoma"/>
          <w:lang w:val="it-IT"/>
        </w:rPr>
        <w:t>licenze software ai sensi delle quali viene eseguito il Software Server Qualificante.</w:t>
      </w:r>
    </w:p>
    <w:p w:rsidR="00A92422" w:rsidRPr="00D87B79" w:rsidRDefault="00A92422" w:rsidP="00A92422">
      <w:pPr>
        <w:rPr>
          <w:rFonts w:cs="Tahoma"/>
        </w:rPr>
      </w:pPr>
    </w:p>
    <w:p w:rsidR="00A92422" w:rsidRPr="00D87B79" w:rsidRDefault="00A92422" w:rsidP="00A92422">
      <w:pPr>
        <w:rPr>
          <w:rFonts w:cs="Tahoma"/>
        </w:rPr>
      </w:pPr>
      <w:r w:rsidRPr="00D87B79">
        <w:rPr>
          <w:rFonts w:cs="Tahoma"/>
          <w:lang w:val="it-IT"/>
        </w:rPr>
        <w:t>Le società con la copertura Software Assurance attiva per le Licenze di Gestione identificate nella tabella che segue</w:t>
      </w:r>
      <w:r>
        <w:rPr>
          <w:rFonts w:cs="Tahoma"/>
          <w:lang w:val="it-IT"/>
        </w:rPr>
        <w:t> </w:t>
      </w:r>
      <w:r w:rsidRPr="00D87B79">
        <w:rPr>
          <w:rFonts w:cs="Tahoma"/>
          <w:lang w:val="it-IT"/>
        </w:rPr>
        <w:t>sono idonee a utilizzare System Center Advisor come specificato nei Diritti di Utilizzo del Prodotto.</w:t>
      </w:r>
    </w:p>
    <w:p w:rsidR="00A92422" w:rsidRPr="00D87B79" w:rsidRDefault="00A92422" w:rsidP="00A92422">
      <w:pPr>
        <w:outlineLvl w:val="2"/>
        <w:rPr>
          <w:rFonts w:cs="Tahoma"/>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tblGrid>
      <w:tr w:rsidR="00A92422" w:rsidRPr="00D87B79" w:rsidTr="00EA30FC">
        <w:tc>
          <w:tcPr>
            <w:tcW w:w="4500" w:type="dxa"/>
            <w:shd w:val="clear" w:color="auto" w:fill="FABF8F"/>
          </w:tcPr>
          <w:p w:rsidR="00A92422" w:rsidRPr="00D87B79" w:rsidRDefault="00A92422" w:rsidP="00EA30FC">
            <w:pPr>
              <w:spacing w:after="200" w:line="276" w:lineRule="auto"/>
              <w:jc w:val="center"/>
              <w:rPr>
                <w:rFonts w:cs="Tahoma"/>
                <w:b/>
                <w:color w:val="000000"/>
                <w:szCs w:val="18"/>
                <w:lang w:eastAsia="ja-JP"/>
              </w:rPr>
            </w:pPr>
            <w:r w:rsidRPr="00D87B79">
              <w:rPr>
                <w:rFonts w:cs="Tahoma"/>
                <w:b/>
                <w:color w:val="000000"/>
                <w:szCs w:val="18"/>
                <w:lang w:val="it-IT" w:eastAsia="ja-JP"/>
              </w:rPr>
              <w:t>Licenze di Gestione Qualificanti</w:t>
            </w:r>
          </w:p>
        </w:tc>
      </w:tr>
      <w:tr w:rsidR="00A92422" w:rsidRPr="00D87B79" w:rsidTr="00EA30FC">
        <w:tc>
          <w:tcPr>
            <w:tcW w:w="4500" w:type="dxa"/>
          </w:tcPr>
          <w:p w:rsidR="00A92422" w:rsidRPr="00D87B79" w:rsidRDefault="00A92422" w:rsidP="00EA30FC">
            <w:pPr>
              <w:spacing w:after="60"/>
              <w:jc w:val="center"/>
              <w:rPr>
                <w:rFonts w:cs="Tahoma"/>
                <w:color w:val="000000"/>
                <w:szCs w:val="18"/>
                <w:lang w:eastAsia="ja-JP"/>
              </w:rPr>
            </w:pPr>
            <w:r w:rsidRPr="00D87B79">
              <w:rPr>
                <w:rFonts w:cs="Tahoma"/>
                <w:color w:val="000000"/>
                <w:szCs w:val="18"/>
                <w:lang w:val="it-IT" w:eastAsia="ja-JP"/>
              </w:rPr>
              <w:t>Licenza di Gestione Server per System Center 2012</w:t>
            </w:r>
            <w:r>
              <w:rPr>
                <w:rFonts w:cs="Tahoma"/>
                <w:color w:val="000000"/>
                <w:szCs w:val="18"/>
                <w:lang w:val="it-IT" w:eastAsia="ja-JP"/>
              </w:rPr>
              <w:t> </w:t>
            </w:r>
            <w:r w:rsidRPr="00D87B79">
              <w:rPr>
                <w:rFonts w:cs="Tahoma"/>
                <w:color w:val="000000"/>
                <w:szCs w:val="18"/>
                <w:lang w:val="it-IT" w:eastAsia="ja-JP"/>
              </w:rPr>
              <w:t>Datacenter</w:t>
            </w:r>
          </w:p>
        </w:tc>
      </w:tr>
      <w:tr w:rsidR="00A92422" w:rsidRPr="00D87B79" w:rsidTr="00EA30FC">
        <w:tc>
          <w:tcPr>
            <w:tcW w:w="4500" w:type="dxa"/>
          </w:tcPr>
          <w:p w:rsidR="00A92422" w:rsidRPr="00D87B79" w:rsidRDefault="00A92422" w:rsidP="00EA30FC">
            <w:pPr>
              <w:spacing w:after="60" w:line="276" w:lineRule="auto"/>
              <w:jc w:val="center"/>
              <w:rPr>
                <w:rFonts w:cs="Tahoma"/>
                <w:szCs w:val="18"/>
              </w:rPr>
            </w:pPr>
            <w:r w:rsidRPr="00D87B79">
              <w:rPr>
                <w:rFonts w:cs="Tahoma"/>
                <w:color w:val="000000"/>
                <w:lang w:val="it-IT"/>
              </w:rPr>
              <w:t>Licenza di Gestione Server per System Center 2012</w:t>
            </w:r>
            <w:r>
              <w:rPr>
                <w:rFonts w:cs="Tahoma"/>
                <w:color w:val="000000"/>
                <w:lang w:val="it-IT"/>
              </w:rPr>
              <w:t> </w:t>
            </w:r>
            <w:r w:rsidRPr="00D87B79">
              <w:rPr>
                <w:rFonts w:cs="Tahoma"/>
                <w:color w:val="000000"/>
                <w:lang w:val="it-IT"/>
              </w:rPr>
              <w:t>Standard</w:t>
            </w:r>
          </w:p>
        </w:tc>
      </w:tr>
    </w:tbl>
    <w:p w:rsidR="00A92422" w:rsidRDefault="00A92422" w:rsidP="00A92422">
      <w:pPr>
        <w:rPr>
          <w:rFonts w:cs="Tahoma"/>
        </w:rPr>
      </w:pPr>
      <w:bookmarkStart w:id="868" w:name="_Toc336338239"/>
    </w:p>
    <w:p w:rsidR="00A92422" w:rsidRPr="00D87B79" w:rsidRDefault="00A92422" w:rsidP="00A92422">
      <w:pPr>
        <w:rPr>
          <w:rFonts w:cs="Tahoma"/>
        </w:rPr>
      </w:pPr>
    </w:p>
    <w:p w:rsidR="00A92422" w:rsidRPr="00D87B79" w:rsidRDefault="00A92422" w:rsidP="00A92422">
      <w:pPr>
        <w:pStyle w:val="Heading3"/>
        <w:rPr>
          <w:rFonts w:ascii="Tahoma" w:hAnsi="Tahoma" w:cs="Tahoma"/>
        </w:rPr>
      </w:pPr>
      <w:bookmarkStart w:id="869" w:name="_Toc342900291"/>
      <w:bookmarkEnd w:id="868"/>
      <w:r w:rsidRPr="00D87B79">
        <w:rPr>
          <w:rFonts w:ascii="Tahoma" w:hAnsi="Tahoma" w:cs="Tahoma"/>
          <w:lang w:val="it-IT"/>
        </w:rPr>
        <w:t>Back-up per Ripristino di Emergenza “a Freddo”</w:t>
      </w:r>
      <w:bookmarkEnd w:id="869"/>
      <w:r w:rsidRPr="00D87B79">
        <w:rPr>
          <w:rFonts w:ascii="Tahoma" w:hAnsi="Tahoma" w:cs="Tahoma"/>
        </w:rPr>
        <w:t xml:space="preserve"> </w:t>
      </w:r>
    </w:p>
    <w:p w:rsidR="00A92422" w:rsidRPr="00D87B79" w:rsidRDefault="00A92422" w:rsidP="00A92422">
      <w:pPr>
        <w:rPr>
          <w:rFonts w:cs="Tahoma"/>
        </w:rPr>
      </w:pPr>
    </w:p>
    <w:p w:rsidR="00A92422" w:rsidRPr="00D87B79" w:rsidRDefault="00A92422" w:rsidP="00A92422">
      <w:pPr>
        <w:rPr>
          <w:rFonts w:cs="Tahoma"/>
        </w:rPr>
      </w:pPr>
      <w:r w:rsidRPr="00D87B79">
        <w:rPr>
          <w:rFonts w:cs="Tahoma"/>
          <w:lang w:val="it-IT"/>
        </w:rPr>
        <w:t>Le società con copertura Software Assurance per i prodotti server qualificanti e relative CAL sono idonee a ricevere licenze server gratuite per tali prodotti a fini del ripristino di emergenza (DR).</w:t>
      </w:r>
    </w:p>
    <w:p w:rsidR="00A92422" w:rsidRPr="00D87B79" w:rsidRDefault="00A92422" w:rsidP="00A92422">
      <w:pPr>
        <w:rPr>
          <w:rFonts w:cs="Tahoma"/>
        </w:rPr>
      </w:pPr>
    </w:p>
    <w:p w:rsidR="00A92422" w:rsidRPr="00D87B79" w:rsidRDefault="00A92422" w:rsidP="00A92422">
      <w:pPr>
        <w:pStyle w:val="AppendixFlushBulletedList"/>
        <w:tabs>
          <w:tab w:val="clear" w:pos="360"/>
          <w:tab w:val="num" w:pos="0"/>
        </w:tabs>
        <w:ind w:left="0" w:firstLine="0"/>
        <w:rPr>
          <w:rFonts w:ascii="Tahoma" w:hAnsi="Tahoma" w:cs="Tahoma"/>
        </w:rPr>
      </w:pPr>
      <w:r w:rsidRPr="00D87B79">
        <w:rPr>
          <w:rFonts w:ascii="Tahoma" w:hAnsi="Tahoma" w:cs="Tahoma"/>
          <w:sz w:val="18"/>
          <w:szCs w:val="18"/>
          <w:lang w:val="it-IT"/>
        </w:rPr>
        <w:lastRenderedPageBreak/>
        <w:t>Per ogni licenza server qualificante per la quale (i) una società sia iscritta a SA e (ii) la società abbia iscritto a SA tutte le relative CAL (se richieste dal prodotto), verrà concessa alla società stessa una seconda licenza server, ai sensi della quale la società potrà distribuire lo stesso prodotto su un server di back-up “a freddo” unicamente per fini di DR, durante il periodo di validità della copertura Software Assurance.</w:t>
      </w:r>
      <w:r w:rsidRPr="00D87B79">
        <w:rPr>
          <w:rFonts w:ascii="Tahoma" w:hAnsi="Tahoma" w:cs="Tahoma"/>
        </w:rPr>
        <w:t xml:space="preserve"> </w:t>
      </w:r>
      <w:r w:rsidRPr="00D87B79">
        <w:rPr>
          <w:rFonts w:ascii="Tahoma" w:hAnsi="Tahoma" w:cs="Tahoma"/>
          <w:sz w:val="18"/>
          <w:lang w:val="it-IT"/>
        </w:rPr>
        <w:t>La distribuzione e l’utilizzo del software da parte della società ai sensi delle licenze DR sono soggetti alle condizioni del relativo contratto di licenza.</w:t>
      </w:r>
    </w:p>
    <w:p w:rsidR="00A92422" w:rsidRPr="00090E1C" w:rsidRDefault="00A92422" w:rsidP="00A92422">
      <w:pPr>
        <w:pStyle w:val="AppendixBodyText"/>
        <w:spacing w:after="0"/>
        <w:rPr>
          <w:rFonts w:ascii="Tahoma" w:hAnsi="Tahoma" w:cs="Tahoma"/>
          <w:sz w:val="18"/>
          <w:szCs w:val="18"/>
        </w:rPr>
      </w:pPr>
    </w:p>
    <w:p w:rsidR="00A92422" w:rsidRPr="00D87B79" w:rsidRDefault="00A92422" w:rsidP="00A92422">
      <w:pPr>
        <w:pStyle w:val="Heading3"/>
        <w:rPr>
          <w:rFonts w:ascii="Tahoma" w:hAnsi="Tahoma" w:cs="Tahoma"/>
        </w:rPr>
      </w:pPr>
      <w:bookmarkStart w:id="870" w:name="_Toc336338240"/>
      <w:bookmarkStart w:id="871" w:name="_Toc342900292"/>
      <w:bookmarkEnd w:id="870"/>
      <w:r w:rsidRPr="00D87B79">
        <w:rPr>
          <w:rFonts w:ascii="Tahoma" w:hAnsi="Tahoma" w:cs="Tahoma"/>
          <w:lang w:val="it-IT"/>
        </w:rPr>
        <w:t>Servizi in Abbonamento TechNet SA</w:t>
      </w:r>
      <w:bookmarkEnd w:id="871"/>
    </w:p>
    <w:p w:rsidR="00A92422" w:rsidRPr="00D87B79" w:rsidRDefault="00A92422" w:rsidP="00A92422">
      <w:pPr>
        <w:rPr>
          <w:rFonts w:cs="Tahoma"/>
        </w:rPr>
      </w:pPr>
    </w:p>
    <w:p w:rsidR="00A92422" w:rsidRPr="00D87B79" w:rsidRDefault="00A92422" w:rsidP="00A92422">
      <w:pPr>
        <w:pStyle w:val="AppendixBodyText"/>
        <w:spacing w:after="0"/>
        <w:rPr>
          <w:rFonts w:ascii="Tahoma" w:hAnsi="Tahoma" w:cs="Tahoma"/>
        </w:rPr>
      </w:pPr>
      <w:r w:rsidRPr="00D87B79">
        <w:rPr>
          <w:rFonts w:ascii="Tahoma" w:hAnsi="Tahoma" w:cs="Tahoma"/>
          <w:sz w:val="18"/>
          <w:lang w:val="it-IT"/>
        </w:rPr>
        <w:t>Le società con copertura Software Assurance per i prodotti qualificanti del pool di prodotti server sono idonee a</w:t>
      </w:r>
      <w:r>
        <w:rPr>
          <w:rFonts w:ascii="Tahoma" w:hAnsi="Tahoma" w:cs="Tahoma"/>
          <w:sz w:val="18"/>
          <w:lang w:val="it-IT"/>
        </w:rPr>
        <w:t> </w:t>
      </w:r>
      <w:r w:rsidRPr="00D87B79">
        <w:rPr>
          <w:rFonts w:ascii="Tahoma" w:hAnsi="Tahoma" w:cs="Tahoma"/>
          <w:sz w:val="18"/>
          <w:lang w:val="it-IT"/>
        </w:rPr>
        <w:t>beneficiare del supporto per i Servizi in Abbonamento TechNet SA durante il periodo di validità della copertura Software Assurance.</w:t>
      </w:r>
      <w:r w:rsidRPr="00D87B79">
        <w:rPr>
          <w:rFonts w:ascii="Tahoma" w:hAnsi="Tahoma" w:cs="Tahoma"/>
        </w:rPr>
        <w:t xml:space="preserve"> </w:t>
      </w:r>
      <w:r w:rsidRPr="00D87B79">
        <w:rPr>
          <w:rFonts w:ascii="Tahoma" w:hAnsi="Tahoma" w:cs="Tahoma"/>
          <w:sz w:val="18"/>
          <w:lang w:val="it-IT"/>
        </w:rPr>
        <w:t>In questo modo i professionisti IT riceveranno risposte a domande tecniche da colleghi che operano nello stesso settore.</w:t>
      </w:r>
      <w:r w:rsidRPr="00D87B79">
        <w:rPr>
          <w:rFonts w:ascii="Tahoma" w:hAnsi="Tahoma" w:cs="Tahoma"/>
        </w:rPr>
        <w:t xml:space="preserve"> </w:t>
      </w:r>
      <w:r w:rsidRPr="00D87B79">
        <w:rPr>
          <w:rFonts w:ascii="Tahoma" w:hAnsi="Tahoma" w:cs="Tahoma"/>
          <w:sz w:val="18"/>
          <w:lang w:val="it-IT"/>
        </w:rPr>
        <w:t>Esperti Microsoft forniranno assistenza per monitorare i newsgroup e contribuire a</w:t>
      </w:r>
      <w:r>
        <w:rPr>
          <w:rFonts w:ascii="Tahoma" w:hAnsi="Tahoma" w:cs="Tahoma"/>
          <w:sz w:val="18"/>
          <w:lang w:val="it-IT"/>
        </w:rPr>
        <w:t> </w:t>
      </w:r>
      <w:r w:rsidRPr="00D87B79">
        <w:rPr>
          <w:rFonts w:ascii="Tahoma" w:hAnsi="Tahoma" w:cs="Tahoma"/>
          <w:sz w:val="18"/>
          <w:lang w:val="it-IT"/>
        </w:rPr>
        <w:t>garantire l’accuratezza.</w:t>
      </w:r>
      <w:r w:rsidRPr="00D87B79">
        <w:rPr>
          <w:rFonts w:ascii="Tahoma" w:hAnsi="Tahoma" w:cs="Tahoma"/>
        </w:rPr>
        <w:t xml:space="preserve"> </w:t>
      </w:r>
      <w:r w:rsidRPr="00D87B79">
        <w:rPr>
          <w:rFonts w:ascii="Tahoma" w:hAnsi="Tahoma" w:cs="Tahoma"/>
          <w:sz w:val="18"/>
          <w:lang w:val="it-IT"/>
        </w:rPr>
        <w:t>Le società idonee riceveranno gli ID Utente necessari ad accedere ai servizi online.</w:t>
      </w:r>
      <w:r w:rsidRPr="00D87B79">
        <w:rPr>
          <w:rFonts w:ascii="Tahoma" w:hAnsi="Tahoma" w:cs="Tahoma"/>
        </w:rPr>
        <w:t xml:space="preserve"> </w:t>
      </w:r>
    </w:p>
    <w:p w:rsidR="00A92422" w:rsidRPr="00D87B79" w:rsidRDefault="00A92422" w:rsidP="00A92422">
      <w:pPr>
        <w:pStyle w:val="AppendixBodyText"/>
        <w:spacing w:after="0"/>
        <w:rPr>
          <w:rFonts w:ascii="Tahoma" w:hAnsi="Tahoma" w:cs="Tahoma"/>
        </w:rPr>
      </w:pPr>
    </w:p>
    <w:p w:rsidR="00A92422" w:rsidRPr="00D87B79" w:rsidRDefault="00A92422" w:rsidP="00A92422">
      <w:pPr>
        <w:pStyle w:val="AppendixBodyText"/>
        <w:spacing w:after="0"/>
        <w:rPr>
          <w:rFonts w:ascii="Tahoma" w:hAnsi="Tahoma" w:cs="Tahoma"/>
        </w:rPr>
      </w:pPr>
      <w:r w:rsidRPr="00D87B79">
        <w:rPr>
          <w:rFonts w:ascii="Tahoma" w:hAnsi="Tahoma" w:cs="Tahoma"/>
          <w:sz w:val="18"/>
          <w:lang w:val="it-IT"/>
        </w:rPr>
        <w:t>Le società riceveranno un ID Utente per ogni prodotto idoneo coperto da Software Assurance, come mostrato di</w:t>
      </w:r>
      <w:r>
        <w:rPr>
          <w:rFonts w:ascii="Tahoma" w:hAnsi="Tahoma" w:cs="Tahoma"/>
          <w:sz w:val="18"/>
          <w:lang w:val="it-IT"/>
        </w:rPr>
        <w:t> </w:t>
      </w:r>
      <w:r w:rsidRPr="00D87B79">
        <w:rPr>
          <w:rFonts w:ascii="Tahoma" w:hAnsi="Tahoma" w:cs="Tahoma"/>
          <w:sz w:val="18"/>
          <w:lang w:val="it-IT"/>
        </w:rPr>
        <w:t>seguito:</w:t>
      </w:r>
    </w:p>
    <w:p w:rsidR="00A92422" w:rsidRPr="00D87B79" w:rsidRDefault="00A92422" w:rsidP="00A92422">
      <w:pPr>
        <w:pStyle w:val="AppendixBodyText"/>
        <w:spacing w:after="0"/>
        <w:rPr>
          <w:rFonts w:ascii="Tahoma" w:hAnsi="Tahoma" w:cs="Tahoma"/>
        </w:rPr>
      </w:pPr>
    </w:p>
    <w:tbl>
      <w:tblPr>
        <w:tblW w:w="7288" w:type="dxa"/>
        <w:tblInd w:w="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A92422" w:rsidRPr="00D87B79" w:rsidTr="00EA30FC">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A92422" w:rsidRPr="00D87B79" w:rsidRDefault="00A92422" w:rsidP="00EA30FC">
            <w:pPr>
              <w:pStyle w:val="AppendixTableHeadings"/>
              <w:rPr>
                <w:rFonts w:ascii="Tahoma" w:hAnsi="Tahoma" w:cs="Tahoma"/>
                <w:sz w:val="20"/>
                <w:szCs w:val="20"/>
              </w:rPr>
            </w:pPr>
            <w:r w:rsidRPr="00D87B79">
              <w:rPr>
                <w:rFonts w:ascii="Tahoma" w:hAnsi="Tahoma" w:cs="Tahoma"/>
                <w:sz w:val="20"/>
                <w:szCs w:val="20"/>
                <w:lang w:val="it-IT"/>
              </w:rPr>
              <w:t>Gruppo di</w:t>
            </w:r>
            <w:r>
              <w:rPr>
                <w:rFonts w:ascii="Tahoma" w:hAnsi="Tahoma" w:cs="Tahoma"/>
                <w:sz w:val="20"/>
                <w:szCs w:val="20"/>
                <w:lang w:val="it-IT"/>
              </w:rPr>
              <w:t> </w:t>
            </w:r>
            <w:r w:rsidRPr="00D87B79">
              <w:rPr>
                <w:rFonts w:ascii="Tahoma" w:hAnsi="Tahoma" w:cs="Tahoma"/>
                <w:sz w:val="20"/>
                <w:szCs w:val="20"/>
                <w:lang w:val="it-IT"/>
              </w:rPr>
              <w:t>Prodotti</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A92422" w:rsidRPr="00D87B79" w:rsidRDefault="00A92422" w:rsidP="00EA30FC">
            <w:pPr>
              <w:pStyle w:val="AppendixTableHeadings"/>
              <w:rPr>
                <w:rFonts w:ascii="Tahoma" w:hAnsi="Tahoma" w:cs="Tahoma"/>
                <w:sz w:val="20"/>
                <w:szCs w:val="20"/>
              </w:rPr>
            </w:pPr>
            <w:r w:rsidRPr="00D87B79">
              <w:rPr>
                <w:rFonts w:ascii="Tahoma" w:hAnsi="Tahoma" w:cs="Tahoma"/>
                <w:sz w:val="20"/>
                <w:szCs w:val="20"/>
                <w:lang w:val="it-IT"/>
              </w:rPr>
              <w:t>Open License, Open Value Subscription - Education Solutions, Open Value e</w:t>
            </w:r>
            <w:r>
              <w:rPr>
                <w:rFonts w:ascii="Tahoma" w:hAnsi="Tahoma" w:cs="Tahoma"/>
                <w:sz w:val="20"/>
                <w:szCs w:val="20"/>
                <w:lang w:val="it-IT"/>
              </w:rPr>
              <w:t> </w:t>
            </w:r>
            <w:r w:rsidRPr="00D87B79">
              <w:rPr>
                <w:rFonts w:ascii="Tahoma" w:hAnsi="Tahoma" w:cs="Tahoma"/>
                <w:sz w:val="20"/>
                <w:szCs w:val="20"/>
                <w:lang w:val="it-IT"/>
              </w:rPr>
              <w:t>Academic con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A92422" w:rsidRPr="00D87B79" w:rsidRDefault="00A92422" w:rsidP="00EA30FC">
            <w:pPr>
              <w:pStyle w:val="AppendixTableHeadings"/>
              <w:rPr>
                <w:rFonts w:ascii="Tahoma" w:hAnsi="Tahoma" w:cs="Tahoma"/>
                <w:sz w:val="20"/>
                <w:szCs w:val="20"/>
              </w:rPr>
            </w:pPr>
            <w:r w:rsidRPr="00D87B79">
              <w:rPr>
                <w:rFonts w:ascii="Tahoma" w:hAnsi="Tahoma" w:cs="Tahoma"/>
                <w:sz w:val="20"/>
                <w:szCs w:val="20"/>
                <w:lang w:val="it-IT"/>
              </w:rPr>
              <w:t>Select/Select Plus/EA</w:t>
            </w:r>
          </w:p>
        </w:tc>
      </w:tr>
      <w:tr w:rsidR="00A92422" w:rsidRPr="00D87B79" w:rsidTr="00EA30FC">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A92422" w:rsidRPr="00D956D6" w:rsidRDefault="00A92422" w:rsidP="00EA30FC">
            <w:pPr>
              <w:pStyle w:val="AppendixTableText"/>
              <w:rPr>
                <w:rFonts w:ascii="Tahoma" w:hAnsi="Tahoma" w:cs="Tahoma"/>
                <w:b/>
              </w:rPr>
            </w:pPr>
            <w:r w:rsidRPr="00D956D6">
              <w:rPr>
                <w:rFonts w:ascii="Tahoma" w:hAnsi="Tahoma" w:cs="Tahoma"/>
                <w:b/>
                <w:lang w:val="it-IT"/>
              </w:rPr>
              <w:t>Pool di Server</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A92422" w:rsidRPr="00D87B79" w:rsidRDefault="00A92422" w:rsidP="00EA30FC">
            <w:pPr>
              <w:pStyle w:val="AppendixTableText"/>
              <w:rPr>
                <w:rFonts w:ascii="Tahoma" w:hAnsi="Tahoma" w:cs="Tahoma"/>
              </w:rPr>
            </w:pPr>
            <w:r w:rsidRPr="00D87B79">
              <w:rPr>
                <w:rFonts w:ascii="Tahoma" w:hAnsi="Tahoma" w:cs="Tahoma"/>
                <w:lang w:val="it-IT"/>
              </w:rPr>
              <w:t>1 ID Utente per</w:t>
            </w:r>
          </w:p>
          <w:p w:rsidR="00A92422" w:rsidRPr="00D87B79" w:rsidRDefault="00A92422" w:rsidP="00EA30FC">
            <w:pPr>
              <w:pStyle w:val="AppendixTableText"/>
              <w:rPr>
                <w:rFonts w:ascii="Tahoma" w:hAnsi="Tahoma" w:cs="Tahoma"/>
              </w:rPr>
            </w:pPr>
            <w:r w:rsidRPr="00D87B79">
              <w:rPr>
                <w:rFonts w:ascii="Tahoma" w:hAnsi="Tahoma" w:cs="Tahoma"/>
                <w:lang w:val="it-IT"/>
              </w:rPr>
              <w:t>Licenza Server</w:t>
            </w:r>
          </w:p>
          <w:p w:rsidR="00A92422" w:rsidRPr="00D87B79" w:rsidRDefault="00A92422" w:rsidP="00EA30FC">
            <w:pPr>
              <w:pStyle w:val="AppendixTableText"/>
              <w:rPr>
                <w:rFonts w:ascii="Tahoma" w:hAnsi="Tahoma" w:cs="Tahoma"/>
              </w:rPr>
            </w:pPr>
            <w:r w:rsidRPr="00D87B79">
              <w:rPr>
                <w:rFonts w:ascii="Tahoma" w:hAnsi="Tahoma" w:cs="Tahoma"/>
                <w:lang w:val="it-IT"/>
              </w:rPr>
              <w:t>(una volta soddisfatto il requisito di 5 SA Server)</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A92422" w:rsidRPr="00D87B79" w:rsidRDefault="00A92422" w:rsidP="00EA30FC">
            <w:pPr>
              <w:pStyle w:val="AppendixTableText"/>
              <w:rPr>
                <w:rFonts w:ascii="Tahoma" w:hAnsi="Tahoma" w:cs="Tahoma"/>
              </w:rPr>
            </w:pPr>
            <w:r w:rsidRPr="00D87B79">
              <w:rPr>
                <w:rFonts w:ascii="Tahoma" w:hAnsi="Tahoma" w:cs="Tahoma"/>
                <w:lang w:val="it-IT"/>
              </w:rPr>
              <w:t>1 ID Utente per</w:t>
            </w:r>
          </w:p>
          <w:p w:rsidR="00A92422" w:rsidRPr="00D87B79" w:rsidRDefault="00A92422" w:rsidP="00EA30FC">
            <w:pPr>
              <w:pStyle w:val="AppendixTableText"/>
              <w:rPr>
                <w:rFonts w:ascii="Tahoma" w:hAnsi="Tahoma" w:cs="Tahoma"/>
              </w:rPr>
            </w:pPr>
            <w:r w:rsidRPr="00D87B79">
              <w:rPr>
                <w:rFonts w:ascii="Tahoma" w:hAnsi="Tahoma" w:cs="Tahoma"/>
                <w:lang w:val="it-IT"/>
              </w:rPr>
              <w:t>Licenza Server</w:t>
            </w:r>
          </w:p>
        </w:tc>
      </w:tr>
    </w:tbl>
    <w:p w:rsidR="00A92422" w:rsidRPr="00D87B79" w:rsidRDefault="00A92422" w:rsidP="00A92422">
      <w:pPr>
        <w:pStyle w:val="AppendixBodyText"/>
        <w:rPr>
          <w:rFonts w:ascii="Tahoma" w:hAnsi="Tahoma" w:cs="Tahoma"/>
        </w:rPr>
      </w:pPr>
    </w:p>
    <w:p w:rsidR="00A92422" w:rsidRPr="00D87B79" w:rsidRDefault="00A92422" w:rsidP="00A92422">
      <w:pPr>
        <w:pStyle w:val="AppendixBodyText"/>
        <w:spacing w:after="0"/>
        <w:rPr>
          <w:rFonts w:ascii="Tahoma" w:hAnsi="Tahoma" w:cs="Tahoma"/>
        </w:rPr>
      </w:pPr>
    </w:p>
    <w:tbl>
      <w:tblPr>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14"/>
        <w:gridCol w:w="1098"/>
        <w:gridCol w:w="1352"/>
        <w:gridCol w:w="1350"/>
        <w:gridCol w:w="1375"/>
        <w:gridCol w:w="1395"/>
        <w:gridCol w:w="1566"/>
      </w:tblGrid>
      <w:tr w:rsidR="00A92422" w:rsidRPr="00D87B79" w:rsidTr="00EA30FC">
        <w:trPr>
          <w:trHeight w:val="178"/>
        </w:trPr>
        <w:tc>
          <w:tcPr>
            <w:tcW w:w="1314" w:type="dxa"/>
            <w:shd w:val="clear" w:color="auto" w:fill="FFCC99"/>
            <w:vAlign w:val="center"/>
          </w:tcPr>
          <w:p w:rsidR="00A92422" w:rsidRPr="00D87B79" w:rsidRDefault="00A92422" w:rsidP="00EA30FC">
            <w:pPr>
              <w:pStyle w:val="AppendixTableHeadings"/>
              <w:keepNext/>
              <w:spacing w:line="240" w:lineRule="auto"/>
              <w:rPr>
                <w:rFonts w:ascii="Tahoma" w:hAnsi="Tahoma" w:cs="Tahoma"/>
                <w:sz w:val="20"/>
                <w:szCs w:val="20"/>
              </w:rPr>
            </w:pPr>
            <w:r w:rsidRPr="00D87B79">
              <w:rPr>
                <w:rFonts w:ascii="Tahoma" w:hAnsi="Tahoma" w:cs="Tahoma"/>
                <w:sz w:val="20"/>
                <w:szCs w:val="20"/>
                <w:lang w:val="it-IT"/>
              </w:rPr>
              <w:t>Gruppo di Prodotti</w:t>
            </w:r>
          </w:p>
        </w:tc>
        <w:tc>
          <w:tcPr>
            <w:tcW w:w="1098" w:type="dxa"/>
            <w:shd w:val="clear" w:color="auto" w:fill="FFCC99"/>
            <w:vAlign w:val="center"/>
          </w:tcPr>
          <w:p w:rsidR="00A92422" w:rsidRPr="00D87B79" w:rsidRDefault="00A92422" w:rsidP="00EA30FC">
            <w:pPr>
              <w:pStyle w:val="AppendixTableHeadings"/>
              <w:keepNext/>
              <w:spacing w:line="240" w:lineRule="auto"/>
              <w:rPr>
                <w:rFonts w:ascii="Tahoma" w:hAnsi="Tahoma" w:cs="Tahoma"/>
                <w:sz w:val="20"/>
                <w:szCs w:val="20"/>
              </w:rPr>
            </w:pPr>
            <w:r w:rsidRPr="00D87B79">
              <w:rPr>
                <w:rFonts w:ascii="Tahoma" w:hAnsi="Tahoma" w:cs="Tahoma"/>
                <w:sz w:val="20"/>
                <w:lang w:val="it-IT"/>
              </w:rPr>
              <w:t>Open Value con SAM</w:t>
            </w:r>
          </w:p>
        </w:tc>
        <w:tc>
          <w:tcPr>
            <w:tcW w:w="1352" w:type="dxa"/>
            <w:shd w:val="clear" w:color="auto" w:fill="FFCC99"/>
            <w:vAlign w:val="center"/>
          </w:tcPr>
          <w:p w:rsidR="00A92422" w:rsidRPr="00D87B79" w:rsidRDefault="00A92422" w:rsidP="00EA30FC">
            <w:pPr>
              <w:pStyle w:val="AppendixTableHeadings"/>
              <w:keepNext/>
              <w:spacing w:line="240" w:lineRule="auto"/>
              <w:rPr>
                <w:rFonts w:ascii="Tahoma" w:hAnsi="Tahoma" w:cs="Tahoma"/>
              </w:rPr>
            </w:pPr>
            <w:r w:rsidRPr="00D87B79">
              <w:rPr>
                <w:rFonts w:ascii="Tahoma" w:hAnsi="Tahoma" w:cs="Tahoma"/>
                <w:sz w:val="20"/>
                <w:lang w:val="it-IT"/>
              </w:rPr>
              <w:t>SAM</w:t>
            </w:r>
          </w:p>
          <w:p w:rsidR="00A92422" w:rsidRPr="00D87B79" w:rsidRDefault="00A92422" w:rsidP="00EA30FC">
            <w:pPr>
              <w:pStyle w:val="AppendixTableHeadings"/>
              <w:keepNext/>
              <w:spacing w:line="240" w:lineRule="auto"/>
              <w:rPr>
                <w:rFonts w:ascii="Tahoma" w:hAnsi="Tahoma" w:cs="Tahoma"/>
                <w:sz w:val="20"/>
                <w:szCs w:val="20"/>
              </w:rPr>
            </w:pPr>
            <w:r>
              <w:rPr>
                <w:rFonts w:ascii="Tahoma" w:hAnsi="Tahoma" w:cs="Tahoma"/>
                <w:sz w:val="20"/>
                <w:szCs w:val="20"/>
              </w:rPr>
              <w:t>250-2.</w:t>
            </w:r>
            <w:r w:rsidRPr="00D87B79">
              <w:rPr>
                <w:rFonts w:ascii="Tahoma" w:hAnsi="Tahoma" w:cs="Tahoma"/>
                <w:sz w:val="20"/>
                <w:szCs w:val="20"/>
              </w:rPr>
              <w:t xml:space="preserve">399 </w:t>
            </w:r>
          </w:p>
        </w:tc>
        <w:tc>
          <w:tcPr>
            <w:tcW w:w="1350" w:type="dxa"/>
            <w:shd w:val="clear" w:color="auto" w:fill="FFCC99"/>
            <w:vAlign w:val="center"/>
          </w:tcPr>
          <w:p w:rsidR="00A92422" w:rsidRPr="00D87B79" w:rsidRDefault="00A92422" w:rsidP="00EA30FC">
            <w:pPr>
              <w:pStyle w:val="AppendixTableHeadings"/>
              <w:keepNext/>
              <w:spacing w:line="240" w:lineRule="auto"/>
              <w:rPr>
                <w:rFonts w:ascii="Tahoma" w:hAnsi="Tahoma" w:cs="Tahoma"/>
              </w:rPr>
            </w:pPr>
            <w:r w:rsidRPr="00D87B79">
              <w:rPr>
                <w:rFonts w:ascii="Tahoma" w:hAnsi="Tahoma" w:cs="Tahoma"/>
                <w:sz w:val="20"/>
                <w:lang w:val="it-IT"/>
              </w:rPr>
              <w:t>SAM</w:t>
            </w:r>
          </w:p>
          <w:p w:rsidR="00A92422" w:rsidRPr="00D87B79" w:rsidRDefault="00A92422" w:rsidP="00EA30FC">
            <w:pPr>
              <w:pStyle w:val="AppendixTableHeadings"/>
              <w:keepNext/>
              <w:spacing w:line="240" w:lineRule="auto"/>
              <w:rPr>
                <w:rFonts w:ascii="Tahoma" w:hAnsi="Tahoma" w:cs="Tahoma"/>
                <w:sz w:val="20"/>
                <w:szCs w:val="20"/>
              </w:rPr>
            </w:pPr>
            <w:r>
              <w:rPr>
                <w:rFonts w:ascii="Tahoma" w:hAnsi="Tahoma" w:cs="Tahoma"/>
                <w:sz w:val="20"/>
                <w:szCs w:val="20"/>
              </w:rPr>
              <w:t>2.400-5.</w:t>
            </w:r>
            <w:r w:rsidRPr="00D87B79">
              <w:rPr>
                <w:rFonts w:ascii="Tahoma" w:hAnsi="Tahoma" w:cs="Tahoma"/>
                <w:sz w:val="20"/>
                <w:szCs w:val="20"/>
              </w:rPr>
              <w:t>999</w:t>
            </w:r>
          </w:p>
        </w:tc>
        <w:tc>
          <w:tcPr>
            <w:tcW w:w="1375" w:type="dxa"/>
            <w:shd w:val="clear" w:color="auto" w:fill="FFCC99"/>
            <w:vAlign w:val="center"/>
          </w:tcPr>
          <w:p w:rsidR="00A92422" w:rsidRPr="00D87B79" w:rsidRDefault="00A92422" w:rsidP="00EA30FC">
            <w:pPr>
              <w:pStyle w:val="AppendixTableHeadings"/>
              <w:keepNext/>
              <w:spacing w:line="240" w:lineRule="auto"/>
              <w:rPr>
                <w:rFonts w:ascii="Tahoma" w:hAnsi="Tahoma" w:cs="Tahoma"/>
              </w:rPr>
            </w:pPr>
            <w:r w:rsidRPr="00D87B79">
              <w:rPr>
                <w:rFonts w:ascii="Tahoma" w:hAnsi="Tahoma" w:cs="Tahoma"/>
                <w:sz w:val="20"/>
                <w:lang w:val="it-IT"/>
              </w:rPr>
              <w:t>SAM</w:t>
            </w:r>
          </w:p>
          <w:p w:rsidR="00A92422" w:rsidRPr="00D87B79" w:rsidRDefault="00A92422" w:rsidP="00EA30FC">
            <w:pPr>
              <w:pStyle w:val="AppendixTableHeadings"/>
              <w:keepNext/>
              <w:spacing w:line="240" w:lineRule="auto"/>
              <w:rPr>
                <w:rFonts w:ascii="Tahoma" w:hAnsi="Tahoma" w:cs="Tahoma"/>
                <w:sz w:val="20"/>
                <w:szCs w:val="20"/>
              </w:rPr>
            </w:pPr>
            <w:r>
              <w:rPr>
                <w:rFonts w:ascii="Tahoma" w:hAnsi="Tahoma" w:cs="Tahoma"/>
                <w:sz w:val="20"/>
                <w:szCs w:val="20"/>
              </w:rPr>
              <w:t>6.000-14.</w:t>
            </w:r>
            <w:r w:rsidRPr="00D87B79">
              <w:rPr>
                <w:rFonts w:ascii="Tahoma" w:hAnsi="Tahoma" w:cs="Tahoma"/>
                <w:sz w:val="20"/>
                <w:szCs w:val="20"/>
              </w:rPr>
              <w:t>999</w:t>
            </w:r>
          </w:p>
        </w:tc>
        <w:tc>
          <w:tcPr>
            <w:tcW w:w="1395" w:type="dxa"/>
            <w:shd w:val="clear" w:color="auto" w:fill="FFCC99"/>
            <w:vAlign w:val="center"/>
          </w:tcPr>
          <w:p w:rsidR="00A92422" w:rsidRPr="00D87B79" w:rsidRDefault="00A92422" w:rsidP="00EA30FC">
            <w:pPr>
              <w:pStyle w:val="AppendixTableHeadings"/>
              <w:keepNext/>
              <w:spacing w:line="240" w:lineRule="auto"/>
              <w:rPr>
                <w:rFonts w:ascii="Tahoma" w:hAnsi="Tahoma" w:cs="Tahoma"/>
              </w:rPr>
            </w:pPr>
            <w:r w:rsidRPr="00D87B79">
              <w:rPr>
                <w:rFonts w:ascii="Tahoma" w:hAnsi="Tahoma" w:cs="Tahoma"/>
                <w:sz w:val="20"/>
                <w:lang w:val="it-IT"/>
              </w:rPr>
              <w:t>SAM</w:t>
            </w:r>
          </w:p>
          <w:p w:rsidR="00A92422" w:rsidRPr="00D87B79" w:rsidRDefault="00A92422" w:rsidP="00EA30FC">
            <w:pPr>
              <w:pStyle w:val="AppendixTableHeadings"/>
              <w:keepNext/>
              <w:spacing w:line="240" w:lineRule="auto"/>
              <w:rPr>
                <w:rFonts w:ascii="Tahoma" w:hAnsi="Tahoma" w:cs="Tahoma"/>
                <w:sz w:val="20"/>
                <w:szCs w:val="20"/>
              </w:rPr>
            </w:pPr>
            <w:r>
              <w:rPr>
                <w:rFonts w:ascii="Tahoma" w:hAnsi="Tahoma" w:cs="Tahoma"/>
                <w:sz w:val="20"/>
                <w:szCs w:val="20"/>
              </w:rPr>
              <w:t>15.</w:t>
            </w:r>
            <w:r w:rsidRPr="00D87B79">
              <w:rPr>
                <w:rFonts w:ascii="Tahoma" w:hAnsi="Tahoma" w:cs="Tahoma"/>
                <w:sz w:val="20"/>
                <w:szCs w:val="20"/>
              </w:rPr>
              <w:t>000+</w:t>
            </w:r>
          </w:p>
        </w:tc>
        <w:tc>
          <w:tcPr>
            <w:tcW w:w="1566" w:type="dxa"/>
            <w:shd w:val="clear" w:color="auto" w:fill="FFCC99"/>
            <w:vAlign w:val="center"/>
          </w:tcPr>
          <w:p w:rsidR="00A92422" w:rsidRPr="00D87B79" w:rsidRDefault="00A92422" w:rsidP="00EA30FC">
            <w:pPr>
              <w:pStyle w:val="AppendixTableHeadings"/>
              <w:keepNext/>
              <w:spacing w:line="240" w:lineRule="auto"/>
              <w:rPr>
                <w:rFonts w:ascii="Tahoma" w:hAnsi="Tahoma" w:cs="Tahoma"/>
                <w:sz w:val="20"/>
                <w:szCs w:val="20"/>
              </w:rPr>
            </w:pPr>
            <w:r w:rsidRPr="00D87B79">
              <w:rPr>
                <w:rFonts w:ascii="Tahoma" w:hAnsi="Tahoma" w:cs="Tahoma"/>
                <w:sz w:val="20"/>
                <w:szCs w:val="20"/>
                <w:lang w:val="it-IT"/>
              </w:rPr>
              <w:t>Academic Select/Select Plus for Academic/</w:t>
            </w:r>
            <w:r>
              <w:rPr>
                <w:rFonts w:ascii="Tahoma" w:hAnsi="Tahoma" w:cs="Tahoma"/>
                <w:sz w:val="20"/>
                <w:szCs w:val="20"/>
                <w:lang w:val="it-IT"/>
              </w:rPr>
              <w:br/>
            </w:r>
            <w:r w:rsidRPr="00D87B79">
              <w:rPr>
                <w:rFonts w:ascii="Tahoma" w:hAnsi="Tahoma" w:cs="Tahoma"/>
                <w:sz w:val="20"/>
                <w:szCs w:val="20"/>
                <w:lang w:val="it-IT"/>
              </w:rPr>
              <w:t>Open con SAM</w:t>
            </w:r>
          </w:p>
        </w:tc>
      </w:tr>
      <w:tr w:rsidR="00A92422" w:rsidRPr="00D87B79" w:rsidTr="00EA30FC">
        <w:trPr>
          <w:trHeight w:val="236"/>
        </w:trPr>
        <w:tc>
          <w:tcPr>
            <w:tcW w:w="1314" w:type="dxa"/>
            <w:vAlign w:val="center"/>
          </w:tcPr>
          <w:p w:rsidR="00A92422" w:rsidRPr="00D956D6" w:rsidRDefault="00A92422" w:rsidP="00EA30FC">
            <w:pPr>
              <w:pStyle w:val="AppendixTableText"/>
              <w:keepNext/>
              <w:spacing w:line="240" w:lineRule="auto"/>
              <w:rPr>
                <w:rFonts w:ascii="Tahoma" w:hAnsi="Tahoma" w:cs="Tahoma"/>
                <w:b/>
              </w:rPr>
            </w:pPr>
            <w:r w:rsidRPr="00D956D6">
              <w:rPr>
                <w:rFonts w:ascii="Tahoma" w:hAnsi="Tahoma" w:cs="Tahoma"/>
                <w:b/>
                <w:lang w:val="it-IT"/>
              </w:rPr>
              <w:t>Pool di Applicazioni</w:t>
            </w:r>
          </w:p>
        </w:tc>
        <w:tc>
          <w:tcPr>
            <w:tcW w:w="1098" w:type="dxa"/>
            <w:vAlign w:val="center"/>
          </w:tcPr>
          <w:p w:rsidR="00A92422" w:rsidRPr="00D87B79" w:rsidRDefault="00A92422" w:rsidP="00EA30FC">
            <w:pPr>
              <w:pStyle w:val="AppendixTableText"/>
              <w:keepNext/>
              <w:spacing w:line="240" w:lineRule="auto"/>
              <w:rPr>
                <w:rFonts w:ascii="Tahoma" w:hAnsi="Tahoma" w:cs="Tahoma"/>
              </w:rPr>
            </w:pPr>
            <w:r w:rsidRPr="00D87B79">
              <w:rPr>
                <w:rFonts w:ascii="Tahoma" w:hAnsi="Tahoma" w:cs="Tahoma"/>
                <w:lang w:val="it-IT"/>
              </w:rPr>
              <w:t>1 ID Utente per contratto</w:t>
            </w:r>
          </w:p>
        </w:tc>
        <w:tc>
          <w:tcPr>
            <w:tcW w:w="1352" w:type="dxa"/>
            <w:vAlign w:val="center"/>
          </w:tcPr>
          <w:p w:rsidR="00A92422" w:rsidRPr="00D87B79" w:rsidRDefault="00A92422" w:rsidP="00EA30FC">
            <w:pPr>
              <w:pStyle w:val="AppendixTableText"/>
              <w:keepNext/>
              <w:spacing w:line="240" w:lineRule="auto"/>
              <w:rPr>
                <w:rFonts w:ascii="Tahoma" w:hAnsi="Tahoma" w:cs="Tahoma"/>
              </w:rPr>
            </w:pPr>
            <w:r w:rsidRPr="00D87B79">
              <w:rPr>
                <w:rFonts w:ascii="Tahoma" w:hAnsi="Tahoma" w:cs="Tahoma"/>
                <w:lang w:val="it-IT"/>
              </w:rPr>
              <w:t>2 ID Utente per</w:t>
            </w:r>
          </w:p>
          <w:p w:rsidR="00A92422" w:rsidRPr="00D87B79" w:rsidRDefault="00A92422" w:rsidP="00EA30FC">
            <w:pPr>
              <w:pStyle w:val="AppendixTableText"/>
              <w:keepNext/>
              <w:spacing w:line="240" w:lineRule="auto"/>
              <w:rPr>
                <w:rFonts w:ascii="Tahoma" w:hAnsi="Tahoma" w:cs="Tahoma"/>
              </w:rPr>
            </w:pPr>
            <w:r w:rsidRPr="00D87B79">
              <w:rPr>
                <w:rFonts w:ascii="Tahoma" w:hAnsi="Tahoma" w:cs="Tahoma"/>
                <w:lang w:val="it-IT"/>
              </w:rPr>
              <w:t>Idoneo</w:t>
            </w:r>
          </w:p>
          <w:p w:rsidR="00A92422" w:rsidRPr="00D87B79" w:rsidRDefault="00A92422" w:rsidP="00EA30FC">
            <w:pPr>
              <w:pStyle w:val="AppendixTableText"/>
              <w:keepNext/>
              <w:spacing w:line="240" w:lineRule="auto"/>
              <w:rPr>
                <w:rFonts w:ascii="Tahoma" w:hAnsi="Tahoma" w:cs="Tahoma"/>
              </w:rPr>
            </w:pPr>
            <w:r w:rsidRPr="00D87B79">
              <w:rPr>
                <w:rFonts w:ascii="Tahoma" w:hAnsi="Tahoma" w:cs="Tahoma"/>
                <w:lang w:val="it-IT"/>
              </w:rPr>
              <w:t>Qualificante</w:t>
            </w:r>
          </w:p>
        </w:tc>
        <w:tc>
          <w:tcPr>
            <w:tcW w:w="1350" w:type="dxa"/>
            <w:vAlign w:val="center"/>
          </w:tcPr>
          <w:p w:rsidR="00A92422" w:rsidRPr="00D87B79" w:rsidRDefault="00A92422" w:rsidP="00EA30FC">
            <w:pPr>
              <w:pStyle w:val="AppendixTableText"/>
              <w:keepNext/>
              <w:spacing w:line="240" w:lineRule="auto"/>
              <w:rPr>
                <w:rFonts w:ascii="Tahoma" w:hAnsi="Tahoma" w:cs="Tahoma"/>
              </w:rPr>
            </w:pPr>
            <w:r w:rsidRPr="00D87B79">
              <w:rPr>
                <w:rFonts w:ascii="Tahoma" w:hAnsi="Tahoma" w:cs="Tahoma"/>
                <w:lang w:val="it-IT"/>
              </w:rPr>
              <w:t>5 ID Utente per</w:t>
            </w:r>
          </w:p>
          <w:p w:rsidR="00A92422" w:rsidRPr="00D87B79" w:rsidRDefault="00A92422" w:rsidP="00EA30FC">
            <w:pPr>
              <w:pStyle w:val="AppendixTableText"/>
              <w:keepNext/>
              <w:spacing w:line="240" w:lineRule="auto"/>
              <w:rPr>
                <w:rFonts w:ascii="Tahoma" w:hAnsi="Tahoma" w:cs="Tahoma"/>
              </w:rPr>
            </w:pPr>
            <w:r w:rsidRPr="00D87B79">
              <w:rPr>
                <w:rFonts w:ascii="Tahoma" w:hAnsi="Tahoma" w:cs="Tahoma"/>
                <w:lang w:val="it-IT"/>
              </w:rPr>
              <w:t>Idoneo</w:t>
            </w:r>
          </w:p>
          <w:p w:rsidR="00A92422" w:rsidRPr="00D87B79" w:rsidRDefault="00A92422" w:rsidP="00EA30FC">
            <w:pPr>
              <w:pStyle w:val="AppendixTableText"/>
              <w:keepNext/>
              <w:spacing w:line="240" w:lineRule="auto"/>
              <w:rPr>
                <w:rFonts w:ascii="Tahoma" w:hAnsi="Tahoma" w:cs="Tahoma"/>
              </w:rPr>
            </w:pPr>
            <w:r w:rsidRPr="00D87B79">
              <w:rPr>
                <w:rFonts w:ascii="Tahoma" w:hAnsi="Tahoma" w:cs="Tahoma"/>
                <w:lang w:val="it-IT"/>
              </w:rPr>
              <w:t>Qualificante</w:t>
            </w:r>
          </w:p>
        </w:tc>
        <w:tc>
          <w:tcPr>
            <w:tcW w:w="1375" w:type="dxa"/>
            <w:vAlign w:val="center"/>
          </w:tcPr>
          <w:p w:rsidR="00A92422" w:rsidRPr="00D87B79" w:rsidRDefault="00A92422" w:rsidP="00EA30FC">
            <w:pPr>
              <w:pStyle w:val="AppendixTableText"/>
              <w:keepNext/>
              <w:spacing w:line="240" w:lineRule="auto"/>
              <w:rPr>
                <w:rFonts w:ascii="Tahoma" w:hAnsi="Tahoma" w:cs="Tahoma"/>
              </w:rPr>
            </w:pPr>
            <w:r w:rsidRPr="00D87B79">
              <w:rPr>
                <w:rFonts w:ascii="Tahoma" w:hAnsi="Tahoma" w:cs="Tahoma"/>
                <w:lang w:val="it-IT"/>
              </w:rPr>
              <w:t>10 ID Utente per</w:t>
            </w:r>
          </w:p>
          <w:p w:rsidR="00A92422" w:rsidRPr="00D87B79" w:rsidRDefault="00A92422" w:rsidP="00EA30FC">
            <w:pPr>
              <w:pStyle w:val="AppendixTableText"/>
              <w:keepNext/>
              <w:spacing w:line="240" w:lineRule="auto"/>
              <w:rPr>
                <w:rFonts w:ascii="Tahoma" w:hAnsi="Tahoma" w:cs="Tahoma"/>
              </w:rPr>
            </w:pPr>
            <w:r w:rsidRPr="00D87B79">
              <w:rPr>
                <w:rFonts w:ascii="Tahoma" w:hAnsi="Tahoma" w:cs="Tahoma"/>
                <w:lang w:val="it-IT"/>
              </w:rPr>
              <w:t>Idoneo</w:t>
            </w:r>
          </w:p>
          <w:p w:rsidR="00A92422" w:rsidRPr="00D87B79" w:rsidRDefault="00A92422" w:rsidP="00EA30FC">
            <w:pPr>
              <w:pStyle w:val="AppendixTableText"/>
              <w:keepNext/>
              <w:spacing w:line="240" w:lineRule="auto"/>
              <w:rPr>
                <w:rFonts w:ascii="Tahoma" w:hAnsi="Tahoma" w:cs="Tahoma"/>
              </w:rPr>
            </w:pPr>
            <w:r w:rsidRPr="00D87B79">
              <w:rPr>
                <w:rFonts w:ascii="Tahoma" w:hAnsi="Tahoma" w:cs="Tahoma"/>
                <w:lang w:val="it-IT"/>
              </w:rPr>
              <w:t>Qualificante</w:t>
            </w:r>
          </w:p>
        </w:tc>
        <w:tc>
          <w:tcPr>
            <w:tcW w:w="1395" w:type="dxa"/>
            <w:vAlign w:val="center"/>
          </w:tcPr>
          <w:p w:rsidR="00A92422" w:rsidRPr="00D87B79" w:rsidRDefault="00A92422" w:rsidP="00EA30FC">
            <w:pPr>
              <w:pStyle w:val="AppendixTableText"/>
              <w:keepNext/>
              <w:spacing w:line="240" w:lineRule="auto"/>
              <w:rPr>
                <w:rFonts w:ascii="Tahoma" w:hAnsi="Tahoma" w:cs="Tahoma"/>
              </w:rPr>
            </w:pPr>
            <w:r w:rsidRPr="00D87B79">
              <w:rPr>
                <w:rFonts w:ascii="Tahoma" w:hAnsi="Tahoma" w:cs="Tahoma"/>
                <w:lang w:val="it-IT"/>
              </w:rPr>
              <w:t>20 ID Utente per</w:t>
            </w:r>
          </w:p>
          <w:p w:rsidR="00A92422" w:rsidRPr="00D87B79" w:rsidRDefault="00A92422" w:rsidP="00EA30FC">
            <w:pPr>
              <w:pStyle w:val="AppendixTableText"/>
              <w:keepNext/>
              <w:spacing w:line="240" w:lineRule="auto"/>
              <w:rPr>
                <w:rFonts w:ascii="Tahoma" w:hAnsi="Tahoma" w:cs="Tahoma"/>
              </w:rPr>
            </w:pPr>
            <w:r w:rsidRPr="00D87B79">
              <w:rPr>
                <w:rFonts w:ascii="Tahoma" w:hAnsi="Tahoma" w:cs="Tahoma"/>
                <w:lang w:val="it-IT"/>
              </w:rPr>
              <w:t>Idoneo</w:t>
            </w:r>
          </w:p>
          <w:p w:rsidR="00A92422" w:rsidRPr="00D87B79" w:rsidRDefault="00A92422" w:rsidP="00EA30FC">
            <w:pPr>
              <w:pStyle w:val="AppendixTableText"/>
              <w:keepNext/>
              <w:spacing w:line="240" w:lineRule="auto"/>
              <w:rPr>
                <w:rFonts w:ascii="Tahoma" w:hAnsi="Tahoma" w:cs="Tahoma"/>
              </w:rPr>
            </w:pPr>
            <w:r w:rsidRPr="00D87B79">
              <w:rPr>
                <w:rFonts w:ascii="Tahoma" w:hAnsi="Tahoma" w:cs="Tahoma"/>
                <w:lang w:val="it-IT"/>
              </w:rPr>
              <w:t>Qualificante</w:t>
            </w:r>
          </w:p>
        </w:tc>
        <w:tc>
          <w:tcPr>
            <w:tcW w:w="1566" w:type="dxa"/>
            <w:vAlign w:val="center"/>
          </w:tcPr>
          <w:p w:rsidR="00A92422" w:rsidRPr="00D87B79" w:rsidRDefault="00A92422" w:rsidP="00EA30FC">
            <w:pPr>
              <w:pStyle w:val="AppendixTableText"/>
              <w:keepNext/>
              <w:spacing w:line="240" w:lineRule="auto"/>
              <w:rPr>
                <w:rFonts w:ascii="Tahoma" w:hAnsi="Tahoma" w:cs="Tahoma"/>
              </w:rPr>
            </w:pPr>
            <w:r w:rsidRPr="00D87B79">
              <w:rPr>
                <w:rFonts w:ascii="Tahoma" w:hAnsi="Tahoma" w:cs="Tahoma"/>
                <w:lang w:val="it-IT"/>
              </w:rPr>
              <w:t>1 ID Utente per iscrizione/</w:t>
            </w:r>
            <w:r>
              <w:rPr>
                <w:rFonts w:ascii="Tahoma" w:hAnsi="Tahoma" w:cs="Tahoma"/>
                <w:lang w:val="it-IT"/>
              </w:rPr>
              <w:br/>
            </w:r>
            <w:r w:rsidRPr="00D87B79">
              <w:rPr>
                <w:rFonts w:ascii="Tahoma" w:hAnsi="Tahoma" w:cs="Tahoma"/>
                <w:lang w:val="it-IT"/>
              </w:rPr>
              <w:t>contratto</w:t>
            </w:r>
          </w:p>
        </w:tc>
      </w:tr>
      <w:tr w:rsidR="00A92422" w:rsidRPr="00D87B79" w:rsidTr="00EA30FC">
        <w:trPr>
          <w:trHeight w:val="236"/>
        </w:trPr>
        <w:tc>
          <w:tcPr>
            <w:tcW w:w="1314" w:type="dxa"/>
            <w:vAlign w:val="center"/>
          </w:tcPr>
          <w:p w:rsidR="00A92422" w:rsidRPr="00D956D6" w:rsidRDefault="00A92422" w:rsidP="00EA30FC">
            <w:pPr>
              <w:pStyle w:val="AppendixTableText"/>
              <w:keepNext/>
              <w:spacing w:line="240" w:lineRule="auto"/>
              <w:rPr>
                <w:rFonts w:ascii="Tahoma" w:hAnsi="Tahoma" w:cs="Tahoma"/>
                <w:b/>
              </w:rPr>
            </w:pPr>
            <w:r w:rsidRPr="00D956D6">
              <w:rPr>
                <w:rFonts w:ascii="Tahoma" w:hAnsi="Tahoma" w:cs="Tahoma"/>
                <w:b/>
                <w:lang w:val="it-IT"/>
              </w:rPr>
              <w:t>Pool di Sistemi</w:t>
            </w:r>
          </w:p>
        </w:tc>
        <w:tc>
          <w:tcPr>
            <w:tcW w:w="1098" w:type="dxa"/>
            <w:vAlign w:val="center"/>
          </w:tcPr>
          <w:p w:rsidR="00A92422" w:rsidRPr="00D87B79" w:rsidRDefault="00A92422" w:rsidP="00EA30FC">
            <w:pPr>
              <w:pStyle w:val="AppendixTableText"/>
              <w:keepNext/>
              <w:spacing w:line="240" w:lineRule="auto"/>
              <w:rPr>
                <w:rFonts w:ascii="Tahoma" w:hAnsi="Tahoma" w:cs="Tahoma"/>
              </w:rPr>
            </w:pPr>
            <w:r w:rsidRPr="00D87B79">
              <w:rPr>
                <w:rFonts w:ascii="Tahoma" w:hAnsi="Tahoma" w:cs="Tahoma"/>
                <w:lang w:val="it-IT"/>
              </w:rPr>
              <w:t>1 ID Utente per contratto</w:t>
            </w:r>
          </w:p>
        </w:tc>
        <w:tc>
          <w:tcPr>
            <w:tcW w:w="1352" w:type="dxa"/>
            <w:vAlign w:val="center"/>
          </w:tcPr>
          <w:p w:rsidR="00A92422" w:rsidRPr="00D87B79" w:rsidRDefault="00A92422" w:rsidP="00EA30FC">
            <w:pPr>
              <w:pStyle w:val="AppendixTableText"/>
              <w:keepNext/>
              <w:spacing w:line="240" w:lineRule="auto"/>
              <w:rPr>
                <w:rFonts w:ascii="Tahoma" w:hAnsi="Tahoma" w:cs="Tahoma"/>
              </w:rPr>
            </w:pPr>
            <w:r w:rsidRPr="00D87B79">
              <w:rPr>
                <w:rFonts w:ascii="Tahoma" w:hAnsi="Tahoma" w:cs="Tahoma"/>
                <w:lang w:val="it-IT"/>
              </w:rPr>
              <w:t>2 ID Utente per</w:t>
            </w:r>
          </w:p>
          <w:p w:rsidR="00A92422" w:rsidRPr="00D87B79" w:rsidRDefault="00A92422" w:rsidP="00EA30FC">
            <w:pPr>
              <w:pStyle w:val="AppendixTableText"/>
              <w:keepNext/>
              <w:spacing w:line="240" w:lineRule="auto"/>
              <w:rPr>
                <w:rFonts w:ascii="Tahoma" w:hAnsi="Tahoma" w:cs="Tahoma"/>
              </w:rPr>
            </w:pPr>
            <w:r w:rsidRPr="00D87B79">
              <w:rPr>
                <w:rFonts w:ascii="Tahoma" w:hAnsi="Tahoma" w:cs="Tahoma"/>
                <w:lang w:val="it-IT"/>
              </w:rPr>
              <w:t>Idoneo</w:t>
            </w:r>
          </w:p>
          <w:p w:rsidR="00A92422" w:rsidRPr="00D87B79" w:rsidRDefault="00A92422" w:rsidP="00EA30FC">
            <w:pPr>
              <w:pStyle w:val="AppendixTableText"/>
              <w:keepNext/>
              <w:spacing w:line="240" w:lineRule="auto"/>
              <w:rPr>
                <w:rFonts w:ascii="Tahoma" w:hAnsi="Tahoma" w:cs="Tahoma"/>
              </w:rPr>
            </w:pPr>
            <w:r w:rsidRPr="00D87B79">
              <w:rPr>
                <w:rFonts w:ascii="Tahoma" w:hAnsi="Tahoma" w:cs="Tahoma"/>
                <w:lang w:val="it-IT"/>
              </w:rPr>
              <w:t>Qualificante</w:t>
            </w:r>
          </w:p>
        </w:tc>
        <w:tc>
          <w:tcPr>
            <w:tcW w:w="1350" w:type="dxa"/>
            <w:vAlign w:val="center"/>
          </w:tcPr>
          <w:p w:rsidR="00A92422" w:rsidRPr="00D87B79" w:rsidRDefault="00A92422" w:rsidP="00EA30FC">
            <w:pPr>
              <w:pStyle w:val="AppendixTableText"/>
              <w:keepNext/>
              <w:spacing w:line="240" w:lineRule="auto"/>
              <w:rPr>
                <w:rFonts w:ascii="Tahoma" w:hAnsi="Tahoma" w:cs="Tahoma"/>
              </w:rPr>
            </w:pPr>
            <w:r w:rsidRPr="00D87B79">
              <w:rPr>
                <w:rFonts w:ascii="Tahoma" w:hAnsi="Tahoma" w:cs="Tahoma"/>
                <w:lang w:val="it-IT"/>
              </w:rPr>
              <w:t>3 ID Utente per</w:t>
            </w:r>
          </w:p>
          <w:p w:rsidR="00A92422" w:rsidRPr="00D87B79" w:rsidRDefault="00A92422" w:rsidP="00EA30FC">
            <w:pPr>
              <w:pStyle w:val="AppendixTableText"/>
              <w:keepNext/>
              <w:spacing w:line="240" w:lineRule="auto"/>
              <w:rPr>
                <w:rFonts w:ascii="Tahoma" w:hAnsi="Tahoma" w:cs="Tahoma"/>
              </w:rPr>
            </w:pPr>
            <w:r w:rsidRPr="00D87B79">
              <w:rPr>
                <w:rFonts w:ascii="Tahoma" w:hAnsi="Tahoma" w:cs="Tahoma"/>
                <w:lang w:val="it-IT"/>
              </w:rPr>
              <w:t>Idoneo</w:t>
            </w:r>
          </w:p>
          <w:p w:rsidR="00A92422" w:rsidRPr="00D87B79" w:rsidRDefault="00A92422" w:rsidP="00EA30FC">
            <w:pPr>
              <w:pStyle w:val="AppendixTableText"/>
              <w:keepNext/>
              <w:spacing w:line="240" w:lineRule="auto"/>
              <w:rPr>
                <w:rFonts w:ascii="Tahoma" w:hAnsi="Tahoma" w:cs="Tahoma"/>
              </w:rPr>
            </w:pPr>
            <w:r w:rsidRPr="00D87B79">
              <w:rPr>
                <w:rFonts w:ascii="Tahoma" w:hAnsi="Tahoma" w:cs="Tahoma"/>
                <w:lang w:val="it-IT"/>
              </w:rPr>
              <w:t>Qualificante</w:t>
            </w:r>
          </w:p>
        </w:tc>
        <w:tc>
          <w:tcPr>
            <w:tcW w:w="1375" w:type="dxa"/>
            <w:vAlign w:val="center"/>
          </w:tcPr>
          <w:p w:rsidR="00A92422" w:rsidRPr="00D87B79" w:rsidRDefault="00A92422" w:rsidP="00EA30FC">
            <w:pPr>
              <w:pStyle w:val="AppendixTableText"/>
              <w:keepNext/>
              <w:spacing w:line="240" w:lineRule="auto"/>
              <w:rPr>
                <w:rFonts w:ascii="Tahoma" w:hAnsi="Tahoma" w:cs="Tahoma"/>
              </w:rPr>
            </w:pPr>
            <w:r w:rsidRPr="00D87B79">
              <w:rPr>
                <w:rFonts w:ascii="Tahoma" w:hAnsi="Tahoma" w:cs="Tahoma"/>
                <w:lang w:val="it-IT"/>
              </w:rPr>
              <w:t>5 ID Utente per</w:t>
            </w:r>
          </w:p>
          <w:p w:rsidR="00A92422" w:rsidRPr="00D87B79" w:rsidRDefault="00A92422" w:rsidP="00EA30FC">
            <w:pPr>
              <w:pStyle w:val="AppendixTableText"/>
              <w:keepNext/>
              <w:spacing w:line="240" w:lineRule="auto"/>
              <w:rPr>
                <w:rFonts w:ascii="Tahoma" w:hAnsi="Tahoma" w:cs="Tahoma"/>
              </w:rPr>
            </w:pPr>
            <w:r w:rsidRPr="00D87B79">
              <w:rPr>
                <w:rFonts w:ascii="Tahoma" w:hAnsi="Tahoma" w:cs="Tahoma"/>
                <w:lang w:val="it-IT"/>
              </w:rPr>
              <w:t>Idoneo</w:t>
            </w:r>
          </w:p>
          <w:p w:rsidR="00A92422" w:rsidRPr="00D87B79" w:rsidRDefault="00A92422" w:rsidP="00EA30FC">
            <w:pPr>
              <w:pStyle w:val="AppendixTableText"/>
              <w:keepNext/>
              <w:spacing w:line="240" w:lineRule="auto"/>
              <w:rPr>
                <w:rFonts w:ascii="Tahoma" w:hAnsi="Tahoma" w:cs="Tahoma"/>
              </w:rPr>
            </w:pPr>
            <w:r w:rsidRPr="00D87B79">
              <w:rPr>
                <w:rFonts w:ascii="Tahoma" w:hAnsi="Tahoma" w:cs="Tahoma"/>
                <w:lang w:val="it-IT"/>
              </w:rPr>
              <w:t>Qualificante</w:t>
            </w:r>
          </w:p>
        </w:tc>
        <w:tc>
          <w:tcPr>
            <w:tcW w:w="1395" w:type="dxa"/>
            <w:vAlign w:val="center"/>
          </w:tcPr>
          <w:p w:rsidR="00A92422" w:rsidRPr="00D87B79" w:rsidRDefault="00A92422" w:rsidP="00EA30FC">
            <w:pPr>
              <w:pStyle w:val="AppendixTableText"/>
              <w:keepNext/>
              <w:spacing w:line="240" w:lineRule="auto"/>
              <w:rPr>
                <w:rFonts w:ascii="Tahoma" w:hAnsi="Tahoma" w:cs="Tahoma"/>
              </w:rPr>
            </w:pPr>
            <w:r w:rsidRPr="00D87B79">
              <w:rPr>
                <w:rFonts w:ascii="Tahoma" w:hAnsi="Tahoma" w:cs="Tahoma"/>
                <w:lang w:val="it-IT"/>
              </w:rPr>
              <w:t>10 ID Utente per</w:t>
            </w:r>
          </w:p>
          <w:p w:rsidR="00A92422" w:rsidRPr="00D87B79" w:rsidRDefault="00A92422" w:rsidP="00EA30FC">
            <w:pPr>
              <w:pStyle w:val="AppendixTableText"/>
              <w:keepNext/>
              <w:spacing w:line="240" w:lineRule="auto"/>
              <w:rPr>
                <w:rFonts w:ascii="Tahoma" w:hAnsi="Tahoma" w:cs="Tahoma"/>
              </w:rPr>
            </w:pPr>
            <w:r w:rsidRPr="00D87B79">
              <w:rPr>
                <w:rFonts w:ascii="Tahoma" w:hAnsi="Tahoma" w:cs="Tahoma"/>
                <w:lang w:val="it-IT"/>
              </w:rPr>
              <w:t>Idoneo</w:t>
            </w:r>
          </w:p>
          <w:p w:rsidR="00A92422" w:rsidRPr="00D87B79" w:rsidRDefault="00A92422" w:rsidP="00EA30FC">
            <w:pPr>
              <w:pStyle w:val="AppendixTableText"/>
              <w:keepNext/>
              <w:spacing w:line="240" w:lineRule="auto"/>
              <w:rPr>
                <w:rFonts w:ascii="Tahoma" w:hAnsi="Tahoma" w:cs="Tahoma"/>
              </w:rPr>
            </w:pPr>
            <w:r w:rsidRPr="00D87B79">
              <w:rPr>
                <w:rFonts w:ascii="Tahoma" w:hAnsi="Tahoma" w:cs="Tahoma"/>
                <w:lang w:val="it-IT"/>
              </w:rPr>
              <w:t>Qualificante</w:t>
            </w:r>
          </w:p>
        </w:tc>
        <w:tc>
          <w:tcPr>
            <w:tcW w:w="1566" w:type="dxa"/>
            <w:vAlign w:val="center"/>
          </w:tcPr>
          <w:p w:rsidR="00A92422" w:rsidRPr="00D87B79" w:rsidRDefault="00A92422" w:rsidP="00EA30FC">
            <w:pPr>
              <w:pStyle w:val="AppendixTableText"/>
              <w:keepNext/>
              <w:spacing w:line="240" w:lineRule="auto"/>
              <w:rPr>
                <w:rFonts w:ascii="Tahoma" w:hAnsi="Tahoma" w:cs="Tahoma"/>
              </w:rPr>
            </w:pPr>
            <w:r w:rsidRPr="00D87B79">
              <w:rPr>
                <w:rFonts w:ascii="Tahoma" w:hAnsi="Tahoma" w:cs="Tahoma"/>
                <w:lang w:val="it-IT"/>
              </w:rPr>
              <w:t>1 ID Utente per iscrizione/</w:t>
            </w:r>
            <w:r>
              <w:rPr>
                <w:rFonts w:ascii="Tahoma" w:hAnsi="Tahoma" w:cs="Tahoma"/>
                <w:lang w:val="it-IT"/>
              </w:rPr>
              <w:br/>
            </w:r>
            <w:r w:rsidRPr="00D87B79">
              <w:rPr>
                <w:rFonts w:ascii="Tahoma" w:hAnsi="Tahoma" w:cs="Tahoma"/>
                <w:lang w:val="it-IT"/>
              </w:rPr>
              <w:t>contratto</w:t>
            </w:r>
          </w:p>
        </w:tc>
      </w:tr>
    </w:tbl>
    <w:p w:rsidR="00A92422" w:rsidRDefault="00A92422" w:rsidP="00A92422">
      <w:pPr>
        <w:pStyle w:val="AppendixFlushBulletedList"/>
        <w:tabs>
          <w:tab w:val="clear" w:pos="360"/>
          <w:tab w:val="num" w:pos="0"/>
        </w:tabs>
        <w:ind w:left="0" w:firstLine="0"/>
        <w:rPr>
          <w:rFonts w:ascii="Tahoma" w:hAnsi="Tahoma" w:cs="Tahoma"/>
          <w:sz w:val="18"/>
          <w:szCs w:val="18"/>
          <w:lang w:val="it-IT"/>
        </w:rPr>
      </w:pPr>
    </w:p>
    <w:p w:rsidR="00A92422" w:rsidRPr="00D87B79" w:rsidRDefault="00A92422" w:rsidP="00A92422">
      <w:pPr>
        <w:pStyle w:val="AppendixFlushBulletedList"/>
        <w:tabs>
          <w:tab w:val="clear" w:pos="360"/>
          <w:tab w:val="num" w:pos="0"/>
        </w:tabs>
        <w:ind w:left="0" w:firstLine="0"/>
        <w:rPr>
          <w:rFonts w:ascii="Tahoma" w:hAnsi="Tahoma" w:cs="Tahoma"/>
        </w:rPr>
      </w:pPr>
      <w:r w:rsidRPr="00D87B79">
        <w:rPr>
          <w:rFonts w:ascii="Tahoma" w:hAnsi="Tahoma" w:cs="Tahoma"/>
          <w:sz w:val="18"/>
          <w:szCs w:val="18"/>
          <w:lang w:val="it-IT"/>
        </w:rPr>
        <w:t>Ogni ID Utente attribuisce a una persona il diritto di registrarsi e di avere accesso al sito dei servizi online riservato agli Iscritti, inclusi, a titolo esemplificativo:</w:t>
      </w:r>
      <w:r w:rsidRPr="00D87B79">
        <w:rPr>
          <w:rFonts w:ascii="Tahoma" w:hAnsi="Tahoma" w:cs="Tahoma"/>
          <w:sz w:val="18"/>
          <w:szCs w:val="18"/>
        </w:rPr>
        <w:t xml:space="preserve"> </w:t>
      </w:r>
      <w:r w:rsidRPr="00D87B79">
        <w:rPr>
          <w:rFonts w:ascii="Tahoma" w:hAnsi="Tahoma" w:cs="Tahoma"/>
          <w:sz w:val="18"/>
          <w:lang w:val="it-IT"/>
        </w:rPr>
        <w:t>Online Concierge Chat, Managed Newsgroups e contenuto Premium.</w:t>
      </w:r>
    </w:p>
    <w:p w:rsidR="00A92422" w:rsidRPr="00D87B79" w:rsidRDefault="00A92422" w:rsidP="00A92422">
      <w:pPr>
        <w:pStyle w:val="AppendixFlushBulletedList"/>
        <w:tabs>
          <w:tab w:val="clear" w:pos="360"/>
          <w:tab w:val="num" w:pos="0"/>
        </w:tabs>
        <w:ind w:left="0" w:firstLine="0"/>
        <w:rPr>
          <w:rFonts w:ascii="Tahoma" w:hAnsi="Tahoma" w:cs="Tahoma"/>
        </w:rPr>
      </w:pPr>
    </w:p>
    <w:p w:rsidR="00A92422" w:rsidRPr="00D87B79" w:rsidRDefault="00A92422" w:rsidP="00A92422">
      <w:pPr>
        <w:pStyle w:val="AppendixFlushBulletedList"/>
        <w:tabs>
          <w:tab w:val="clear" w:pos="360"/>
          <w:tab w:val="num" w:pos="0"/>
        </w:tabs>
        <w:ind w:left="0" w:firstLine="0"/>
        <w:rPr>
          <w:rFonts w:ascii="Tahoma" w:hAnsi="Tahoma" w:cs="Tahoma"/>
        </w:rPr>
      </w:pPr>
      <w:r w:rsidRPr="00D87B79">
        <w:rPr>
          <w:rFonts w:ascii="Tahoma" w:hAnsi="Tahoma" w:cs="Tahoma"/>
          <w:sz w:val="18"/>
          <w:lang w:val="it-IT"/>
        </w:rPr>
        <w:t>Per essere idonee a ricevere questo vantaggio, le società con prodotti Open License, Open Value, Open Value Subscription - Education Solutions, Academic Select License e Select Plus for Academic dovranno acquistare Software</w:t>
      </w:r>
      <w:r>
        <w:rPr>
          <w:rFonts w:ascii="Tahoma" w:hAnsi="Tahoma" w:cs="Tahoma"/>
          <w:sz w:val="18"/>
          <w:lang w:val="it-IT"/>
        </w:rPr>
        <w:t> </w:t>
      </w:r>
      <w:r w:rsidRPr="00D87B79">
        <w:rPr>
          <w:rFonts w:ascii="Tahoma" w:hAnsi="Tahoma" w:cs="Tahoma"/>
          <w:sz w:val="18"/>
          <w:lang w:val="it-IT"/>
        </w:rPr>
        <w:t>Assurance per un minimo di cinque licenze server per prodotti qualificanti.</w:t>
      </w:r>
    </w:p>
    <w:p w:rsidR="00A92422" w:rsidRPr="00D87B79" w:rsidRDefault="00A92422" w:rsidP="00A92422">
      <w:pPr>
        <w:pStyle w:val="AppendixFlushBulletedList"/>
        <w:tabs>
          <w:tab w:val="clear" w:pos="360"/>
          <w:tab w:val="num" w:pos="0"/>
        </w:tabs>
        <w:ind w:left="0" w:firstLine="0"/>
        <w:rPr>
          <w:rFonts w:ascii="Tahoma" w:hAnsi="Tahoma" w:cs="Tahoma"/>
        </w:rPr>
      </w:pPr>
    </w:p>
    <w:p w:rsidR="00A92422" w:rsidRPr="00D87B79" w:rsidRDefault="00A92422" w:rsidP="00A92422">
      <w:pPr>
        <w:pStyle w:val="AppendixBodyText"/>
        <w:spacing w:after="0"/>
        <w:rPr>
          <w:rFonts w:ascii="Tahoma" w:hAnsi="Tahoma" w:cs="Tahoma"/>
        </w:rPr>
      </w:pPr>
      <w:r w:rsidRPr="00D87B79">
        <w:rPr>
          <w:rFonts w:ascii="Tahoma" w:hAnsi="Tahoma" w:cs="Tahoma"/>
          <w:sz w:val="18"/>
          <w:lang w:val="it-IT"/>
        </w:rPr>
        <w:t>L’utilizzo del software per i Servizi in Abbonamento TechNet SA da parte delle società è soggetto alle condizioni del</w:t>
      </w:r>
      <w:r>
        <w:rPr>
          <w:rFonts w:ascii="Tahoma" w:hAnsi="Tahoma" w:cs="Tahoma"/>
          <w:sz w:val="18"/>
          <w:lang w:val="it-IT"/>
        </w:rPr>
        <w:t> </w:t>
      </w:r>
      <w:r w:rsidRPr="00D87B79">
        <w:rPr>
          <w:rFonts w:ascii="Tahoma" w:hAnsi="Tahoma" w:cs="Tahoma"/>
          <w:sz w:val="18"/>
          <w:lang w:val="it-IT"/>
        </w:rPr>
        <w:t>relativo contratto di licenza.</w:t>
      </w:r>
    </w:p>
    <w:p w:rsidR="00A92422" w:rsidRDefault="00A92422" w:rsidP="00A92422">
      <w:pPr>
        <w:pStyle w:val="Heading3"/>
        <w:rPr>
          <w:rFonts w:ascii="Tahoma" w:hAnsi="Tahoma" w:cs="Tahoma"/>
          <w:lang w:val="it-IT"/>
        </w:rPr>
      </w:pPr>
      <w:bookmarkStart w:id="872" w:name="_Toc336338241"/>
      <w:bookmarkStart w:id="873" w:name="_Toc342900293"/>
      <w:bookmarkEnd w:id="872"/>
    </w:p>
    <w:p w:rsidR="00A92422" w:rsidRPr="00D87B79" w:rsidRDefault="00A92422" w:rsidP="00A92422">
      <w:pPr>
        <w:pStyle w:val="Heading3"/>
        <w:rPr>
          <w:rFonts w:ascii="Tahoma" w:hAnsi="Tahoma" w:cs="Tahoma"/>
        </w:rPr>
      </w:pPr>
      <w:r w:rsidRPr="00D87B79">
        <w:rPr>
          <w:rFonts w:ascii="Tahoma" w:hAnsi="Tahoma" w:cs="Tahoma"/>
          <w:lang w:val="it-IT"/>
        </w:rPr>
        <w:t>TechNet Plus Direct</w:t>
      </w:r>
      <w:bookmarkEnd w:id="873"/>
      <w:r w:rsidRPr="00D87B79">
        <w:rPr>
          <w:rFonts w:ascii="Tahoma" w:hAnsi="Tahoma" w:cs="Tahoma"/>
        </w:rPr>
        <w:t xml:space="preserve"> </w:t>
      </w:r>
    </w:p>
    <w:p w:rsidR="00A92422" w:rsidRPr="00425571" w:rsidRDefault="00A92422" w:rsidP="00A92422">
      <w:pPr>
        <w:pStyle w:val="AppendixBodyText"/>
        <w:spacing w:after="0"/>
        <w:rPr>
          <w:rFonts w:ascii="Tahoma" w:hAnsi="Tahoma" w:cs="Tahoma"/>
          <w:sz w:val="18"/>
          <w:szCs w:val="18"/>
        </w:rPr>
      </w:pPr>
    </w:p>
    <w:p w:rsidR="00A92422" w:rsidRPr="00D87B79" w:rsidRDefault="00A92422" w:rsidP="00A92422">
      <w:pPr>
        <w:pStyle w:val="AppendixBodyText"/>
        <w:spacing w:after="0"/>
        <w:rPr>
          <w:rFonts w:ascii="Tahoma" w:hAnsi="Tahoma" w:cs="Tahoma"/>
        </w:rPr>
      </w:pPr>
      <w:r w:rsidRPr="00D87B79">
        <w:rPr>
          <w:rFonts w:ascii="Tahoma" w:hAnsi="Tahoma" w:cs="Tahoma"/>
          <w:sz w:val="18"/>
          <w:lang w:val="it-IT"/>
        </w:rPr>
        <w:t>Le società con copertura Software Assurance su prodotti qualificanti del pool di server sono idonee a beneficiare dell’Abbonamento a TechNet Plus Direct durante il periodo di validità della copertura Software Assurance.</w:t>
      </w:r>
      <w:r w:rsidRPr="00D87B79">
        <w:rPr>
          <w:rFonts w:ascii="Tahoma" w:hAnsi="Tahoma" w:cs="Tahoma"/>
        </w:rPr>
        <w:t xml:space="preserve"> </w:t>
      </w:r>
      <w:r w:rsidRPr="00D87B79">
        <w:rPr>
          <w:rFonts w:ascii="Tahoma" w:hAnsi="Tahoma" w:cs="Tahoma"/>
          <w:sz w:val="18"/>
          <w:lang w:val="it-IT"/>
        </w:rPr>
        <w:t xml:space="preserve">In questo </w:t>
      </w:r>
      <w:r w:rsidRPr="00D87B79">
        <w:rPr>
          <w:rFonts w:ascii="Tahoma" w:hAnsi="Tahoma" w:cs="Tahoma"/>
          <w:sz w:val="18"/>
          <w:lang w:val="it-IT"/>
        </w:rPr>
        <w:lastRenderedPageBreak/>
        <w:t>modo i professionisti IT avranno accesso al contenuto di TechNet Plus Direct che include la Knowledge Base Microsoft, formazione tecnica, download, patch di protezione, service pack e articoli esplicativi. Le società beneficeranno, inoltre, di quanto segue:</w:t>
      </w:r>
    </w:p>
    <w:p w:rsidR="00A92422" w:rsidRPr="00425571" w:rsidRDefault="00A92422" w:rsidP="00A92422">
      <w:pPr>
        <w:pStyle w:val="AppendixBodyText"/>
        <w:spacing w:after="0"/>
        <w:rPr>
          <w:rFonts w:ascii="Tahoma" w:hAnsi="Tahoma" w:cs="Tahoma"/>
          <w:sz w:val="18"/>
          <w:szCs w:val="18"/>
        </w:rPr>
      </w:pPr>
    </w:p>
    <w:p w:rsidR="00A92422" w:rsidRPr="00D87B79" w:rsidRDefault="00A92422" w:rsidP="00A92422">
      <w:pPr>
        <w:pStyle w:val="AppendixFlushBulletedList"/>
        <w:numPr>
          <w:ilvl w:val="0"/>
          <w:numId w:val="62"/>
        </w:numPr>
        <w:spacing w:after="60"/>
        <w:ind w:left="1440"/>
        <w:rPr>
          <w:rFonts w:ascii="Tahoma" w:hAnsi="Tahoma" w:cs="Tahoma"/>
        </w:rPr>
      </w:pPr>
      <w:r w:rsidRPr="00D87B79">
        <w:rPr>
          <w:rFonts w:ascii="Tahoma" w:hAnsi="Tahoma" w:cs="Tahoma"/>
          <w:sz w:val="18"/>
          <w:szCs w:val="18"/>
          <w:lang w:val="it-IT"/>
        </w:rPr>
        <w:t>Accesso al download di software in versione completa concesso in licenza a scopo di valutazione; sono compresi i sistemi operativi, i server e il software Office System Microsoft.</w:t>
      </w:r>
      <w:r w:rsidRPr="00D87B79">
        <w:rPr>
          <w:rFonts w:ascii="Tahoma" w:hAnsi="Tahoma" w:cs="Tahoma"/>
          <w:sz w:val="18"/>
          <w:szCs w:val="18"/>
        </w:rPr>
        <w:t xml:space="preserve"> </w:t>
      </w:r>
    </w:p>
    <w:p w:rsidR="00A92422" w:rsidRPr="00D87B79" w:rsidRDefault="00A92422" w:rsidP="00A92422">
      <w:pPr>
        <w:pStyle w:val="AppendixFlushBulletedList"/>
        <w:numPr>
          <w:ilvl w:val="0"/>
          <w:numId w:val="62"/>
        </w:numPr>
        <w:spacing w:after="60"/>
        <w:ind w:left="1440"/>
        <w:rPr>
          <w:rFonts w:ascii="Tahoma" w:hAnsi="Tahoma" w:cs="Tahoma"/>
        </w:rPr>
      </w:pPr>
      <w:r w:rsidRPr="00D87B79">
        <w:rPr>
          <w:rFonts w:ascii="Tahoma" w:hAnsi="Tahoma" w:cs="Tahoma"/>
          <w:sz w:val="18"/>
          <w:lang w:val="it-IT"/>
        </w:rPr>
        <w:t>L’accesso al download di software Beta (versioni prototipo di software Microsoft).</w:t>
      </w:r>
      <w:r w:rsidRPr="00D87B79">
        <w:rPr>
          <w:rFonts w:ascii="Tahoma" w:hAnsi="Tahoma" w:cs="Tahoma"/>
        </w:rPr>
        <w:t xml:space="preserve"> </w:t>
      </w:r>
    </w:p>
    <w:p w:rsidR="00A92422" w:rsidRPr="00D87B79" w:rsidRDefault="00A92422" w:rsidP="00A92422">
      <w:pPr>
        <w:pStyle w:val="AppendixFlushBulletedList"/>
        <w:numPr>
          <w:ilvl w:val="0"/>
          <w:numId w:val="62"/>
        </w:numPr>
        <w:spacing w:after="60"/>
        <w:ind w:left="1440"/>
        <w:rPr>
          <w:rFonts w:ascii="Tahoma" w:hAnsi="Tahoma" w:cs="Tahoma"/>
        </w:rPr>
      </w:pPr>
      <w:r w:rsidRPr="00D87B79">
        <w:rPr>
          <w:rFonts w:ascii="Tahoma" w:hAnsi="Tahoma" w:cs="Tahoma"/>
          <w:sz w:val="18"/>
          <w:szCs w:val="18"/>
          <w:lang w:val="it-IT"/>
        </w:rPr>
        <w:t>Due (2) interventi d supporto tecnico gratuiti all’anno e il 20% di sconto sugli interventi aggiuntivi tramite supporto telefonico acquistati dalla società.</w:t>
      </w:r>
      <w:r w:rsidRPr="00D87B79">
        <w:rPr>
          <w:rFonts w:ascii="Tahoma" w:hAnsi="Tahoma" w:cs="Tahoma"/>
          <w:sz w:val="18"/>
          <w:szCs w:val="18"/>
        </w:rPr>
        <w:t xml:space="preserve"> </w:t>
      </w:r>
    </w:p>
    <w:p w:rsidR="00A92422" w:rsidRPr="00D87B79" w:rsidRDefault="00A92422" w:rsidP="00A92422">
      <w:pPr>
        <w:pStyle w:val="AppendixFlushBulletedList"/>
        <w:numPr>
          <w:ilvl w:val="0"/>
          <w:numId w:val="62"/>
        </w:numPr>
        <w:spacing w:after="60"/>
        <w:ind w:left="1440"/>
        <w:rPr>
          <w:rFonts w:ascii="Tahoma" w:hAnsi="Tahoma" w:cs="Tahoma"/>
        </w:rPr>
      </w:pPr>
      <w:r w:rsidRPr="00D87B79">
        <w:rPr>
          <w:rFonts w:ascii="Tahoma" w:hAnsi="Tahoma" w:cs="Tahoma"/>
          <w:sz w:val="18"/>
          <w:szCs w:val="18"/>
          <w:lang w:val="it-IT"/>
        </w:rPr>
        <w:t>Servizio illimitato di Supporto per Managed Newsgroup e Online Concierge.</w:t>
      </w:r>
      <w:r w:rsidRPr="00D87B79">
        <w:rPr>
          <w:rFonts w:ascii="Tahoma" w:hAnsi="Tahoma" w:cs="Tahoma"/>
          <w:sz w:val="18"/>
          <w:szCs w:val="18"/>
        </w:rPr>
        <w:t xml:space="preserve"> </w:t>
      </w:r>
    </w:p>
    <w:p w:rsidR="00A92422" w:rsidRPr="00425571" w:rsidRDefault="00A92422" w:rsidP="00A92422">
      <w:pPr>
        <w:pStyle w:val="AppendixBodyText"/>
        <w:spacing w:after="0"/>
        <w:rPr>
          <w:rFonts w:ascii="Tahoma" w:hAnsi="Tahoma" w:cs="Tahoma"/>
          <w:sz w:val="18"/>
          <w:szCs w:val="18"/>
        </w:rPr>
      </w:pPr>
    </w:p>
    <w:p w:rsidR="00A92422" w:rsidRPr="00D87B79" w:rsidRDefault="00A92422" w:rsidP="00A92422">
      <w:pPr>
        <w:pStyle w:val="AppendixBodyText"/>
        <w:spacing w:after="0"/>
        <w:rPr>
          <w:rFonts w:ascii="Tahoma" w:hAnsi="Tahoma" w:cs="Tahoma"/>
        </w:rPr>
      </w:pPr>
      <w:r w:rsidRPr="00D87B79">
        <w:rPr>
          <w:rFonts w:ascii="Tahoma" w:hAnsi="Tahoma" w:cs="Tahoma"/>
          <w:sz w:val="18"/>
          <w:lang w:val="it-IT"/>
        </w:rPr>
        <w:t>Le società idonee riceveranno un abbonamento per iscrizione qualificante, come mostrato di seguito:</w:t>
      </w:r>
    </w:p>
    <w:p w:rsidR="00A92422" w:rsidRPr="00425571" w:rsidRDefault="00A92422" w:rsidP="00A92422">
      <w:pPr>
        <w:pStyle w:val="AppendixBodyText"/>
        <w:tabs>
          <w:tab w:val="left" w:pos="1425"/>
        </w:tabs>
        <w:spacing w:after="0"/>
        <w:rPr>
          <w:rFonts w:ascii="Tahoma" w:hAnsi="Tahoma" w:cs="Tahoma"/>
          <w:sz w:val="18"/>
          <w:szCs w:val="18"/>
        </w:rPr>
      </w:pPr>
    </w:p>
    <w:tbl>
      <w:tblPr>
        <w:tblW w:w="0" w:type="auto"/>
        <w:tblInd w:w="99" w:type="dxa"/>
        <w:tblCellMar>
          <w:left w:w="0" w:type="dxa"/>
          <w:right w:w="0" w:type="dxa"/>
        </w:tblCellMar>
        <w:tblLook w:val="0000" w:firstRow="0" w:lastRow="0" w:firstColumn="0" w:lastColumn="0" w:noHBand="0" w:noVBand="0"/>
      </w:tblPr>
      <w:tblGrid>
        <w:gridCol w:w="1260"/>
        <w:gridCol w:w="1890"/>
        <w:gridCol w:w="2070"/>
        <w:gridCol w:w="2160"/>
        <w:gridCol w:w="2079"/>
      </w:tblGrid>
      <w:tr w:rsidR="00A92422" w:rsidRPr="00D87B79" w:rsidTr="00EA30FC">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A92422" w:rsidRPr="00D87B79" w:rsidRDefault="00A92422" w:rsidP="00EA30FC">
            <w:pPr>
              <w:jc w:val="center"/>
              <w:rPr>
                <w:rFonts w:cs="Tahoma"/>
                <w:b/>
                <w:bCs/>
                <w:color w:val="000000"/>
                <w:sz w:val="20"/>
                <w:szCs w:val="20"/>
                <w:highlight w:val="yellow"/>
              </w:rPr>
            </w:pPr>
            <w:r w:rsidRPr="00D87B79">
              <w:rPr>
                <w:rFonts w:cs="Tahoma"/>
                <w:b/>
                <w:color w:val="000000"/>
                <w:sz w:val="20"/>
                <w:lang w:val="it-IT"/>
              </w:rPr>
              <w:t>Prodotto</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A92422" w:rsidRPr="00D87B79" w:rsidRDefault="00A92422" w:rsidP="00EA30FC">
            <w:pPr>
              <w:jc w:val="center"/>
              <w:rPr>
                <w:rFonts w:cs="Tahoma"/>
                <w:b/>
                <w:bCs/>
                <w:color w:val="000000"/>
                <w:sz w:val="20"/>
                <w:szCs w:val="20"/>
                <w:highlight w:val="yellow"/>
              </w:rPr>
            </w:pPr>
            <w:r w:rsidRPr="00D87B79">
              <w:rPr>
                <w:rFonts w:cs="Tahoma"/>
                <w:b/>
                <w:color w:val="000000"/>
                <w:sz w:val="20"/>
                <w:lang w:val="it-IT"/>
              </w:rPr>
              <w:t>Licenza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A92422" w:rsidRPr="00D87B79" w:rsidRDefault="00A92422" w:rsidP="00EA30FC">
            <w:pPr>
              <w:jc w:val="center"/>
              <w:rPr>
                <w:rFonts w:cs="Tahoma"/>
                <w:b/>
                <w:bCs/>
                <w:color w:val="000000"/>
                <w:sz w:val="20"/>
                <w:szCs w:val="20"/>
                <w:highlight w:val="yellow"/>
              </w:rPr>
            </w:pPr>
            <w:r w:rsidRPr="00D87B79">
              <w:rPr>
                <w:rFonts w:cs="Tahoma"/>
                <w:b/>
                <w:color w:val="000000"/>
                <w:sz w:val="20"/>
                <w:lang w:val="it-IT"/>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rsidR="00A92422" w:rsidRPr="00D87B79" w:rsidRDefault="00A92422" w:rsidP="00EA30FC">
            <w:pPr>
              <w:jc w:val="center"/>
              <w:rPr>
                <w:rFonts w:cs="Tahoma"/>
                <w:b/>
                <w:bCs/>
                <w:color w:val="000000"/>
                <w:sz w:val="20"/>
                <w:szCs w:val="20"/>
              </w:rPr>
            </w:pPr>
            <w:r w:rsidRPr="00D87B79">
              <w:rPr>
                <w:rFonts w:cs="Tahoma"/>
                <w:b/>
                <w:bCs/>
                <w:color w:val="000000"/>
                <w:sz w:val="20"/>
                <w:szCs w:val="20"/>
                <w:lang w:val="it-IT"/>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A92422" w:rsidRPr="00D87B79" w:rsidRDefault="00A92422" w:rsidP="00EA30FC">
            <w:pPr>
              <w:jc w:val="center"/>
              <w:rPr>
                <w:rFonts w:cs="Tahoma"/>
                <w:b/>
                <w:bCs/>
                <w:color w:val="000000"/>
                <w:sz w:val="20"/>
                <w:szCs w:val="20"/>
                <w:highlight w:val="yellow"/>
              </w:rPr>
            </w:pPr>
            <w:r>
              <w:rPr>
                <w:rFonts w:cs="Tahoma"/>
                <w:b/>
                <w:color w:val="000000"/>
                <w:sz w:val="20"/>
                <w:lang w:val="it-IT"/>
              </w:rPr>
              <w:t>Select (diversa da Academic)</w:t>
            </w:r>
            <w:r w:rsidRPr="00D87B79">
              <w:rPr>
                <w:rFonts w:cs="Tahoma"/>
                <w:b/>
                <w:color w:val="000000"/>
                <w:sz w:val="20"/>
                <w:lang w:val="it-IT"/>
              </w:rPr>
              <w:t>/Select Plus (diversa da Academic)/EA</w:t>
            </w:r>
          </w:p>
        </w:tc>
      </w:tr>
      <w:tr w:rsidR="00A92422" w:rsidRPr="00D87B79" w:rsidTr="00EA30FC">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A92422" w:rsidRPr="00D87B79" w:rsidRDefault="00A92422" w:rsidP="00EA30FC">
            <w:pPr>
              <w:rPr>
                <w:rFonts w:cs="Tahoma"/>
                <w:color w:val="000000"/>
                <w:szCs w:val="18"/>
                <w:highlight w:val="yellow"/>
              </w:rPr>
            </w:pPr>
            <w:r w:rsidRPr="00D87B79">
              <w:rPr>
                <w:rFonts w:cs="Tahoma"/>
                <w:b/>
                <w:color w:val="000000"/>
                <w:lang w:val="it-IT"/>
              </w:rPr>
              <w:t>Licenze Server</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A92422" w:rsidRPr="00D87B79" w:rsidRDefault="00A92422" w:rsidP="00EA30FC">
            <w:pPr>
              <w:jc w:val="center"/>
              <w:rPr>
                <w:rFonts w:cs="Tahoma"/>
                <w:color w:val="000000"/>
                <w:szCs w:val="18"/>
                <w:highlight w:val="yellow"/>
              </w:rPr>
            </w:pPr>
            <w:r w:rsidRPr="00D87B79">
              <w:rPr>
                <w:rFonts w:cs="Tahoma"/>
                <w:color w:val="000000"/>
                <w:lang w:val="it-IT"/>
              </w:rPr>
              <w:t>N/D</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A92422" w:rsidRPr="00D87B79" w:rsidRDefault="00A92422" w:rsidP="00EA30FC">
            <w:pPr>
              <w:jc w:val="center"/>
              <w:rPr>
                <w:rFonts w:cs="Tahoma"/>
                <w:color w:val="000000"/>
                <w:szCs w:val="18"/>
                <w:highlight w:val="yellow"/>
              </w:rPr>
            </w:pPr>
            <w:r w:rsidRPr="00D87B79">
              <w:rPr>
                <w:rFonts w:cs="Tahoma"/>
                <w:color w:val="000000"/>
                <w:lang w:val="it-IT"/>
              </w:rPr>
              <w:t>1 abbonamento per</w:t>
            </w:r>
            <w:r>
              <w:rPr>
                <w:rFonts w:cs="Tahoma"/>
                <w:color w:val="000000"/>
                <w:lang w:val="it-IT"/>
              </w:rPr>
              <w:t> </w:t>
            </w:r>
            <w:r w:rsidRPr="00D87B79">
              <w:rPr>
                <w:rFonts w:cs="Tahoma"/>
                <w:color w:val="000000"/>
                <w:lang w:val="it-IT"/>
              </w:rPr>
              <w:t>iscrizione</w:t>
            </w:r>
          </w:p>
        </w:tc>
        <w:tc>
          <w:tcPr>
            <w:tcW w:w="2160" w:type="dxa"/>
            <w:tcBorders>
              <w:top w:val="single" w:sz="8" w:space="0" w:color="auto"/>
              <w:left w:val="nil"/>
              <w:bottom w:val="single" w:sz="8" w:space="0" w:color="auto"/>
              <w:right w:val="single" w:sz="8" w:space="0" w:color="auto"/>
            </w:tcBorders>
          </w:tcPr>
          <w:p w:rsidR="00A92422" w:rsidRPr="00D87B79" w:rsidRDefault="00A92422" w:rsidP="00EA30FC">
            <w:pPr>
              <w:ind w:left="360"/>
              <w:rPr>
                <w:rFonts w:cs="Tahoma"/>
                <w:color w:val="000000"/>
                <w:szCs w:val="18"/>
              </w:rPr>
            </w:pPr>
            <w:r w:rsidRPr="00D87B79">
              <w:rPr>
                <w:rFonts w:cs="Tahoma"/>
                <w:color w:val="000000"/>
                <w:szCs w:val="18"/>
                <w:lang w:val="it-IT"/>
              </w:rPr>
              <w:t>1 abbonamento per</w:t>
            </w:r>
            <w:r>
              <w:rPr>
                <w:rFonts w:cs="Tahoma"/>
                <w:color w:val="000000"/>
                <w:szCs w:val="18"/>
                <w:lang w:val="it-IT"/>
              </w:rPr>
              <w:t> </w:t>
            </w:r>
            <w:r w:rsidRPr="00D87B79">
              <w:rPr>
                <w:rFonts w:cs="Tahoma"/>
                <w:color w:val="000000"/>
                <w:szCs w:val="18"/>
                <w:lang w:val="it-IT"/>
              </w:rPr>
              <w:t>iscrizione</w:t>
            </w:r>
            <w:r w:rsidRPr="00D87B79">
              <w:rPr>
                <w:rFonts w:cs="Tahoma"/>
                <w:color w:val="000000"/>
                <w:szCs w:val="18"/>
              </w:rPr>
              <w:t xml:space="preserve"> </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A92422" w:rsidRPr="00D87B79" w:rsidRDefault="00A92422" w:rsidP="00EA30FC">
            <w:pPr>
              <w:rPr>
                <w:rFonts w:cs="Tahoma"/>
                <w:color w:val="000000"/>
                <w:szCs w:val="18"/>
              </w:rPr>
            </w:pPr>
            <w:r w:rsidRPr="00D87B79">
              <w:rPr>
                <w:rFonts w:cs="Tahoma"/>
                <w:color w:val="000000"/>
                <w:szCs w:val="18"/>
                <w:lang w:val="it-IT"/>
              </w:rPr>
              <w:t>1 abbonamento per</w:t>
            </w:r>
            <w:r>
              <w:rPr>
                <w:rFonts w:cs="Tahoma"/>
                <w:color w:val="000000"/>
                <w:szCs w:val="18"/>
                <w:lang w:val="it-IT"/>
              </w:rPr>
              <w:t> </w:t>
            </w:r>
            <w:r w:rsidRPr="00D87B79">
              <w:rPr>
                <w:rFonts w:cs="Tahoma"/>
                <w:color w:val="000000"/>
                <w:szCs w:val="18"/>
                <w:lang w:val="it-IT"/>
              </w:rPr>
              <w:t>iscrizione</w:t>
            </w:r>
          </w:p>
        </w:tc>
      </w:tr>
    </w:tbl>
    <w:p w:rsidR="00A92422" w:rsidRPr="00D87B79" w:rsidRDefault="00A92422" w:rsidP="00A92422">
      <w:pPr>
        <w:tabs>
          <w:tab w:val="num" w:pos="0"/>
        </w:tabs>
        <w:rPr>
          <w:rFonts w:cs="Tahoma"/>
        </w:rPr>
      </w:pPr>
      <w:r>
        <w:rPr>
          <w:rFonts w:cs="Tahoma"/>
          <w:i/>
          <w:color w:val="000000"/>
          <w:sz w:val="16"/>
          <w:lang w:val="it-IT"/>
        </w:rPr>
        <w:t>*</w:t>
      </w:r>
      <w:r w:rsidRPr="00D87B79">
        <w:rPr>
          <w:rFonts w:cs="Tahoma"/>
          <w:i/>
          <w:color w:val="000000"/>
          <w:sz w:val="16"/>
          <w:lang w:val="it-IT"/>
        </w:rPr>
        <w:t>Se la società dispone della copertura SA attiva su cinque licenze software</w:t>
      </w:r>
    </w:p>
    <w:p w:rsidR="00A92422" w:rsidRPr="008003D6" w:rsidRDefault="00A92422" w:rsidP="00A92422">
      <w:pPr>
        <w:pStyle w:val="AppendixFlushBulletedList"/>
        <w:tabs>
          <w:tab w:val="clear" w:pos="360"/>
          <w:tab w:val="num" w:pos="0"/>
        </w:tabs>
        <w:ind w:left="0" w:firstLine="0"/>
        <w:rPr>
          <w:rFonts w:ascii="Tahoma" w:hAnsi="Tahoma" w:cs="Tahoma"/>
          <w:sz w:val="18"/>
          <w:szCs w:val="18"/>
        </w:rPr>
      </w:pPr>
    </w:p>
    <w:p w:rsidR="00A92422" w:rsidRPr="008003D6" w:rsidRDefault="00A92422" w:rsidP="00A92422">
      <w:pPr>
        <w:pStyle w:val="AppendixFlushBulletedList"/>
        <w:tabs>
          <w:tab w:val="clear" w:pos="360"/>
          <w:tab w:val="num" w:pos="0"/>
        </w:tabs>
        <w:ind w:left="0" w:firstLine="0"/>
        <w:rPr>
          <w:rFonts w:ascii="Tahoma" w:hAnsi="Tahoma" w:cs="Tahoma"/>
          <w:sz w:val="18"/>
          <w:szCs w:val="18"/>
        </w:rPr>
      </w:pPr>
      <w:r w:rsidRPr="008003D6">
        <w:rPr>
          <w:rFonts w:ascii="Tahoma" w:hAnsi="Tahoma" w:cs="Tahoma"/>
          <w:color w:val="000000"/>
          <w:sz w:val="18"/>
          <w:szCs w:val="18"/>
          <w:lang w:val="it-IT"/>
        </w:rPr>
        <w:t>L’utilizzo del software TechNet Plus Direct, in versione prototipo e di valutazione, da parte delle società è soggetto alle condizioni del relativo contratto di licenza.</w:t>
      </w:r>
      <w:r w:rsidRPr="008003D6">
        <w:rPr>
          <w:rFonts w:ascii="Tahoma" w:hAnsi="Tahoma" w:cs="Tahoma"/>
          <w:sz w:val="18"/>
          <w:szCs w:val="18"/>
        </w:rPr>
        <w:t xml:space="preserve"> </w:t>
      </w:r>
    </w:p>
    <w:p w:rsidR="00A92422" w:rsidRPr="008003D6" w:rsidRDefault="00A92422" w:rsidP="00A92422">
      <w:pPr>
        <w:pStyle w:val="AppendixFlushBulletedList"/>
        <w:tabs>
          <w:tab w:val="clear" w:pos="360"/>
          <w:tab w:val="num" w:pos="0"/>
        </w:tabs>
        <w:ind w:left="0" w:firstLine="0"/>
        <w:rPr>
          <w:rFonts w:ascii="Tahoma" w:hAnsi="Tahoma" w:cs="Tahoma"/>
          <w:sz w:val="18"/>
          <w:szCs w:val="18"/>
        </w:rPr>
      </w:pPr>
      <w:r w:rsidRPr="008003D6">
        <w:rPr>
          <w:rFonts w:ascii="Tahoma" w:hAnsi="Tahoma" w:cs="Tahoma"/>
          <w:color w:val="000000"/>
          <w:sz w:val="18"/>
          <w:szCs w:val="18"/>
          <w:lang w:val="it-IT"/>
        </w:rPr>
        <w:t>Il software in versione completa concesso in licenza non contiene “time bomb” ed è fornito esclusivamente a scopi di valutazione, non per un utilizzo in ambienti di produzione.</w:t>
      </w:r>
      <w:r w:rsidRPr="008003D6">
        <w:rPr>
          <w:rFonts w:ascii="Tahoma" w:hAnsi="Tahoma" w:cs="Tahoma"/>
          <w:color w:val="000000"/>
          <w:sz w:val="18"/>
          <w:szCs w:val="18"/>
        </w:rPr>
        <w:t xml:space="preserve"> </w:t>
      </w:r>
    </w:p>
    <w:p w:rsidR="00A92422" w:rsidRPr="008003D6" w:rsidRDefault="00A92422" w:rsidP="00A92422">
      <w:pPr>
        <w:pStyle w:val="AppendixFlushBulletedList"/>
        <w:tabs>
          <w:tab w:val="clear" w:pos="360"/>
          <w:tab w:val="num" w:pos="0"/>
        </w:tabs>
        <w:ind w:left="0" w:firstLine="0"/>
        <w:rPr>
          <w:rFonts w:ascii="Tahoma" w:hAnsi="Tahoma" w:cs="Tahoma"/>
          <w:sz w:val="18"/>
          <w:szCs w:val="18"/>
        </w:rPr>
      </w:pPr>
    </w:p>
    <w:p w:rsidR="00A92422" w:rsidRPr="008003D6" w:rsidRDefault="00A92422" w:rsidP="00A92422">
      <w:pPr>
        <w:pStyle w:val="AppendixFlushBulletedList"/>
        <w:tabs>
          <w:tab w:val="clear" w:pos="360"/>
          <w:tab w:val="num" w:pos="0"/>
        </w:tabs>
        <w:ind w:left="0" w:firstLine="0"/>
        <w:rPr>
          <w:rFonts w:ascii="Tahoma" w:hAnsi="Tahoma" w:cs="Tahoma"/>
          <w:sz w:val="18"/>
          <w:szCs w:val="18"/>
        </w:rPr>
      </w:pPr>
      <w:r w:rsidRPr="008003D6">
        <w:rPr>
          <w:rFonts w:ascii="Tahoma" w:hAnsi="Tahoma" w:cs="Tahoma"/>
          <w:color w:val="000000"/>
          <w:sz w:val="18"/>
          <w:szCs w:val="18"/>
          <w:lang w:val="it-IT"/>
        </w:rPr>
        <w:t>Le società con copertura SA hanno il diritto di condividere il contenuto tecnico all’interno dell’organizzazione, tra cui la Knowledge Base, la formazione tecnica, i download, i service pack e le patch di protezione. Tuttavia, i seguenti vantaggi sono riservati unicamente al sottoscrittore principale e non si possono condividere:</w:t>
      </w:r>
      <w:r w:rsidRPr="008003D6">
        <w:rPr>
          <w:rFonts w:ascii="Tahoma" w:hAnsi="Tahoma" w:cs="Tahoma"/>
          <w:color w:val="000000"/>
          <w:sz w:val="18"/>
          <w:szCs w:val="18"/>
        </w:rPr>
        <w:t xml:space="preserve"> </w:t>
      </w:r>
      <w:r w:rsidRPr="008003D6">
        <w:rPr>
          <w:rFonts w:ascii="Tahoma" w:hAnsi="Tahoma" w:cs="Tahoma"/>
          <w:color w:val="000000"/>
          <w:sz w:val="18"/>
          <w:szCs w:val="18"/>
          <w:lang w:val="it-IT"/>
        </w:rPr>
        <w:t>software in versione completa fornito per scopi di valutazione, software in versione beta, interventi di supporto tecnico e sconto, managed newsgroup e online concierge e altri servizi premium disponibili solo sul sito Web dei Servizi TechNet Plus Direct.</w:t>
      </w:r>
      <w:r w:rsidRPr="008003D6">
        <w:rPr>
          <w:rFonts w:ascii="Tahoma" w:hAnsi="Tahoma" w:cs="Tahoma"/>
          <w:color w:val="000000"/>
          <w:sz w:val="18"/>
          <w:szCs w:val="18"/>
        </w:rPr>
        <w:t xml:space="preserve"> </w:t>
      </w:r>
    </w:p>
    <w:p w:rsidR="00A92422" w:rsidRPr="008003D6" w:rsidRDefault="00A92422" w:rsidP="00A92422">
      <w:pPr>
        <w:pStyle w:val="AppendixFlushBulletedList"/>
        <w:tabs>
          <w:tab w:val="clear" w:pos="360"/>
          <w:tab w:val="num" w:pos="0"/>
        </w:tabs>
        <w:ind w:left="0" w:firstLine="0"/>
        <w:rPr>
          <w:rFonts w:ascii="Tahoma" w:hAnsi="Tahoma" w:cs="Tahoma"/>
          <w:sz w:val="18"/>
          <w:szCs w:val="18"/>
        </w:rPr>
      </w:pPr>
    </w:p>
    <w:p w:rsidR="00A92422" w:rsidRPr="00D87B79" w:rsidRDefault="00A92422" w:rsidP="00A92422">
      <w:pPr>
        <w:pStyle w:val="AppendixFlushBulletedList"/>
        <w:tabs>
          <w:tab w:val="clear" w:pos="360"/>
          <w:tab w:val="num" w:pos="0"/>
        </w:tabs>
        <w:ind w:left="0" w:firstLine="0"/>
        <w:rPr>
          <w:rFonts w:ascii="Tahoma" w:hAnsi="Tahoma" w:cs="Tahoma"/>
        </w:rPr>
      </w:pPr>
      <w:r w:rsidRPr="00D87B79">
        <w:rPr>
          <w:rFonts w:ascii="Tahoma" w:hAnsi="Tahoma" w:cs="Tahoma"/>
          <w:color w:val="000000"/>
          <w:sz w:val="18"/>
          <w:lang w:val="it-IT"/>
        </w:rPr>
        <w:t>Non tutti i servizi e i vantaggi TechNet Plus Direct sono disponibili in ogni paese.</w:t>
      </w:r>
      <w:r w:rsidRPr="00D87B79">
        <w:rPr>
          <w:rFonts w:ascii="Tahoma" w:hAnsi="Tahoma" w:cs="Tahoma"/>
        </w:rPr>
        <w:t xml:space="preserve"> </w:t>
      </w:r>
    </w:p>
    <w:p w:rsidR="00A92422" w:rsidRPr="008003D6" w:rsidRDefault="00A92422" w:rsidP="00A92422">
      <w:pPr>
        <w:pStyle w:val="AppendixFlushBulletedList"/>
        <w:tabs>
          <w:tab w:val="clear" w:pos="360"/>
          <w:tab w:val="num" w:pos="0"/>
        </w:tabs>
        <w:ind w:left="0" w:firstLine="0"/>
        <w:rPr>
          <w:rFonts w:ascii="Tahoma" w:hAnsi="Tahoma" w:cs="Tahoma"/>
          <w:sz w:val="18"/>
          <w:szCs w:val="18"/>
        </w:rPr>
      </w:pPr>
    </w:p>
    <w:p w:rsidR="00A92422" w:rsidRPr="00D87B79" w:rsidRDefault="00A92422" w:rsidP="00A92422">
      <w:pPr>
        <w:pStyle w:val="AppendixFlushBulletedList"/>
        <w:tabs>
          <w:tab w:val="clear" w:pos="360"/>
          <w:tab w:val="num" w:pos="0"/>
        </w:tabs>
        <w:ind w:left="0" w:firstLine="0"/>
        <w:rPr>
          <w:rFonts w:ascii="Tahoma" w:hAnsi="Tahoma" w:cs="Tahoma"/>
        </w:rPr>
      </w:pPr>
      <w:r w:rsidRPr="00D87B79">
        <w:rPr>
          <w:rFonts w:ascii="Tahoma" w:hAnsi="Tahoma" w:cs="Tahoma"/>
          <w:sz w:val="18"/>
          <w:lang w:val="it-IT"/>
        </w:rPr>
        <w:t xml:space="preserve">Per ulteriori informazioni sulla disponibilità in base al Paese, visitare la pagina </w:t>
      </w:r>
      <w:hyperlink r:id="rId23" w:history="1">
        <w:r w:rsidRPr="00D87B79">
          <w:rPr>
            <w:rStyle w:val="Hyperlink"/>
            <w:rFonts w:ascii="Tahoma" w:hAnsi="Tahoma" w:cs="Tahoma"/>
            <w:color w:val="000000"/>
            <w:sz w:val="18"/>
            <w:lang w:val="it-IT"/>
          </w:rPr>
          <w:t>http://www.microsoft.com/technet/subscription</w:t>
        </w:r>
      </w:hyperlink>
      <w:r w:rsidRPr="00D87B79">
        <w:rPr>
          <w:rFonts w:ascii="Tahoma" w:hAnsi="Tahoma" w:cs="Tahoma"/>
          <w:sz w:val="18"/>
          <w:lang w:val="it-IT"/>
        </w:rPr>
        <w:t>.</w:t>
      </w:r>
      <w:r w:rsidRPr="00D87B79">
        <w:rPr>
          <w:rFonts w:ascii="Tahoma" w:hAnsi="Tahoma" w:cs="Tahoma"/>
        </w:rPr>
        <w:t xml:space="preserve"> </w:t>
      </w:r>
      <w:r w:rsidRPr="00D87B79">
        <w:rPr>
          <w:rFonts w:ascii="Tahoma" w:hAnsi="Tahoma" w:cs="Tahoma"/>
          <w:color w:val="000000"/>
          <w:sz w:val="18"/>
          <w:lang w:val="it-IT"/>
        </w:rPr>
        <w:t>Il diritto delle società di utilizzare software TechNet Plus Direct e software in versione prototipo e di valutazione cessa</w:t>
      </w:r>
      <w:r>
        <w:rPr>
          <w:rFonts w:ascii="Tahoma" w:hAnsi="Tahoma" w:cs="Tahoma"/>
          <w:color w:val="000000"/>
          <w:sz w:val="18"/>
          <w:lang w:val="it-IT"/>
        </w:rPr>
        <w:t> </w:t>
      </w:r>
      <w:r w:rsidRPr="00D87B79">
        <w:rPr>
          <w:rFonts w:ascii="Tahoma" w:hAnsi="Tahoma" w:cs="Tahoma"/>
          <w:color w:val="000000"/>
          <w:sz w:val="18"/>
          <w:lang w:val="it-IT"/>
        </w:rPr>
        <w:t>alla scadenza della copertura Software Assurance.</w:t>
      </w:r>
    </w:p>
    <w:p w:rsidR="00A92422" w:rsidRPr="00AF30BB" w:rsidRDefault="00A92422" w:rsidP="00A92422">
      <w:pPr>
        <w:pStyle w:val="Heading3"/>
        <w:tabs>
          <w:tab w:val="num" w:pos="0"/>
        </w:tabs>
        <w:rPr>
          <w:rFonts w:ascii="Tahoma" w:hAnsi="Tahoma" w:cs="Tahoma"/>
          <w:sz w:val="18"/>
          <w:szCs w:val="18"/>
        </w:rPr>
      </w:pPr>
    </w:p>
    <w:p w:rsidR="00A92422" w:rsidRPr="00D87B79" w:rsidRDefault="00A92422" w:rsidP="00A92422">
      <w:pPr>
        <w:pStyle w:val="Heading3"/>
        <w:tabs>
          <w:tab w:val="num" w:pos="0"/>
        </w:tabs>
        <w:rPr>
          <w:rFonts w:ascii="Tahoma" w:hAnsi="Tahoma" w:cs="Tahoma"/>
        </w:rPr>
      </w:pPr>
      <w:bookmarkStart w:id="874" w:name="_Toc336338242"/>
      <w:bookmarkStart w:id="875" w:name="_Toc342900294"/>
      <w:bookmarkEnd w:id="874"/>
      <w:r w:rsidRPr="00D87B79">
        <w:rPr>
          <w:rFonts w:ascii="Tahoma" w:hAnsi="Tahoma" w:cs="Tahoma"/>
          <w:lang w:val="it-IT"/>
        </w:rPr>
        <w:t>Mobilità delle Licenze tramite Software Assurance</w:t>
      </w:r>
      <w:bookmarkEnd w:id="875"/>
    </w:p>
    <w:p w:rsidR="00A92422" w:rsidRPr="00AF30BB" w:rsidRDefault="00A92422" w:rsidP="00A92422">
      <w:pPr>
        <w:pStyle w:val="Heading3"/>
        <w:tabs>
          <w:tab w:val="num" w:pos="0"/>
        </w:tabs>
        <w:rPr>
          <w:rFonts w:ascii="Tahoma" w:hAnsi="Tahoma" w:cs="Tahoma"/>
          <w:sz w:val="18"/>
          <w:szCs w:val="18"/>
        </w:rPr>
      </w:pPr>
    </w:p>
    <w:p w:rsidR="00A92422" w:rsidRPr="00D87B79" w:rsidRDefault="00A92422" w:rsidP="00A92422">
      <w:pPr>
        <w:rPr>
          <w:rFonts w:cs="Tahoma"/>
        </w:rPr>
      </w:pPr>
      <w:bookmarkStart w:id="876" w:name="_Toc294048012"/>
      <w:bookmarkStart w:id="877" w:name="_Toc294048569"/>
      <w:bookmarkStart w:id="878" w:name="_Toc294092640"/>
      <w:bookmarkStart w:id="879" w:name="_Toc295819320"/>
      <w:bookmarkStart w:id="880" w:name="_Toc298795971"/>
      <w:bookmarkStart w:id="881" w:name="_Toc299369847"/>
      <w:bookmarkStart w:id="882" w:name="_Toc300391558"/>
      <w:bookmarkStart w:id="883" w:name="_Toc301939835"/>
      <w:bookmarkStart w:id="884" w:name="_Toc304801232"/>
      <w:bookmarkStart w:id="885" w:name="_Toc312399280"/>
      <w:bookmarkStart w:id="886" w:name="_Toc315289087"/>
      <w:bookmarkStart w:id="887" w:name="_Toc317591243"/>
      <w:bookmarkStart w:id="888" w:name="_Toc325313196"/>
      <w:bookmarkStart w:id="889" w:name="_Toc325609219"/>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r w:rsidRPr="00D87B79">
        <w:rPr>
          <w:rFonts w:cs="Tahoma"/>
          <w:lang w:val="it-IT"/>
        </w:rPr>
        <w:t>Mobilità delle Licenze tramite Software Assurance consente di spostare determinate licenze on-premise con copertura Software Assurance su server condivisi di terzi.</w:t>
      </w:r>
    </w:p>
    <w:p w:rsidR="00A92422" w:rsidRPr="00D87B79" w:rsidRDefault="00A92422" w:rsidP="00A92422">
      <w:pPr>
        <w:rPr>
          <w:rFonts w:cs="Tahoma"/>
        </w:rPr>
      </w:pPr>
    </w:p>
    <w:p w:rsidR="00A92422" w:rsidRPr="00D87B79" w:rsidRDefault="00A92422" w:rsidP="00A92422">
      <w:pPr>
        <w:rPr>
          <w:rFonts w:cs="Tahoma"/>
        </w:rPr>
      </w:pPr>
      <w:bookmarkStart w:id="890" w:name="_Toc294048013"/>
      <w:bookmarkStart w:id="891" w:name="_Toc294048570"/>
      <w:bookmarkStart w:id="892" w:name="_Toc294092641"/>
      <w:bookmarkStart w:id="893" w:name="_Toc295819321"/>
      <w:bookmarkStart w:id="894" w:name="_Toc298795972"/>
      <w:bookmarkStart w:id="895" w:name="_Toc299369848"/>
      <w:bookmarkStart w:id="896" w:name="_Toc300391559"/>
      <w:bookmarkStart w:id="897" w:name="_Toc301939836"/>
      <w:bookmarkStart w:id="898" w:name="_Toc304801233"/>
      <w:bookmarkStart w:id="899" w:name="_Toc307350402"/>
      <w:bookmarkStart w:id="900" w:name="_Toc308429813"/>
      <w:bookmarkStart w:id="901" w:name="_Toc312399281"/>
      <w:bookmarkStart w:id="902" w:name="_Toc315289088"/>
      <w:bookmarkStart w:id="903" w:name="_Toc317591244"/>
      <w:bookmarkStart w:id="904" w:name="_Toc323034197"/>
      <w:bookmarkStart w:id="905" w:name="_Toc325313197"/>
      <w:bookmarkStart w:id="906" w:name="_Toc325609220"/>
      <w:r w:rsidRPr="00D87B79">
        <w:rPr>
          <w:rFonts w:cs="Tahoma"/>
          <w:lang w:val="it-IT"/>
        </w:rPr>
        <w:t>Tutti i Prodotti attualmente idonei per “Mobilità delle Licenze all’interno di Server Farm” in base a quanto definito nei</w:t>
      </w:r>
      <w:r>
        <w:rPr>
          <w:rFonts w:cs="Tahoma"/>
          <w:lang w:val="it-IT"/>
        </w:rPr>
        <w:t> </w:t>
      </w:r>
      <w:r w:rsidRPr="00D87B79">
        <w:rPr>
          <w:rFonts w:cs="Tahoma"/>
          <w:lang w:val="it-IT"/>
        </w:rPr>
        <w:t>Diritti di Utilizzo del Prodotto (PUR) e con copertura Software Assurance sono idonei per Mobilità delle Licenze tramite Software Assurance.</w:t>
      </w:r>
      <w:r w:rsidRPr="00D87B79">
        <w:rPr>
          <w:rFonts w:cs="Tahoma"/>
        </w:rPr>
        <w:t xml:space="preserve"> </w:t>
      </w:r>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r w:rsidRPr="00D87B79">
        <w:rPr>
          <w:rFonts w:cs="Tahoma"/>
          <w:lang w:val="it-IT"/>
        </w:rPr>
        <w:t>Inoltre, sono idonei per Mobilità delle Licenze tramite Software Assurance anche i</w:t>
      </w:r>
      <w:r>
        <w:rPr>
          <w:rFonts w:cs="Tahoma"/>
          <w:lang w:val="it-IT"/>
        </w:rPr>
        <w:t> </w:t>
      </w:r>
      <w:r w:rsidRPr="00D87B79">
        <w:rPr>
          <w:rFonts w:cs="Tahoma"/>
          <w:lang w:val="it-IT"/>
        </w:rPr>
        <w:t>Prodotti seguenti:</w:t>
      </w:r>
    </w:p>
    <w:p w:rsidR="00A92422" w:rsidRPr="00D87B79" w:rsidRDefault="00A92422" w:rsidP="00A92422">
      <w:pPr>
        <w:rPr>
          <w:rFonts w:cs="Tahoma"/>
        </w:rPr>
      </w:pPr>
    </w:p>
    <w:p w:rsidR="00A92422" w:rsidRPr="00D87B79" w:rsidRDefault="00A92422" w:rsidP="00A92422">
      <w:pPr>
        <w:numPr>
          <w:ilvl w:val="0"/>
          <w:numId w:val="46"/>
        </w:numPr>
        <w:spacing w:after="60"/>
        <w:ind w:left="1440"/>
        <w:rPr>
          <w:rFonts w:cs="Tahoma"/>
        </w:rPr>
      </w:pPr>
      <w:bookmarkStart w:id="907" w:name="_Toc294048014"/>
      <w:bookmarkStart w:id="908" w:name="_Toc294048571"/>
      <w:bookmarkStart w:id="909" w:name="_Toc294092642"/>
      <w:bookmarkStart w:id="910" w:name="_Toc295819322"/>
      <w:bookmarkStart w:id="911" w:name="_Toc298795973"/>
      <w:bookmarkStart w:id="912" w:name="_Toc299369849"/>
      <w:bookmarkStart w:id="913" w:name="_Toc300391560"/>
      <w:bookmarkStart w:id="914" w:name="_Toc301939837"/>
      <w:bookmarkStart w:id="915" w:name="_Toc304801234"/>
      <w:bookmarkStart w:id="916" w:name="_Toc307350403"/>
      <w:bookmarkStart w:id="917" w:name="_Toc308429814"/>
      <w:bookmarkStart w:id="918" w:name="_Toc312399282"/>
      <w:bookmarkStart w:id="919" w:name="_Toc315289089"/>
      <w:bookmarkStart w:id="920" w:name="_Toc317591245"/>
      <w:bookmarkStart w:id="921" w:name="_Toc323034198"/>
      <w:bookmarkStart w:id="922" w:name="_Toc325313198"/>
      <w:bookmarkStart w:id="923" w:name="_Toc325609221"/>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r w:rsidRPr="00D87B79">
        <w:rPr>
          <w:rFonts w:cs="Tahoma"/>
          <w:lang w:val="it-IT"/>
        </w:rPr>
        <w:t>SQL Server Standard -- Per Processore e Server/CAL (solo licenze per processore e server) con</w:t>
      </w:r>
      <w:r>
        <w:rPr>
          <w:rFonts w:cs="Tahoma"/>
          <w:lang w:val="it-IT"/>
        </w:rPr>
        <w:t> </w:t>
      </w:r>
      <w:r w:rsidRPr="00D87B79">
        <w:rPr>
          <w:rFonts w:cs="Tahoma"/>
          <w:lang w:val="it-IT"/>
        </w:rPr>
        <w:t>Software Assurance</w:t>
      </w:r>
    </w:p>
    <w:p w:rsidR="00A92422" w:rsidRPr="00D87B79" w:rsidRDefault="00A92422" w:rsidP="00A92422">
      <w:pPr>
        <w:numPr>
          <w:ilvl w:val="0"/>
          <w:numId w:val="46"/>
        </w:numPr>
        <w:spacing w:after="60"/>
        <w:ind w:left="1440"/>
        <w:rPr>
          <w:rFonts w:cs="Tahoma"/>
        </w:rPr>
      </w:pPr>
      <w:bookmarkStart w:id="924" w:name="_Toc294048015"/>
      <w:bookmarkStart w:id="925" w:name="_Toc294048572"/>
      <w:bookmarkStart w:id="926" w:name="_Toc294092643"/>
      <w:bookmarkStart w:id="927" w:name="_Toc295819323"/>
      <w:bookmarkStart w:id="928" w:name="_Toc298795974"/>
      <w:bookmarkStart w:id="929" w:name="_Toc299369850"/>
      <w:bookmarkStart w:id="930" w:name="_Toc300391561"/>
      <w:bookmarkStart w:id="931" w:name="_Toc301939838"/>
      <w:bookmarkStart w:id="932" w:name="_Toc304801235"/>
      <w:bookmarkStart w:id="933" w:name="_Toc307350404"/>
      <w:bookmarkStart w:id="934" w:name="_Toc308429815"/>
      <w:bookmarkStart w:id="935" w:name="_Toc312399283"/>
      <w:bookmarkStart w:id="936" w:name="_Toc315289090"/>
      <w:bookmarkStart w:id="937" w:name="_Toc317591246"/>
      <w:bookmarkStart w:id="938" w:name="_Toc323034199"/>
      <w:bookmarkStart w:id="939" w:name="_Toc325313199"/>
      <w:bookmarkStart w:id="940" w:name="_Toc325609222"/>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r w:rsidRPr="00D87B79">
        <w:rPr>
          <w:rFonts w:cs="Tahoma"/>
          <w:lang w:val="it-IT"/>
        </w:rPr>
        <w:t>System Center - tutte le Licenze di Gestione Server (ML), incluse SMSE e SMSD con Software Assurance e System Center 2012 Standard e Datacenter con Software Assurance</w:t>
      </w:r>
    </w:p>
    <w:p w:rsidR="00A92422" w:rsidRDefault="00A92422" w:rsidP="00A92422">
      <w:pPr>
        <w:rPr>
          <w:rFonts w:cs="Tahoma"/>
          <w:lang w:val="it-IT"/>
        </w:rPr>
      </w:pPr>
      <w:r>
        <w:rPr>
          <w:rFonts w:cs="Tahoma"/>
          <w:lang w:val="it-IT"/>
        </w:rPr>
        <w:br w:type="page"/>
      </w:r>
    </w:p>
    <w:p w:rsidR="00A92422" w:rsidRPr="00D87B79" w:rsidRDefault="00A92422" w:rsidP="00A92422">
      <w:pPr>
        <w:rPr>
          <w:rFonts w:cs="Tahoma"/>
        </w:rPr>
      </w:pPr>
      <w:r w:rsidRPr="00D87B79">
        <w:rPr>
          <w:rFonts w:cs="Tahoma"/>
          <w:lang w:val="it-IT"/>
        </w:rPr>
        <w:lastRenderedPageBreak/>
        <w:t>Per utilizzare Mobilità delle Licenze tramite Software Assurance, le società dovranno:</w:t>
      </w:r>
    </w:p>
    <w:p w:rsidR="00A92422" w:rsidRPr="00D87B79" w:rsidRDefault="00A92422" w:rsidP="00A92422">
      <w:pPr>
        <w:rPr>
          <w:rFonts w:cs="Tahoma"/>
        </w:rPr>
      </w:pPr>
    </w:p>
    <w:p w:rsidR="00A92422" w:rsidRPr="00D87B79" w:rsidRDefault="00A92422" w:rsidP="00A92422">
      <w:pPr>
        <w:numPr>
          <w:ilvl w:val="0"/>
          <w:numId w:val="36"/>
        </w:numPr>
        <w:spacing w:after="60"/>
        <w:ind w:left="1440"/>
        <w:rPr>
          <w:rFonts w:cs="Tahoma"/>
        </w:rPr>
      </w:pPr>
      <w:bookmarkStart w:id="941" w:name="_Toc294048017"/>
      <w:bookmarkStart w:id="942" w:name="_Toc294048574"/>
      <w:bookmarkStart w:id="943" w:name="_Toc294092645"/>
      <w:bookmarkStart w:id="944" w:name="_Toc295819325"/>
      <w:bookmarkStart w:id="945" w:name="_Toc298795976"/>
      <w:bookmarkStart w:id="946" w:name="_Toc299369852"/>
      <w:bookmarkStart w:id="947" w:name="_Toc300391563"/>
      <w:bookmarkStart w:id="948" w:name="_Toc301939840"/>
      <w:bookmarkStart w:id="949" w:name="_Toc304801237"/>
      <w:bookmarkStart w:id="950" w:name="_Toc307350406"/>
      <w:bookmarkStart w:id="951" w:name="_Toc308429817"/>
      <w:bookmarkStart w:id="952" w:name="_Toc312399285"/>
      <w:bookmarkStart w:id="953" w:name="_Toc315289092"/>
      <w:bookmarkStart w:id="954" w:name="_Toc317591248"/>
      <w:bookmarkStart w:id="955" w:name="_Toc323034201"/>
      <w:bookmarkStart w:id="956" w:name="_Toc325313201"/>
      <w:bookmarkStart w:id="957" w:name="_Toc325609224"/>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r w:rsidRPr="00D87B79">
        <w:rPr>
          <w:rFonts w:cs="Tahoma"/>
          <w:lang w:val="it-IT"/>
        </w:rPr>
        <w:t>gestire la copertura Software Assurance per le licenze ai sensi delle quali eseguono software o</w:t>
      </w:r>
      <w:r>
        <w:rPr>
          <w:rFonts w:cs="Tahoma"/>
          <w:lang w:val="it-IT"/>
        </w:rPr>
        <w:t> </w:t>
      </w:r>
      <w:r w:rsidRPr="00D87B79">
        <w:rPr>
          <w:rFonts w:cs="Tahoma"/>
          <w:lang w:val="it-IT"/>
        </w:rPr>
        <w:t>gestiscono ambienti di sistemi operativi su server di terzi condivisi nonché tutte le CAL, External</w:t>
      </w:r>
      <w:r>
        <w:rPr>
          <w:rFonts w:cs="Tahoma"/>
          <w:lang w:val="it-IT"/>
        </w:rPr>
        <w:t> </w:t>
      </w:r>
      <w:r w:rsidRPr="00D87B79">
        <w:rPr>
          <w:rFonts w:cs="Tahoma"/>
          <w:lang w:val="it-IT"/>
        </w:rPr>
        <w:t>Connector e licenze di gestione corrispondenti;</w:t>
      </w:r>
    </w:p>
    <w:p w:rsidR="00A92422" w:rsidRPr="00D87B79" w:rsidRDefault="00A92422" w:rsidP="00A92422">
      <w:pPr>
        <w:numPr>
          <w:ilvl w:val="0"/>
          <w:numId w:val="36"/>
        </w:numPr>
        <w:spacing w:after="60"/>
        <w:ind w:left="1440"/>
        <w:rPr>
          <w:rFonts w:cs="Tahoma"/>
        </w:rPr>
      </w:pPr>
      <w:bookmarkStart w:id="958" w:name="_Toc294048018"/>
      <w:bookmarkStart w:id="959" w:name="_Toc294048575"/>
      <w:bookmarkStart w:id="960" w:name="_Toc294092646"/>
      <w:bookmarkStart w:id="961" w:name="_Toc295819326"/>
      <w:bookmarkStart w:id="962" w:name="_Toc298795977"/>
      <w:bookmarkStart w:id="963" w:name="_Toc299369853"/>
      <w:bookmarkStart w:id="964" w:name="_Toc300391564"/>
      <w:bookmarkStart w:id="965" w:name="_Toc301939841"/>
      <w:bookmarkStart w:id="966" w:name="_Toc304801238"/>
      <w:bookmarkStart w:id="967" w:name="_Toc307350407"/>
      <w:bookmarkStart w:id="968" w:name="_Toc308429818"/>
      <w:bookmarkStart w:id="969" w:name="_Toc312399286"/>
      <w:bookmarkStart w:id="970" w:name="_Toc315289093"/>
      <w:bookmarkStart w:id="971" w:name="_Toc317591249"/>
      <w:bookmarkStart w:id="972" w:name="_Toc323034202"/>
      <w:bookmarkStart w:id="973" w:name="_Toc325313202"/>
      <w:bookmarkStart w:id="974" w:name="_Toc325609225"/>
      <w:r w:rsidRPr="00D87B79">
        <w:rPr>
          <w:rFonts w:cs="Tahoma"/>
          <w:lang w:val="it-IT"/>
        </w:rPr>
        <w:t>distribuire le proprie licenze solo con Partner di Mobilità delle Licenze tramite Software Assurance qualificati.</w:t>
      </w:r>
      <w:r w:rsidRPr="00D87B79">
        <w:rPr>
          <w:rFonts w:cs="Tahoma"/>
        </w:rPr>
        <w:t xml:space="preserve"> </w:t>
      </w:r>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r w:rsidRPr="00D87B79">
        <w:rPr>
          <w:rFonts w:cs="Tahoma"/>
          <w:lang w:val="it-IT"/>
        </w:rPr>
        <w:t>L’elenco dei Partner di Mobilità delle Licenze tramite Software Assurance qualificati è disponibile sul sito Web http://www.microsoft.com/licensing/software-assurance/license-mobility e</w:t>
      </w:r>
    </w:p>
    <w:p w:rsidR="00A92422" w:rsidRPr="00D87B79" w:rsidRDefault="00A92422" w:rsidP="00A92422">
      <w:pPr>
        <w:numPr>
          <w:ilvl w:val="0"/>
          <w:numId w:val="36"/>
        </w:numPr>
        <w:spacing w:after="60"/>
        <w:ind w:left="1440"/>
        <w:rPr>
          <w:rFonts w:cs="Tahoma"/>
        </w:rPr>
      </w:pPr>
      <w:bookmarkStart w:id="975" w:name="_Toc294048019"/>
      <w:bookmarkStart w:id="976" w:name="_Toc294048576"/>
      <w:bookmarkStart w:id="977" w:name="_Toc294092647"/>
      <w:bookmarkStart w:id="978" w:name="_Toc295819327"/>
      <w:bookmarkStart w:id="979" w:name="_Toc298795978"/>
      <w:bookmarkStart w:id="980" w:name="_Toc299369854"/>
      <w:bookmarkStart w:id="981" w:name="_Toc300391565"/>
      <w:bookmarkStart w:id="982" w:name="_Toc301939842"/>
      <w:bookmarkStart w:id="983" w:name="_Toc304801239"/>
      <w:bookmarkStart w:id="984" w:name="_Toc307350408"/>
      <w:bookmarkStart w:id="985" w:name="_Toc308429819"/>
      <w:bookmarkStart w:id="986" w:name="_Toc312399287"/>
      <w:bookmarkStart w:id="987" w:name="_Toc315289094"/>
      <w:bookmarkStart w:id="988" w:name="_Toc317591250"/>
      <w:bookmarkStart w:id="989" w:name="_Toc323034203"/>
      <w:bookmarkStart w:id="990" w:name="_Toc325313203"/>
      <w:bookmarkStart w:id="991" w:name="_Toc325609226"/>
      <w:r w:rsidRPr="00D87B79">
        <w:rPr>
          <w:rFonts w:cs="Tahoma"/>
          <w:lang w:val="it-IT"/>
        </w:rPr>
        <w:t>completare e inviare il modulo per la Convalida della Mobilità delle Licenze con ciascun Partner di</w:t>
      </w:r>
      <w:r>
        <w:rPr>
          <w:rFonts w:cs="Tahoma"/>
          <w:lang w:val="it-IT"/>
        </w:rPr>
        <w:t> </w:t>
      </w:r>
      <w:r w:rsidRPr="00D87B79">
        <w:rPr>
          <w:rFonts w:cs="Tahoma"/>
          <w:lang w:val="it-IT"/>
        </w:rPr>
        <w:t>Mobilità delle Licenze tramite Software Assurance qualificato che eseguirà il software in licenza delle società sui server condivisi dei partner.</w:t>
      </w:r>
      <w:r w:rsidRPr="00D87B79">
        <w:rPr>
          <w:rFonts w:cs="Tahoma"/>
        </w:rPr>
        <w:t xml:space="preserve"> </w:t>
      </w:r>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r w:rsidRPr="00D87B79">
        <w:rPr>
          <w:rFonts w:cs="Tahoma"/>
          <w:lang w:val="it-IT"/>
        </w:rPr>
        <w:t>Il modulo per la Convalida della Mobilità delle Licenze verrà messo a disposizione delle società dal Partner di Mobilità delle Licenze tramite Software Assurance qualificato.</w:t>
      </w:r>
    </w:p>
    <w:p w:rsidR="00A92422" w:rsidRPr="00D87B79" w:rsidRDefault="00A92422" w:rsidP="00A92422">
      <w:pPr>
        <w:rPr>
          <w:rFonts w:cs="Tahoma"/>
        </w:rPr>
      </w:pPr>
    </w:p>
    <w:p w:rsidR="00A92422" w:rsidRPr="00D87B79" w:rsidRDefault="00A92422" w:rsidP="00A92422">
      <w:pPr>
        <w:rPr>
          <w:rFonts w:cs="Tahoma"/>
        </w:rPr>
      </w:pPr>
      <w:bookmarkStart w:id="992" w:name="_Toc294048020"/>
      <w:bookmarkStart w:id="993" w:name="_Toc294048577"/>
      <w:bookmarkStart w:id="994" w:name="_Toc294092648"/>
      <w:bookmarkStart w:id="995" w:name="_Toc295819328"/>
      <w:bookmarkStart w:id="996" w:name="_Toc298795979"/>
      <w:bookmarkStart w:id="997" w:name="_Toc299369855"/>
      <w:bookmarkStart w:id="998" w:name="_Toc300391566"/>
      <w:bookmarkStart w:id="999" w:name="_Toc301939843"/>
      <w:bookmarkStart w:id="1000" w:name="_Toc304801240"/>
      <w:bookmarkStart w:id="1001" w:name="_Toc307350409"/>
      <w:bookmarkStart w:id="1002" w:name="_Toc308429820"/>
      <w:bookmarkStart w:id="1003" w:name="_Toc312399288"/>
      <w:bookmarkStart w:id="1004" w:name="_Toc317591251"/>
      <w:bookmarkStart w:id="1005" w:name="_Toc323034204"/>
      <w:bookmarkStart w:id="1006" w:name="_Toc325313204"/>
      <w:bookmarkStart w:id="1007" w:name="_Toc325609227"/>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r w:rsidRPr="00D87B79">
        <w:rPr>
          <w:rFonts w:cs="Tahoma"/>
          <w:lang w:val="it-IT"/>
        </w:rPr>
        <w:t>I diritti delle società di eseguire software in licenza e gestire OSE su server di terzi condivisi scadranno al termine della copertura Software Assurance su tali licenze o sulle licenze di accesso o di gestione corrispondenti.</w:t>
      </w:r>
    </w:p>
    <w:p w:rsidR="00A92422" w:rsidRPr="00D87B79" w:rsidRDefault="00A92422" w:rsidP="00A92422">
      <w:pPr>
        <w:rPr>
          <w:rFonts w:cs="Tahoma"/>
        </w:rPr>
      </w:pPr>
    </w:p>
    <w:p w:rsidR="00A92422" w:rsidRPr="00D87B79" w:rsidRDefault="00A92422" w:rsidP="00A92422">
      <w:pPr>
        <w:pStyle w:val="Heading3"/>
        <w:tabs>
          <w:tab w:val="num" w:pos="0"/>
        </w:tabs>
        <w:rPr>
          <w:rFonts w:ascii="Tahoma" w:hAnsi="Tahoma" w:cs="Tahoma"/>
        </w:rPr>
      </w:pPr>
      <w:bookmarkStart w:id="1008" w:name="_Toc336338243"/>
      <w:bookmarkStart w:id="1009" w:name="_Toc342900295"/>
      <w:bookmarkEnd w:id="1008"/>
      <w:r w:rsidRPr="00D87B79">
        <w:rPr>
          <w:rFonts w:ascii="Tahoma" w:hAnsi="Tahoma" w:cs="Tahoma"/>
          <w:lang w:val="it-IT"/>
        </w:rPr>
        <w:t>Windows Thin PC</w:t>
      </w:r>
      <w:bookmarkEnd w:id="1009"/>
    </w:p>
    <w:p w:rsidR="00A92422" w:rsidRPr="000C4132" w:rsidRDefault="00A92422" w:rsidP="00A92422">
      <w:pPr>
        <w:pStyle w:val="Heading3"/>
        <w:rPr>
          <w:rFonts w:ascii="Tahoma" w:hAnsi="Tahoma" w:cs="Tahoma"/>
          <w:sz w:val="18"/>
          <w:szCs w:val="18"/>
        </w:rPr>
      </w:pPr>
    </w:p>
    <w:p w:rsidR="00A92422" w:rsidRPr="00D87B79" w:rsidRDefault="00A92422" w:rsidP="00A92422">
      <w:pPr>
        <w:rPr>
          <w:rFonts w:cs="Tahoma"/>
        </w:rPr>
      </w:pPr>
      <w:r w:rsidRPr="00D87B79">
        <w:rPr>
          <w:rFonts w:cs="Tahoma"/>
          <w:lang w:val="it-IT"/>
        </w:rPr>
        <w:t>Le società che abbiano stipulato Contratti Multilicenza con copertura Software Assurance attiva per il sistema operativo desktop Windows o licenze attive per VDA o Windows Intune (Per Dispositivo) sono idonee per questo vantaggio. Le società che accedono a questo vantaggio in base a VDA dovranno disporre di un sistema operativo qualificante installato nel dispositivo con licenza in base alla tabella dei Sistemi Operativi Qualificanti come descritto alla sezione Note del Prodotto</w:t>
      </w:r>
      <w:r w:rsidRPr="00D87B79">
        <w:rPr>
          <w:rFonts w:cs="Tahoma"/>
          <w:color w:val="000000"/>
          <w:lang w:val="it-IT"/>
        </w:rPr>
        <w:t xml:space="preserve">, </w:t>
      </w:r>
      <w:r w:rsidRPr="00D87B79">
        <w:rPr>
          <w:rFonts w:cs="Tahoma"/>
          <w:lang w:val="it-IT"/>
        </w:rPr>
        <w:t>Pool di Sistemi del presente documento.</w:t>
      </w:r>
      <w:r w:rsidRPr="00D87B79">
        <w:rPr>
          <w:rFonts w:cs="Tahoma"/>
        </w:rPr>
        <w:t xml:space="preserve"> </w:t>
      </w:r>
    </w:p>
    <w:p w:rsidR="00A92422" w:rsidRPr="00D87B79" w:rsidRDefault="00A92422" w:rsidP="00A92422">
      <w:pPr>
        <w:rPr>
          <w:rFonts w:cs="Tahoma"/>
        </w:rPr>
      </w:pPr>
    </w:p>
    <w:p w:rsidR="00A92422" w:rsidRPr="00D87B79" w:rsidRDefault="00A92422" w:rsidP="00A92422">
      <w:pPr>
        <w:rPr>
          <w:rFonts w:cs="Tahoma"/>
        </w:rPr>
      </w:pPr>
      <w:r w:rsidRPr="00D87B79">
        <w:rPr>
          <w:rFonts w:cs="Tahoma"/>
          <w:lang w:val="it-IT"/>
        </w:rPr>
        <w:t>Windows Thin PC è una soluzione basata sul Sistema Operativo Windows con un footprint più piccolo, progettata per</w:t>
      </w:r>
      <w:r>
        <w:rPr>
          <w:rFonts w:cs="Tahoma"/>
          <w:lang w:val="it-IT"/>
        </w:rPr>
        <w:t> </w:t>
      </w:r>
      <w:r w:rsidRPr="00D87B79">
        <w:rPr>
          <w:rFonts w:cs="Tahoma"/>
          <w:lang w:val="it-IT"/>
        </w:rPr>
        <w:t>società che desiderano ridefinire i PC esistenti in grado di eseguire Windows 8 per la connessione a un desktop centralizzato senza dover acquistare nuovo hardware thin client. Le società idonee potranno utilizzare Windows Thin PC al posto di istanze di sistemi operativi desktop Windows che sono autorizzate a utilizzare in base alla copertura Software Assurance Windows, a licenze per Windows Intune (Per Dispositivo) o per Windows VDA. L’utilizzo di</w:t>
      </w:r>
      <w:r>
        <w:rPr>
          <w:rFonts w:cs="Tahoma"/>
          <w:lang w:val="it-IT"/>
        </w:rPr>
        <w:t> </w:t>
      </w:r>
      <w:r w:rsidRPr="00D87B79">
        <w:rPr>
          <w:rFonts w:cs="Tahoma"/>
          <w:lang w:val="it-IT"/>
        </w:rPr>
        <w:t>Windows Thin PC da parte delle società è soggetto alle condizioni del rispettivo contratto di licenza.</w:t>
      </w:r>
    </w:p>
    <w:p w:rsidR="00A92422" w:rsidRPr="00D87B79" w:rsidRDefault="00A92422" w:rsidP="00A92422">
      <w:pPr>
        <w:rPr>
          <w:rFonts w:cs="Tahoma"/>
        </w:rPr>
      </w:pPr>
    </w:p>
    <w:p w:rsidR="00A92422" w:rsidRPr="00D87B79" w:rsidRDefault="00A92422" w:rsidP="00A92422">
      <w:pPr>
        <w:outlineLvl w:val="2"/>
        <w:rPr>
          <w:rFonts w:cs="Tahoma"/>
        </w:rPr>
      </w:pPr>
      <w:bookmarkStart w:id="1010" w:name="_Toc291204568"/>
      <w:bookmarkEnd w:id="1010"/>
      <w:r w:rsidRPr="00D87B79">
        <w:rPr>
          <w:rFonts w:cs="Tahoma"/>
          <w:b/>
          <w:sz w:val="20"/>
          <w:lang w:val="it-IT"/>
        </w:rPr>
        <w:t>Supporto Hotfix Esteso</w:t>
      </w:r>
    </w:p>
    <w:p w:rsidR="00A92422" w:rsidRPr="00D87B79" w:rsidRDefault="00A92422" w:rsidP="00A92422">
      <w:pPr>
        <w:outlineLvl w:val="2"/>
        <w:rPr>
          <w:rFonts w:cs="Tahoma"/>
        </w:rPr>
      </w:pPr>
    </w:p>
    <w:p w:rsidR="00A92422" w:rsidRPr="00D87B79" w:rsidRDefault="00A92422" w:rsidP="00A92422">
      <w:pPr>
        <w:rPr>
          <w:rFonts w:cs="Tahoma"/>
        </w:rPr>
      </w:pPr>
      <w:r w:rsidRPr="00D87B79">
        <w:rPr>
          <w:rFonts w:cs="Tahoma"/>
          <w:lang w:val="it-IT"/>
        </w:rPr>
        <w:t>Supporto Hotfix Esteso è disponibile per le società seguenti:</w:t>
      </w:r>
    </w:p>
    <w:p w:rsidR="00A92422" w:rsidRPr="00D87B79" w:rsidRDefault="00A92422" w:rsidP="00A92422">
      <w:pPr>
        <w:rPr>
          <w:rFonts w:cs="Tahoma"/>
        </w:rPr>
      </w:pPr>
    </w:p>
    <w:p w:rsidR="00A92422" w:rsidRPr="00D87B79" w:rsidRDefault="00A92422" w:rsidP="00A92422">
      <w:pPr>
        <w:numPr>
          <w:ilvl w:val="0"/>
          <w:numId w:val="31"/>
        </w:numPr>
        <w:spacing w:after="60"/>
        <w:ind w:left="1440"/>
        <w:contextualSpacing/>
        <w:jc w:val="both"/>
        <w:rPr>
          <w:rFonts w:cs="Tahoma"/>
        </w:rPr>
      </w:pPr>
      <w:r w:rsidRPr="00D87B79">
        <w:rPr>
          <w:rFonts w:eastAsia="Times New Roman" w:cs="Tahoma"/>
          <w:szCs w:val="18"/>
          <w:lang w:val="it-IT"/>
        </w:rPr>
        <w:t>Le società che non dispongono di Contratti Academic Select, Select Plus for Academic, Campus e</w:t>
      </w:r>
      <w:r>
        <w:rPr>
          <w:rFonts w:eastAsia="Times New Roman" w:cs="Tahoma"/>
          <w:szCs w:val="18"/>
          <w:lang w:val="it-IT"/>
        </w:rPr>
        <w:t> </w:t>
      </w:r>
      <w:r w:rsidRPr="00D87B79">
        <w:rPr>
          <w:rFonts w:eastAsia="Times New Roman" w:cs="Tahoma"/>
          <w:szCs w:val="18"/>
          <w:lang w:val="it-IT"/>
        </w:rPr>
        <w:t>School e Open Value Subscription - Education Solutions, ma hanno la copertura Partecipazione a</w:t>
      </w:r>
      <w:r>
        <w:rPr>
          <w:rFonts w:eastAsia="Times New Roman" w:cs="Tahoma"/>
          <w:szCs w:val="18"/>
          <w:lang w:val="it-IT"/>
        </w:rPr>
        <w:t> </w:t>
      </w:r>
      <w:r w:rsidRPr="00D87B79">
        <w:rPr>
          <w:rFonts w:eastAsia="Times New Roman" w:cs="Tahoma"/>
          <w:szCs w:val="18"/>
          <w:lang w:val="it-IT"/>
        </w:rPr>
        <w:t>Software Assurance per il Pool di Applicazioni si qualificano per il Supporto Hotfix Esteso per i</w:t>
      </w:r>
      <w:r>
        <w:rPr>
          <w:rFonts w:eastAsia="Times New Roman" w:cs="Tahoma"/>
          <w:szCs w:val="18"/>
          <w:lang w:val="it-IT"/>
        </w:rPr>
        <w:t> </w:t>
      </w:r>
      <w:r w:rsidRPr="00D87B79">
        <w:rPr>
          <w:rFonts w:eastAsia="Times New Roman" w:cs="Tahoma"/>
          <w:szCs w:val="18"/>
          <w:lang w:val="it-IT"/>
        </w:rPr>
        <w:t>prodotti del pool di Applicazioni.</w:t>
      </w:r>
      <w:r w:rsidRPr="00D87B79">
        <w:rPr>
          <w:rFonts w:eastAsia="Times New Roman" w:cs="Tahoma"/>
          <w:szCs w:val="18"/>
        </w:rPr>
        <w:t xml:space="preserve"> </w:t>
      </w:r>
    </w:p>
    <w:p w:rsidR="00A92422" w:rsidRPr="00D87B79" w:rsidRDefault="00A92422" w:rsidP="00A92422">
      <w:pPr>
        <w:numPr>
          <w:ilvl w:val="0"/>
          <w:numId w:val="31"/>
        </w:numPr>
        <w:spacing w:after="60"/>
        <w:ind w:left="1440"/>
        <w:jc w:val="both"/>
        <w:rPr>
          <w:rFonts w:cs="Tahoma"/>
        </w:rPr>
      </w:pPr>
      <w:r w:rsidRPr="00D87B79">
        <w:rPr>
          <w:rFonts w:cs="Tahoma"/>
          <w:lang w:val="it-IT"/>
        </w:rPr>
        <w:t>Le società che non dispongono di Contratti Academic Select, Select Plus for Academic, Campus e</w:t>
      </w:r>
      <w:r>
        <w:rPr>
          <w:rFonts w:cs="Tahoma"/>
          <w:lang w:val="it-IT"/>
        </w:rPr>
        <w:t> </w:t>
      </w:r>
      <w:r w:rsidRPr="00D87B79">
        <w:rPr>
          <w:rFonts w:cs="Tahoma"/>
          <w:lang w:val="it-IT"/>
        </w:rPr>
        <w:t>School e Open Value Subscription - Education Solutions, ma hanno la copertura Partecipazione a</w:t>
      </w:r>
      <w:r>
        <w:rPr>
          <w:rFonts w:cs="Tahoma"/>
          <w:lang w:val="it-IT"/>
        </w:rPr>
        <w:t> </w:t>
      </w:r>
      <w:r w:rsidRPr="00D87B79">
        <w:rPr>
          <w:rFonts w:cs="Tahoma"/>
          <w:lang w:val="it-IT"/>
        </w:rPr>
        <w:t>Software Assurance per il pool di Sistemi si qualificano per il Supporto Hotfix Esteso per il sistema operativo desktop Windows.</w:t>
      </w:r>
    </w:p>
    <w:p w:rsidR="00A92422" w:rsidRPr="00D87B79" w:rsidRDefault="00A92422" w:rsidP="00A92422">
      <w:pPr>
        <w:numPr>
          <w:ilvl w:val="0"/>
          <w:numId w:val="31"/>
        </w:numPr>
        <w:spacing w:after="60"/>
        <w:ind w:left="1440"/>
        <w:jc w:val="both"/>
        <w:rPr>
          <w:rFonts w:cs="Tahoma"/>
        </w:rPr>
      </w:pPr>
      <w:r w:rsidRPr="00D87B79">
        <w:rPr>
          <w:rFonts w:cs="Tahoma"/>
          <w:lang w:val="it-IT"/>
        </w:rPr>
        <w:t>Le società che dispongono di abbonamenti per Windows Intune (Per Dispositivo) si qualificano per</w:t>
      </w:r>
      <w:r>
        <w:rPr>
          <w:rFonts w:cs="Tahoma"/>
          <w:lang w:val="it-IT"/>
        </w:rPr>
        <w:t> </w:t>
      </w:r>
      <w:r w:rsidRPr="00D87B79">
        <w:rPr>
          <w:rFonts w:cs="Tahoma"/>
          <w:lang w:val="it-IT"/>
        </w:rPr>
        <w:t>il Supporto Hotfix Esteso per il sistema operativo desktop Windows.</w:t>
      </w:r>
    </w:p>
    <w:p w:rsidR="00A92422" w:rsidRPr="00D87B79" w:rsidRDefault="00A92422" w:rsidP="00A92422">
      <w:pPr>
        <w:numPr>
          <w:ilvl w:val="0"/>
          <w:numId w:val="31"/>
        </w:numPr>
        <w:spacing w:after="60"/>
        <w:ind w:left="1440"/>
        <w:contextualSpacing/>
        <w:rPr>
          <w:rFonts w:cs="Tahoma"/>
        </w:rPr>
      </w:pPr>
      <w:r w:rsidRPr="00D87B79">
        <w:rPr>
          <w:rFonts w:eastAsia="Times New Roman" w:cs="Tahoma"/>
          <w:szCs w:val="18"/>
          <w:lang w:val="it-IT"/>
        </w:rPr>
        <w:t>Le società (che non sono società Academic) in possesso di Software Assurance per almeno un prodotto server si qualificano per il Supporto Hotfix Esteso per i prodotti Server.</w:t>
      </w:r>
      <w:r w:rsidRPr="00D87B79">
        <w:rPr>
          <w:rFonts w:cs="Tahoma"/>
        </w:rPr>
        <w:t xml:space="preserve"> </w:t>
      </w:r>
      <w:r w:rsidRPr="00D87B79">
        <w:rPr>
          <w:rFonts w:cs="Tahoma"/>
          <w:lang w:val="it-IT"/>
        </w:rPr>
        <w:t>I seguenti prodotti server rientrano nella copertura:</w:t>
      </w:r>
    </w:p>
    <w:p w:rsidR="00A92422" w:rsidRPr="00D87B79" w:rsidRDefault="00A92422" w:rsidP="00A92422">
      <w:pPr>
        <w:numPr>
          <w:ilvl w:val="2"/>
          <w:numId w:val="31"/>
        </w:numPr>
        <w:spacing w:after="60"/>
        <w:ind w:left="1980"/>
        <w:contextualSpacing/>
        <w:rPr>
          <w:rFonts w:cs="Tahoma"/>
        </w:rPr>
      </w:pPr>
      <w:r w:rsidRPr="00D87B79">
        <w:rPr>
          <w:rFonts w:cs="Tahoma"/>
          <w:color w:val="000000"/>
          <w:lang w:val="it-IT"/>
        </w:rPr>
        <w:t>Microsoft Exchange Server, Microsoft SQL Server, System Center 2012 e Windows Server.</w:t>
      </w:r>
    </w:p>
    <w:p w:rsidR="00A92422" w:rsidRPr="00D87B79" w:rsidRDefault="00A92422" w:rsidP="00A92422">
      <w:pPr>
        <w:spacing w:after="200" w:line="276" w:lineRule="auto"/>
        <w:contextualSpacing/>
        <w:rPr>
          <w:rFonts w:cs="Tahoma"/>
        </w:rPr>
      </w:pPr>
    </w:p>
    <w:p w:rsidR="00A92422" w:rsidRPr="00D87B79" w:rsidRDefault="00A92422" w:rsidP="00A92422">
      <w:pPr>
        <w:rPr>
          <w:rFonts w:cs="Tahoma"/>
        </w:rPr>
      </w:pPr>
      <w:r w:rsidRPr="00D87B79">
        <w:rPr>
          <w:rFonts w:cs="Tahoma"/>
          <w:szCs w:val="18"/>
          <w:lang w:val="it-IT"/>
        </w:rPr>
        <w:t>Il Supporto Hotfix Esteso è un beneficio per versioni software più vecchie che abbiano effettuato la transizione dal</w:t>
      </w:r>
      <w:r>
        <w:rPr>
          <w:rFonts w:cs="Tahoma"/>
          <w:szCs w:val="18"/>
          <w:lang w:val="it-IT"/>
        </w:rPr>
        <w:t> </w:t>
      </w:r>
      <w:r w:rsidRPr="00D87B79">
        <w:rPr>
          <w:rFonts w:cs="Tahoma"/>
          <w:szCs w:val="18"/>
          <w:lang w:val="it-IT"/>
        </w:rPr>
        <w:t>Supporto Mainstream a quello Esteso.</w:t>
      </w:r>
      <w:r w:rsidRPr="00D87B79">
        <w:rPr>
          <w:rFonts w:cs="Tahoma"/>
          <w:szCs w:val="18"/>
        </w:rPr>
        <w:t xml:space="preserve"> </w:t>
      </w:r>
      <w:r w:rsidRPr="00D87B79">
        <w:rPr>
          <w:rFonts w:cs="Tahoma"/>
          <w:szCs w:val="18"/>
          <w:lang w:val="it-IT"/>
        </w:rPr>
        <w:t>I corrispettivi annuali normalmente addebitati nel quadro del contratto di</w:t>
      </w:r>
      <w:r>
        <w:rPr>
          <w:rFonts w:cs="Tahoma"/>
          <w:szCs w:val="18"/>
          <w:lang w:val="it-IT"/>
        </w:rPr>
        <w:t> </w:t>
      </w:r>
      <w:r w:rsidRPr="00D87B79">
        <w:rPr>
          <w:rFonts w:cs="Tahoma"/>
          <w:szCs w:val="18"/>
          <w:lang w:val="it-IT"/>
        </w:rPr>
        <w:t>Supporto Esteso sono sospesi durante il periodo di validità della copertura Software Server per le società idonee a</w:t>
      </w:r>
      <w:r>
        <w:rPr>
          <w:rFonts w:cs="Tahoma"/>
          <w:szCs w:val="18"/>
          <w:lang w:val="it-IT"/>
        </w:rPr>
        <w:t> </w:t>
      </w:r>
      <w:r w:rsidRPr="00D87B79">
        <w:rPr>
          <w:rFonts w:cs="Tahoma"/>
          <w:szCs w:val="18"/>
          <w:lang w:val="it-IT"/>
        </w:rPr>
        <w:t>ricevere questo beneficio Software Assurance.</w:t>
      </w:r>
      <w:r w:rsidRPr="00D87B79">
        <w:rPr>
          <w:rFonts w:cs="Tahoma"/>
          <w:szCs w:val="18"/>
        </w:rPr>
        <w:t xml:space="preserve"> </w:t>
      </w:r>
      <w:r w:rsidRPr="00D87B79">
        <w:rPr>
          <w:rFonts w:cs="Tahoma"/>
          <w:szCs w:val="18"/>
          <w:lang w:val="it-IT"/>
        </w:rPr>
        <w:t>Le società idonee a ricevere questo beneficio non avranno l’obbligo di abbonarsi entro un periodo di 90 giorni di transizione del prodotto al Supporto Esteso.</w:t>
      </w:r>
      <w:r w:rsidRPr="00D87B79">
        <w:rPr>
          <w:rFonts w:cs="Tahoma"/>
          <w:szCs w:val="18"/>
        </w:rPr>
        <w:t xml:space="preserve"> </w:t>
      </w:r>
    </w:p>
    <w:p w:rsidR="00A92422" w:rsidRPr="00D87B79" w:rsidRDefault="00A92422" w:rsidP="00A92422">
      <w:pPr>
        <w:rPr>
          <w:rFonts w:cs="Tahoma"/>
        </w:rPr>
      </w:pPr>
    </w:p>
    <w:p w:rsidR="00A92422" w:rsidRPr="00D87B79" w:rsidRDefault="00A92422" w:rsidP="00A92422">
      <w:pPr>
        <w:rPr>
          <w:rFonts w:cs="Tahoma"/>
        </w:rPr>
      </w:pPr>
      <w:r w:rsidRPr="00D87B79">
        <w:rPr>
          <w:rFonts w:cs="Tahoma"/>
          <w:lang w:val="it-IT"/>
        </w:rPr>
        <w:lastRenderedPageBreak/>
        <w:t>Le società sono comunque responsabili dei corrispettivi delle singole Hotfix.</w:t>
      </w:r>
      <w:r w:rsidRPr="00D87B79">
        <w:rPr>
          <w:rFonts w:cs="Tahoma"/>
        </w:rPr>
        <w:t xml:space="preserve"> </w:t>
      </w:r>
      <w:r w:rsidRPr="00D87B79">
        <w:rPr>
          <w:rFonts w:cs="Tahoma"/>
          <w:lang w:val="it-IT"/>
        </w:rPr>
        <w:t>Un contratto Premier o Essential costituisce condizione preliminare per l’idoneità.</w:t>
      </w:r>
    </w:p>
    <w:p w:rsidR="00A92422" w:rsidRPr="009B51CA" w:rsidRDefault="00A92422" w:rsidP="00A92422">
      <w:pPr>
        <w:pStyle w:val="Heading3"/>
        <w:rPr>
          <w:rFonts w:ascii="Tahoma" w:hAnsi="Tahoma" w:cs="Tahoma"/>
          <w:sz w:val="18"/>
          <w:szCs w:val="18"/>
        </w:rPr>
      </w:pPr>
    </w:p>
    <w:p w:rsidR="00A92422" w:rsidRPr="00D87B79" w:rsidRDefault="00A92422" w:rsidP="00A92422">
      <w:pPr>
        <w:pStyle w:val="Heading3"/>
        <w:rPr>
          <w:rFonts w:ascii="Tahoma" w:hAnsi="Tahoma" w:cs="Tahoma"/>
        </w:rPr>
      </w:pPr>
      <w:bookmarkStart w:id="1011" w:name="_Toc336338244"/>
      <w:bookmarkStart w:id="1012" w:name="_Toc342900296"/>
      <w:bookmarkEnd w:id="1011"/>
      <w:r w:rsidRPr="00D87B79">
        <w:rPr>
          <w:rFonts w:ascii="Tahoma" w:hAnsi="Tahoma" w:cs="Tahoma"/>
          <w:lang w:val="it-IT"/>
        </w:rPr>
        <w:t>Microsoft Desktop Optimization Pack per Software Assurance</w:t>
      </w:r>
      <w:bookmarkEnd w:id="1012"/>
    </w:p>
    <w:p w:rsidR="00A92422" w:rsidRPr="009B51CA" w:rsidRDefault="00A92422" w:rsidP="00A92422">
      <w:pPr>
        <w:rPr>
          <w:rFonts w:cs="Tahoma"/>
          <w:sz w:val="16"/>
          <w:szCs w:val="16"/>
        </w:rPr>
      </w:pPr>
    </w:p>
    <w:p w:rsidR="00A92422" w:rsidRPr="00D87B79" w:rsidRDefault="00A92422" w:rsidP="00A92422">
      <w:pPr>
        <w:rPr>
          <w:rFonts w:cs="Tahoma"/>
        </w:rPr>
      </w:pPr>
      <w:r w:rsidRPr="00D87B79">
        <w:rPr>
          <w:rFonts w:cs="Tahoma"/>
          <w:lang w:val="it-IT"/>
        </w:rPr>
        <w:t>Microsoft Desktop Optimization Pack per Software Assurance (MDOP) è un acquisto opzionale a disposizione unicamente delle società che dispongono delle seguenti caratteristiche:</w:t>
      </w:r>
    </w:p>
    <w:p w:rsidR="00A92422" w:rsidRPr="009B51CA" w:rsidRDefault="00A92422" w:rsidP="00A92422">
      <w:pPr>
        <w:rPr>
          <w:rFonts w:cs="Tahoma"/>
          <w:sz w:val="16"/>
          <w:szCs w:val="16"/>
        </w:rPr>
      </w:pPr>
    </w:p>
    <w:p w:rsidR="00A92422" w:rsidRPr="00D87B79" w:rsidRDefault="00A92422" w:rsidP="00A92422">
      <w:pPr>
        <w:numPr>
          <w:ilvl w:val="0"/>
          <w:numId w:val="30"/>
        </w:numPr>
        <w:spacing w:after="60" w:line="276" w:lineRule="auto"/>
        <w:ind w:left="1440" w:hanging="274"/>
        <w:rPr>
          <w:rFonts w:cs="Tahoma"/>
        </w:rPr>
      </w:pPr>
      <w:r w:rsidRPr="00D87B79">
        <w:rPr>
          <w:rFonts w:cs="Tahoma"/>
          <w:lang w:val="it-IT"/>
        </w:rPr>
        <w:t>copertura Software Assurance Attiva per le licenze del sistema operativo desktop Windows;</w:t>
      </w:r>
    </w:p>
    <w:p w:rsidR="00A92422" w:rsidRPr="00D87B79" w:rsidRDefault="00A92422" w:rsidP="00A92422">
      <w:pPr>
        <w:numPr>
          <w:ilvl w:val="0"/>
          <w:numId w:val="30"/>
        </w:numPr>
        <w:spacing w:after="60" w:line="276" w:lineRule="auto"/>
        <w:ind w:left="1440" w:hanging="274"/>
        <w:rPr>
          <w:rFonts w:cs="Tahoma"/>
        </w:rPr>
      </w:pPr>
      <w:r w:rsidRPr="00D87B79">
        <w:rPr>
          <w:rFonts w:cs="Tahoma"/>
          <w:lang w:val="it-IT"/>
        </w:rPr>
        <w:t>abbonamenti attivi per Windows Virtual Desktop Access o</w:t>
      </w:r>
    </w:p>
    <w:p w:rsidR="00A92422" w:rsidRPr="00D87B79" w:rsidRDefault="00A92422" w:rsidP="00A92422">
      <w:pPr>
        <w:numPr>
          <w:ilvl w:val="0"/>
          <w:numId w:val="30"/>
        </w:numPr>
        <w:spacing w:after="60" w:line="276" w:lineRule="auto"/>
        <w:ind w:left="1440" w:hanging="274"/>
        <w:rPr>
          <w:rFonts w:cs="Tahoma"/>
        </w:rPr>
      </w:pPr>
      <w:r w:rsidRPr="00D87B79">
        <w:rPr>
          <w:rFonts w:cs="Tahoma"/>
          <w:lang w:val="it-IT"/>
        </w:rPr>
        <w:t>abbonamenti attivi per Windows Intune (Per Dispositivo) o</w:t>
      </w:r>
    </w:p>
    <w:p w:rsidR="00A92422" w:rsidRPr="00D87B79" w:rsidRDefault="00A92422" w:rsidP="00A92422">
      <w:pPr>
        <w:numPr>
          <w:ilvl w:val="0"/>
          <w:numId w:val="30"/>
        </w:numPr>
        <w:spacing w:after="200" w:line="276" w:lineRule="auto"/>
        <w:ind w:left="1440" w:hanging="270"/>
        <w:rPr>
          <w:rFonts w:cs="Tahoma"/>
        </w:rPr>
      </w:pPr>
      <w:r w:rsidRPr="00D87B79">
        <w:rPr>
          <w:rFonts w:cs="Tahoma"/>
          <w:lang w:val="it-IT"/>
        </w:rPr>
        <w:t>abbonamenti attivi per la Licenza “Subscription” per Windows Companion.</w:t>
      </w:r>
    </w:p>
    <w:p w:rsidR="00A92422" w:rsidRPr="009B51CA" w:rsidRDefault="00A92422" w:rsidP="00A92422">
      <w:pPr>
        <w:rPr>
          <w:rFonts w:cs="Tahoma"/>
          <w:sz w:val="16"/>
          <w:szCs w:val="16"/>
        </w:rPr>
      </w:pPr>
    </w:p>
    <w:p w:rsidR="00A92422" w:rsidRPr="00D87B79" w:rsidRDefault="00A92422" w:rsidP="00A92422">
      <w:pPr>
        <w:rPr>
          <w:rFonts w:cs="Tahoma"/>
        </w:rPr>
      </w:pPr>
      <w:r w:rsidRPr="00D87B79">
        <w:rPr>
          <w:rFonts w:eastAsia="MS PGothic" w:cs="Tahoma"/>
          <w:color w:val="000000"/>
          <w:szCs w:val="18"/>
          <w:lang w:val="it-IT"/>
        </w:rPr>
        <w:t>Per ulteriori informazioni su questo prodotto fare riferimento alle Note del Prodotto nella sezione relativa ai gruppi di</w:t>
      </w:r>
      <w:r>
        <w:rPr>
          <w:rFonts w:eastAsia="MS PGothic" w:cs="Tahoma"/>
          <w:color w:val="000000"/>
          <w:szCs w:val="18"/>
          <w:lang w:val="it-IT"/>
        </w:rPr>
        <w:t> </w:t>
      </w:r>
      <w:r w:rsidRPr="00D87B79">
        <w:rPr>
          <w:rFonts w:eastAsia="MS PGothic" w:cs="Tahoma"/>
          <w:color w:val="000000"/>
          <w:szCs w:val="18"/>
          <w:lang w:val="it-IT"/>
        </w:rPr>
        <w:t>sistemi del presente documento.</w:t>
      </w:r>
      <w:r w:rsidRPr="00D87B79">
        <w:rPr>
          <w:rFonts w:eastAsia="MS PGothic" w:cs="Tahoma"/>
          <w:color w:val="000000"/>
          <w:szCs w:val="18"/>
        </w:rPr>
        <w:t xml:space="preserve"> </w:t>
      </w:r>
    </w:p>
    <w:p w:rsidR="00A92422" w:rsidRPr="009B51CA" w:rsidRDefault="00A92422" w:rsidP="00A92422">
      <w:pPr>
        <w:rPr>
          <w:rFonts w:cs="Tahoma"/>
          <w:sz w:val="16"/>
          <w:szCs w:val="16"/>
        </w:rPr>
      </w:pPr>
    </w:p>
    <w:p w:rsidR="00A92422" w:rsidRPr="00D87B79" w:rsidRDefault="00A92422" w:rsidP="00A92422">
      <w:pPr>
        <w:rPr>
          <w:rFonts w:cs="Tahoma"/>
        </w:rPr>
      </w:pPr>
      <w:r w:rsidRPr="00D87B79">
        <w:rPr>
          <w:rFonts w:cs="Tahoma"/>
          <w:b/>
          <w:color w:val="000000"/>
          <w:sz w:val="20"/>
          <w:lang w:val="it-IT"/>
        </w:rPr>
        <w:t>Diritti di Virtualizzazione per i Desktop con Licenza Windows</w:t>
      </w:r>
    </w:p>
    <w:p w:rsidR="00A92422" w:rsidRPr="009B51CA" w:rsidRDefault="00A92422" w:rsidP="00A92422">
      <w:pPr>
        <w:rPr>
          <w:rFonts w:cs="Tahoma"/>
          <w:sz w:val="16"/>
          <w:szCs w:val="16"/>
        </w:rPr>
      </w:pPr>
    </w:p>
    <w:p w:rsidR="00A92422" w:rsidRPr="00D87B79" w:rsidRDefault="00A92422" w:rsidP="00A92422">
      <w:pPr>
        <w:rPr>
          <w:rFonts w:cs="Tahoma"/>
        </w:rPr>
      </w:pPr>
      <w:r w:rsidRPr="00D87B79">
        <w:rPr>
          <w:rFonts w:cs="Tahoma"/>
          <w:color w:val="000000"/>
          <w:lang w:val="it-IT"/>
        </w:rPr>
        <w:t>Le società che hanno stipulato contratti multilicenza (Volume Licensing) dispongono di un certo grado di flessibilità in</w:t>
      </w:r>
      <w:r>
        <w:rPr>
          <w:rFonts w:cs="Tahoma"/>
          <w:color w:val="000000"/>
          <w:lang w:val="it-IT"/>
        </w:rPr>
        <w:t> </w:t>
      </w:r>
      <w:r w:rsidRPr="00D87B79">
        <w:rPr>
          <w:rFonts w:cs="Tahoma"/>
          <w:color w:val="000000"/>
          <w:lang w:val="it-IT"/>
        </w:rPr>
        <w:t>merito alla modalità di distribuzione di Windows 8 tra le diverse organizzazioni.</w:t>
      </w:r>
      <w:r w:rsidRPr="00D87B79">
        <w:rPr>
          <w:rFonts w:cs="Tahoma"/>
        </w:rPr>
        <w:t xml:space="preserve"> </w:t>
      </w:r>
    </w:p>
    <w:p w:rsidR="00A92422" w:rsidRPr="00D87B79" w:rsidRDefault="00A92422" w:rsidP="00A92422">
      <w:pPr>
        <w:jc w:val="both"/>
        <w:rPr>
          <w:rFonts w:cs="Tahoma"/>
        </w:rPr>
      </w:pPr>
      <w:r w:rsidRPr="00D87B79">
        <w:rPr>
          <w:rFonts w:cs="Tahoma"/>
          <w:lang w:val="it-IT"/>
        </w:rPr>
        <w:t>Le società che dispongono di una o entrambe le seguenti caratteristiche potranno usufruire dei diritti sull’utilizzo della</w:t>
      </w:r>
      <w:r>
        <w:rPr>
          <w:rFonts w:cs="Tahoma"/>
          <w:lang w:val="it-IT"/>
        </w:rPr>
        <w:t> </w:t>
      </w:r>
      <w:r w:rsidRPr="00D87B79">
        <w:rPr>
          <w:rFonts w:cs="Tahoma"/>
          <w:lang w:val="it-IT"/>
        </w:rPr>
        <w:t>virtualizzazione:</w:t>
      </w:r>
    </w:p>
    <w:p w:rsidR="00A92422" w:rsidRPr="009B51CA" w:rsidRDefault="00A92422" w:rsidP="00A92422">
      <w:pPr>
        <w:jc w:val="both"/>
        <w:rPr>
          <w:rFonts w:cs="Tahoma"/>
          <w:sz w:val="16"/>
          <w:szCs w:val="16"/>
        </w:rPr>
      </w:pPr>
    </w:p>
    <w:p w:rsidR="00A92422" w:rsidRPr="00D87B79" w:rsidRDefault="00A92422" w:rsidP="00A92422">
      <w:pPr>
        <w:numPr>
          <w:ilvl w:val="0"/>
          <w:numId w:val="27"/>
        </w:numPr>
        <w:spacing w:after="60" w:line="276" w:lineRule="auto"/>
        <w:ind w:left="1440"/>
        <w:rPr>
          <w:rFonts w:cs="Tahoma"/>
        </w:rPr>
      </w:pPr>
      <w:r w:rsidRPr="00D87B79">
        <w:rPr>
          <w:rFonts w:cs="Tahoma"/>
          <w:lang w:val="it-IT"/>
        </w:rPr>
        <w:t>copertura Software Assurance Attiva per le licenze del sistema operativo desktop Windows;</w:t>
      </w:r>
    </w:p>
    <w:p w:rsidR="00A92422" w:rsidRPr="00D87B79" w:rsidRDefault="00A92422" w:rsidP="00A92422">
      <w:pPr>
        <w:numPr>
          <w:ilvl w:val="0"/>
          <w:numId w:val="27"/>
        </w:numPr>
        <w:spacing w:after="60" w:line="276" w:lineRule="auto"/>
        <w:ind w:left="1440"/>
        <w:jc w:val="both"/>
        <w:rPr>
          <w:rFonts w:cs="Tahoma"/>
        </w:rPr>
      </w:pPr>
      <w:r w:rsidRPr="00D87B79">
        <w:rPr>
          <w:rFonts w:cs="Tahoma"/>
          <w:lang w:val="it-IT"/>
        </w:rPr>
        <w:t>vantaggio dei Servizi Online fornito insieme agli acquisti di Windows Intune (Per Dispositivo)</w:t>
      </w:r>
    </w:p>
    <w:p w:rsidR="00A92422" w:rsidRPr="00D87B79" w:rsidRDefault="00A92422" w:rsidP="00A92422">
      <w:pPr>
        <w:numPr>
          <w:ilvl w:val="0"/>
          <w:numId w:val="27"/>
        </w:numPr>
        <w:spacing w:after="60" w:line="276" w:lineRule="auto"/>
        <w:ind w:left="1440"/>
        <w:jc w:val="both"/>
        <w:rPr>
          <w:rFonts w:cs="Tahoma"/>
        </w:rPr>
      </w:pPr>
      <w:r w:rsidRPr="00D87B79">
        <w:rPr>
          <w:rFonts w:cs="Tahoma"/>
          <w:lang w:val="it-IT"/>
        </w:rPr>
        <w:t>abbonamenti attivi per Windows Intune (Per Dispositivo)</w:t>
      </w:r>
    </w:p>
    <w:p w:rsidR="00A92422" w:rsidRPr="009B51CA" w:rsidRDefault="00A92422" w:rsidP="00A92422">
      <w:pPr>
        <w:rPr>
          <w:rFonts w:cs="Tahoma"/>
          <w:sz w:val="16"/>
          <w:szCs w:val="16"/>
        </w:rPr>
      </w:pPr>
    </w:p>
    <w:p w:rsidR="00A92422" w:rsidRPr="00D87B79" w:rsidRDefault="00A92422" w:rsidP="00A92422">
      <w:pPr>
        <w:rPr>
          <w:rFonts w:cs="Tahoma"/>
        </w:rPr>
      </w:pPr>
      <w:r w:rsidRPr="00D87B79">
        <w:rPr>
          <w:rFonts w:cs="Tahoma"/>
          <w:color w:val="000000"/>
          <w:lang w:val="it-IT"/>
        </w:rPr>
        <w:t>Tale diritto di utilizzo consente di eseguire il software su un massimo di quattro macchine virtuali locali.</w:t>
      </w:r>
      <w:r w:rsidRPr="00D87B79">
        <w:rPr>
          <w:rFonts w:cs="Tahoma"/>
        </w:rPr>
        <w:t xml:space="preserve"> </w:t>
      </w:r>
      <w:r w:rsidRPr="00D87B79">
        <w:rPr>
          <w:rFonts w:cs="Tahoma"/>
          <w:color w:val="000000"/>
          <w:lang w:val="it-IT"/>
        </w:rPr>
        <w:t>Mentre il</w:t>
      </w:r>
      <w:r>
        <w:rPr>
          <w:rFonts w:cs="Tahoma"/>
          <w:color w:val="000000"/>
          <w:lang w:val="it-IT"/>
        </w:rPr>
        <w:t> </w:t>
      </w:r>
      <w:r w:rsidRPr="00D87B79">
        <w:rPr>
          <w:rFonts w:cs="Tahoma"/>
          <w:color w:val="000000"/>
          <w:lang w:val="it-IT"/>
        </w:rPr>
        <w:t>diritto di utilizzo di Windows 8 Enterprise potrà mantenere validità anche dopo la scadenza della copertura Software</w:t>
      </w:r>
      <w:r>
        <w:rPr>
          <w:rFonts w:cs="Tahoma"/>
          <w:color w:val="000000"/>
          <w:lang w:val="it-IT"/>
        </w:rPr>
        <w:t> </w:t>
      </w:r>
      <w:r w:rsidRPr="00D87B79">
        <w:rPr>
          <w:rFonts w:cs="Tahoma"/>
          <w:color w:val="000000"/>
          <w:lang w:val="it-IT"/>
        </w:rPr>
        <w:t>Assurance, il Diritto di Utilizzo della Virtualizzazione cesserà. Per ulteriori informazioni sui diritti di utilizzo, l’utente dovrà fare riferimento al documento Diritti di Utilizzo del Prodotto.</w:t>
      </w:r>
    </w:p>
    <w:p w:rsidR="00A92422" w:rsidRPr="009B51CA" w:rsidRDefault="00A92422" w:rsidP="00A92422">
      <w:pPr>
        <w:pStyle w:val="Heading3"/>
        <w:rPr>
          <w:rFonts w:ascii="Tahoma" w:hAnsi="Tahoma" w:cs="Tahoma"/>
          <w:sz w:val="18"/>
          <w:szCs w:val="18"/>
        </w:rPr>
      </w:pPr>
      <w:bookmarkStart w:id="1013" w:name="_Toc257907651"/>
      <w:bookmarkStart w:id="1014" w:name="_Toc233026785"/>
    </w:p>
    <w:p w:rsidR="00A92422" w:rsidRPr="00D87B79" w:rsidRDefault="00A92422" w:rsidP="00A92422">
      <w:pPr>
        <w:pStyle w:val="Heading3"/>
        <w:rPr>
          <w:rFonts w:ascii="Tahoma" w:hAnsi="Tahoma" w:cs="Tahoma"/>
        </w:rPr>
      </w:pPr>
      <w:bookmarkStart w:id="1015" w:name="_Toc336338245"/>
      <w:bookmarkStart w:id="1016" w:name="_Toc342900297"/>
      <w:bookmarkEnd w:id="1013"/>
      <w:bookmarkEnd w:id="1015"/>
      <w:r w:rsidRPr="00D87B79">
        <w:rPr>
          <w:rFonts w:ascii="Tahoma" w:hAnsi="Tahoma" w:cs="Tahoma"/>
          <w:color w:val="000000"/>
          <w:lang w:val="it-IT"/>
        </w:rPr>
        <w:t>Diritti per Windows Virtual Desktop Access (VDA)</w:t>
      </w:r>
      <w:bookmarkEnd w:id="1016"/>
    </w:p>
    <w:p w:rsidR="00A92422" w:rsidRPr="009B51CA" w:rsidRDefault="00A92422" w:rsidP="00A92422">
      <w:pPr>
        <w:rPr>
          <w:rFonts w:cs="Tahoma"/>
          <w:szCs w:val="18"/>
        </w:rPr>
      </w:pPr>
    </w:p>
    <w:p w:rsidR="00A92422" w:rsidRPr="00D87B79" w:rsidRDefault="00A92422" w:rsidP="00A92422">
      <w:pPr>
        <w:rPr>
          <w:rFonts w:cs="Tahoma"/>
        </w:rPr>
      </w:pPr>
      <w:r w:rsidRPr="00D87B79">
        <w:rPr>
          <w:rFonts w:cs="Tahoma"/>
          <w:lang w:val="it-IT"/>
        </w:rPr>
        <w:t>I diritti per Windows VDA sono disponibili per le società con copertura Software Assurance per il sistema operativo desktop Windows e per le società con licenza per Windows Intune (Per Dispositivo).</w:t>
      </w:r>
      <w:r w:rsidRPr="00D87B79">
        <w:rPr>
          <w:rFonts w:cs="Tahoma"/>
        </w:rPr>
        <w:t xml:space="preserve"> </w:t>
      </w:r>
      <w:r w:rsidRPr="00D87B79">
        <w:rPr>
          <w:rFonts w:cs="Tahoma"/>
          <w:color w:val="000000"/>
          <w:lang w:val="it-IT"/>
        </w:rPr>
        <w:t>Sono disponibili anche come licenza “Subscription” distinta.</w:t>
      </w:r>
      <w:r w:rsidRPr="00D87B79">
        <w:rPr>
          <w:rFonts w:cs="Tahoma"/>
        </w:rPr>
        <w:t xml:space="preserve"> </w:t>
      </w:r>
      <w:r w:rsidRPr="00D87B79">
        <w:rPr>
          <w:rFonts w:cs="Tahoma"/>
          <w:color w:val="000000"/>
          <w:lang w:val="it-IT"/>
        </w:rPr>
        <w:t>Windows VDA avvantaggia le società intenzionate a distribuire Windows con l’ausilio di</w:t>
      </w:r>
      <w:r>
        <w:rPr>
          <w:rFonts w:cs="Tahoma"/>
          <w:color w:val="000000"/>
          <w:lang w:val="it-IT"/>
        </w:rPr>
        <w:t> </w:t>
      </w:r>
      <w:r w:rsidRPr="00D87B79">
        <w:rPr>
          <w:rFonts w:cs="Tahoma"/>
          <w:color w:val="000000"/>
          <w:lang w:val="it-IT"/>
        </w:rPr>
        <w:t>dispositivi thin client (in genere preinstallati su un sistema operativo integrato).</w:t>
      </w:r>
      <w:r w:rsidRPr="00D87B79">
        <w:rPr>
          <w:rFonts w:cs="Tahoma"/>
        </w:rPr>
        <w:t xml:space="preserve"> </w:t>
      </w:r>
      <w:r w:rsidRPr="00D87B79">
        <w:rPr>
          <w:rFonts w:cs="Tahoma"/>
          <w:color w:val="000000"/>
          <w:lang w:val="it-IT"/>
        </w:rPr>
        <w:t>La licenza “subscription” VDA concede alle società il diritto di eseguire la versione più recente del sistema operativo desktop Windows messa a</w:t>
      </w:r>
      <w:r>
        <w:rPr>
          <w:rFonts w:cs="Tahoma"/>
          <w:color w:val="000000"/>
          <w:lang w:val="it-IT"/>
        </w:rPr>
        <w:t> </w:t>
      </w:r>
      <w:r w:rsidRPr="00D87B79">
        <w:rPr>
          <w:rFonts w:cs="Tahoma"/>
          <w:color w:val="000000"/>
          <w:lang w:val="it-IT"/>
        </w:rPr>
        <w:t>disposizione durante il periodo di validità dell’abbonamento.</w:t>
      </w:r>
    </w:p>
    <w:p w:rsidR="00A92422" w:rsidRPr="009B51CA" w:rsidRDefault="00A92422" w:rsidP="00A92422">
      <w:pPr>
        <w:rPr>
          <w:rFonts w:cs="Tahoma"/>
          <w:sz w:val="16"/>
          <w:szCs w:val="16"/>
        </w:rPr>
      </w:pPr>
    </w:p>
    <w:p w:rsidR="00A92422" w:rsidRPr="00D87B79" w:rsidRDefault="00A92422" w:rsidP="00A92422">
      <w:pPr>
        <w:rPr>
          <w:rFonts w:cs="Tahoma"/>
        </w:rPr>
      </w:pPr>
      <w:r w:rsidRPr="00D87B79">
        <w:rPr>
          <w:rFonts w:cs="Tahoma"/>
          <w:color w:val="000000"/>
          <w:lang w:val="it-IT"/>
        </w:rPr>
        <w:t>Per ulteriori informazioni su VDA, fare riferimento al documento Diritti di Utilizzo del Prodotto.</w:t>
      </w:r>
    </w:p>
    <w:bookmarkEnd w:id="1014"/>
    <w:p w:rsidR="00A92422" w:rsidRPr="009B51CA" w:rsidRDefault="00A92422" w:rsidP="00A92422">
      <w:pPr>
        <w:rPr>
          <w:rFonts w:cs="Tahoma"/>
          <w:szCs w:val="18"/>
        </w:rPr>
      </w:pPr>
    </w:p>
    <w:p w:rsidR="00A92422" w:rsidRPr="00D87B79" w:rsidRDefault="00A92422" w:rsidP="00A92422">
      <w:pPr>
        <w:rPr>
          <w:rFonts w:cs="Tahoma"/>
        </w:rPr>
      </w:pPr>
      <w:bookmarkStart w:id="1017" w:name="_Toc336338246"/>
      <w:bookmarkStart w:id="1018" w:name="_Toc342900298"/>
      <w:bookmarkEnd w:id="1017"/>
      <w:r w:rsidRPr="00D87B79">
        <w:rPr>
          <w:rStyle w:val="Heading3Char"/>
          <w:rFonts w:ascii="Tahoma" w:hAnsi="Tahoma" w:cs="Tahoma"/>
          <w:lang w:val="it-IT"/>
        </w:rPr>
        <w:t>Disponibilità di Licenze Step-Up*</w:t>
      </w:r>
      <w:bookmarkEnd w:id="1018"/>
    </w:p>
    <w:p w:rsidR="00A92422" w:rsidRPr="009B51CA" w:rsidRDefault="00A92422" w:rsidP="00A92422">
      <w:pPr>
        <w:rPr>
          <w:rFonts w:cs="Tahoma"/>
          <w:sz w:val="16"/>
          <w:szCs w:val="16"/>
        </w:rPr>
      </w:pPr>
    </w:p>
    <w:p w:rsidR="00A92422" w:rsidRPr="00D87B79" w:rsidRDefault="00A92422" w:rsidP="00A92422">
      <w:pPr>
        <w:rPr>
          <w:rFonts w:cs="Tahoma"/>
        </w:rPr>
      </w:pPr>
      <w:r w:rsidRPr="00D87B79">
        <w:rPr>
          <w:rFonts w:cs="Tahoma"/>
          <w:lang w:val="it-IT"/>
        </w:rPr>
        <w:t>Le società potranno eseguire la migrazione da una versione di livello inferiore a una versione di livello superiore di</w:t>
      </w:r>
      <w:r>
        <w:rPr>
          <w:rFonts w:cs="Tahoma"/>
          <w:lang w:val="it-IT"/>
        </w:rPr>
        <w:t> </w:t>
      </w:r>
      <w:r w:rsidRPr="00D87B79">
        <w:rPr>
          <w:rFonts w:cs="Tahoma"/>
          <w:lang w:val="it-IT"/>
        </w:rPr>
        <w:t>determinati prodotti con una Licenza Step-Up. Le società dovranno disporre di una licenza con copertura Software Assurance attiva per il prodotto qualificante, al fine di acquistare una Licenza Step-Up. La Licenza Step-Up dovrà essere acquistata, e sarà valida unicamente dopo l’acquisto, nell’ambito del medesimo contratto del Programma Multilicenza e della medesima iscrizione, se disponibili, ai sensi dei quali è stata originariamente acquistata la copertura Software Assurance del prodotto qualificante.</w:t>
      </w:r>
      <w:r w:rsidRPr="00D87B79">
        <w:rPr>
          <w:rFonts w:cs="Tahoma"/>
        </w:rPr>
        <w:t xml:space="preserve"> </w:t>
      </w:r>
      <w:r w:rsidRPr="00D87B79">
        <w:rPr>
          <w:rFonts w:cs="Tahoma"/>
          <w:lang w:val="it-IT"/>
        </w:rPr>
        <w:t>Il diritto di utilizzo del software da parte della società ai sensi della Licenza Step-Up è subordinato al possesso e al mantenimento di una Licenza per il prodotto qualificante. Le società non possono trasferire la Licenza per il prodotto qualificante separatamente dalla Licenza Step-Up.</w:t>
      </w:r>
      <w:r w:rsidRPr="00D87B79">
        <w:rPr>
          <w:rFonts w:cs="Tahoma"/>
        </w:rPr>
        <w:t xml:space="preserve"> </w:t>
      </w:r>
      <w:r w:rsidRPr="00D87B79">
        <w:rPr>
          <w:rFonts w:cs="Tahoma"/>
          <w:lang w:val="it-IT"/>
        </w:rPr>
        <w:t>I diritti perpetui delle società concessi ai sensi della Licenza Step-Up prevalgono e sostituiscono la licenza sottostante per il prodotto qualificante. Per ulteriori informazioni, consultare il Documento relativo alla Licenza Step-up per Enterprise Edition nel quadro del Programma per Contratti Multilicenza all’indirizzo:</w:t>
      </w:r>
      <w:r w:rsidRPr="00D87B79">
        <w:rPr>
          <w:rFonts w:cs="Tahoma"/>
          <w:szCs w:val="18"/>
        </w:rPr>
        <w:t xml:space="preserve"> </w:t>
      </w:r>
      <w:r w:rsidRPr="00D87B79">
        <w:rPr>
          <w:rFonts w:cs="Tahoma"/>
          <w:lang w:val="it-IT"/>
        </w:rPr>
        <w:t>http://</w:t>
      </w:r>
      <w:hyperlink r:id="rId24" w:history="1">
        <w:r w:rsidRPr="00D87B79">
          <w:rPr>
            <w:rFonts w:cs="Tahoma"/>
            <w:color w:val="0000FF"/>
            <w:u w:val="single"/>
            <w:lang w:val="it-IT"/>
          </w:rPr>
          <w:t>www.microsoft.com/licensing</w:t>
        </w:r>
      </w:hyperlink>
      <w:r w:rsidRPr="00D87B79">
        <w:rPr>
          <w:rFonts w:cs="Tahoma"/>
        </w:rPr>
        <w:t xml:space="preserve"> </w:t>
      </w:r>
    </w:p>
    <w:tbl>
      <w:tblPr>
        <w:tblW w:w="8460" w:type="dxa"/>
        <w:tblInd w:w="55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A92422" w:rsidRPr="00D87B79" w:rsidTr="00EA30FC">
        <w:trPr>
          <w:tblHeader/>
        </w:trPr>
        <w:tc>
          <w:tcPr>
            <w:tcW w:w="4230" w:type="dxa"/>
            <w:tcBorders>
              <w:top w:val="single" w:sz="12" w:space="0" w:color="auto"/>
            </w:tcBorders>
            <w:shd w:val="clear" w:color="auto" w:fill="FABF8F"/>
            <w:tcMar>
              <w:top w:w="0" w:type="dxa"/>
              <w:left w:w="108" w:type="dxa"/>
              <w:bottom w:w="0" w:type="dxa"/>
              <w:right w:w="108" w:type="dxa"/>
            </w:tcMar>
          </w:tcPr>
          <w:p w:rsidR="00A92422" w:rsidRPr="00D87B79" w:rsidRDefault="00A92422" w:rsidP="00EA30FC">
            <w:pPr>
              <w:jc w:val="center"/>
              <w:rPr>
                <w:rFonts w:eastAsia="Times New Roman" w:cs="Tahoma"/>
                <w:b/>
                <w:sz w:val="20"/>
                <w:szCs w:val="20"/>
              </w:rPr>
            </w:pPr>
            <w:r w:rsidRPr="00D87B79">
              <w:rPr>
                <w:rFonts w:cs="Tahoma"/>
                <w:b/>
                <w:sz w:val="20"/>
                <w:lang w:val="it-IT"/>
              </w:rPr>
              <w:lastRenderedPageBreak/>
              <w:t>Step-Up Da</w:t>
            </w:r>
          </w:p>
        </w:tc>
        <w:tc>
          <w:tcPr>
            <w:tcW w:w="4230" w:type="dxa"/>
            <w:tcBorders>
              <w:top w:val="single" w:sz="12" w:space="0" w:color="auto"/>
            </w:tcBorders>
            <w:shd w:val="clear" w:color="auto" w:fill="FABF8F"/>
            <w:tcMar>
              <w:top w:w="0" w:type="dxa"/>
              <w:left w:w="108" w:type="dxa"/>
              <w:bottom w:w="0" w:type="dxa"/>
              <w:right w:w="108" w:type="dxa"/>
            </w:tcMar>
          </w:tcPr>
          <w:p w:rsidR="00A92422" w:rsidRPr="00D87B79" w:rsidRDefault="00A92422" w:rsidP="00EA30FC">
            <w:pPr>
              <w:jc w:val="center"/>
              <w:rPr>
                <w:rFonts w:eastAsia="Times New Roman" w:cs="Tahoma"/>
                <w:b/>
                <w:sz w:val="20"/>
                <w:szCs w:val="20"/>
              </w:rPr>
            </w:pPr>
            <w:r w:rsidRPr="00D87B79">
              <w:rPr>
                <w:rFonts w:cs="Tahoma"/>
                <w:b/>
                <w:sz w:val="20"/>
                <w:lang w:val="it-IT"/>
              </w:rPr>
              <w:t>Step-Up A</w:t>
            </w:r>
          </w:p>
        </w:tc>
      </w:tr>
      <w:tr w:rsidR="00A92422" w:rsidRPr="00D87B79" w:rsidTr="00EA30FC">
        <w:tc>
          <w:tcPr>
            <w:tcW w:w="4230" w:type="dxa"/>
            <w:tcMar>
              <w:top w:w="0" w:type="dxa"/>
              <w:left w:w="108" w:type="dxa"/>
              <w:bottom w:w="0" w:type="dxa"/>
              <w:right w:w="108" w:type="dxa"/>
            </w:tcMar>
          </w:tcPr>
          <w:p w:rsidR="00A92422" w:rsidRPr="00D87B79" w:rsidRDefault="00A92422" w:rsidP="00EA30FC">
            <w:pPr>
              <w:rPr>
                <w:rFonts w:eastAsia="Times New Roman" w:cs="Tahoma"/>
                <w:szCs w:val="18"/>
              </w:rPr>
            </w:pPr>
            <w:r w:rsidRPr="00D87B79">
              <w:rPr>
                <w:rFonts w:cs="Tahoma"/>
                <w:lang w:val="it-IT"/>
              </w:rPr>
              <w:t>BizTalk</w:t>
            </w:r>
            <w:r w:rsidRPr="003A0F2F">
              <w:rPr>
                <w:rFonts w:cs="Tahoma"/>
                <w:vertAlign w:val="superscript"/>
                <w:lang w:val="it-IT"/>
              </w:rPr>
              <w:t>®</w:t>
            </w:r>
            <w:r w:rsidRPr="00D87B79">
              <w:rPr>
                <w:rFonts w:cs="Tahoma"/>
                <w:lang w:val="it-IT"/>
              </w:rPr>
              <w:t xml:space="preserve"> Server Branch</w:t>
            </w:r>
          </w:p>
        </w:tc>
        <w:tc>
          <w:tcPr>
            <w:tcW w:w="4230" w:type="dxa"/>
            <w:tcMar>
              <w:top w:w="0" w:type="dxa"/>
              <w:left w:w="108" w:type="dxa"/>
              <w:bottom w:w="0" w:type="dxa"/>
              <w:right w:w="108" w:type="dxa"/>
            </w:tcMar>
          </w:tcPr>
          <w:p w:rsidR="00A92422" w:rsidRPr="00D87B79" w:rsidRDefault="00A92422" w:rsidP="00EA30FC">
            <w:pPr>
              <w:rPr>
                <w:rFonts w:eastAsia="Times New Roman" w:cs="Tahoma"/>
                <w:szCs w:val="18"/>
              </w:rPr>
            </w:pPr>
            <w:r w:rsidRPr="00D87B79">
              <w:rPr>
                <w:rFonts w:cs="Tahoma"/>
                <w:lang w:val="it-IT"/>
              </w:rPr>
              <w:t>BizTalk</w:t>
            </w:r>
            <w:r w:rsidRPr="003A0F2F">
              <w:rPr>
                <w:rFonts w:cs="Tahoma"/>
                <w:vertAlign w:val="superscript"/>
                <w:lang w:val="it-IT"/>
              </w:rPr>
              <w:t>®</w:t>
            </w:r>
            <w:r w:rsidRPr="00D87B79">
              <w:rPr>
                <w:rFonts w:cs="Tahoma"/>
                <w:lang w:val="it-IT"/>
              </w:rPr>
              <w:t xml:space="preserve"> Server Standard</w:t>
            </w:r>
          </w:p>
        </w:tc>
      </w:tr>
      <w:tr w:rsidR="00A92422" w:rsidRPr="00D87B79" w:rsidTr="00EA30FC">
        <w:tc>
          <w:tcPr>
            <w:tcW w:w="4230" w:type="dxa"/>
            <w:tcMar>
              <w:top w:w="0" w:type="dxa"/>
              <w:left w:w="108" w:type="dxa"/>
              <w:bottom w:w="0" w:type="dxa"/>
              <w:right w:w="108" w:type="dxa"/>
            </w:tcMar>
          </w:tcPr>
          <w:p w:rsidR="00A92422" w:rsidRPr="00D87B79" w:rsidRDefault="00A92422" w:rsidP="00EA30FC">
            <w:pPr>
              <w:rPr>
                <w:rFonts w:eastAsia="Times New Roman" w:cs="Tahoma"/>
                <w:szCs w:val="18"/>
              </w:rPr>
            </w:pPr>
            <w:r w:rsidRPr="00D87B79">
              <w:rPr>
                <w:rFonts w:cs="Tahoma"/>
                <w:lang w:val="it-IT"/>
              </w:rPr>
              <w:t>BizTalk</w:t>
            </w:r>
            <w:r w:rsidRPr="003A0F2F">
              <w:rPr>
                <w:rFonts w:cs="Tahoma"/>
                <w:vertAlign w:val="superscript"/>
                <w:lang w:val="it-IT"/>
              </w:rPr>
              <w:t>®</w:t>
            </w:r>
            <w:r w:rsidRPr="00D87B79">
              <w:rPr>
                <w:rFonts w:cs="Tahoma"/>
                <w:lang w:val="it-IT"/>
              </w:rPr>
              <w:t xml:space="preserve"> Server Branch</w:t>
            </w:r>
          </w:p>
        </w:tc>
        <w:tc>
          <w:tcPr>
            <w:tcW w:w="4230" w:type="dxa"/>
            <w:tcMar>
              <w:top w:w="0" w:type="dxa"/>
              <w:left w:w="108" w:type="dxa"/>
              <w:bottom w:w="0" w:type="dxa"/>
              <w:right w:w="108" w:type="dxa"/>
            </w:tcMar>
          </w:tcPr>
          <w:p w:rsidR="00A92422" w:rsidRPr="00D87B79" w:rsidRDefault="00A92422" w:rsidP="00EA30FC">
            <w:pPr>
              <w:rPr>
                <w:rFonts w:eastAsia="Times New Roman" w:cs="Tahoma"/>
                <w:szCs w:val="18"/>
              </w:rPr>
            </w:pPr>
            <w:r w:rsidRPr="00D87B79">
              <w:rPr>
                <w:rFonts w:cs="Tahoma"/>
                <w:lang w:val="it-IT"/>
              </w:rPr>
              <w:t>BizTalk</w:t>
            </w:r>
            <w:r w:rsidRPr="003A0F2F">
              <w:rPr>
                <w:rFonts w:cs="Tahoma"/>
                <w:vertAlign w:val="superscript"/>
                <w:lang w:val="it-IT"/>
              </w:rPr>
              <w:t>®</w:t>
            </w:r>
            <w:r w:rsidRPr="00D87B79">
              <w:rPr>
                <w:rFonts w:cs="Tahoma"/>
                <w:lang w:val="it-IT"/>
              </w:rPr>
              <w:t xml:space="preserve"> Server Enterprise</w:t>
            </w:r>
          </w:p>
        </w:tc>
      </w:tr>
      <w:tr w:rsidR="00A92422" w:rsidRPr="00D87B79" w:rsidTr="00EA30FC">
        <w:tc>
          <w:tcPr>
            <w:tcW w:w="4230" w:type="dxa"/>
            <w:tcMar>
              <w:top w:w="0" w:type="dxa"/>
              <w:left w:w="108" w:type="dxa"/>
              <w:bottom w:w="0" w:type="dxa"/>
              <w:right w:w="108" w:type="dxa"/>
            </w:tcMar>
          </w:tcPr>
          <w:p w:rsidR="00A92422" w:rsidRPr="00D87B79" w:rsidRDefault="00A92422" w:rsidP="00EA30FC">
            <w:pPr>
              <w:rPr>
                <w:rFonts w:eastAsia="Times New Roman" w:cs="Tahoma"/>
                <w:szCs w:val="18"/>
              </w:rPr>
            </w:pPr>
            <w:r w:rsidRPr="00D87B79">
              <w:rPr>
                <w:rFonts w:cs="Tahoma"/>
                <w:lang w:val="it-IT"/>
              </w:rPr>
              <w:t>BizTalk</w:t>
            </w:r>
            <w:r w:rsidRPr="003A0F2F">
              <w:rPr>
                <w:rFonts w:cs="Tahoma"/>
                <w:vertAlign w:val="superscript"/>
                <w:lang w:val="it-IT"/>
              </w:rPr>
              <w:t>®</w:t>
            </w:r>
            <w:r w:rsidRPr="00D87B79">
              <w:rPr>
                <w:rFonts w:cs="Tahoma"/>
                <w:lang w:val="it-IT"/>
              </w:rPr>
              <w:t xml:space="preserve"> Server Standard</w:t>
            </w:r>
          </w:p>
        </w:tc>
        <w:tc>
          <w:tcPr>
            <w:tcW w:w="4230" w:type="dxa"/>
            <w:tcMar>
              <w:top w:w="0" w:type="dxa"/>
              <w:left w:w="108" w:type="dxa"/>
              <w:bottom w:w="0" w:type="dxa"/>
              <w:right w:w="108" w:type="dxa"/>
            </w:tcMar>
          </w:tcPr>
          <w:p w:rsidR="00A92422" w:rsidRPr="00D87B79" w:rsidRDefault="00A92422" w:rsidP="00EA30FC">
            <w:pPr>
              <w:rPr>
                <w:rFonts w:eastAsia="Times New Roman" w:cs="Tahoma"/>
                <w:szCs w:val="18"/>
              </w:rPr>
            </w:pPr>
            <w:r w:rsidRPr="00D87B79">
              <w:rPr>
                <w:rFonts w:cs="Tahoma"/>
                <w:lang w:val="it-IT"/>
              </w:rPr>
              <w:t>BizTalk</w:t>
            </w:r>
            <w:r w:rsidRPr="003A0F2F">
              <w:rPr>
                <w:rFonts w:cs="Tahoma"/>
                <w:vertAlign w:val="superscript"/>
                <w:lang w:val="it-IT"/>
              </w:rPr>
              <w:t>®</w:t>
            </w:r>
            <w:r w:rsidRPr="00D87B79">
              <w:rPr>
                <w:rFonts w:cs="Tahoma"/>
                <w:lang w:val="it-IT"/>
              </w:rPr>
              <w:t xml:space="preserve"> Server Enterprise</w:t>
            </w:r>
          </w:p>
        </w:tc>
      </w:tr>
      <w:tr w:rsidR="00A92422" w:rsidRPr="00D87B79" w:rsidTr="00EA30FC">
        <w:tc>
          <w:tcPr>
            <w:tcW w:w="4230" w:type="dxa"/>
            <w:tcMar>
              <w:top w:w="0" w:type="dxa"/>
              <w:left w:w="108" w:type="dxa"/>
              <w:bottom w:w="0" w:type="dxa"/>
              <w:right w:w="108" w:type="dxa"/>
            </w:tcMar>
          </w:tcPr>
          <w:p w:rsidR="00A92422" w:rsidRPr="00D87B79" w:rsidRDefault="00A92422" w:rsidP="00EA30FC">
            <w:pPr>
              <w:rPr>
                <w:rFonts w:eastAsia="Times New Roman" w:cs="Tahoma"/>
                <w:szCs w:val="18"/>
              </w:rPr>
            </w:pPr>
            <w:r w:rsidRPr="00D87B79">
              <w:rPr>
                <w:rFonts w:cs="Tahoma"/>
                <w:lang w:val="it-IT"/>
              </w:rPr>
              <w:t>Commerce Server Standard</w:t>
            </w:r>
          </w:p>
        </w:tc>
        <w:tc>
          <w:tcPr>
            <w:tcW w:w="4230" w:type="dxa"/>
            <w:tcMar>
              <w:top w:w="0" w:type="dxa"/>
              <w:left w:w="108" w:type="dxa"/>
              <w:bottom w:w="0" w:type="dxa"/>
              <w:right w:w="108" w:type="dxa"/>
            </w:tcMar>
          </w:tcPr>
          <w:p w:rsidR="00A92422" w:rsidRPr="00D87B79" w:rsidRDefault="00A92422" w:rsidP="00EA30FC">
            <w:pPr>
              <w:rPr>
                <w:rFonts w:eastAsia="Times New Roman" w:cs="Tahoma"/>
                <w:szCs w:val="18"/>
              </w:rPr>
            </w:pPr>
            <w:r w:rsidRPr="00D87B79">
              <w:rPr>
                <w:rFonts w:cs="Tahoma"/>
                <w:lang w:val="it-IT"/>
              </w:rPr>
              <w:t>Commerce Server Enterprise</w:t>
            </w:r>
          </w:p>
        </w:tc>
      </w:tr>
      <w:tr w:rsidR="00A92422" w:rsidRPr="00D87B79" w:rsidTr="00EA30FC">
        <w:trPr>
          <w:trHeight w:val="238"/>
        </w:trPr>
        <w:tc>
          <w:tcPr>
            <w:tcW w:w="4230" w:type="dxa"/>
            <w:tcMar>
              <w:top w:w="0" w:type="dxa"/>
              <w:left w:w="108" w:type="dxa"/>
              <w:bottom w:w="0" w:type="dxa"/>
              <w:right w:w="108" w:type="dxa"/>
            </w:tcMar>
          </w:tcPr>
          <w:p w:rsidR="00A92422" w:rsidRPr="00D87B79" w:rsidRDefault="00A92422" w:rsidP="00EA30FC">
            <w:pPr>
              <w:rPr>
                <w:rFonts w:eastAsia="Times New Roman" w:cs="Tahoma"/>
                <w:szCs w:val="18"/>
              </w:rPr>
            </w:pPr>
            <w:r w:rsidRPr="00D87B79">
              <w:rPr>
                <w:rFonts w:cs="Tahoma"/>
                <w:lang w:val="it-IT"/>
              </w:rPr>
              <w:t>Core CAL Suite</w:t>
            </w:r>
          </w:p>
        </w:tc>
        <w:tc>
          <w:tcPr>
            <w:tcW w:w="4230" w:type="dxa"/>
            <w:tcMar>
              <w:top w:w="0" w:type="dxa"/>
              <w:left w:w="108" w:type="dxa"/>
              <w:bottom w:w="0" w:type="dxa"/>
              <w:right w:w="108" w:type="dxa"/>
            </w:tcMar>
          </w:tcPr>
          <w:p w:rsidR="00A92422" w:rsidRPr="00D87B79" w:rsidRDefault="00A92422" w:rsidP="00EA30FC">
            <w:pPr>
              <w:rPr>
                <w:rFonts w:eastAsia="Times New Roman" w:cs="Tahoma"/>
                <w:szCs w:val="18"/>
              </w:rPr>
            </w:pPr>
            <w:r w:rsidRPr="00D87B79">
              <w:rPr>
                <w:rFonts w:cs="Tahoma"/>
                <w:lang w:val="it-IT"/>
              </w:rPr>
              <w:t>Enterprise CAL Suite</w:t>
            </w:r>
          </w:p>
        </w:tc>
      </w:tr>
      <w:tr w:rsidR="00A92422" w:rsidRPr="00D87B79" w:rsidTr="00EA30FC">
        <w:trPr>
          <w:trHeight w:val="247"/>
        </w:trPr>
        <w:tc>
          <w:tcPr>
            <w:tcW w:w="4230" w:type="dxa"/>
            <w:tcMar>
              <w:top w:w="0" w:type="dxa"/>
              <w:left w:w="108" w:type="dxa"/>
              <w:bottom w:w="0" w:type="dxa"/>
              <w:right w:w="108" w:type="dxa"/>
            </w:tcMar>
          </w:tcPr>
          <w:p w:rsidR="00A92422" w:rsidRPr="00D87B79" w:rsidRDefault="00A92422" w:rsidP="00EA30FC">
            <w:pPr>
              <w:rPr>
                <w:rFonts w:cs="Tahoma"/>
                <w:color w:val="000000"/>
                <w:szCs w:val="18"/>
              </w:rPr>
            </w:pPr>
            <w:r w:rsidRPr="00D87B79">
              <w:rPr>
                <w:rFonts w:cs="Tahoma"/>
                <w:color w:val="000000"/>
                <w:szCs w:val="18"/>
                <w:lang w:val="it-IT"/>
              </w:rPr>
              <w:t>Core CAL Suite Bridge per Office 365</w:t>
            </w:r>
          </w:p>
        </w:tc>
        <w:tc>
          <w:tcPr>
            <w:tcW w:w="4230" w:type="dxa"/>
            <w:tcMar>
              <w:top w:w="0" w:type="dxa"/>
              <w:left w:w="108" w:type="dxa"/>
              <w:bottom w:w="0" w:type="dxa"/>
              <w:right w:w="108" w:type="dxa"/>
            </w:tcMar>
          </w:tcPr>
          <w:p w:rsidR="00A92422" w:rsidRPr="00D87B79" w:rsidRDefault="00A92422" w:rsidP="00EA30FC">
            <w:pPr>
              <w:rPr>
                <w:rFonts w:cs="Tahoma"/>
                <w:color w:val="000000"/>
                <w:szCs w:val="18"/>
              </w:rPr>
            </w:pPr>
            <w:r w:rsidRPr="00D87B79">
              <w:rPr>
                <w:rFonts w:cs="Tahoma"/>
                <w:color w:val="000000"/>
                <w:lang w:val="it-IT"/>
              </w:rPr>
              <w:t>Enterprise CAL Suite Bridge per Office 365</w:t>
            </w:r>
          </w:p>
        </w:tc>
      </w:tr>
      <w:tr w:rsidR="00A92422" w:rsidRPr="00D87B79" w:rsidTr="00EA30FC">
        <w:trPr>
          <w:trHeight w:val="247"/>
        </w:trPr>
        <w:tc>
          <w:tcPr>
            <w:tcW w:w="4230" w:type="dxa"/>
            <w:tcMar>
              <w:top w:w="0" w:type="dxa"/>
              <w:left w:w="108" w:type="dxa"/>
              <w:bottom w:w="0" w:type="dxa"/>
              <w:right w:w="108" w:type="dxa"/>
            </w:tcMar>
          </w:tcPr>
          <w:p w:rsidR="00A92422" w:rsidRPr="00D87B79" w:rsidRDefault="00A92422" w:rsidP="00EA30FC">
            <w:pPr>
              <w:rPr>
                <w:rFonts w:cs="Tahoma"/>
                <w:color w:val="000000"/>
                <w:szCs w:val="18"/>
              </w:rPr>
            </w:pPr>
            <w:r w:rsidRPr="00D87B79">
              <w:rPr>
                <w:rFonts w:cs="Tahoma"/>
                <w:color w:val="000000"/>
                <w:lang w:val="it-IT"/>
              </w:rPr>
              <w:t>Core CAL Suite Bridge per Windows</w:t>
            </w:r>
            <w:r w:rsidRPr="003A0F2F">
              <w:rPr>
                <w:rFonts w:cs="Tahoma"/>
                <w:color w:val="000000"/>
                <w:vertAlign w:val="superscript"/>
                <w:lang w:val="it-IT"/>
              </w:rPr>
              <w:t>®</w:t>
            </w:r>
            <w:r w:rsidRPr="00D87B79">
              <w:rPr>
                <w:rFonts w:cs="Tahoma"/>
                <w:color w:val="000000"/>
                <w:lang w:val="it-IT"/>
              </w:rPr>
              <w:t xml:space="preserve"> Intune</w:t>
            </w:r>
          </w:p>
        </w:tc>
        <w:tc>
          <w:tcPr>
            <w:tcW w:w="4230" w:type="dxa"/>
            <w:tcMar>
              <w:top w:w="0" w:type="dxa"/>
              <w:left w:w="108" w:type="dxa"/>
              <w:bottom w:w="0" w:type="dxa"/>
              <w:right w:w="108" w:type="dxa"/>
            </w:tcMar>
          </w:tcPr>
          <w:p w:rsidR="00A92422" w:rsidRPr="00D87B79" w:rsidRDefault="00A92422" w:rsidP="00EA30FC">
            <w:pPr>
              <w:rPr>
                <w:rFonts w:cs="Tahoma"/>
                <w:color w:val="000000"/>
                <w:szCs w:val="18"/>
              </w:rPr>
            </w:pPr>
            <w:r w:rsidRPr="00D87B79">
              <w:rPr>
                <w:rFonts w:cs="Tahoma"/>
                <w:color w:val="000000"/>
                <w:lang w:val="it-IT"/>
              </w:rPr>
              <w:t>Enterprise CAL Suite Bridge per Windows</w:t>
            </w:r>
            <w:r w:rsidRPr="003A0F2F">
              <w:rPr>
                <w:rFonts w:cs="Tahoma"/>
                <w:color w:val="000000"/>
                <w:vertAlign w:val="superscript"/>
                <w:lang w:val="it-IT"/>
              </w:rPr>
              <w:t>®</w:t>
            </w:r>
            <w:r w:rsidRPr="00D87B79">
              <w:rPr>
                <w:rFonts w:cs="Tahoma"/>
                <w:color w:val="000000"/>
                <w:lang w:val="it-IT"/>
              </w:rPr>
              <w:t xml:space="preserve"> Intune</w:t>
            </w:r>
          </w:p>
        </w:tc>
      </w:tr>
      <w:tr w:rsidR="00A92422" w:rsidRPr="00D87B79" w:rsidTr="00EA30FC">
        <w:trPr>
          <w:trHeight w:val="247"/>
        </w:trPr>
        <w:tc>
          <w:tcPr>
            <w:tcW w:w="4230" w:type="dxa"/>
            <w:tcMar>
              <w:top w:w="0" w:type="dxa"/>
              <w:left w:w="108" w:type="dxa"/>
              <w:bottom w:w="0" w:type="dxa"/>
              <w:right w:w="108" w:type="dxa"/>
            </w:tcMar>
          </w:tcPr>
          <w:p w:rsidR="00A92422" w:rsidRPr="00D87B79" w:rsidRDefault="00A92422" w:rsidP="00EA30FC">
            <w:pPr>
              <w:rPr>
                <w:rFonts w:cs="Tahoma"/>
                <w:color w:val="000000"/>
                <w:szCs w:val="18"/>
              </w:rPr>
            </w:pPr>
            <w:r w:rsidRPr="00D87B79">
              <w:rPr>
                <w:rFonts w:cs="Tahoma"/>
                <w:color w:val="000000"/>
                <w:lang w:val="it-IT"/>
              </w:rPr>
              <w:t>Core CAL Suite Bridge per Office 365 e Windows</w:t>
            </w:r>
            <w:r w:rsidRPr="003A0F2F">
              <w:rPr>
                <w:rFonts w:cs="Tahoma"/>
                <w:color w:val="000000"/>
                <w:vertAlign w:val="superscript"/>
                <w:lang w:val="it-IT"/>
              </w:rPr>
              <w:t>®</w:t>
            </w:r>
            <w:r>
              <w:rPr>
                <w:rFonts w:cs="Tahoma"/>
                <w:color w:val="000000"/>
                <w:lang w:val="it-IT"/>
              </w:rPr>
              <w:t> </w:t>
            </w:r>
            <w:r w:rsidRPr="00D87B79">
              <w:rPr>
                <w:rFonts w:cs="Tahoma"/>
                <w:color w:val="000000"/>
                <w:lang w:val="it-IT"/>
              </w:rPr>
              <w:t>Intune</w:t>
            </w:r>
          </w:p>
        </w:tc>
        <w:tc>
          <w:tcPr>
            <w:tcW w:w="4230" w:type="dxa"/>
            <w:tcMar>
              <w:top w:w="0" w:type="dxa"/>
              <w:left w:w="108" w:type="dxa"/>
              <w:bottom w:w="0" w:type="dxa"/>
              <w:right w:w="108" w:type="dxa"/>
            </w:tcMar>
          </w:tcPr>
          <w:p w:rsidR="00A92422" w:rsidRPr="00D87B79" w:rsidRDefault="00A92422" w:rsidP="00EA30FC">
            <w:pPr>
              <w:rPr>
                <w:rFonts w:cs="Tahoma"/>
                <w:color w:val="000000"/>
                <w:szCs w:val="18"/>
              </w:rPr>
            </w:pPr>
            <w:r w:rsidRPr="00D87B79">
              <w:rPr>
                <w:rFonts w:cs="Tahoma"/>
                <w:lang w:val="it-IT"/>
              </w:rPr>
              <w:t>Enterprise CAL Suite Bridge per Office 365 e</w:t>
            </w:r>
            <w:r>
              <w:rPr>
                <w:rFonts w:cs="Tahoma"/>
                <w:lang w:val="it-IT"/>
              </w:rPr>
              <w:t> </w:t>
            </w:r>
            <w:r w:rsidRPr="00D87B79">
              <w:rPr>
                <w:rFonts w:cs="Tahoma"/>
                <w:lang w:val="it-IT"/>
              </w:rPr>
              <w:t>Windows</w:t>
            </w:r>
            <w:r w:rsidRPr="003A0F2F">
              <w:rPr>
                <w:rFonts w:cs="Tahoma"/>
                <w:vertAlign w:val="superscript"/>
                <w:lang w:val="it-IT"/>
              </w:rPr>
              <w:t>®</w:t>
            </w:r>
            <w:r w:rsidRPr="00D87B79">
              <w:rPr>
                <w:rFonts w:cs="Tahoma"/>
                <w:lang w:val="it-IT"/>
              </w:rPr>
              <w:t xml:space="preserve"> Intune</w:t>
            </w:r>
          </w:p>
        </w:tc>
      </w:tr>
      <w:tr w:rsidR="00A92422" w:rsidRPr="00D87B79" w:rsidTr="00EA30FC">
        <w:trPr>
          <w:trHeight w:val="247"/>
        </w:trPr>
        <w:tc>
          <w:tcPr>
            <w:tcW w:w="4230" w:type="dxa"/>
            <w:tcMar>
              <w:top w:w="0" w:type="dxa"/>
              <w:left w:w="108" w:type="dxa"/>
              <w:bottom w:w="0" w:type="dxa"/>
              <w:right w:w="108" w:type="dxa"/>
            </w:tcMar>
          </w:tcPr>
          <w:p w:rsidR="00A92422" w:rsidRPr="00D87B79" w:rsidRDefault="00A92422" w:rsidP="00EA30FC">
            <w:pPr>
              <w:rPr>
                <w:rFonts w:cs="Tahoma"/>
                <w:szCs w:val="18"/>
              </w:rPr>
            </w:pPr>
            <w:r w:rsidRPr="00D87B79">
              <w:rPr>
                <w:rFonts w:cs="Tahoma"/>
                <w:color w:val="000000"/>
                <w:lang w:val="it-IT"/>
              </w:rPr>
              <w:t>Core Infrastructure Server Suite Standard</w:t>
            </w:r>
          </w:p>
        </w:tc>
        <w:tc>
          <w:tcPr>
            <w:tcW w:w="4230" w:type="dxa"/>
            <w:tcMar>
              <w:top w:w="0" w:type="dxa"/>
              <w:left w:w="108" w:type="dxa"/>
              <w:bottom w:w="0" w:type="dxa"/>
              <w:right w:w="108" w:type="dxa"/>
            </w:tcMar>
          </w:tcPr>
          <w:p w:rsidR="00A92422" w:rsidRPr="00D87B79" w:rsidRDefault="00A92422" w:rsidP="00EA30FC">
            <w:pPr>
              <w:rPr>
                <w:rFonts w:cs="Tahoma"/>
                <w:szCs w:val="18"/>
              </w:rPr>
            </w:pPr>
            <w:r w:rsidRPr="00D87B79">
              <w:rPr>
                <w:rFonts w:cs="Tahoma"/>
                <w:color w:val="000000"/>
                <w:lang w:val="it-IT"/>
              </w:rPr>
              <w:t>Core Infrastructure Server Suite Datacenter</w:t>
            </w:r>
          </w:p>
        </w:tc>
      </w:tr>
      <w:tr w:rsidR="00A92422" w:rsidRPr="00D87B79" w:rsidTr="00EA30FC">
        <w:tc>
          <w:tcPr>
            <w:tcW w:w="4230" w:type="dxa"/>
            <w:tcMar>
              <w:top w:w="0" w:type="dxa"/>
              <w:left w:w="108" w:type="dxa"/>
              <w:bottom w:w="0" w:type="dxa"/>
              <w:right w:w="108" w:type="dxa"/>
            </w:tcMar>
          </w:tcPr>
          <w:p w:rsidR="00A92422" w:rsidRPr="00D87B79" w:rsidRDefault="00A92422" w:rsidP="00EA30FC">
            <w:pPr>
              <w:rPr>
                <w:rFonts w:eastAsia="Times New Roman" w:cs="Tahoma"/>
                <w:szCs w:val="18"/>
              </w:rPr>
            </w:pPr>
            <w:r w:rsidRPr="00D87B79">
              <w:rPr>
                <w:rFonts w:cs="Tahoma"/>
                <w:lang w:val="it-IT"/>
              </w:rPr>
              <w:t>Desktop Education con Core CAL</w:t>
            </w:r>
          </w:p>
        </w:tc>
        <w:tc>
          <w:tcPr>
            <w:tcW w:w="4230" w:type="dxa"/>
            <w:tcMar>
              <w:top w:w="0" w:type="dxa"/>
              <w:left w:w="108" w:type="dxa"/>
              <w:bottom w:w="0" w:type="dxa"/>
              <w:right w:w="108" w:type="dxa"/>
            </w:tcMar>
          </w:tcPr>
          <w:p w:rsidR="00A92422" w:rsidRPr="00D87B79" w:rsidRDefault="00A92422" w:rsidP="00EA30FC">
            <w:pPr>
              <w:rPr>
                <w:rFonts w:eastAsia="Times New Roman" w:cs="Tahoma"/>
                <w:szCs w:val="18"/>
              </w:rPr>
            </w:pPr>
            <w:r>
              <w:rPr>
                <w:rFonts w:cs="Tahoma"/>
                <w:lang w:val="it-IT"/>
              </w:rPr>
              <w:t>Desktop Education con Enterprise CAL Suite</w:t>
            </w:r>
          </w:p>
        </w:tc>
      </w:tr>
      <w:tr w:rsidR="00A92422" w:rsidRPr="00D87B79" w:rsidTr="00EA30FC">
        <w:tc>
          <w:tcPr>
            <w:tcW w:w="4230" w:type="dxa"/>
            <w:tcMar>
              <w:top w:w="0" w:type="dxa"/>
              <w:left w:w="108" w:type="dxa"/>
              <w:bottom w:w="0" w:type="dxa"/>
              <w:right w:w="108" w:type="dxa"/>
            </w:tcMar>
          </w:tcPr>
          <w:p w:rsidR="00A92422" w:rsidRPr="00D87B79" w:rsidRDefault="00A92422" w:rsidP="00EA30FC">
            <w:pPr>
              <w:rPr>
                <w:rFonts w:eastAsia="Times New Roman" w:cs="Tahoma"/>
                <w:szCs w:val="18"/>
              </w:rPr>
            </w:pPr>
            <w:r w:rsidRPr="00D87B79">
              <w:rPr>
                <w:rFonts w:cs="Tahoma"/>
                <w:lang w:val="it-IT"/>
              </w:rPr>
              <w:t>Desktop School con Core CAL</w:t>
            </w:r>
          </w:p>
        </w:tc>
        <w:tc>
          <w:tcPr>
            <w:tcW w:w="4230" w:type="dxa"/>
            <w:tcMar>
              <w:top w:w="0" w:type="dxa"/>
              <w:left w:w="108" w:type="dxa"/>
              <w:bottom w:w="0" w:type="dxa"/>
              <w:right w:w="108" w:type="dxa"/>
            </w:tcMar>
          </w:tcPr>
          <w:p w:rsidR="00A92422" w:rsidRPr="00D87B79" w:rsidRDefault="00A92422" w:rsidP="00EA30FC">
            <w:pPr>
              <w:rPr>
                <w:rFonts w:eastAsia="Times New Roman" w:cs="Tahoma"/>
                <w:szCs w:val="18"/>
              </w:rPr>
            </w:pPr>
            <w:r>
              <w:rPr>
                <w:rFonts w:cs="Tahoma"/>
                <w:lang w:val="it-IT"/>
              </w:rPr>
              <w:t>Desktop School con Enterprise CAL Suite</w:t>
            </w:r>
          </w:p>
        </w:tc>
      </w:tr>
      <w:tr w:rsidR="00A92422" w:rsidRPr="00D87B79" w:rsidTr="00EA30FC">
        <w:tc>
          <w:tcPr>
            <w:tcW w:w="4230" w:type="dxa"/>
            <w:tcMar>
              <w:top w:w="0" w:type="dxa"/>
              <w:left w:w="108" w:type="dxa"/>
              <w:bottom w:w="0" w:type="dxa"/>
              <w:right w:w="108" w:type="dxa"/>
            </w:tcMar>
          </w:tcPr>
          <w:p w:rsidR="00A92422" w:rsidRPr="00D87B79" w:rsidRDefault="00A92422" w:rsidP="00EA30FC">
            <w:pPr>
              <w:rPr>
                <w:rFonts w:eastAsia="Times New Roman" w:cs="Tahoma"/>
                <w:szCs w:val="18"/>
                <w:lang w:val="fr-FR"/>
              </w:rPr>
            </w:pPr>
            <w:r w:rsidRPr="00D87B79">
              <w:rPr>
                <w:rFonts w:cs="Tahoma"/>
                <w:lang w:val="it-IT"/>
              </w:rPr>
              <w:t>Exchange Server Standard</w:t>
            </w:r>
          </w:p>
        </w:tc>
        <w:tc>
          <w:tcPr>
            <w:tcW w:w="4230" w:type="dxa"/>
            <w:tcMar>
              <w:top w:w="0" w:type="dxa"/>
              <w:left w:w="108" w:type="dxa"/>
              <w:bottom w:w="0" w:type="dxa"/>
              <w:right w:w="108" w:type="dxa"/>
            </w:tcMar>
          </w:tcPr>
          <w:p w:rsidR="00A92422" w:rsidRPr="00D87B79" w:rsidRDefault="00A92422" w:rsidP="00EA30FC">
            <w:pPr>
              <w:rPr>
                <w:rFonts w:eastAsia="Times New Roman" w:cs="Tahoma"/>
                <w:szCs w:val="18"/>
              </w:rPr>
            </w:pPr>
            <w:r w:rsidRPr="00D87B79">
              <w:rPr>
                <w:rFonts w:cs="Tahoma"/>
                <w:lang w:val="it-IT"/>
              </w:rPr>
              <w:t>Exchange Server Enterprise</w:t>
            </w:r>
          </w:p>
        </w:tc>
      </w:tr>
      <w:tr w:rsidR="00A92422" w:rsidRPr="00D87B79" w:rsidTr="00EA30FC">
        <w:tc>
          <w:tcPr>
            <w:tcW w:w="4230" w:type="dxa"/>
            <w:tcMar>
              <w:top w:w="0" w:type="dxa"/>
              <w:left w:w="108" w:type="dxa"/>
              <w:bottom w:w="0" w:type="dxa"/>
              <w:right w:w="108" w:type="dxa"/>
            </w:tcMar>
          </w:tcPr>
          <w:p w:rsidR="00A92422" w:rsidRPr="00D87B79" w:rsidRDefault="00A92422" w:rsidP="00EA30FC">
            <w:pPr>
              <w:rPr>
                <w:rFonts w:cs="Tahoma"/>
                <w:szCs w:val="18"/>
              </w:rPr>
            </w:pPr>
            <w:r w:rsidRPr="00D87B79">
              <w:rPr>
                <w:rFonts w:cs="Tahoma"/>
                <w:lang w:val="it-IT"/>
              </w:rPr>
              <w:t>Forefront TMG Standard</w:t>
            </w:r>
          </w:p>
        </w:tc>
        <w:tc>
          <w:tcPr>
            <w:tcW w:w="4230" w:type="dxa"/>
            <w:tcMar>
              <w:top w:w="0" w:type="dxa"/>
              <w:left w:w="108" w:type="dxa"/>
              <w:bottom w:w="0" w:type="dxa"/>
              <w:right w:w="108" w:type="dxa"/>
            </w:tcMar>
          </w:tcPr>
          <w:p w:rsidR="00A92422" w:rsidRPr="00D87B79" w:rsidRDefault="00A92422" w:rsidP="00EA30FC">
            <w:pPr>
              <w:rPr>
                <w:rFonts w:cs="Tahoma"/>
                <w:szCs w:val="18"/>
              </w:rPr>
            </w:pPr>
            <w:r w:rsidRPr="00D87B79">
              <w:rPr>
                <w:rFonts w:cs="Tahoma"/>
                <w:lang w:val="it-IT"/>
              </w:rPr>
              <w:t>Forefront TMG Enterprise</w:t>
            </w:r>
          </w:p>
        </w:tc>
      </w:tr>
      <w:tr w:rsidR="00A92422" w:rsidRPr="00D87B79" w:rsidTr="00EA30FC">
        <w:tc>
          <w:tcPr>
            <w:tcW w:w="4230" w:type="dxa"/>
            <w:tcMar>
              <w:top w:w="0" w:type="dxa"/>
              <w:left w:w="108" w:type="dxa"/>
              <w:bottom w:w="0" w:type="dxa"/>
              <w:right w:w="108" w:type="dxa"/>
            </w:tcMar>
          </w:tcPr>
          <w:p w:rsidR="00A92422" w:rsidRPr="00D87B79" w:rsidRDefault="00A92422" w:rsidP="00EA30FC">
            <w:pPr>
              <w:rPr>
                <w:rFonts w:eastAsia="Times New Roman" w:cs="Tahoma"/>
                <w:szCs w:val="18"/>
              </w:rPr>
            </w:pPr>
            <w:r w:rsidRPr="00D87B79">
              <w:rPr>
                <w:rFonts w:cs="Tahoma"/>
                <w:lang w:val="it-IT"/>
              </w:rPr>
              <w:t>Internet Security &amp; Acceleration (ISA) Standard</w:t>
            </w:r>
            <w:r>
              <w:rPr>
                <w:rFonts w:cs="Tahoma"/>
                <w:lang w:val="it-IT"/>
              </w:rPr>
              <w:t> </w:t>
            </w:r>
            <w:r w:rsidRPr="00D87B79">
              <w:rPr>
                <w:rFonts w:cs="Tahoma"/>
                <w:lang w:val="it-IT"/>
              </w:rPr>
              <w:t>Server</w:t>
            </w:r>
          </w:p>
        </w:tc>
        <w:tc>
          <w:tcPr>
            <w:tcW w:w="4230" w:type="dxa"/>
            <w:tcMar>
              <w:top w:w="0" w:type="dxa"/>
              <w:left w:w="108" w:type="dxa"/>
              <w:bottom w:w="0" w:type="dxa"/>
              <w:right w:w="108" w:type="dxa"/>
            </w:tcMar>
          </w:tcPr>
          <w:p w:rsidR="00A92422" w:rsidRPr="00D87B79" w:rsidRDefault="00A92422" w:rsidP="00EA30FC">
            <w:pPr>
              <w:rPr>
                <w:rFonts w:eastAsia="Times New Roman" w:cs="Tahoma"/>
                <w:szCs w:val="18"/>
              </w:rPr>
            </w:pPr>
            <w:r w:rsidRPr="00D87B79">
              <w:rPr>
                <w:rFonts w:cs="Tahoma"/>
                <w:lang w:val="it-IT"/>
              </w:rPr>
              <w:t>Internet Security and Acceleration (ISA) Enterprise Server</w:t>
            </w:r>
          </w:p>
        </w:tc>
      </w:tr>
      <w:tr w:rsidR="00A92422" w:rsidRPr="00D87B79" w:rsidTr="00EA30FC">
        <w:tc>
          <w:tcPr>
            <w:tcW w:w="4230" w:type="dxa"/>
            <w:tcMar>
              <w:top w:w="0" w:type="dxa"/>
              <w:left w:w="108" w:type="dxa"/>
              <w:bottom w:w="0" w:type="dxa"/>
              <w:right w:w="108" w:type="dxa"/>
            </w:tcMar>
          </w:tcPr>
          <w:p w:rsidR="00A92422" w:rsidRPr="00D87B79" w:rsidRDefault="00A92422" w:rsidP="00EA30FC">
            <w:pPr>
              <w:rPr>
                <w:rFonts w:cs="Tahoma"/>
                <w:szCs w:val="18"/>
              </w:rPr>
            </w:pPr>
            <w:r w:rsidRPr="00D87B79">
              <w:rPr>
                <w:rFonts w:cs="Tahoma"/>
                <w:lang w:val="it-IT"/>
              </w:rPr>
              <w:t>Microsoft Dynamics CRM Workgroup Server 2011</w:t>
            </w:r>
          </w:p>
        </w:tc>
        <w:tc>
          <w:tcPr>
            <w:tcW w:w="4230" w:type="dxa"/>
            <w:tcMar>
              <w:top w:w="0" w:type="dxa"/>
              <w:left w:w="108" w:type="dxa"/>
              <w:bottom w:w="0" w:type="dxa"/>
              <w:right w:w="108" w:type="dxa"/>
            </w:tcMar>
          </w:tcPr>
          <w:p w:rsidR="00A92422" w:rsidRPr="00D87B79" w:rsidRDefault="00A92422" w:rsidP="00EA30FC">
            <w:pPr>
              <w:rPr>
                <w:rFonts w:cs="Tahoma"/>
                <w:szCs w:val="18"/>
              </w:rPr>
            </w:pPr>
            <w:r w:rsidRPr="00D87B79">
              <w:rPr>
                <w:rFonts w:cs="Tahoma"/>
                <w:lang w:val="it-IT"/>
              </w:rPr>
              <w:t>Microsoft Dynamics CRM Server 2011</w:t>
            </w:r>
          </w:p>
        </w:tc>
      </w:tr>
      <w:tr w:rsidR="00A92422" w:rsidRPr="00D87B79" w:rsidTr="00EA30FC">
        <w:tc>
          <w:tcPr>
            <w:tcW w:w="4230" w:type="dxa"/>
            <w:tcMar>
              <w:top w:w="0" w:type="dxa"/>
              <w:left w:w="108" w:type="dxa"/>
              <w:bottom w:w="0" w:type="dxa"/>
              <w:right w:w="108" w:type="dxa"/>
            </w:tcMar>
          </w:tcPr>
          <w:p w:rsidR="00A92422" w:rsidRPr="00D87B79" w:rsidRDefault="00A92422" w:rsidP="00EA30FC">
            <w:pPr>
              <w:rPr>
                <w:rFonts w:eastAsia="Times New Roman" w:cs="Tahoma"/>
                <w:szCs w:val="18"/>
              </w:rPr>
            </w:pPr>
            <w:r w:rsidRPr="00D87B79">
              <w:rPr>
                <w:rFonts w:cs="Tahoma"/>
                <w:lang w:val="it-IT"/>
              </w:rPr>
              <w:t>Office Standard</w:t>
            </w:r>
            <w:r w:rsidRPr="00D87B79">
              <w:rPr>
                <w:rFonts w:cs="Tahoma"/>
              </w:rPr>
              <w:t xml:space="preserve"> </w:t>
            </w:r>
          </w:p>
        </w:tc>
        <w:tc>
          <w:tcPr>
            <w:tcW w:w="4230" w:type="dxa"/>
            <w:tcMar>
              <w:top w:w="0" w:type="dxa"/>
              <w:left w:w="108" w:type="dxa"/>
              <w:bottom w:w="0" w:type="dxa"/>
              <w:right w:w="108" w:type="dxa"/>
            </w:tcMar>
          </w:tcPr>
          <w:p w:rsidR="00A92422" w:rsidRPr="00D87B79" w:rsidRDefault="00A92422" w:rsidP="00EA30FC">
            <w:pPr>
              <w:rPr>
                <w:rFonts w:eastAsia="Times New Roman" w:cs="Tahoma"/>
                <w:szCs w:val="18"/>
                <w:lang w:val="fr-FR"/>
              </w:rPr>
            </w:pPr>
            <w:r w:rsidRPr="00D87B79">
              <w:rPr>
                <w:rFonts w:cs="Tahoma"/>
                <w:lang w:val="it-IT"/>
              </w:rPr>
              <w:t>Office Professional Plus</w:t>
            </w:r>
            <w:r w:rsidRPr="00D87B79">
              <w:rPr>
                <w:rFonts w:cs="Tahoma"/>
              </w:rPr>
              <w:t xml:space="preserve"> </w:t>
            </w:r>
          </w:p>
        </w:tc>
      </w:tr>
      <w:tr w:rsidR="00A92422" w:rsidRPr="00D87B79" w:rsidTr="00EA30FC">
        <w:tc>
          <w:tcPr>
            <w:tcW w:w="4230" w:type="dxa"/>
            <w:tcMar>
              <w:top w:w="0" w:type="dxa"/>
              <w:left w:w="108" w:type="dxa"/>
              <w:bottom w:w="0" w:type="dxa"/>
              <w:right w:w="108" w:type="dxa"/>
            </w:tcMar>
          </w:tcPr>
          <w:p w:rsidR="00A92422" w:rsidRPr="00D87B79" w:rsidRDefault="00A92422" w:rsidP="00EA30FC">
            <w:pPr>
              <w:rPr>
                <w:rFonts w:eastAsia="Times New Roman" w:cs="Tahoma"/>
                <w:szCs w:val="18"/>
              </w:rPr>
            </w:pPr>
            <w:r w:rsidRPr="00D87B79">
              <w:rPr>
                <w:rFonts w:cs="Tahoma"/>
                <w:lang w:val="it-IT"/>
              </w:rPr>
              <w:t>Professional Desktop</w:t>
            </w:r>
          </w:p>
        </w:tc>
        <w:tc>
          <w:tcPr>
            <w:tcW w:w="4230" w:type="dxa"/>
            <w:tcMar>
              <w:top w:w="0" w:type="dxa"/>
              <w:left w:w="108" w:type="dxa"/>
              <w:bottom w:w="0" w:type="dxa"/>
              <w:right w:w="108" w:type="dxa"/>
            </w:tcMar>
          </w:tcPr>
          <w:p w:rsidR="00A92422" w:rsidRPr="00D87B79" w:rsidRDefault="00A92422" w:rsidP="00EA30FC">
            <w:pPr>
              <w:rPr>
                <w:rFonts w:eastAsia="Times New Roman" w:cs="Tahoma"/>
                <w:szCs w:val="18"/>
              </w:rPr>
            </w:pPr>
            <w:r w:rsidRPr="00D87B79">
              <w:rPr>
                <w:rFonts w:cs="Tahoma"/>
                <w:lang w:val="it-IT"/>
              </w:rPr>
              <w:t>Enterprise Desktop</w:t>
            </w:r>
          </w:p>
        </w:tc>
      </w:tr>
      <w:tr w:rsidR="00A92422" w:rsidRPr="00D87B79" w:rsidTr="00EA30FC">
        <w:tc>
          <w:tcPr>
            <w:tcW w:w="4230" w:type="dxa"/>
            <w:tcMar>
              <w:top w:w="0" w:type="dxa"/>
              <w:left w:w="108" w:type="dxa"/>
              <w:bottom w:w="0" w:type="dxa"/>
              <w:right w:w="108" w:type="dxa"/>
            </w:tcMar>
          </w:tcPr>
          <w:p w:rsidR="00A92422" w:rsidRPr="00D87B79" w:rsidRDefault="00A92422" w:rsidP="00EA30FC">
            <w:pPr>
              <w:rPr>
                <w:rFonts w:cs="Tahoma"/>
                <w:color w:val="000000"/>
                <w:szCs w:val="18"/>
              </w:rPr>
            </w:pPr>
            <w:bookmarkStart w:id="1019" w:name="_Toc236810936"/>
            <w:bookmarkEnd w:id="1019"/>
            <w:r w:rsidRPr="00D87B79">
              <w:rPr>
                <w:rFonts w:cs="Tahoma"/>
                <w:color w:val="000000"/>
                <w:szCs w:val="18"/>
                <w:lang w:val="it-IT"/>
              </w:rPr>
              <w:t>Professional Desktop con Microsoft Desktop Optimization Pack</w:t>
            </w:r>
            <w:r w:rsidRPr="00D87B79">
              <w:rPr>
                <w:rFonts w:cs="Tahoma"/>
                <w:color w:val="000000"/>
                <w:szCs w:val="18"/>
              </w:rPr>
              <w:t xml:space="preserve"> </w:t>
            </w:r>
          </w:p>
        </w:tc>
        <w:tc>
          <w:tcPr>
            <w:tcW w:w="4230" w:type="dxa"/>
            <w:tcMar>
              <w:top w:w="0" w:type="dxa"/>
              <w:left w:w="108" w:type="dxa"/>
              <w:bottom w:w="0" w:type="dxa"/>
              <w:right w:w="108" w:type="dxa"/>
            </w:tcMar>
          </w:tcPr>
          <w:p w:rsidR="00A92422" w:rsidRPr="00D87B79" w:rsidRDefault="00A92422" w:rsidP="00EA30FC">
            <w:pPr>
              <w:rPr>
                <w:rFonts w:cs="Tahoma"/>
                <w:color w:val="000000"/>
                <w:szCs w:val="18"/>
              </w:rPr>
            </w:pPr>
            <w:r w:rsidRPr="00D87B79">
              <w:rPr>
                <w:rFonts w:cs="Tahoma"/>
                <w:color w:val="000000"/>
                <w:szCs w:val="18"/>
                <w:lang w:val="it-IT"/>
              </w:rPr>
              <w:t>Enterprise Desktop con Microsoft Desktop Optimization Pack</w:t>
            </w:r>
          </w:p>
        </w:tc>
      </w:tr>
      <w:tr w:rsidR="00A92422" w:rsidRPr="00D87B79" w:rsidTr="00EA30FC">
        <w:tc>
          <w:tcPr>
            <w:tcW w:w="4230" w:type="dxa"/>
            <w:tcMar>
              <w:top w:w="0" w:type="dxa"/>
              <w:left w:w="108" w:type="dxa"/>
              <w:bottom w:w="0" w:type="dxa"/>
              <w:right w:w="108" w:type="dxa"/>
            </w:tcMar>
          </w:tcPr>
          <w:p w:rsidR="00A92422" w:rsidRPr="00D87B79" w:rsidRDefault="00A92422" w:rsidP="00EA30FC">
            <w:pPr>
              <w:rPr>
                <w:rFonts w:eastAsia="Times New Roman" w:cs="Tahoma"/>
                <w:color w:val="000000"/>
                <w:szCs w:val="18"/>
              </w:rPr>
            </w:pPr>
            <w:r w:rsidRPr="00D87B79">
              <w:rPr>
                <w:rFonts w:cs="Tahoma"/>
                <w:color w:val="000000"/>
                <w:lang w:val="it-IT"/>
              </w:rPr>
              <w:t>Project Standard</w:t>
            </w:r>
            <w:r w:rsidRPr="00D87B79">
              <w:rPr>
                <w:rFonts w:cs="Tahoma"/>
              </w:rPr>
              <w:t xml:space="preserve"> </w:t>
            </w:r>
          </w:p>
        </w:tc>
        <w:tc>
          <w:tcPr>
            <w:tcW w:w="4230" w:type="dxa"/>
            <w:tcMar>
              <w:top w:w="0" w:type="dxa"/>
              <w:left w:w="108" w:type="dxa"/>
              <w:bottom w:w="0" w:type="dxa"/>
              <w:right w:w="108" w:type="dxa"/>
            </w:tcMar>
          </w:tcPr>
          <w:p w:rsidR="00A92422" w:rsidRPr="00D87B79" w:rsidRDefault="00A92422" w:rsidP="00EA30FC">
            <w:pPr>
              <w:rPr>
                <w:rFonts w:eastAsia="Times New Roman" w:cs="Tahoma"/>
                <w:color w:val="000000"/>
                <w:szCs w:val="18"/>
              </w:rPr>
            </w:pPr>
            <w:r w:rsidRPr="00D87B79">
              <w:rPr>
                <w:rFonts w:cs="Tahoma"/>
                <w:color w:val="000000"/>
                <w:lang w:val="it-IT"/>
              </w:rPr>
              <w:t>Project Professional</w:t>
            </w:r>
            <w:r w:rsidRPr="00D87B79">
              <w:rPr>
                <w:rFonts w:cs="Tahoma"/>
              </w:rPr>
              <w:t xml:space="preserve"> </w:t>
            </w:r>
          </w:p>
        </w:tc>
      </w:tr>
      <w:tr w:rsidR="00A92422" w:rsidRPr="00D87B79" w:rsidTr="00EA30FC">
        <w:tc>
          <w:tcPr>
            <w:tcW w:w="4230" w:type="dxa"/>
            <w:tcMar>
              <w:top w:w="0" w:type="dxa"/>
              <w:left w:w="108" w:type="dxa"/>
              <w:bottom w:w="0" w:type="dxa"/>
              <w:right w:w="108" w:type="dxa"/>
            </w:tcMar>
          </w:tcPr>
          <w:p w:rsidR="00A92422" w:rsidRPr="00D87B79" w:rsidRDefault="00A92422" w:rsidP="00EA30FC">
            <w:pPr>
              <w:rPr>
                <w:rFonts w:eastAsia="Times New Roman" w:cs="Tahoma"/>
                <w:color w:val="000000"/>
                <w:szCs w:val="18"/>
              </w:rPr>
            </w:pPr>
            <w:r w:rsidRPr="00D87B79">
              <w:rPr>
                <w:rFonts w:cs="Tahoma"/>
                <w:color w:val="000000"/>
                <w:lang w:val="it-IT"/>
              </w:rPr>
              <w:t>SQL Server ™ Standard Core</w:t>
            </w:r>
          </w:p>
        </w:tc>
        <w:tc>
          <w:tcPr>
            <w:tcW w:w="4230" w:type="dxa"/>
            <w:tcMar>
              <w:top w:w="0" w:type="dxa"/>
              <w:left w:w="108" w:type="dxa"/>
              <w:bottom w:w="0" w:type="dxa"/>
              <w:right w:w="108" w:type="dxa"/>
            </w:tcMar>
          </w:tcPr>
          <w:p w:rsidR="00A92422" w:rsidRPr="00D87B79" w:rsidRDefault="00A92422" w:rsidP="00EA30FC">
            <w:pPr>
              <w:rPr>
                <w:rFonts w:eastAsia="Times New Roman" w:cs="Tahoma"/>
                <w:color w:val="000000"/>
                <w:szCs w:val="18"/>
              </w:rPr>
            </w:pPr>
            <w:r w:rsidRPr="00D87B79">
              <w:rPr>
                <w:rFonts w:cs="Tahoma"/>
                <w:color w:val="000000"/>
                <w:lang w:val="it-IT"/>
              </w:rPr>
              <w:t>SQL Server ™ Enterprise Core</w:t>
            </w:r>
          </w:p>
        </w:tc>
      </w:tr>
      <w:tr w:rsidR="00A92422" w:rsidRPr="00D87B79" w:rsidTr="00EA30FC">
        <w:tc>
          <w:tcPr>
            <w:tcW w:w="4230" w:type="dxa"/>
            <w:tcMar>
              <w:top w:w="0" w:type="dxa"/>
              <w:left w:w="108" w:type="dxa"/>
              <w:bottom w:w="0" w:type="dxa"/>
              <w:right w:w="108" w:type="dxa"/>
            </w:tcMar>
          </w:tcPr>
          <w:p w:rsidR="00A92422" w:rsidRPr="00D87B79" w:rsidRDefault="00A92422" w:rsidP="00EA30FC">
            <w:pPr>
              <w:rPr>
                <w:rFonts w:eastAsia="Times New Roman" w:cs="Tahoma"/>
                <w:szCs w:val="18"/>
              </w:rPr>
            </w:pPr>
            <w:r w:rsidRPr="00D87B79">
              <w:rPr>
                <w:rFonts w:cs="Tahoma"/>
                <w:lang w:val="it-IT"/>
              </w:rPr>
              <w:t>SQL Server™ Standard</w:t>
            </w:r>
          </w:p>
        </w:tc>
        <w:tc>
          <w:tcPr>
            <w:tcW w:w="4230" w:type="dxa"/>
            <w:tcMar>
              <w:top w:w="0" w:type="dxa"/>
              <w:left w:w="108" w:type="dxa"/>
              <w:bottom w:w="0" w:type="dxa"/>
              <w:right w:w="108" w:type="dxa"/>
            </w:tcMar>
          </w:tcPr>
          <w:p w:rsidR="00A92422" w:rsidRPr="00D87B79" w:rsidRDefault="00A92422" w:rsidP="00EA30FC">
            <w:pPr>
              <w:rPr>
                <w:rFonts w:eastAsia="Times New Roman" w:cs="Tahoma"/>
                <w:szCs w:val="18"/>
              </w:rPr>
            </w:pPr>
            <w:r w:rsidRPr="00D87B79">
              <w:rPr>
                <w:rFonts w:cs="Tahoma"/>
                <w:lang w:val="it-IT"/>
              </w:rPr>
              <w:t>SQL Server ™ Business Intelligence</w:t>
            </w:r>
          </w:p>
        </w:tc>
      </w:tr>
      <w:tr w:rsidR="00A92422" w:rsidRPr="00D87B79" w:rsidTr="00EA30FC">
        <w:tc>
          <w:tcPr>
            <w:tcW w:w="4230" w:type="dxa"/>
            <w:tcMar>
              <w:top w:w="0" w:type="dxa"/>
              <w:left w:w="108" w:type="dxa"/>
              <w:bottom w:w="0" w:type="dxa"/>
              <w:right w:w="108" w:type="dxa"/>
            </w:tcMar>
          </w:tcPr>
          <w:p w:rsidR="00A92422" w:rsidRPr="00D87B79" w:rsidRDefault="00A92422" w:rsidP="00EA30FC">
            <w:pPr>
              <w:rPr>
                <w:rFonts w:eastAsia="Times New Roman" w:cs="Tahoma"/>
                <w:szCs w:val="18"/>
              </w:rPr>
            </w:pPr>
            <w:r w:rsidRPr="00D87B79">
              <w:rPr>
                <w:rFonts w:cs="Tahoma"/>
                <w:lang w:val="it-IT"/>
              </w:rPr>
              <w:t>System Center 2012 Standard</w:t>
            </w:r>
          </w:p>
        </w:tc>
        <w:tc>
          <w:tcPr>
            <w:tcW w:w="4230" w:type="dxa"/>
            <w:tcMar>
              <w:top w:w="0" w:type="dxa"/>
              <w:left w:w="108" w:type="dxa"/>
              <w:bottom w:w="0" w:type="dxa"/>
              <w:right w:w="108" w:type="dxa"/>
            </w:tcMar>
          </w:tcPr>
          <w:p w:rsidR="00A92422" w:rsidRPr="00D87B79" w:rsidRDefault="00A92422" w:rsidP="00EA30FC">
            <w:pPr>
              <w:rPr>
                <w:rFonts w:eastAsia="Times New Roman" w:cs="Tahoma"/>
                <w:szCs w:val="18"/>
              </w:rPr>
            </w:pPr>
            <w:r w:rsidRPr="00D87B79">
              <w:rPr>
                <w:rFonts w:cs="Tahoma"/>
                <w:lang w:val="it-IT"/>
              </w:rPr>
              <w:t>System Center 2012 Datacenter</w:t>
            </w:r>
          </w:p>
        </w:tc>
      </w:tr>
      <w:tr w:rsidR="00A92422" w:rsidRPr="00D87B79" w:rsidTr="00EA30FC">
        <w:tc>
          <w:tcPr>
            <w:tcW w:w="4230" w:type="dxa"/>
            <w:tcMar>
              <w:top w:w="0" w:type="dxa"/>
              <w:left w:w="108" w:type="dxa"/>
              <w:bottom w:w="0" w:type="dxa"/>
              <w:right w:w="108" w:type="dxa"/>
            </w:tcMar>
          </w:tcPr>
          <w:p w:rsidR="00A92422" w:rsidRPr="00D87B79" w:rsidRDefault="00A92422" w:rsidP="00EA30FC">
            <w:pPr>
              <w:rPr>
                <w:rFonts w:eastAsia="Times New Roman" w:cs="Tahoma"/>
                <w:color w:val="000000"/>
                <w:szCs w:val="18"/>
              </w:rPr>
            </w:pPr>
            <w:r w:rsidRPr="00D87B79">
              <w:rPr>
                <w:rFonts w:cs="Tahoma"/>
                <w:color w:val="000000"/>
                <w:lang w:val="it-IT"/>
              </w:rPr>
              <w:t>Visio</w:t>
            </w:r>
            <w:r w:rsidRPr="003A0F2F">
              <w:rPr>
                <w:rFonts w:cs="Tahoma"/>
                <w:color w:val="000000"/>
                <w:vertAlign w:val="superscript"/>
                <w:lang w:val="it-IT"/>
              </w:rPr>
              <w:t>®</w:t>
            </w:r>
            <w:r w:rsidRPr="00D87B79">
              <w:rPr>
                <w:rFonts w:cs="Tahoma"/>
                <w:color w:val="000000"/>
                <w:lang w:val="it-IT"/>
              </w:rPr>
              <w:t xml:space="preserve"> Standard</w:t>
            </w:r>
          </w:p>
        </w:tc>
        <w:tc>
          <w:tcPr>
            <w:tcW w:w="4230" w:type="dxa"/>
            <w:tcMar>
              <w:top w:w="0" w:type="dxa"/>
              <w:left w:w="108" w:type="dxa"/>
              <w:bottom w:w="0" w:type="dxa"/>
              <w:right w:w="108" w:type="dxa"/>
            </w:tcMar>
          </w:tcPr>
          <w:p w:rsidR="00A92422" w:rsidRPr="00D87B79" w:rsidRDefault="00A92422" w:rsidP="00EA30FC">
            <w:pPr>
              <w:rPr>
                <w:rFonts w:eastAsia="Times New Roman" w:cs="Tahoma"/>
                <w:color w:val="000000"/>
                <w:szCs w:val="18"/>
              </w:rPr>
            </w:pPr>
            <w:r w:rsidRPr="00D87B79">
              <w:rPr>
                <w:rFonts w:cs="Tahoma"/>
                <w:color w:val="000000"/>
                <w:lang w:val="it-IT"/>
              </w:rPr>
              <w:t>Visio</w:t>
            </w:r>
            <w:r w:rsidRPr="003A0F2F">
              <w:rPr>
                <w:rFonts w:cs="Tahoma"/>
                <w:color w:val="000000"/>
                <w:vertAlign w:val="superscript"/>
                <w:lang w:val="it-IT"/>
              </w:rPr>
              <w:t>®</w:t>
            </w:r>
            <w:r w:rsidRPr="00D87B79">
              <w:rPr>
                <w:rFonts w:cs="Tahoma"/>
                <w:color w:val="000000"/>
                <w:lang w:val="it-IT"/>
              </w:rPr>
              <w:t xml:space="preserve"> Professional</w:t>
            </w:r>
          </w:p>
        </w:tc>
      </w:tr>
      <w:tr w:rsidR="00A92422" w:rsidRPr="00D87B79" w:rsidTr="00EA30FC">
        <w:tc>
          <w:tcPr>
            <w:tcW w:w="4230" w:type="dxa"/>
            <w:tcMar>
              <w:top w:w="0" w:type="dxa"/>
              <w:left w:w="108" w:type="dxa"/>
              <w:bottom w:w="0" w:type="dxa"/>
              <w:right w:w="108" w:type="dxa"/>
            </w:tcMar>
          </w:tcPr>
          <w:p w:rsidR="00A92422" w:rsidRPr="00D87B79" w:rsidRDefault="00A92422" w:rsidP="00EA30FC">
            <w:pPr>
              <w:rPr>
                <w:rFonts w:eastAsia="Times New Roman" w:cs="Tahoma"/>
                <w:color w:val="000000"/>
                <w:szCs w:val="18"/>
              </w:rPr>
            </w:pPr>
          </w:p>
        </w:tc>
        <w:tc>
          <w:tcPr>
            <w:tcW w:w="4230" w:type="dxa"/>
            <w:tcMar>
              <w:top w:w="0" w:type="dxa"/>
              <w:left w:w="108" w:type="dxa"/>
              <w:bottom w:w="0" w:type="dxa"/>
              <w:right w:w="108" w:type="dxa"/>
            </w:tcMar>
          </w:tcPr>
          <w:p w:rsidR="00A92422" w:rsidRPr="00D87B79" w:rsidRDefault="00A92422" w:rsidP="00EA30FC">
            <w:pPr>
              <w:rPr>
                <w:rFonts w:eastAsia="Times New Roman" w:cs="Tahoma"/>
                <w:color w:val="000000"/>
                <w:szCs w:val="18"/>
              </w:rPr>
            </w:pPr>
          </w:p>
        </w:tc>
      </w:tr>
      <w:tr w:rsidR="00A92422" w:rsidRPr="00D87B79" w:rsidTr="00EA30FC">
        <w:tc>
          <w:tcPr>
            <w:tcW w:w="4230" w:type="dxa"/>
            <w:tcMar>
              <w:top w:w="0" w:type="dxa"/>
              <w:left w:w="108" w:type="dxa"/>
              <w:bottom w:w="0" w:type="dxa"/>
              <w:right w:w="108" w:type="dxa"/>
            </w:tcMar>
          </w:tcPr>
          <w:p w:rsidR="00A92422" w:rsidRPr="00D87B79" w:rsidRDefault="00A92422" w:rsidP="00EA30FC">
            <w:pPr>
              <w:rPr>
                <w:rFonts w:eastAsia="Times New Roman" w:cs="Tahoma"/>
                <w:color w:val="000000"/>
                <w:szCs w:val="18"/>
              </w:rPr>
            </w:pPr>
            <w:r w:rsidRPr="00D87B79">
              <w:rPr>
                <w:rFonts w:cs="Tahoma"/>
                <w:color w:val="000000"/>
                <w:lang w:val="it-IT"/>
              </w:rPr>
              <w:t>Visual Studio Professional con MSDN</w:t>
            </w:r>
          </w:p>
        </w:tc>
        <w:tc>
          <w:tcPr>
            <w:tcW w:w="4230" w:type="dxa"/>
            <w:tcMar>
              <w:top w:w="0" w:type="dxa"/>
              <w:left w:w="108" w:type="dxa"/>
              <w:bottom w:w="0" w:type="dxa"/>
              <w:right w:w="108" w:type="dxa"/>
            </w:tcMar>
          </w:tcPr>
          <w:p w:rsidR="00A92422" w:rsidRPr="00D87B79" w:rsidRDefault="00A92422" w:rsidP="00EA30FC">
            <w:pPr>
              <w:rPr>
                <w:rFonts w:eastAsia="Times New Roman" w:cs="Tahoma"/>
                <w:color w:val="000000"/>
                <w:szCs w:val="18"/>
              </w:rPr>
            </w:pPr>
            <w:r w:rsidRPr="00D87B79">
              <w:rPr>
                <w:rFonts w:cs="Tahoma"/>
                <w:color w:val="000000"/>
                <w:lang w:val="it-IT"/>
              </w:rPr>
              <w:t>Visual Studio Premium con MSDN</w:t>
            </w:r>
          </w:p>
        </w:tc>
      </w:tr>
      <w:tr w:rsidR="00A92422" w:rsidRPr="00D87B79" w:rsidTr="00EA30FC">
        <w:tc>
          <w:tcPr>
            <w:tcW w:w="4230" w:type="dxa"/>
            <w:tcMar>
              <w:top w:w="0" w:type="dxa"/>
              <w:left w:w="108" w:type="dxa"/>
              <w:bottom w:w="0" w:type="dxa"/>
              <w:right w:w="108" w:type="dxa"/>
            </w:tcMar>
          </w:tcPr>
          <w:p w:rsidR="00A92422" w:rsidRPr="00D87B79" w:rsidRDefault="00A92422" w:rsidP="00EA30FC">
            <w:pPr>
              <w:rPr>
                <w:rFonts w:eastAsia="Times New Roman" w:cs="Tahoma"/>
                <w:szCs w:val="18"/>
              </w:rPr>
            </w:pPr>
            <w:r w:rsidRPr="00D87B79">
              <w:rPr>
                <w:rFonts w:cs="Tahoma"/>
                <w:lang w:val="it-IT"/>
              </w:rPr>
              <w:t>Visual Studio Premium con MSDN</w:t>
            </w:r>
          </w:p>
        </w:tc>
        <w:tc>
          <w:tcPr>
            <w:tcW w:w="4230" w:type="dxa"/>
            <w:tcMar>
              <w:top w:w="0" w:type="dxa"/>
              <w:left w:w="108" w:type="dxa"/>
              <w:bottom w:w="0" w:type="dxa"/>
              <w:right w:w="108" w:type="dxa"/>
            </w:tcMar>
          </w:tcPr>
          <w:p w:rsidR="00A92422" w:rsidRPr="00D87B79" w:rsidRDefault="00A92422" w:rsidP="00EA30FC">
            <w:pPr>
              <w:rPr>
                <w:rFonts w:eastAsia="Times New Roman" w:cs="Tahoma"/>
                <w:szCs w:val="18"/>
              </w:rPr>
            </w:pPr>
            <w:r w:rsidRPr="00D87B79">
              <w:rPr>
                <w:rFonts w:cs="Tahoma"/>
                <w:lang w:val="it-IT"/>
              </w:rPr>
              <w:t>Visual Studio Ultimate con MSDN</w:t>
            </w:r>
          </w:p>
        </w:tc>
      </w:tr>
      <w:tr w:rsidR="00A92422" w:rsidRPr="00D87B79" w:rsidTr="00EA30FC">
        <w:tc>
          <w:tcPr>
            <w:tcW w:w="4230" w:type="dxa"/>
            <w:tcMar>
              <w:top w:w="0" w:type="dxa"/>
              <w:left w:w="108" w:type="dxa"/>
              <w:bottom w:w="0" w:type="dxa"/>
              <w:right w:w="108" w:type="dxa"/>
            </w:tcMar>
          </w:tcPr>
          <w:p w:rsidR="00A92422" w:rsidRPr="00D87B79" w:rsidRDefault="00A92422" w:rsidP="00EA30FC">
            <w:pPr>
              <w:rPr>
                <w:rFonts w:eastAsia="Times New Roman" w:cs="Tahoma"/>
                <w:szCs w:val="18"/>
              </w:rPr>
            </w:pPr>
            <w:r w:rsidRPr="00D87B79">
              <w:rPr>
                <w:rFonts w:cs="Tahoma"/>
                <w:lang w:val="it-IT"/>
              </w:rPr>
              <w:t>Visual Studio Test Professional con MSDN</w:t>
            </w:r>
          </w:p>
        </w:tc>
        <w:tc>
          <w:tcPr>
            <w:tcW w:w="4230" w:type="dxa"/>
            <w:tcMar>
              <w:top w:w="0" w:type="dxa"/>
              <w:left w:w="108" w:type="dxa"/>
              <w:bottom w:w="0" w:type="dxa"/>
              <w:right w:w="108" w:type="dxa"/>
            </w:tcMar>
          </w:tcPr>
          <w:p w:rsidR="00A92422" w:rsidRPr="00D87B79" w:rsidRDefault="00A92422" w:rsidP="00EA30FC">
            <w:pPr>
              <w:rPr>
                <w:rFonts w:eastAsia="Times New Roman" w:cs="Tahoma"/>
                <w:szCs w:val="18"/>
              </w:rPr>
            </w:pPr>
            <w:r w:rsidRPr="00D87B79">
              <w:rPr>
                <w:rFonts w:cs="Tahoma"/>
                <w:lang w:val="it-IT"/>
              </w:rPr>
              <w:t>Visual Studio Premium con MSDN</w:t>
            </w:r>
          </w:p>
        </w:tc>
      </w:tr>
      <w:tr w:rsidR="00A92422" w:rsidRPr="00D87B79" w:rsidTr="00EA30FC">
        <w:tc>
          <w:tcPr>
            <w:tcW w:w="4230" w:type="dxa"/>
            <w:tcBorders>
              <w:bottom w:val="single" w:sz="12" w:space="0" w:color="auto"/>
            </w:tcBorders>
            <w:tcMar>
              <w:top w:w="0" w:type="dxa"/>
              <w:left w:w="108" w:type="dxa"/>
              <w:bottom w:w="0" w:type="dxa"/>
              <w:right w:w="108" w:type="dxa"/>
            </w:tcMar>
          </w:tcPr>
          <w:p w:rsidR="00A92422" w:rsidRPr="00D87B79" w:rsidRDefault="00A92422" w:rsidP="00EA30FC">
            <w:pPr>
              <w:rPr>
                <w:rFonts w:eastAsia="Times New Roman" w:cs="Tahoma"/>
                <w:szCs w:val="18"/>
              </w:rPr>
            </w:pPr>
            <w:r w:rsidRPr="00D87B79">
              <w:rPr>
                <w:rFonts w:cs="Tahoma"/>
                <w:lang w:val="it-IT"/>
              </w:rPr>
              <w:t>Windows</w:t>
            </w:r>
            <w:r w:rsidRPr="003A0F2F">
              <w:rPr>
                <w:rFonts w:cs="Tahoma"/>
                <w:vertAlign w:val="superscript"/>
                <w:lang w:val="it-IT"/>
              </w:rPr>
              <w:t>®</w:t>
            </w:r>
            <w:r w:rsidRPr="00D87B79">
              <w:rPr>
                <w:rFonts w:cs="Tahoma"/>
                <w:lang w:val="it-IT"/>
              </w:rPr>
              <w:t xml:space="preserve"> Server™ Standard</w:t>
            </w:r>
          </w:p>
        </w:tc>
        <w:tc>
          <w:tcPr>
            <w:tcW w:w="4230" w:type="dxa"/>
            <w:tcBorders>
              <w:bottom w:val="single" w:sz="12" w:space="0" w:color="auto"/>
            </w:tcBorders>
            <w:tcMar>
              <w:top w:w="0" w:type="dxa"/>
              <w:left w:w="108" w:type="dxa"/>
              <w:bottom w:w="0" w:type="dxa"/>
              <w:right w:w="108" w:type="dxa"/>
            </w:tcMar>
          </w:tcPr>
          <w:p w:rsidR="00A92422" w:rsidRPr="00D87B79" w:rsidRDefault="00A92422" w:rsidP="00EA30FC">
            <w:pPr>
              <w:rPr>
                <w:rFonts w:eastAsia="Times New Roman" w:cs="Tahoma"/>
                <w:szCs w:val="18"/>
              </w:rPr>
            </w:pPr>
            <w:r w:rsidRPr="00D87B79">
              <w:rPr>
                <w:rFonts w:cs="Tahoma"/>
                <w:lang w:val="it-IT"/>
              </w:rPr>
              <w:t>Windows</w:t>
            </w:r>
            <w:r w:rsidRPr="003A0F2F">
              <w:rPr>
                <w:rFonts w:cs="Tahoma"/>
                <w:vertAlign w:val="superscript"/>
                <w:lang w:val="it-IT"/>
              </w:rPr>
              <w:t>®</w:t>
            </w:r>
            <w:r w:rsidRPr="00D87B79">
              <w:rPr>
                <w:rFonts w:cs="Tahoma"/>
                <w:lang w:val="it-IT"/>
              </w:rPr>
              <w:t xml:space="preserve"> Server™ Datacenter</w:t>
            </w:r>
          </w:p>
        </w:tc>
      </w:tr>
    </w:tbl>
    <w:p w:rsidR="00A92422" w:rsidRPr="00D87B79" w:rsidRDefault="00A92422" w:rsidP="00A92422">
      <w:pPr>
        <w:pStyle w:val="AppendixBodyText"/>
        <w:ind w:left="1710" w:hanging="1260"/>
        <w:rPr>
          <w:rFonts w:ascii="Tahoma" w:hAnsi="Tahoma" w:cs="Tahoma"/>
        </w:rPr>
      </w:pPr>
      <w:r w:rsidRPr="00D87B79">
        <w:rPr>
          <w:rFonts w:ascii="Tahoma" w:hAnsi="Tahoma" w:cs="Tahoma"/>
          <w:b/>
          <w:i/>
          <w:sz w:val="16"/>
          <w:lang w:val="it-IT"/>
        </w:rPr>
        <w:t>*</w:t>
      </w:r>
      <w:r w:rsidRPr="000F211E">
        <w:rPr>
          <w:rFonts w:ascii="Tahoma" w:hAnsi="Tahoma" w:cs="Tahoma"/>
          <w:b/>
          <w:i/>
          <w:sz w:val="16"/>
          <w:u w:val="single"/>
          <w:lang w:val="it-IT"/>
        </w:rPr>
        <w:t>Nota</w:t>
      </w:r>
      <w:r w:rsidRPr="00D87B79">
        <w:rPr>
          <w:rFonts w:ascii="Tahoma" w:hAnsi="Tahoma" w:cs="Tahoma"/>
          <w:b/>
          <w:i/>
          <w:sz w:val="16"/>
          <w:lang w:val="it-IT"/>
        </w:rPr>
        <w:t>:</w:t>
      </w:r>
      <w:r w:rsidRPr="00D87B79">
        <w:rPr>
          <w:rFonts w:ascii="Tahoma" w:hAnsi="Tahoma" w:cs="Tahoma"/>
          <w:i/>
          <w:sz w:val="16"/>
          <w:szCs w:val="16"/>
        </w:rPr>
        <w:t xml:space="preserve"> </w:t>
      </w:r>
      <w:r w:rsidRPr="00D87B79">
        <w:rPr>
          <w:rFonts w:ascii="Tahoma" w:hAnsi="Tahoma" w:cs="Tahoma"/>
          <w:i/>
          <w:sz w:val="16"/>
          <w:lang w:val="it-IT"/>
        </w:rPr>
        <w:t>La lista dei prodotti per cui sono disponibili Licenze Step-up è soggetta a modifiche.</w:t>
      </w:r>
    </w:p>
    <w:p w:rsidR="00A92422" w:rsidRPr="00D87B79" w:rsidRDefault="00A92422" w:rsidP="00A92422">
      <w:pPr>
        <w:rPr>
          <w:rFonts w:cs="Tahoma"/>
        </w:rPr>
      </w:pPr>
    </w:p>
    <w:p w:rsidR="00A92422" w:rsidRPr="00D87B79" w:rsidRDefault="00A92422" w:rsidP="00A92422">
      <w:pPr>
        <w:pStyle w:val="AppendixBodyText"/>
        <w:ind w:left="1710" w:hanging="1260"/>
        <w:rPr>
          <w:rFonts w:ascii="Tahoma" w:hAnsi="Tahoma" w:cs="Tahoma"/>
        </w:rPr>
      </w:pPr>
      <w:r w:rsidRPr="00D87B79">
        <w:rPr>
          <w:rFonts w:ascii="Tahoma" w:hAnsi="Tahoma" w:cs="Tahoma"/>
          <w:b/>
          <w:i/>
        </w:rPr>
        <w:t xml:space="preserve"> </w:t>
      </w:r>
    </w:p>
    <w:p w:rsidR="00A92422" w:rsidRPr="00D87B79" w:rsidRDefault="00A92422" w:rsidP="00A92422">
      <w:pPr>
        <w:pStyle w:val="Heading1"/>
      </w:pPr>
      <w:r w:rsidRPr="00D87B79">
        <w:br w:type="page"/>
      </w:r>
      <w:bookmarkStart w:id="1020" w:name="_Toc317591256"/>
      <w:bookmarkStart w:id="1021" w:name="_Toc336338247"/>
      <w:bookmarkStart w:id="1022" w:name="_Toc342900299"/>
      <w:bookmarkEnd w:id="1020"/>
      <w:bookmarkEnd w:id="1021"/>
      <w:r w:rsidRPr="00D87B79">
        <w:lastRenderedPageBreak/>
        <w:t>ARTICOLO 8</w:t>
      </w:r>
      <w:r w:rsidRPr="00F81721">
        <w:rPr>
          <w:rFonts w:cs="Tahoma"/>
        </w:rPr>
        <w:t xml:space="preserve"> – </w:t>
      </w:r>
      <w:r w:rsidRPr="00D87B79">
        <w:t>Servizi</w:t>
      </w:r>
      <w:bookmarkEnd w:id="1022"/>
    </w:p>
    <w:p w:rsidR="00A92422" w:rsidRPr="00D87B79" w:rsidRDefault="00A92422" w:rsidP="00A92422">
      <w:pPr>
        <w:rPr>
          <w:rFonts w:cs="Tahoma"/>
        </w:rPr>
      </w:pPr>
    </w:p>
    <w:p w:rsidR="00A92422" w:rsidRPr="00D87B79" w:rsidRDefault="00A92422" w:rsidP="00A92422">
      <w:pPr>
        <w:jc w:val="both"/>
        <w:rPr>
          <w:rFonts w:cs="Tahoma"/>
        </w:rPr>
      </w:pPr>
      <w:r w:rsidRPr="00D87B79">
        <w:rPr>
          <w:rFonts w:cs="Tahoma"/>
          <w:szCs w:val="20"/>
          <w:lang w:val="it-IT"/>
        </w:rPr>
        <w:t>Il diritto di utilizzo dei Servizi acquistati dalla presente Lista dei Prodotti da parte della società è disciplinato da (1)</w:t>
      </w:r>
      <w:r>
        <w:rPr>
          <w:rFonts w:cs="Tahoma"/>
          <w:szCs w:val="20"/>
          <w:lang w:val="it-IT"/>
        </w:rPr>
        <w:t> </w:t>
      </w:r>
      <w:r w:rsidRPr="00D87B79">
        <w:rPr>
          <w:rFonts w:cs="Tahoma"/>
          <w:szCs w:val="20"/>
          <w:lang w:val="it-IT"/>
        </w:rPr>
        <w:t>il</w:t>
      </w:r>
      <w:r>
        <w:rPr>
          <w:rFonts w:cs="Tahoma"/>
          <w:szCs w:val="20"/>
          <w:lang w:val="it-IT"/>
        </w:rPr>
        <w:t> </w:t>
      </w:r>
      <w:r w:rsidRPr="00D87B79">
        <w:rPr>
          <w:rFonts w:cs="Tahoma"/>
          <w:szCs w:val="20"/>
          <w:lang w:val="it-IT"/>
        </w:rPr>
        <w:t>contratto multilicenza (Volume Licensing) della società e (2) qualunque contratto per i Servizi Microsoft di livello master applicabile alla società all’epoca dell’acquisto.</w:t>
      </w:r>
      <w:r w:rsidRPr="00D87B79">
        <w:rPr>
          <w:rFonts w:cs="Tahoma"/>
        </w:rPr>
        <w:t xml:space="preserve"> </w:t>
      </w:r>
      <w:r w:rsidRPr="00D87B79">
        <w:rPr>
          <w:rFonts w:cs="Tahoma"/>
          <w:lang w:val="it-IT"/>
        </w:rPr>
        <w:t>Nell’eventualità di discrepanze, il contratto più aggiornato relativo ai Servizi avrà la priorità.</w:t>
      </w:r>
      <w:r w:rsidRPr="00D87B79">
        <w:rPr>
          <w:rFonts w:cs="Tahoma"/>
        </w:rPr>
        <w:t xml:space="preserve"> </w:t>
      </w:r>
      <w:r w:rsidRPr="00D87B79">
        <w:rPr>
          <w:rFonts w:cs="Tahoma"/>
          <w:color w:val="000000"/>
          <w:lang w:val="it-IT"/>
        </w:rPr>
        <w:t>Se il contratto Volume License o le condizioni dei Servizi di livello master della società non contengono disposizioni relative alla Titolarità dei Servizi e alla lingua della Licenza, si applicheranno i</w:t>
      </w:r>
      <w:r>
        <w:rPr>
          <w:rFonts w:cs="Tahoma"/>
          <w:color w:val="000000"/>
          <w:lang w:val="it-IT"/>
        </w:rPr>
        <w:t> </w:t>
      </w:r>
      <w:r w:rsidRPr="00D87B79">
        <w:rPr>
          <w:rFonts w:cs="Tahoma"/>
          <w:color w:val="000000"/>
          <w:lang w:val="it-IT"/>
        </w:rPr>
        <w:t>Diritti sull’utilizzo, di titolarità e di licenza definiti nelle Condizioni di Servizio Aggiuntive riportate di seguito.</w:t>
      </w:r>
      <w:r w:rsidRPr="00D87B79">
        <w:rPr>
          <w:rFonts w:cs="Tahoma"/>
        </w:rPr>
        <w:t xml:space="preserve"> </w:t>
      </w:r>
      <w:r w:rsidRPr="00D87B79">
        <w:rPr>
          <w:rFonts w:cs="Tahoma"/>
          <w:lang w:val="it-IT"/>
        </w:rPr>
        <w:t>Qualora la società non abbia stipulato con Microsoft un contratto per i Servizi di livello master, si applicheranno le Condizioni di Servizio Aggiuntive riportate di seguito.</w:t>
      </w:r>
    </w:p>
    <w:p w:rsidR="00A92422" w:rsidRPr="00D87B79" w:rsidRDefault="00A92422" w:rsidP="00A92422">
      <w:pPr>
        <w:jc w:val="both"/>
        <w:rPr>
          <w:rFonts w:cs="Tahoma"/>
        </w:rPr>
      </w:pPr>
    </w:p>
    <w:p w:rsidR="00A92422" w:rsidRPr="00D87B79" w:rsidRDefault="00A92422" w:rsidP="00A92422">
      <w:pPr>
        <w:spacing w:after="75"/>
        <w:rPr>
          <w:rFonts w:cs="Tahoma"/>
        </w:rPr>
      </w:pPr>
      <w:r w:rsidRPr="00D87B79">
        <w:rPr>
          <w:rFonts w:cs="Tahoma"/>
          <w:szCs w:val="20"/>
          <w:lang w:val="it-IT"/>
        </w:rPr>
        <w:t>Una descrizione dettagliata dei Servizi che le società possono acquistare è fornita nelle sezioni seguenti.</w:t>
      </w:r>
      <w:r w:rsidRPr="00D87B79">
        <w:rPr>
          <w:rFonts w:eastAsia="Times New Roman" w:cs="Tahoma"/>
          <w:szCs w:val="20"/>
        </w:rPr>
        <w:t xml:space="preserve"> </w:t>
      </w:r>
    </w:p>
    <w:p w:rsidR="00A92422" w:rsidRPr="00D87B79" w:rsidRDefault="00A92422" w:rsidP="00A92422">
      <w:pPr>
        <w:spacing w:after="75"/>
        <w:rPr>
          <w:rFonts w:cs="Tahoma"/>
        </w:rPr>
      </w:pPr>
      <w:r w:rsidRPr="00D87B79">
        <w:rPr>
          <w:rFonts w:cs="Tahoma"/>
          <w:szCs w:val="20"/>
          <w:lang w:val="it-IT"/>
        </w:rPr>
        <w:t>La disponibilità delle offerte seguenti varia in base alla regione e al Programma per Contratti Multilicenza.</w:t>
      </w:r>
      <w:r w:rsidRPr="00D87B79">
        <w:rPr>
          <w:rFonts w:eastAsia="Times New Roman" w:cs="Tahoma"/>
          <w:szCs w:val="20"/>
        </w:rPr>
        <w:t xml:space="preserve"> </w:t>
      </w:r>
      <w:r w:rsidRPr="00D87B79">
        <w:rPr>
          <w:rFonts w:cs="Tahoma"/>
          <w:szCs w:val="20"/>
          <w:lang w:val="it-IT"/>
        </w:rPr>
        <w:t>Alcune offerte potrebbero non essere disponibili per gli Enti Pubblici con determinate eccezioni limitate in merito a progetti pilota.</w:t>
      </w:r>
      <w:r w:rsidRPr="00D87B79">
        <w:rPr>
          <w:rFonts w:cs="Tahoma"/>
        </w:rPr>
        <w:t xml:space="preserve"> </w:t>
      </w:r>
      <w:r w:rsidRPr="00D87B79">
        <w:rPr>
          <w:rFonts w:cs="Tahoma"/>
          <w:lang w:val="it-IT"/>
        </w:rPr>
        <w:t>Le società dovranno contattare il proprio rivenditore o l’Account Manager designato da Microsoft per richiedere informazioni relative alla disponibilità di una determinata offerta.</w:t>
      </w:r>
    </w:p>
    <w:p w:rsidR="00A92422" w:rsidRPr="00D87B79" w:rsidRDefault="00A92422" w:rsidP="00A92422">
      <w:pPr>
        <w:rPr>
          <w:rFonts w:cs="Tahoma"/>
        </w:rPr>
      </w:pPr>
    </w:p>
    <w:p w:rsidR="00A92422" w:rsidRPr="00D87B79" w:rsidRDefault="00A92422" w:rsidP="00A92422">
      <w:pPr>
        <w:rPr>
          <w:rFonts w:cs="Tahoma"/>
        </w:rPr>
      </w:pPr>
    </w:p>
    <w:p w:rsidR="00A92422" w:rsidRPr="00D87B79" w:rsidRDefault="00A92422" w:rsidP="00A92422">
      <w:pPr>
        <w:rPr>
          <w:rFonts w:cs="Tahoma"/>
        </w:rPr>
      </w:pPr>
      <w:r w:rsidRPr="00D87B79">
        <w:rPr>
          <w:rFonts w:cs="Tahoma"/>
          <w:b/>
          <w:sz w:val="24"/>
          <w:lang w:val="it-IT"/>
        </w:rPr>
        <w:t>Offerte di Supporto Tecnico Microsoft Premier</w:t>
      </w:r>
    </w:p>
    <w:p w:rsidR="00A92422" w:rsidRPr="00D87B79" w:rsidRDefault="00A92422" w:rsidP="00A92422">
      <w:pPr>
        <w:jc w:val="cente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A92422" w:rsidRPr="00D87B79" w:rsidTr="00EA30FC">
        <w:tc>
          <w:tcPr>
            <w:tcW w:w="3168" w:type="dxa"/>
            <w:shd w:val="clear" w:color="auto" w:fill="FABF8F"/>
            <w:vAlign w:val="center"/>
          </w:tcPr>
          <w:p w:rsidR="00A92422" w:rsidRPr="00D87B79" w:rsidRDefault="00A92422" w:rsidP="00EA30FC">
            <w:pPr>
              <w:jc w:val="center"/>
              <w:rPr>
                <w:rFonts w:cs="Tahoma"/>
                <w:color w:val="000000"/>
                <w:szCs w:val="18"/>
              </w:rPr>
            </w:pPr>
            <w:r w:rsidRPr="00D87B79">
              <w:rPr>
                <w:rFonts w:cs="Tahoma"/>
                <w:b/>
                <w:color w:val="000000"/>
                <w:sz w:val="20"/>
                <w:lang w:val="it-IT"/>
              </w:rPr>
              <w:t xml:space="preserve">Area </w:t>
            </w:r>
            <w:r w:rsidRPr="00D87B79">
              <w:rPr>
                <w:rFonts w:cs="Tahoma"/>
                <w:b/>
                <w:color w:val="000000"/>
                <w:sz w:val="20"/>
                <w:vertAlign w:val="superscript"/>
                <w:lang w:val="it-IT"/>
              </w:rPr>
              <w:t>1</w:t>
            </w:r>
          </w:p>
        </w:tc>
        <w:tc>
          <w:tcPr>
            <w:tcW w:w="1580" w:type="dxa"/>
            <w:shd w:val="clear" w:color="auto" w:fill="FABF8F"/>
            <w:vAlign w:val="center"/>
          </w:tcPr>
          <w:p w:rsidR="00A92422" w:rsidRPr="00D87B79" w:rsidRDefault="00A92422" w:rsidP="00EA30FC">
            <w:pPr>
              <w:jc w:val="center"/>
              <w:rPr>
                <w:rFonts w:cs="Tahoma"/>
                <w:color w:val="000000"/>
                <w:sz w:val="20"/>
                <w:szCs w:val="20"/>
              </w:rPr>
            </w:pPr>
            <w:r w:rsidRPr="00D87B79">
              <w:rPr>
                <w:rFonts w:cs="Tahoma"/>
                <w:b/>
                <w:color w:val="000000"/>
                <w:sz w:val="20"/>
                <w:lang w:val="it-IT"/>
              </w:rPr>
              <w:t>Premier Core</w:t>
            </w:r>
          </w:p>
        </w:tc>
        <w:tc>
          <w:tcPr>
            <w:tcW w:w="1444" w:type="dxa"/>
            <w:shd w:val="clear" w:color="auto" w:fill="FABF8F"/>
          </w:tcPr>
          <w:p w:rsidR="00A92422" w:rsidRPr="00D87B79" w:rsidRDefault="00A92422" w:rsidP="00EA30FC">
            <w:pPr>
              <w:jc w:val="center"/>
              <w:rPr>
                <w:rFonts w:cs="Tahoma"/>
                <w:b/>
                <w:bCs/>
                <w:color w:val="000000"/>
                <w:sz w:val="20"/>
                <w:szCs w:val="18"/>
              </w:rPr>
            </w:pPr>
            <w:r w:rsidRPr="00D87B79">
              <w:rPr>
                <w:rFonts w:cs="Tahoma"/>
                <w:b/>
                <w:bCs/>
                <w:color w:val="000000"/>
                <w:sz w:val="20"/>
                <w:szCs w:val="18"/>
                <w:lang w:val="it-IT"/>
              </w:rPr>
              <w:t>Premier Foundation</w:t>
            </w:r>
          </w:p>
        </w:tc>
        <w:tc>
          <w:tcPr>
            <w:tcW w:w="1687" w:type="dxa"/>
            <w:shd w:val="clear" w:color="auto" w:fill="FABF8F"/>
            <w:vAlign w:val="center"/>
          </w:tcPr>
          <w:p w:rsidR="00A92422" w:rsidRPr="00D87B79" w:rsidRDefault="00A92422" w:rsidP="00EA30FC">
            <w:pPr>
              <w:jc w:val="center"/>
              <w:rPr>
                <w:rFonts w:cs="Tahoma"/>
                <w:color w:val="000000"/>
                <w:szCs w:val="18"/>
              </w:rPr>
            </w:pPr>
            <w:r w:rsidRPr="00D87B79">
              <w:rPr>
                <w:rFonts w:cs="Tahoma"/>
                <w:b/>
                <w:color w:val="000000"/>
                <w:sz w:val="20"/>
                <w:lang w:val="it-IT"/>
              </w:rPr>
              <w:t>Premier Standard</w:t>
            </w:r>
          </w:p>
        </w:tc>
        <w:tc>
          <w:tcPr>
            <w:tcW w:w="1589" w:type="dxa"/>
            <w:shd w:val="clear" w:color="auto" w:fill="FABF8F"/>
            <w:vAlign w:val="center"/>
          </w:tcPr>
          <w:p w:rsidR="00A92422" w:rsidRPr="00D87B79" w:rsidRDefault="00A92422" w:rsidP="00EA30FC">
            <w:pPr>
              <w:jc w:val="center"/>
              <w:rPr>
                <w:rFonts w:cs="Tahoma"/>
                <w:color w:val="000000"/>
                <w:szCs w:val="18"/>
              </w:rPr>
            </w:pPr>
            <w:r w:rsidRPr="00D87B79">
              <w:rPr>
                <w:rFonts w:cs="Tahoma"/>
                <w:b/>
                <w:color w:val="000000"/>
                <w:sz w:val="20"/>
                <w:lang w:val="it-IT"/>
              </w:rPr>
              <w:t>Premier Plus</w:t>
            </w:r>
          </w:p>
        </w:tc>
      </w:tr>
      <w:tr w:rsidR="00A92422" w:rsidRPr="00D87B79" w:rsidTr="00EA30FC">
        <w:tc>
          <w:tcPr>
            <w:tcW w:w="3168" w:type="dxa"/>
            <w:vAlign w:val="center"/>
          </w:tcPr>
          <w:p w:rsidR="00A92422" w:rsidRPr="00D87B79" w:rsidRDefault="00A92422" w:rsidP="00EA30FC">
            <w:pPr>
              <w:rPr>
                <w:rFonts w:cs="Tahoma"/>
                <w:color w:val="000000"/>
                <w:szCs w:val="18"/>
              </w:rPr>
            </w:pPr>
            <w:r w:rsidRPr="00D87B79">
              <w:rPr>
                <w:rFonts w:cs="Tahoma"/>
                <w:color w:val="000000"/>
                <w:szCs w:val="18"/>
                <w:lang w:val="it-IT"/>
              </w:rPr>
              <w:t>Pianificazione e Gestione della Relazione di Servizio (Support Account Management)</w:t>
            </w:r>
            <w:r w:rsidRPr="00D87B79">
              <w:rPr>
                <w:rFonts w:cs="Tahoma"/>
                <w:color w:val="000000"/>
                <w:szCs w:val="18"/>
              </w:rPr>
              <w:t xml:space="preserve"> </w:t>
            </w:r>
          </w:p>
        </w:tc>
        <w:tc>
          <w:tcPr>
            <w:tcW w:w="1580" w:type="dxa"/>
            <w:vAlign w:val="center"/>
          </w:tcPr>
          <w:p w:rsidR="00A92422" w:rsidRPr="00D87B79" w:rsidRDefault="00A92422" w:rsidP="00EA30FC">
            <w:pPr>
              <w:jc w:val="center"/>
              <w:rPr>
                <w:rFonts w:cs="Tahoma"/>
                <w:color w:val="000000"/>
                <w:szCs w:val="18"/>
              </w:rPr>
            </w:pPr>
            <w:r w:rsidRPr="00D87B79">
              <w:rPr>
                <w:rFonts w:ascii="MS UI Gothic" w:eastAsia="MS UI Gothic" w:hAnsi="MS UI Gothic" w:cs="MS UI Gothic" w:hint="eastAsia"/>
                <w:color w:val="000000"/>
                <w:lang w:val="it-IT"/>
              </w:rPr>
              <w:t>✓</w:t>
            </w:r>
          </w:p>
        </w:tc>
        <w:tc>
          <w:tcPr>
            <w:tcW w:w="1444" w:type="dxa"/>
            <w:vAlign w:val="center"/>
          </w:tcPr>
          <w:p w:rsidR="00A92422" w:rsidRPr="00D87B79" w:rsidRDefault="00A92422" w:rsidP="00EA30FC">
            <w:pPr>
              <w:jc w:val="center"/>
              <w:rPr>
                <w:rFonts w:cs="Tahoma"/>
                <w:color w:val="000000"/>
                <w:szCs w:val="18"/>
              </w:rPr>
            </w:pPr>
            <w:r w:rsidRPr="00D87B79">
              <w:rPr>
                <w:rFonts w:ascii="MS UI Gothic" w:eastAsia="MS UI Gothic" w:hAnsi="MS UI Gothic" w:cs="MS UI Gothic" w:hint="eastAsia"/>
                <w:color w:val="000000"/>
                <w:lang w:val="it-IT"/>
              </w:rPr>
              <w:t>✓</w:t>
            </w:r>
          </w:p>
        </w:tc>
        <w:tc>
          <w:tcPr>
            <w:tcW w:w="1687" w:type="dxa"/>
            <w:vAlign w:val="center"/>
          </w:tcPr>
          <w:p w:rsidR="00A92422" w:rsidRPr="00D87B79" w:rsidRDefault="00A92422" w:rsidP="00EA30FC">
            <w:pPr>
              <w:jc w:val="center"/>
              <w:rPr>
                <w:rFonts w:cs="Tahoma"/>
                <w:color w:val="000000"/>
                <w:szCs w:val="18"/>
              </w:rPr>
            </w:pPr>
            <w:r w:rsidRPr="00D87B79">
              <w:rPr>
                <w:rFonts w:cs="Tahoma"/>
                <w:color w:val="000000"/>
                <w:szCs w:val="18"/>
                <w:lang w:val="it-IT"/>
              </w:rPr>
              <w:t>√</w:t>
            </w:r>
          </w:p>
        </w:tc>
        <w:tc>
          <w:tcPr>
            <w:tcW w:w="1589" w:type="dxa"/>
            <w:vAlign w:val="center"/>
          </w:tcPr>
          <w:p w:rsidR="00A92422" w:rsidRPr="00D87B79" w:rsidRDefault="00A92422" w:rsidP="00EA30FC">
            <w:pPr>
              <w:jc w:val="center"/>
              <w:rPr>
                <w:rFonts w:cs="Tahoma"/>
                <w:color w:val="000000"/>
                <w:szCs w:val="18"/>
              </w:rPr>
            </w:pPr>
            <w:r w:rsidRPr="00D87B79">
              <w:rPr>
                <w:rFonts w:cs="Tahoma"/>
                <w:color w:val="000000"/>
                <w:szCs w:val="18"/>
                <w:lang w:val="it-IT"/>
              </w:rPr>
              <w:t>√</w:t>
            </w:r>
          </w:p>
        </w:tc>
      </w:tr>
      <w:tr w:rsidR="00A92422" w:rsidRPr="00D87B79" w:rsidTr="00EA30FC">
        <w:tc>
          <w:tcPr>
            <w:tcW w:w="3168" w:type="dxa"/>
            <w:vAlign w:val="center"/>
          </w:tcPr>
          <w:p w:rsidR="00A92422" w:rsidRPr="00D87B79" w:rsidRDefault="00A92422" w:rsidP="00EA30FC">
            <w:pPr>
              <w:rPr>
                <w:rFonts w:cs="Tahoma"/>
                <w:color w:val="000000"/>
                <w:szCs w:val="18"/>
              </w:rPr>
            </w:pPr>
            <w:r w:rsidRPr="00D87B79">
              <w:rPr>
                <w:rFonts w:cs="Tahoma"/>
                <w:color w:val="000000"/>
                <w:szCs w:val="18"/>
                <w:lang w:val="it-IT"/>
              </w:rPr>
              <w:t>Profiling e Reporting dell’Account</w:t>
            </w:r>
          </w:p>
        </w:tc>
        <w:tc>
          <w:tcPr>
            <w:tcW w:w="1580" w:type="dxa"/>
            <w:vAlign w:val="center"/>
          </w:tcPr>
          <w:p w:rsidR="00A92422" w:rsidRPr="00D87B79" w:rsidRDefault="00A92422" w:rsidP="00EA30FC">
            <w:pPr>
              <w:jc w:val="center"/>
              <w:rPr>
                <w:rFonts w:cs="Tahoma"/>
                <w:color w:val="000000"/>
                <w:szCs w:val="18"/>
              </w:rPr>
            </w:pPr>
            <w:r w:rsidRPr="00D87B79">
              <w:rPr>
                <w:rFonts w:cs="Tahoma"/>
                <w:color w:val="000000"/>
                <w:szCs w:val="18"/>
                <w:lang w:val="it-IT"/>
              </w:rPr>
              <w:t>Mensile</w:t>
            </w:r>
          </w:p>
        </w:tc>
        <w:tc>
          <w:tcPr>
            <w:tcW w:w="1444" w:type="dxa"/>
            <w:vAlign w:val="center"/>
          </w:tcPr>
          <w:p w:rsidR="00A92422" w:rsidRPr="00D87B79" w:rsidRDefault="00A92422" w:rsidP="00EA30FC">
            <w:pPr>
              <w:jc w:val="center"/>
              <w:rPr>
                <w:rFonts w:cs="Tahoma"/>
                <w:color w:val="000000"/>
                <w:szCs w:val="18"/>
              </w:rPr>
            </w:pPr>
            <w:r w:rsidRPr="00D87B79">
              <w:rPr>
                <w:rFonts w:cs="Tahoma"/>
                <w:color w:val="000000"/>
                <w:szCs w:val="18"/>
                <w:lang w:val="it-IT"/>
              </w:rPr>
              <w:t>Mensile</w:t>
            </w:r>
          </w:p>
        </w:tc>
        <w:tc>
          <w:tcPr>
            <w:tcW w:w="1687" w:type="dxa"/>
            <w:vAlign w:val="center"/>
          </w:tcPr>
          <w:p w:rsidR="00A92422" w:rsidRPr="00D87B79" w:rsidRDefault="00A92422" w:rsidP="00EA30FC">
            <w:pPr>
              <w:jc w:val="center"/>
              <w:rPr>
                <w:rFonts w:cs="Tahoma"/>
                <w:color w:val="000000"/>
                <w:szCs w:val="18"/>
              </w:rPr>
            </w:pPr>
            <w:r w:rsidRPr="00D87B79">
              <w:rPr>
                <w:rFonts w:cs="Tahoma"/>
                <w:color w:val="000000"/>
                <w:szCs w:val="18"/>
                <w:lang w:val="it-IT"/>
              </w:rPr>
              <w:t>Mensile</w:t>
            </w:r>
          </w:p>
        </w:tc>
        <w:tc>
          <w:tcPr>
            <w:tcW w:w="1589" w:type="dxa"/>
            <w:vAlign w:val="center"/>
          </w:tcPr>
          <w:p w:rsidR="00A92422" w:rsidRPr="00D87B79" w:rsidRDefault="00A92422" w:rsidP="00EA30FC">
            <w:pPr>
              <w:jc w:val="center"/>
              <w:rPr>
                <w:rFonts w:cs="Tahoma"/>
                <w:color w:val="000000"/>
                <w:szCs w:val="18"/>
              </w:rPr>
            </w:pPr>
            <w:r w:rsidRPr="00D87B79">
              <w:rPr>
                <w:rFonts w:cs="Tahoma"/>
                <w:color w:val="000000"/>
                <w:szCs w:val="18"/>
                <w:lang w:val="it-IT"/>
              </w:rPr>
              <w:t>Mensile</w:t>
            </w:r>
          </w:p>
        </w:tc>
      </w:tr>
      <w:tr w:rsidR="00A92422" w:rsidRPr="00D87B79" w:rsidTr="00EA30FC">
        <w:tc>
          <w:tcPr>
            <w:tcW w:w="3168" w:type="dxa"/>
            <w:vAlign w:val="center"/>
          </w:tcPr>
          <w:p w:rsidR="00A92422" w:rsidRPr="00D87B79" w:rsidRDefault="00A92422" w:rsidP="00EA30FC">
            <w:pPr>
              <w:rPr>
                <w:rFonts w:cs="Tahoma"/>
                <w:color w:val="000000"/>
                <w:szCs w:val="18"/>
              </w:rPr>
            </w:pPr>
            <w:r w:rsidRPr="00D87B79">
              <w:rPr>
                <w:rFonts w:cs="Tahoma"/>
                <w:color w:val="000000"/>
                <w:szCs w:val="18"/>
                <w:lang w:val="it-IT"/>
              </w:rPr>
              <w:t>Support Assistance (Ore allocate annualmente)</w:t>
            </w:r>
          </w:p>
        </w:tc>
        <w:tc>
          <w:tcPr>
            <w:tcW w:w="1580" w:type="dxa"/>
            <w:vAlign w:val="center"/>
          </w:tcPr>
          <w:p w:rsidR="00A92422" w:rsidRPr="00D87B79" w:rsidRDefault="00A92422" w:rsidP="00EA30FC">
            <w:pPr>
              <w:jc w:val="center"/>
              <w:rPr>
                <w:rFonts w:cs="Tahoma"/>
                <w:color w:val="000000"/>
                <w:szCs w:val="18"/>
              </w:rPr>
            </w:pPr>
            <w:r w:rsidRPr="00D87B79">
              <w:rPr>
                <w:rFonts w:cs="Tahoma"/>
                <w:color w:val="000000"/>
                <w:szCs w:val="18"/>
                <w:lang w:val="it-IT"/>
              </w:rPr>
              <w:t>Fino a 10 ore</w:t>
            </w:r>
          </w:p>
        </w:tc>
        <w:tc>
          <w:tcPr>
            <w:tcW w:w="1444" w:type="dxa"/>
          </w:tcPr>
          <w:p w:rsidR="00A92422" w:rsidRPr="00D87B79" w:rsidRDefault="00A92422" w:rsidP="00EA30FC">
            <w:pPr>
              <w:jc w:val="center"/>
              <w:rPr>
                <w:rFonts w:cs="Tahoma"/>
                <w:color w:val="000000"/>
                <w:szCs w:val="18"/>
              </w:rPr>
            </w:pPr>
            <w:r w:rsidRPr="00D87B79">
              <w:rPr>
                <w:rFonts w:cs="Tahoma"/>
                <w:color w:val="000000"/>
                <w:szCs w:val="18"/>
                <w:lang w:val="it-IT"/>
              </w:rPr>
              <w:t>Fino a 10 ore</w:t>
            </w:r>
            <w:r w:rsidRPr="00D87B79">
              <w:rPr>
                <w:rFonts w:cs="Tahoma"/>
                <w:color w:val="000000"/>
                <w:szCs w:val="18"/>
                <w:lang w:val="it-IT"/>
              </w:rPr>
              <w:br/>
              <w:t>+ 1 Health Check</w:t>
            </w:r>
            <w:r w:rsidRPr="00D87B79">
              <w:rPr>
                <w:rFonts w:cs="Tahoma"/>
                <w:color w:val="000000"/>
                <w:szCs w:val="18"/>
                <w:lang w:val="it-IT"/>
              </w:rPr>
              <w:br/>
              <w:t>+ 1 Workshop</w:t>
            </w:r>
          </w:p>
        </w:tc>
        <w:tc>
          <w:tcPr>
            <w:tcW w:w="1687" w:type="dxa"/>
            <w:vAlign w:val="center"/>
          </w:tcPr>
          <w:p w:rsidR="00A92422" w:rsidRPr="00D87B79" w:rsidRDefault="00A92422" w:rsidP="00EA30FC">
            <w:pPr>
              <w:jc w:val="center"/>
              <w:rPr>
                <w:rFonts w:cs="Tahoma"/>
                <w:color w:val="000000"/>
                <w:szCs w:val="18"/>
              </w:rPr>
            </w:pPr>
            <w:r w:rsidRPr="00D87B79">
              <w:rPr>
                <w:rFonts w:cs="Tahoma"/>
                <w:color w:val="000000"/>
                <w:szCs w:val="18"/>
                <w:lang w:val="it-IT"/>
              </w:rPr>
              <w:t>Fino a 120 ore</w:t>
            </w:r>
          </w:p>
        </w:tc>
        <w:tc>
          <w:tcPr>
            <w:tcW w:w="1589" w:type="dxa"/>
            <w:vAlign w:val="center"/>
          </w:tcPr>
          <w:p w:rsidR="00A92422" w:rsidRPr="00D87B79" w:rsidRDefault="00A92422" w:rsidP="00EA30FC">
            <w:pPr>
              <w:jc w:val="center"/>
              <w:rPr>
                <w:rFonts w:cs="Tahoma"/>
                <w:color w:val="000000"/>
                <w:szCs w:val="18"/>
              </w:rPr>
            </w:pPr>
            <w:r w:rsidRPr="00D87B79">
              <w:rPr>
                <w:rFonts w:cs="Tahoma"/>
                <w:color w:val="000000"/>
                <w:szCs w:val="18"/>
                <w:lang w:val="it-IT"/>
              </w:rPr>
              <w:t>Fino a 160 ore</w:t>
            </w:r>
          </w:p>
        </w:tc>
      </w:tr>
      <w:tr w:rsidR="00A92422" w:rsidRPr="00D87B79" w:rsidTr="00EA30FC">
        <w:tc>
          <w:tcPr>
            <w:tcW w:w="3168" w:type="dxa"/>
            <w:vAlign w:val="center"/>
          </w:tcPr>
          <w:p w:rsidR="00A92422" w:rsidRPr="00D87B79" w:rsidRDefault="00A92422" w:rsidP="00EA30FC">
            <w:pPr>
              <w:rPr>
                <w:rFonts w:cs="Tahoma"/>
                <w:color w:val="000000"/>
                <w:szCs w:val="18"/>
              </w:rPr>
            </w:pPr>
            <w:r w:rsidRPr="00D87B79">
              <w:rPr>
                <w:rFonts w:cs="Tahoma"/>
                <w:color w:val="000000"/>
                <w:szCs w:val="18"/>
                <w:lang w:val="it-IT"/>
              </w:rPr>
              <w:t>Problem Resolution Support (PRS) (allocato annualmente)</w:t>
            </w:r>
          </w:p>
        </w:tc>
        <w:tc>
          <w:tcPr>
            <w:tcW w:w="1580" w:type="dxa"/>
            <w:vAlign w:val="center"/>
          </w:tcPr>
          <w:p w:rsidR="00A92422" w:rsidRPr="00D87B79" w:rsidRDefault="00A92422" w:rsidP="00EA30FC">
            <w:pPr>
              <w:jc w:val="center"/>
              <w:rPr>
                <w:rFonts w:cs="Tahoma"/>
                <w:color w:val="000000"/>
                <w:szCs w:val="18"/>
              </w:rPr>
            </w:pPr>
            <w:r w:rsidRPr="00D87B79">
              <w:rPr>
                <w:rFonts w:cs="Tahoma"/>
                <w:color w:val="000000"/>
                <w:szCs w:val="18"/>
                <w:lang w:val="it-IT"/>
              </w:rPr>
              <w:t>Fino a 40 ore</w:t>
            </w:r>
          </w:p>
        </w:tc>
        <w:tc>
          <w:tcPr>
            <w:tcW w:w="1444" w:type="dxa"/>
          </w:tcPr>
          <w:p w:rsidR="00A92422" w:rsidRPr="00D87B79" w:rsidRDefault="00A92422" w:rsidP="00EA30FC">
            <w:pPr>
              <w:spacing w:before="120"/>
              <w:jc w:val="center"/>
              <w:rPr>
                <w:rFonts w:cs="Tahoma"/>
                <w:color w:val="000000"/>
                <w:szCs w:val="18"/>
              </w:rPr>
            </w:pPr>
            <w:r w:rsidRPr="00D87B79">
              <w:rPr>
                <w:rFonts w:cs="Tahoma"/>
                <w:color w:val="000000"/>
                <w:szCs w:val="18"/>
                <w:lang w:val="it-IT"/>
              </w:rPr>
              <w:t>Fino a 30 ore</w:t>
            </w:r>
          </w:p>
        </w:tc>
        <w:tc>
          <w:tcPr>
            <w:tcW w:w="1687" w:type="dxa"/>
            <w:vAlign w:val="center"/>
          </w:tcPr>
          <w:p w:rsidR="00A92422" w:rsidRPr="00D87B79" w:rsidRDefault="00A92422" w:rsidP="00EA30FC">
            <w:pPr>
              <w:jc w:val="center"/>
              <w:rPr>
                <w:rFonts w:cs="Tahoma"/>
                <w:color w:val="000000"/>
                <w:szCs w:val="18"/>
              </w:rPr>
            </w:pPr>
            <w:r w:rsidRPr="00D87B79">
              <w:rPr>
                <w:rFonts w:cs="Tahoma"/>
                <w:color w:val="000000"/>
                <w:szCs w:val="18"/>
                <w:lang w:val="it-IT"/>
              </w:rPr>
              <w:t>Fino a 80 ore</w:t>
            </w:r>
          </w:p>
        </w:tc>
        <w:tc>
          <w:tcPr>
            <w:tcW w:w="1589" w:type="dxa"/>
            <w:vAlign w:val="center"/>
          </w:tcPr>
          <w:p w:rsidR="00A92422" w:rsidRPr="00D87B79" w:rsidRDefault="00A92422" w:rsidP="00EA30FC">
            <w:pPr>
              <w:jc w:val="center"/>
              <w:rPr>
                <w:rFonts w:cs="Tahoma"/>
                <w:color w:val="000000"/>
                <w:szCs w:val="18"/>
              </w:rPr>
            </w:pPr>
            <w:r w:rsidRPr="00D87B79">
              <w:rPr>
                <w:rFonts w:cs="Tahoma"/>
                <w:color w:val="000000"/>
                <w:szCs w:val="18"/>
                <w:lang w:val="it-IT"/>
              </w:rPr>
              <w:t>Fino a 140 ore</w:t>
            </w:r>
          </w:p>
        </w:tc>
      </w:tr>
      <w:tr w:rsidR="00A92422" w:rsidRPr="00D87B79" w:rsidTr="00EA30FC">
        <w:tc>
          <w:tcPr>
            <w:tcW w:w="3168" w:type="dxa"/>
            <w:vAlign w:val="center"/>
          </w:tcPr>
          <w:p w:rsidR="00A92422" w:rsidRPr="00D87B79" w:rsidRDefault="00A92422" w:rsidP="00EA30FC">
            <w:pPr>
              <w:rPr>
                <w:rFonts w:cs="Tahoma"/>
                <w:color w:val="000000"/>
                <w:szCs w:val="18"/>
              </w:rPr>
            </w:pPr>
            <w:r w:rsidRPr="00D87B79">
              <w:rPr>
                <w:rFonts w:cs="Tahoma"/>
                <w:color w:val="000000"/>
                <w:szCs w:val="18"/>
                <w:lang w:val="it-IT"/>
              </w:rPr>
              <w:t xml:space="preserve">Critical Situation Escalation Management 24x7 </w:t>
            </w:r>
            <w:r>
              <w:rPr>
                <w:rFonts w:cs="Tahoma"/>
                <w:color w:val="000000"/>
                <w:szCs w:val="18"/>
                <w:lang w:val="it-IT"/>
              </w:rPr>
              <w:br/>
            </w:r>
            <w:r w:rsidRPr="00D87B79">
              <w:rPr>
                <w:rFonts w:cs="Tahoma"/>
                <w:color w:val="000000"/>
                <w:szCs w:val="18"/>
                <w:lang w:val="it-IT"/>
              </w:rPr>
              <w:t>(Livello di Severità 1)</w:t>
            </w:r>
          </w:p>
        </w:tc>
        <w:tc>
          <w:tcPr>
            <w:tcW w:w="1580" w:type="dxa"/>
            <w:vAlign w:val="center"/>
          </w:tcPr>
          <w:p w:rsidR="00A92422" w:rsidRPr="00D87B79" w:rsidRDefault="00A92422" w:rsidP="00EA30FC">
            <w:pPr>
              <w:jc w:val="center"/>
              <w:rPr>
                <w:rFonts w:cs="Tahoma"/>
                <w:color w:val="000000"/>
                <w:szCs w:val="18"/>
              </w:rPr>
            </w:pPr>
            <w:r w:rsidRPr="00D87B79">
              <w:rPr>
                <w:rFonts w:ascii="MS UI Gothic" w:eastAsia="MS UI Gothic" w:hAnsi="MS UI Gothic" w:cs="MS UI Gothic" w:hint="eastAsia"/>
                <w:color w:val="000000"/>
                <w:lang w:val="it-IT"/>
              </w:rPr>
              <w:t>✓</w:t>
            </w:r>
          </w:p>
        </w:tc>
        <w:tc>
          <w:tcPr>
            <w:tcW w:w="1444" w:type="dxa"/>
            <w:vAlign w:val="center"/>
          </w:tcPr>
          <w:p w:rsidR="00A92422" w:rsidRPr="00D87B79" w:rsidRDefault="00A92422" w:rsidP="00EA30FC">
            <w:pPr>
              <w:jc w:val="center"/>
              <w:rPr>
                <w:rFonts w:cs="Tahoma"/>
                <w:color w:val="000000"/>
                <w:szCs w:val="18"/>
              </w:rPr>
            </w:pPr>
            <w:r w:rsidRPr="00D87B79">
              <w:rPr>
                <w:rFonts w:ascii="MS UI Gothic" w:eastAsia="MS UI Gothic" w:hAnsi="MS UI Gothic" w:cs="MS UI Gothic" w:hint="eastAsia"/>
                <w:color w:val="000000"/>
                <w:lang w:val="it-IT"/>
              </w:rPr>
              <w:t>✓</w:t>
            </w:r>
          </w:p>
        </w:tc>
        <w:tc>
          <w:tcPr>
            <w:tcW w:w="1687" w:type="dxa"/>
            <w:vAlign w:val="center"/>
          </w:tcPr>
          <w:p w:rsidR="00A92422" w:rsidRPr="00D87B79" w:rsidRDefault="00A92422" w:rsidP="00EA30FC">
            <w:pPr>
              <w:jc w:val="center"/>
              <w:rPr>
                <w:rFonts w:cs="Tahoma"/>
                <w:color w:val="000000"/>
                <w:szCs w:val="18"/>
              </w:rPr>
            </w:pPr>
            <w:r w:rsidRPr="00D87B79">
              <w:rPr>
                <w:rFonts w:cs="Tahoma"/>
                <w:color w:val="000000"/>
                <w:szCs w:val="18"/>
                <w:lang w:val="it-IT"/>
              </w:rPr>
              <w:t>√</w:t>
            </w:r>
          </w:p>
        </w:tc>
        <w:tc>
          <w:tcPr>
            <w:tcW w:w="1589" w:type="dxa"/>
            <w:vAlign w:val="center"/>
          </w:tcPr>
          <w:p w:rsidR="00A92422" w:rsidRPr="00D87B79" w:rsidRDefault="00A92422" w:rsidP="00EA30FC">
            <w:pPr>
              <w:jc w:val="center"/>
              <w:rPr>
                <w:rFonts w:cs="Tahoma"/>
                <w:color w:val="000000"/>
                <w:szCs w:val="18"/>
              </w:rPr>
            </w:pPr>
            <w:r w:rsidRPr="00D87B79">
              <w:rPr>
                <w:rFonts w:cs="Tahoma"/>
                <w:color w:val="000000"/>
                <w:szCs w:val="18"/>
                <w:lang w:val="it-IT"/>
              </w:rPr>
              <w:t>√</w:t>
            </w:r>
          </w:p>
        </w:tc>
      </w:tr>
      <w:tr w:rsidR="00A92422" w:rsidRPr="00D87B79" w:rsidTr="00EA30FC">
        <w:tc>
          <w:tcPr>
            <w:tcW w:w="3168" w:type="dxa"/>
            <w:vAlign w:val="center"/>
          </w:tcPr>
          <w:p w:rsidR="00A92422" w:rsidRPr="00D87B79" w:rsidRDefault="00A92422" w:rsidP="00EA30FC">
            <w:pPr>
              <w:rPr>
                <w:rFonts w:cs="Tahoma"/>
                <w:color w:val="000000"/>
                <w:szCs w:val="18"/>
              </w:rPr>
            </w:pPr>
            <w:r w:rsidRPr="00D87B79">
              <w:rPr>
                <w:rFonts w:cs="Tahoma"/>
                <w:color w:val="000000"/>
                <w:szCs w:val="18"/>
                <w:lang w:val="it-IT"/>
              </w:rPr>
              <w:t>Rapid Onsite Support</w:t>
            </w:r>
          </w:p>
        </w:tc>
        <w:tc>
          <w:tcPr>
            <w:tcW w:w="1580" w:type="dxa"/>
            <w:vAlign w:val="center"/>
          </w:tcPr>
          <w:p w:rsidR="00A92422" w:rsidRPr="00D87B79" w:rsidRDefault="00A92422" w:rsidP="00EA30FC">
            <w:pPr>
              <w:jc w:val="center"/>
              <w:rPr>
                <w:rFonts w:cs="Tahoma"/>
                <w:color w:val="000000"/>
                <w:szCs w:val="18"/>
              </w:rPr>
            </w:pPr>
            <w:r w:rsidRPr="00D87B79">
              <w:rPr>
                <w:rFonts w:ascii="MS UI Gothic" w:eastAsia="MS UI Gothic" w:hAnsi="MS UI Gothic" w:cs="MS UI Gothic" w:hint="eastAsia"/>
                <w:color w:val="000000"/>
                <w:lang w:val="it-IT"/>
              </w:rPr>
              <w:t>✓</w:t>
            </w:r>
          </w:p>
        </w:tc>
        <w:tc>
          <w:tcPr>
            <w:tcW w:w="1444" w:type="dxa"/>
            <w:vAlign w:val="center"/>
          </w:tcPr>
          <w:p w:rsidR="00A92422" w:rsidRPr="00D87B79" w:rsidRDefault="00A92422" w:rsidP="00EA30FC">
            <w:pPr>
              <w:jc w:val="center"/>
              <w:rPr>
                <w:rFonts w:cs="Tahoma"/>
                <w:color w:val="000000"/>
                <w:szCs w:val="18"/>
              </w:rPr>
            </w:pPr>
            <w:r w:rsidRPr="00D87B79">
              <w:rPr>
                <w:rFonts w:ascii="MS UI Gothic" w:eastAsia="MS UI Gothic" w:hAnsi="MS UI Gothic" w:cs="MS UI Gothic" w:hint="eastAsia"/>
                <w:color w:val="000000"/>
                <w:lang w:val="it-IT"/>
              </w:rPr>
              <w:t>✓</w:t>
            </w:r>
          </w:p>
        </w:tc>
        <w:tc>
          <w:tcPr>
            <w:tcW w:w="1687" w:type="dxa"/>
            <w:vAlign w:val="center"/>
          </w:tcPr>
          <w:p w:rsidR="00A92422" w:rsidRPr="00D87B79" w:rsidRDefault="00A92422" w:rsidP="00EA30FC">
            <w:pPr>
              <w:jc w:val="center"/>
              <w:rPr>
                <w:rFonts w:cs="Tahoma"/>
                <w:color w:val="000000"/>
                <w:szCs w:val="18"/>
              </w:rPr>
            </w:pPr>
            <w:r w:rsidRPr="00D87B79">
              <w:rPr>
                <w:rFonts w:cs="Tahoma"/>
                <w:color w:val="000000"/>
                <w:szCs w:val="18"/>
                <w:lang w:val="it-IT"/>
              </w:rPr>
              <w:t>√</w:t>
            </w:r>
          </w:p>
        </w:tc>
        <w:tc>
          <w:tcPr>
            <w:tcW w:w="1589" w:type="dxa"/>
            <w:vAlign w:val="center"/>
          </w:tcPr>
          <w:p w:rsidR="00A92422" w:rsidRPr="00D87B79" w:rsidRDefault="00A92422" w:rsidP="00EA30FC">
            <w:pPr>
              <w:jc w:val="center"/>
              <w:rPr>
                <w:rFonts w:cs="Tahoma"/>
                <w:color w:val="000000"/>
                <w:szCs w:val="18"/>
              </w:rPr>
            </w:pPr>
            <w:r w:rsidRPr="00D87B79">
              <w:rPr>
                <w:rFonts w:cs="Tahoma"/>
                <w:color w:val="000000"/>
                <w:szCs w:val="18"/>
                <w:lang w:val="it-IT"/>
              </w:rPr>
              <w:t>√</w:t>
            </w:r>
          </w:p>
        </w:tc>
      </w:tr>
      <w:tr w:rsidR="00A92422" w:rsidRPr="00D87B79" w:rsidTr="00EA30FC">
        <w:tc>
          <w:tcPr>
            <w:tcW w:w="3168" w:type="dxa"/>
            <w:vAlign w:val="center"/>
          </w:tcPr>
          <w:p w:rsidR="00A92422" w:rsidRPr="00D87B79" w:rsidRDefault="00A92422" w:rsidP="00EA30FC">
            <w:pPr>
              <w:rPr>
                <w:rFonts w:cs="Tahoma"/>
                <w:color w:val="000000"/>
                <w:szCs w:val="18"/>
              </w:rPr>
            </w:pPr>
            <w:r w:rsidRPr="00D87B79">
              <w:rPr>
                <w:rFonts w:cs="Tahoma"/>
                <w:color w:val="000000"/>
                <w:szCs w:val="18"/>
                <w:lang w:val="it-IT"/>
              </w:rPr>
              <w:t>Proactive Information Service</w:t>
            </w:r>
          </w:p>
        </w:tc>
        <w:tc>
          <w:tcPr>
            <w:tcW w:w="1580" w:type="dxa"/>
            <w:vAlign w:val="center"/>
          </w:tcPr>
          <w:p w:rsidR="00A92422" w:rsidRPr="00D87B79" w:rsidRDefault="00A92422" w:rsidP="00EA30FC">
            <w:pPr>
              <w:jc w:val="center"/>
              <w:rPr>
                <w:rFonts w:cs="Tahoma"/>
                <w:color w:val="000000"/>
                <w:szCs w:val="18"/>
              </w:rPr>
            </w:pPr>
            <w:r w:rsidRPr="00D87B79">
              <w:rPr>
                <w:rFonts w:ascii="MS UI Gothic" w:eastAsia="MS UI Gothic" w:hAnsi="MS UI Gothic" w:cs="MS UI Gothic" w:hint="eastAsia"/>
                <w:color w:val="000000"/>
                <w:lang w:val="it-IT"/>
              </w:rPr>
              <w:t>✓</w:t>
            </w:r>
          </w:p>
        </w:tc>
        <w:tc>
          <w:tcPr>
            <w:tcW w:w="1444" w:type="dxa"/>
            <w:vAlign w:val="center"/>
          </w:tcPr>
          <w:p w:rsidR="00A92422" w:rsidRPr="00D87B79" w:rsidRDefault="00A92422" w:rsidP="00EA30FC">
            <w:pPr>
              <w:jc w:val="center"/>
              <w:rPr>
                <w:rFonts w:cs="Tahoma"/>
                <w:color w:val="000000"/>
                <w:szCs w:val="18"/>
              </w:rPr>
            </w:pPr>
            <w:r w:rsidRPr="00D87B79">
              <w:rPr>
                <w:rFonts w:ascii="MS UI Gothic" w:eastAsia="MS UI Gothic" w:hAnsi="MS UI Gothic" w:cs="MS UI Gothic" w:hint="eastAsia"/>
                <w:color w:val="000000"/>
                <w:lang w:val="it-IT"/>
              </w:rPr>
              <w:t>✓</w:t>
            </w:r>
          </w:p>
        </w:tc>
        <w:tc>
          <w:tcPr>
            <w:tcW w:w="1687" w:type="dxa"/>
            <w:vAlign w:val="center"/>
          </w:tcPr>
          <w:p w:rsidR="00A92422" w:rsidRPr="00D87B79" w:rsidRDefault="00A92422" w:rsidP="00EA30FC">
            <w:pPr>
              <w:jc w:val="center"/>
              <w:rPr>
                <w:rFonts w:cs="Tahoma"/>
                <w:color w:val="000000"/>
                <w:szCs w:val="18"/>
              </w:rPr>
            </w:pPr>
            <w:r w:rsidRPr="00D87B79">
              <w:rPr>
                <w:rFonts w:cs="Tahoma"/>
                <w:color w:val="000000"/>
                <w:szCs w:val="18"/>
                <w:lang w:val="it-IT"/>
              </w:rPr>
              <w:t>√</w:t>
            </w:r>
          </w:p>
        </w:tc>
        <w:tc>
          <w:tcPr>
            <w:tcW w:w="1589" w:type="dxa"/>
            <w:vAlign w:val="center"/>
          </w:tcPr>
          <w:p w:rsidR="00A92422" w:rsidRPr="00D87B79" w:rsidRDefault="00A92422" w:rsidP="00EA30FC">
            <w:pPr>
              <w:jc w:val="center"/>
              <w:rPr>
                <w:rFonts w:cs="Tahoma"/>
                <w:color w:val="000000"/>
                <w:szCs w:val="18"/>
              </w:rPr>
            </w:pPr>
            <w:r w:rsidRPr="00D87B79">
              <w:rPr>
                <w:rFonts w:cs="Tahoma"/>
                <w:color w:val="000000"/>
                <w:szCs w:val="18"/>
                <w:lang w:val="it-IT"/>
              </w:rPr>
              <w:t>√</w:t>
            </w:r>
          </w:p>
        </w:tc>
      </w:tr>
      <w:tr w:rsidR="00A92422" w:rsidRPr="00D87B79" w:rsidTr="00EA30FC">
        <w:tc>
          <w:tcPr>
            <w:tcW w:w="3168" w:type="dxa"/>
            <w:vAlign w:val="center"/>
          </w:tcPr>
          <w:p w:rsidR="00A92422" w:rsidRPr="00D87B79" w:rsidRDefault="00A92422" w:rsidP="00EA30FC">
            <w:pPr>
              <w:rPr>
                <w:rFonts w:cs="Tahoma"/>
                <w:color w:val="000000"/>
                <w:szCs w:val="18"/>
              </w:rPr>
            </w:pPr>
            <w:r w:rsidRPr="00D87B79">
              <w:rPr>
                <w:rFonts w:cs="Tahoma"/>
                <w:color w:val="000000"/>
                <w:szCs w:val="18"/>
                <w:lang w:val="it-IT"/>
              </w:rPr>
              <w:t>Microsoft Premier Online</w:t>
            </w:r>
          </w:p>
        </w:tc>
        <w:tc>
          <w:tcPr>
            <w:tcW w:w="1580" w:type="dxa"/>
            <w:vAlign w:val="center"/>
          </w:tcPr>
          <w:p w:rsidR="00A92422" w:rsidRPr="00D87B79" w:rsidRDefault="00A92422" w:rsidP="00EA30FC">
            <w:pPr>
              <w:jc w:val="center"/>
              <w:rPr>
                <w:rFonts w:cs="Tahoma"/>
                <w:color w:val="000000"/>
                <w:szCs w:val="18"/>
              </w:rPr>
            </w:pPr>
            <w:r w:rsidRPr="00D87B79">
              <w:rPr>
                <w:rFonts w:ascii="MS UI Gothic" w:eastAsia="MS UI Gothic" w:hAnsi="MS UI Gothic" w:cs="MS UI Gothic" w:hint="eastAsia"/>
                <w:color w:val="000000"/>
                <w:lang w:val="it-IT"/>
              </w:rPr>
              <w:t>✓</w:t>
            </w:r>
          </w:p>
        </w:tc>
        <w:tc>
          <w:tcPr>
            <w:tcW w:w="1444" w:type="dxa"/>
            <w:vAlign w:val="center"/>
          </w:tcPr>
          <w:p w:rsidR="00A92422" w:rsidRPr="00D87B79" w:rsidRDefault="00A92422" w:rsidP="00EA30FC">
            <w:pPr>
              <w:jc w:val="center"/>
              <w:rPr>
                <w:rFonts w:cs="Tahoma"/>
                <w:color w:val="000000"/>
                <w:szCs w:val="18"/>
              </w:rPr>
            </w:pPr>
            <w:r w:rsidRPr="00D87B79">
              <w:rPr>
                <w:rFonts w:ascii="MS UI Gothic" w:eastAsia="MS UI Gothic" w:hAnsi="MS UI Gothic" w:cs="MS UI Gothic" w:hint="eastAsia"/>
                <w:color w:val="000000"/>
                <w:lang w:val="it-IT"/>
              </w:rPr>
              <w:t>✓</w:t>
            </w:r>
          </w:p>
        </w:tc>
        <w:tc>
          <w:tcPr>
            <w:tcW w:w="1687" w:type="dxa"/>
            <w:vAlign w:val="center"/>
          </w:tcPr>
          <w:p w:rsidR="00A92422" w:rsidRPr="00D87B79" w:rsidRDefault="00A92422" w:rsidP="00EA30FC">
            <w:pPr>
              <w:jc w:val="center"/>
              <w:rPr>
                <w:rFonts w:cs="Tahoma"/>
                <w:color w:val="000000"/>
                <w:szCs w:val="18"/>
              </w:rPr>
            </w:pPr>
            <w:r w:rsidRPr="00D87B79">
              <w:rPr>
                <w:rFonts w:cs="Tahoma"/>
                <w:color w:val="000000"/>
                <w:szCs w:val="18"/>
                <w:lang w:val="it-IT"/>
              </w:rPr>
              <w:t>√</w:t>
            </w:r>
          </w:p>
        </w:tc>
        <w:tc>
          <w:tcPr>
            <w:tcW w:w="1589" w:type="dxa"/>
            <w:vAlign w:val="center"/>
          </w:tcPr>
          <w:p w:rsidR="00A92422" w:rsidRPr="00D87B79" w:rsidRDefault="00A92422" w:rsidP="00EA30FC">
            <w:pPr>
              <w:jc w:val="center"/>
              <w:rPr>
                <w:rFonts w:cs="Tahoma"/>
                <w:color w:val="000000"/>
                <w:szCs w:val="18"/>
              </w:rPr>
            </w:pPr>
            <w:r w:rsidRPr="00D87B79">
              <w:rPr>
                <w:rFonts w:cs="Tahoma"/>
                <w:color w:val="000000"/>
                <w:szCs w:val="18"/>
                <w:lang w:val="it-IT"/>
              </w:rPr>
              <w:t>√</w:t>
            </w:r>
          </w:p>
        </w:tc>
      </w:tr>
      <w:tr w:rsidR="00A92422" w:rsidRPr="00D87B79" w:rsidTr="00EA30FC">
        <w:tc>
          <w:tcPr>
            <w:tcW w:w="3168" w:type="dxa"/>
            <w:vAlign w:val="center"/>
          </w:tcPr>
          <w:p w:rsidR="00A92422" w:rsidRPr="00D87B79" w:rsidRDefault="00A92422" w:rsidP="00EA30FC">
            <w:pPr>
              <w:rPr>
                <w:rFonts w:cs="Tahoma"/>
                <w:color w:val="000000"/>
                <w:szCs w:val="18"/>
              </w:rPr>
            </w:pPr>
            <w:r w:rsidRPr="00D87B79">
              <w:rPr>
                <w:rFonts w:cs="Tahoma"/>
                <w:color w:val="000000"/>
                <w:szCs w:val="18"/>
                <w:lang w:val="it-IT"/>
              </w:rPr>
              <w:t>Ore di Aggiunta</w:t>
            </w:r>
            <w:r w:rsidRPr="00D87B79">
              <w:rPr>
                <w:rFonts w:cs="Tahoma"/>
                <w:color w:val="000000"/>
                <w:szCs w:val="18"/>
              </w:rPr>
              <w:t xml:space="preserve"> </w:t>
            </w:r>
          </w:p>
        </w:tc>
        <w:tc>
          <w:tcPr>
            <w:tcW w:w="1580" w:type="dxa"/>
            <w:vAlign w:val="center"/>
          </w:tcPr>
          <w:p w:rsidR="00A92422" w:rsidRPr="00D87B79" w:rsidRDefault="00A92422" w:rsidP="00EA30FC">
            <w:pPr>
              <w:jc w:val="center"/>
              <w:rPr>
                <w:rFonts w:cs="Tahoma"/>
                <w:color w:val="000000"/>
                <w:szCs w:val="18"/>
              </w:rPr>
            </w:pPr>
            <w:r w:rsidRPr="00D87B79">
              <w:rPr>
                <w:rFonts w:cs="Tahoma"/>
                <w:color w:val="000000"/>
                <w:szCs w:val="18"/>
                <w:lang w:val="it-IT"/>
              </w:rPr>
              <w:t>Pacchetti da 20</w:t>
            </w:r>
          </w:p>
        </w:tc>
        <w:tc>
          <w:tcPr>
            <w:tcW w:w="1444" w:type="dxa"/>
            <w:vAlign w:val="center"/>
          </w:tcPr>
          <w:p w:rsidR="00A92422" w:rsidRPr="00D87B79" w:rsidRDefault="00A92422" w:rsidP="00EA30FC">
            <w:pPr>
              <w:jc w:val="center"/>
              <w:rPr>
                <w:rFonts w:cs="Tahoma"/>
                <w:color w:val="000000"/>
                <w:szCs w:val="18"/>
              </w:rPr>
            </w:pPr>
            <w:r w:rsidRPr="00D87B79">
              <w:rPr>
                <w:rFonts w:cs="Tahoma"/>
                <w:color w:val="000000"/>
                <w:szCs w:val="18"/>
                <w:lang w:val="it-IT"/>
              </w:rPr>
              <w:t>Pacchetti da 20</w:t>
            </w:r>
          </w:p>
        </w:tc>
        <w:tc>
          <w:tcPr>
            <w:tcW w:w="1687" w:type="dxa"/>
            <w:vAlign w:val="center"/>
          </w:tcPr>
          <w:p w:rsidR="00A92422" w:rsidRPr="00D87B79" w:rsidRDefault="00A92422" w:rsidP="00EA30FC">
            <w:pPr>
              <w:jc w:val="center"/>
              <w:rPr>
                <w:rFonts w:cs="Tahoma"/>
                <w:color w:val="000000"/>
                <w:szCs w:val="18"/>
              </w:rPr>
            </w:pPr>
            <w:r w:rsidRPr="00D87B79">
              <w:rPr>
                <w:rFonts w:cs="Tahoma"/>
                <w:color w:val="000000"/>
                <w:szCs w:val="18"/>
                <w:lang w:val="it-IT"/>
              </w:rPr>
              <w:t>Pacchetti da 20</w:t>
            </w:r>
          </w:p>
        </w:tc>
        <w:tc>
          <w:tcPr>
            <w:tcW w:w="1589" w:type="dxa"/>
            <w:vAlign w:val="center"/>
          </w:tcPr>
          <w:p w:rsidR="00A92422" w:rsidRPr="00D87B79" w:rsidRDefault="00A92422" w:rsidP="00EA30FC">
            <w:pPr>
              <w:jc w:val="center"/>
              <w:rPr>
                <w:rFonts w:cs="Tahoma"/>
                <w:color w:val="000000"/>
                <w:szCs w:val="18"/>
              </w:rPr>
            </w:pPr>
            <w:r w:rsidRPr="00D87B79">
              <w:rPr>
                <w:rFonts w:cs="Tahoma"/>
                <w:color w:val="000000"/>
                <w:szCs w:val="18"/>
                <w:lang w:val="it-IT"/>
              </w:rPr>
              <w:t>Pacchetti da 20</w:t>
            </w:r>
          </w:p>
        </w:tc>
      </w:tr>
    </w:tbl>
    <w:p w:rsidR="00A92422" w:rsidRPr="00D87B79" w:rsidRDefault="00A92422" w:rsidP="00A92422">
      <w:pPr>
        <w:pStyle w:val="tableclose"/>
        <w:tabs>
          <w:tab w:val="left" w:pos="810"/>
        </w:tabs>
        <w:ind w:left="810" w:hanging="720"/>
        <w:rPr>
          <w:rFonts w:ascii="Tahoma" w:hAnsi="Tahoma" w:cs="Tahoma"/>
        </w:rPr>
      </w:pPr>
      <w:r w:rsidRPr="00D87B79">
        <w:rPr>
          <w:rFonts w:ascii="Tahoma" w:hAnsi="Tahoma" w:cs="Tahoma"/>
          <w:i/>
          <w:color w:val="000000"/>
          <w:sz w:val="16"/>
          <w:szCs w:val="16"/>
          <w:vertAlign w:val="superscript"/>
        </w:rPr>
        <w:t xml:space="preserve"> </w:t>
      </w:r>
      <w:r w:rsidRPr="00D87B79">
        <w:rPr>
          <w:rFonts w:ascii="Tahoma" w:hAnsi="Tahoma" w:cs="Tahoma"/>
          <w:i/>
          <w:color w:val="000000"/>
          <w:sz w:val="16"/>
          <w:vertAlign w:val="superscript"/>
          <w:lang w:val="it-IT"/>
        </w:rPr>
        <w:t>1</w:t>
      </w:r>
      <w:r w:rsidRPr="00D87B79">
        <w:rPr>
          <w:rFonts w:ascii="Tahoma" w:hAnsi="Tahoma" w:cs="Tahoma"/>
          <w:i/>
          <w:color w:val="000000"/>
          <w:sz w:val="16"/>
          <w:lang w:val="it-IT"/>
        </w:rPr>
        <w:t xml:space="preserve"> Le Ore Lavorative sono definite su base locale.</w:t>
      </w:r>
    </w:p>
    <w:p w:rsidR="00A92422" w:rsidRPr="002A569F" w:rsidRDefault="00A92422" w:rsidP="00A92422">
      <w:pPr>
        <w:pStyle w:val="BodyText2"/>
        <w:spacing w:after="0" w:line="240" w:lineRule="auto"/>
        <w:rPr>
          <w:rFonts w:ascii="Tahoma" w:hAnsi="Tahoma" w:cs="Tahoma"/>
          <w:sz w:val="18"/>
          <w:szCs w:val="18"/>
        </w:rPr>
      </w:pPr>
    </w:p>
    <w:p w:rsidR="00A92422" w:rsidRPr="00D87B79" w:rsidRDefault="00A92422" w:rsidP="00A92422">
      <w:pPr>
        <w:pStyle w:val="BodyText2"/>
        <w:spacing w:after="0" w:line="240" w:lineRule="auto"/>
        <w:rPr>
          <w:rFonts w:ascii="Tahoma" w:hAnsi="Tahoma" w:cs="Tahoma"/>
        </w:rPr>
      </w:pPr>
      <w:r w:rsidRPr="00D87B79">
        <w:rPr>
          <w:rFonts w:ascii="Tahoma" w:hAnsi="Tahoma" w:cs="Tahoma"/>
          <w:color w:val="000000"/>
          <w:sz w:val="18"/>
          <w:lang w:val="it-IT"/>
        </w:rPr>
        <w:t xml:space="preserve">Il servizio </w:t>
      </w:r>
      <w:r w:rsidRPr="00D87B79">
        <w:rPr>
          <w:rFonts w:ascii="Tahoma" w:hAnsi="Tahoma" w:cs="Tahoma"/>
          <w:b/>
          <w:color w:val="000000"/>
          <w:sz w:val="18"/>
          <w:lang w:val="it-IT"/>
        </w:rPr>
        <w:t>Support Account Management</w:t>
      </w:r>
      <w:r w:rsidRPr="00D87B79">
        <w:rPr>
          <w:rFonts w:ascii="Tahoma" w:hAnsi="Tahoma" w:cs="Tahoma"/>
          <w:color w:val="000000"/>
          <w:sz w:val="18"/>
          <w:lang w:val="it-IT"/>
        </w:rPr>
        <w:t xml:space="preserve"> semplifica la creazione e la gestione delle relazioni con il personale di</w:t>
      </w:r>
      <w:r>
        <w:rPr>
          <w:rFonts w:ascii="Tahoma" w:hAnsi="Tahoma" w:cs="Tahoma"/>
          <w:color w:val="000000"/>
          <w:sz w:val="18"/>
          <w:lang w:val="it-IT"/>
        </w:rPr>
        <w:t> </w:t>
      </w:r>
      <w:r w:rsidRPr="00D87B79">
        <w:rPr>
          <w:rFonts w:ascii="Tahoma" w:hAnsi="Tahoma" w:cs="Tahoma"/>
          <w:color w:val="000000"/>
          <w:sz w:val="18"/>
          <w:lang w:val="it-IT"/>
        </w:rPr>
        <w:t>gestione e di fornitura del servizio della società, nonché l’organizzazione di ogni elemento del piano dei servizi della</w:t>
      </w:r>
      <w:r>
        <w:rPr>
          <w:rFonts w:ascii="Tahoma" w:hAnsi="Tahoma" w:cs="Tahoma"/>
          <w:color w:val="000000"/>
          <w:sz w:val="18"/>
          <w:lang w:val="it-IT"/>
        </w:rPr>
        <w:t> </w:t>
      </w:r>
      <w:r w:rsidRPr="00D87B79">
        <w:rPr>
          <w:rFonts w:ascii="Tahoma" w:hAnsi="Tahoma" w:cs="Tahoma"/>
          <w:color w:val="000000"/>
          <w:sz w:val="18"/>
          <w:lang w:val="it-IT"/>
        </w:rPr>
        <w:t>società in modo conforme ai requisiti aziendali.</w:t>
      </w:r>
      <w:r w:rsidRPr="00D87B79">
        <w:rPr>
          <w:rFonts w:ascii="Tahoma" w:hAnsi="Tahoma" w:cs="Tahoma"/>
        </w:rPr>
        <w:t xml:space="preserve"> </w:t>
      </w:r>
    </w:p>
    <w:p w:rsidR="00A92422" w:rsidRPr="002A569F" w:rsidRDefault="00A92422" w:rsidP="00A92422">
      <w:pPr>
        <w:pStyle w:val="BodyText2"/>
        <w:spacing w:after="0" w:line="240" w:lineRule="auto"/>
        <w:rPr>
          <w:rFonts w:ascii="Tahoma" w:hAnsi="Tahoma" w:cs="Tahoma"/>
          <w:sz w:val="18"/>
          <w:szCs w:val="18"/>
        </w:rPr>
      </w:pPr>
    </w:p>
    <w:p w:rsidR="00A92422" w:rsidRPr="00D87B79" w:rsidRDefault="00A92422" w:rsidP="00A92422">
      <w:pPr>
        <w:jc w:val="both"/>
        <w:rPr>
          <w:rFonts w:cs="Tahoma"/>
        </w:rPr>
      </w:pPr>
      <w:r w:rsidRPr="00D87B79">
        <w:rPr>
          <w:rFonts w:cs="Tahoma"/>
          <w:color w:val="000000"/>
          <w:lang w:val="it-IT"/>
        </w:rPr>
        <w:t xml:space="preserve">Il servizio </w:t>
      </w:r>
      <w:r w:rsidRPr="00D87B79">
        <w:rPr>
          <w:rFonts w:cs="Tahoma"/>
          <w:b/>
          <w:color w:val="000000"/>
          <w:lang w:val="it-IT"/>
        </w:rPr>
        <w:t>Support Assistance</w:t>
      </w:r>
      <w:r w:rsidRPr="00D87B79">
        <w:rPr>
          <w:rFonts w:cs="Tahoma"/>
          <w:color w:val="000000"/>
          <w:lang w:val="it-IT"/>
        </w:rPr>
        <w:t xml:space="preserve"> fornisce indicazioni e suggerimenti a breve termine (in base alle risorse Microsoft disponibili) relativi a problemi che non rientrano nell’ambito del servizio Problem Resolution Support, nonché a</w:t>
      </w:r>
      <w:r>
        <w:rPr>
          <w:rFonts w:cs="Tahoma"/>
          <w:color w:val="000000"/>
          <w:lang w:val="it-IT"/>
        </w:rPr>
        <w:t> </w:t>
      </w:r>
      <w:r w:rsidRPr="00D87B79">
        <w:rPr>
          <w:rFonts w:cs="Tahoma"/>
          <w:color w:val="000000"/>
          <w:lang w:val="it-IT"/>
        </w:rPr>
        <w:t>richieste di assistenza consultiva in merito a problemi a livello di progettazione, sviluppo e implementazione.</w:t>
      </w:r>
    </w:p>
    <w:p w:rsidR="00A92422" w:rsidRPr="00D87B79" w:rsidRDefault="00A92422" w:rsidP="00A92422">
      <w:pPr>
        <w:jc w:val="both"/>
        <w:rPr>
          <w:rFonts w:cs="Tahoma"/>
        </w:rPr>
      </w:pPr>
    </w:p>
    <w:p w:rsidR="00A92422" w:rsidRPr="00D87B79" w:rsidRDefault="00A92422" w:rsidP="00A92422">
      <w:pPr>
        <w:rPr>
          <w:rFonts w:cs="Tahoma"/>
        </w:rPr>
      </w:pPr>
      <w:r w:rsidRPr="00D87B79">
        <w:rPr>
          <w:rFonts w:cs="Tahoma"/>
          <w:color w:val="000000"/>
          <w:lang w:val="it-IT"/>
        </w:rPr>
        <w:t xml:space="preserve">Il servizio </w:t>
      </w:r>
      <w:r w:rsidRPr="00D87B79">
        <w:rPr>
          <w:rFonts w:cs="Tahoma"/>
          <w:b/>
          <w:color w:val="000000"/>
          <w:lang w:val="it-IT"/>
        </w:rPr>
        <w:t xml:space="preserve">Problem Resolution Support </w:t>
      </w:r>
      <w:r w:rsidRPr="00D87B79">
        <w:rPr>
          <w:rFonts w:cs="Tahoma"/>
          <w:color w:val="000000"/>
          <w:lang w:val="it-IT"/>
        </w:rPr>
        <w:t>fornisce assistenza quando, durante l’utilizzo dei prodotti Microsoft, si</w:t>
      </w:r>
      <w:r>
        <w:rPr>
          <w:rFonts w:cs="Tahoma"/>
          <w:color w:val="000000"/>
          <w:lang w:val="it-IT"/>
        </w:rPr>
        <w:t> </w:t>
      </w:r>
      <w:r w:rsidRPr="00D87B79">
        <w:rPr>
          <w:rFonts w:cs="Tahoma"/>
          <w:color w:val="000000"/>
          <w:lang w:val="it-IT"/>
        </w:rPr>
        <w:t>verificano problemi con sintomi specifici, la cui causa sia ragionevolmente attribuibile ai prodotti Microsoft.</w:t>
      </w:r>
    </w:p>
    <w:p w:rsidR="00A92422" w:rsidRDefault="00A92422" w:rsidP="00A92422">
      <w:pPr>
        <w:spacing w:after="120"/>
        <w:rPr>
          <w:rFonts w:cs="Tahoma"/>
        </w:rPr>
      </w:pPr>
    </w:p>
    <w:p w:rsidR="00A92422" w:rsidRPr="00D87B79" w:rsidRDefault="00A92422" w:rsidP="00A92422">
      <w:pPr>
        <w:spacing w:after="120"/>
        <w:rPr>
          <w:rFonts w:cs="Tahoma"/>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A92422" w:rsidRPr="00D87B79" w:rsidTr="00EA30FC">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A92422" w:rsidRPr="00D87B79" w:rsidRDefault="00A92422" w:rsidP="00EA30FC">
            <w:pPr>
              <w:pStyle w:val="tableclose"/>
              <w:spacing w:line="276" w:lineRule="auto"/>
              <w:rPr>
                <w:rFonts w:ascii="Tahoma" w:hAnsi="Tahoma" w:cs="Tahoma"/>
                <w:b/>
                <w:color w:val="000000"/>
              </w:rPr>
            </w:pPr>
            <w:r w:rsidRPr="00D87B79">
              <w:rPr>
                <w:rFonts w:ascii="Tahoma" w:hAnsi="Tahoma" w:cs="Tahoma"/>
                <w:b/>
                <w:color w:val="000000"/>
                <w:lang w:val="it-IT"/>
              </w:rPr>
              <w:lastRenderedPageBreak/>
              <w:t>Severity</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A92422" w:rsidRPr="00D87B79" w:rsidRDefault="00A92422" w:rsidP="00EA30FC">
            <w:pPr>
              <w:pStyle w:val="tableclose"/>
              <w:spacing w:line="276" w:lineRule="auto"/>
              <w:rPr>
                <w:rFonts w:ascii="Tahoma" w:hAnsi="Tahoma" w:cs="Tahoma"/>
                <w:b/>
                <w:color w:val="000000"/>
              </w:rPr>
            </w:pPr>
            <w:r w:rsidRPr="00D87B79">
              <w:rPr>
                <w:rFonts w:ascii="Tahoma" w:hAnsi="Tahoma" w:cs="Tahoma"/>
                <w:b/>
                <w:color w:val="000000"/>
                <w:lang w:val="it-IT"/>
              </w:rPr>
              <w:t>Situazione</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A92422" w:rsidRPr="00D87B79" w:rsidRDefault="00A92422" w:rsidP="00EA30FC">
            <w:pPr>
              <w:pStyle w:val="tableclose"/>
              <w:spacing w:line="276" w:lineRule="auto"/>
              <w:rPr>
                <w:rFonts w:ascii="Tahoma" w:hAnsi="Tahoma" w:cs="Tahoma"/>
                <w:b/>
                <w:color w:val="000000"/>
              </w:rPr>
            </w:pPr>
            <w:r w:rsidRPr="00D87B79">
              <w:rPr>
                <w:rFonts w:ascii="Tahoma" w:hAnsi="Tahoma" w:cs="Tahoma"/>
                <w:b/>
                <w:color w:val="000000"/>
                <w:lang w:val="it-IT"/>
              </w:rPr>
              <w:t>Risposta Microsoft Prevista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A92422" w:rsidRPr="00D87B79" w:rsidRDefault="00A92422" w:rsidP="00EA30FC">
            <w:pPr>
              <w:pStyle w:val="tableclose"/>
              <w:spacing w:line="276" w:lineRule="auto"/>
              <w:rPr>
                <w:rFonts w:ascii="Tahoma" w:hAnsi="Tahoma" w:cs="Tahoma"/>
                <w:b/>
                <w:color w:val="000000"/>
              </w:rPr>
            </w:pPr>
            <w:r w:rsidRPr="00D87B79">
              <w:rPr>
                <w:rFonts w:ascii="Tahoma" w:hAnsi="Tahoma" w:cs="Tahoma"/>
                <w:b/>
                <w:color w:val="000000"/>
                <w:lang w:val="it-IT"/>
              </w:rPr>
              <w:t>Risposta della Società Prevista</w:t>
            </w:r>
          </w:p>
        </w:tc>
      </w:tr>
      <w:tr w:rsidR="00A92422" w:rsidRPr="00D87B79" w:rsidTr="00EA30FC">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92422" w:rsidRPr="00D87B79" w:rsidRDefault="00A92422" w:rsidP="00EA30FC">
            <w:pPr>
              <w:pStyle w:val="tableclose"/>
              <w:spacing w:line="276" w:lineRule="auto"/>
              <w:rPr>
                <w:rFonts w:ascii="Tahoma" w:hAnsi="Tahoma" w:cs="Tahoma"/>
                <w:color w:val="000000"/>
                <w:sz w:val="18"/>
                <w:szCs w:val="18"/>
              </w:rPr>
            </w:pPr>
            <w:r w:rsidRPr="00D87B79">
              <w:rPr>
                <w:rFonts w:ascii="Tahoma" w:hAnsi="Tahoma" w:cs="Tahoma"/>
                <w:color w:val="000000"/>
                <w:sz w:val="18"/>
                <w:szCs w:val="18"/>
              </w:rPr>
              <w:t xml:space="preserve">1. </w:t>
            </w:r>
            <w:r w:rsidRPr="00D87B79">
              <w:rPr>
                <w:rFonts w:ascii="Tahoma" w:hAnsi="Tahoma" w:cs="Tahoma"/>
                <w:color w:val="000000"/>
                <w:sz w:val="18"/>
                <w:szCs w:val="18"/>
                <w:lang w:val="it-IT"/>
              </w:rPr>
              <w:t>Formulazione solo telefonica</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A92422" w:rsidRPr="00D87B79" w:rsidRDefault="00A92422" w:rsidP="00EA30FC">
            <w:pPr>
              <w:pStyle w:val="ListBullet3"/>
              <w:numPr>
                <w:ilvl w:val="0"/>
                <w:numId w:val="33"/>
              </w:numPr>
              <w:spacing w:line="276" w:lineRule="auto"/>
              <w:rPr>
                <w:rFonts w:ascii="Tahoma" w:hAnsi="Tahoma" w:cs="Tahoma"/>
              </w:rPr>
            </w:pPr>
            <w:r w:rsidRPr="00D87B79">
              <w:rPr>
                <w:rFonts w:ascii="Tahoma" w:hAnsi="Tahoma" w:cs="Tahoma"/>
                <w:color w:val="000000"/>
                <w:sz w:val="18"/>
                <w:szCs w:val="18"/>
                <w:lang w:val="it-IT"/>
              </w:rPr>
              <w:t>Impatto commerciale catastrofico</w:t>
            </w:r>
            <w:r w:rsidRPr="00D87B79">
              <w:rPr>
                <w:rFonts w:ascii="Tahoma" w:hAnsi="Tahoma" w:cs="Tahoma"/>
                <w:color w:val="000000"/>
                <w:sz w:val="18"/>
                <w:szCs w:val="18"/>
              </w:rPr>
              <w:t xml:space="preserve"> </w:t>
            </w:r>
          </w:p>
          <w:p w:rsidR="00A92422" w:rsidRPr="00D87B79" w:rsidRDefault="00A92422" w:rsidP="00EA30FC">
            <w:pPr>
              <w:pStyle w:val="ListBullet3"/>
              <w:numPr>
                <w:ilvl w:val="0"/>
                <w:numId w:val="33"/>
              </w:numPr>
              <w:spacing w:line="276" w:lineRule="auto"/>
              <w:rPr>
                <w:rFonts w:ascii="Tahoma" w:hAnsi="Tahoma" w:cs="Tahoma"/>
              </w:rPr>
            </w:pPr>
            <w:r w:rsidRPr="00D87B79">
              <w:rPr>
                <w:rFonts w:ascii="Tahoma" w:hAnsi="Tahoma" w:cs="Tahoma"/>
                <w:color w:val="000000"/>
                <w:sz w:val="18"/>
                <w:lang w:val="it-IT"/>
              </w:rPr>
              <w:t>Perdita completa di un procedimento commerciale cruciale (mission critical) e</w:t>
            </w:r>
            <w:r>
              <w:rPr>
                <w:rFonts w:ascii="Tahoma" w:hAnsi="Tahoma" w:cs="Tahoma"/>
                <w:color w:val="000000"/>
                <w:sz w:val="18"/>
                <w:lang w:val="it-IT"/>
              </w:rPr>
              <w:t> </w:t>
            </w:r>
            <w:r w:rsidRPr="00D87B79">
              <w:rPr>
                <w:rFonts w:ascii="Tahoma" w:hAnsi="Tahoma" w:cs="Tahoma"/>
                <w:color w:val="000000"/>
                <w:sz w:val="18"/>
                <w:lang w:val="it-IT"/>
              </w:rPr>
              <w:t>impossibilità di continuare in modo adeguato il lavoro</w:t>
            </w:r>
          </w:p>
          <w:p w:rsidR="00A92422" w:rsidRPr="00D87B79" w:rsidRDefault="00A92422" w:rsidP="00EA30FC">
            <w:pPr>
              <w:pStyle w:val="ListBullet3"/>
              <w:numPr>
                <w:ilvl w:val="0"/>
                <w:numId w:val="33"/>
              </w:numPr>
              <w:spacing w:line="276" w:lineRule="auto"/>
              <w:rPr>
                <w:rFonts w:ascii="Tahoma" w:hAnsi="Tahoma" w:cs="Tahoma"/>
                <w:color w:val="000000"/>
                <w:sz w:val="18"/>
                <w:szCs w:val="18"/>
              </w:rPr>
            </w:pPr>
            <w:r w:rsidRPr="00D87B79">
              <w:rPr>
                <w:rFonts w:ascii="Tahoma" w:hAnsi="Tahoma" w:cs="Tahoma"/>
                <w:color w:val="000000"/>
                <w:sz w:val="18"/>
                <w:szCs w:val="18"/>
                <w:lang w:val="it-IT"/>
              </w:rPr>
              <w:t>Necessità di un intervento immediato</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A92422" w:rsidRPr="00D87B79" w:rsidRDefault="00A92422" w:rsidP="00EA30FC">
            <w:pPr>
              <w:pStyle w:val="ListBullet3"/>
              <w:numPr>
                <w:ilvl w:val="0"/>
                <w:numId w:val="34"/>
              </w:numPr>
              <w:spacing w:line="276" w:lineRule="auto"/>
              <w:rPr>
                <w:rFonts w:ascii="Tahoma" w:hAnsi="Tahoma" w:cs="Tahoma"/>
              </w:rPr>
            </w:pPr>
            <w:r w:rsidRPr="00D87B79">
              <w:rPr>
                <w:rFonts w:ascii="Tahoma" w:hAnsi="Tahoma" w:cs="Tahoma"/>
                <w:color w:val="000000"/>
                <w:sz w:val="18"/>
                <w:lang w:val="it-IT"/>
              </w:rPr>
              <w:t>Risposta alla 1</w:t>
            </w:r>
            <w:r w:rsidRPr="00D87B79">
              <w:rPr>
                <w:rFonts w:ascii="Tahoma" w:hAnsi="Tahoma" w:cs="Tahoma"/>
                <w:color w:val="000000"/>
                <w:sz w:val="18"/>
                <w:vertAlign w:val="superscript"/>
                <w:lang w:val="it-IT"/>
              </w:rPr>
              <w:t>a</w:t>
            </w:r>
            <w:r w:rsidRPr="00D87B79">
              <w:rPr>
                <w:rFonts w:ascii="Tahoma" w:hAnsi="Tahoma" w:cs="Tahoma"/>
                <w:color w:val="000000"/>
                <w:sz w:val="18"/>
                <w:lang w:val="it-IT"/>
              </w:rPr>
              <w:t xml:space="preserve"> chiamata in</w:t>
            </w:r>
            <w:r>
              <w:rPr>
                <w:rFonts w:ascii="Tahoma" w:hAnsi="Tahoma" w:cs="Tahoma"/>
                <w:color w:val="000000"/>
                <w:sz w:val="18"/>
                <w:lang w:val="it-IT"/>
              </w:rPr>
              <w:t> </w:t>
            </w:r>
            <w:r w:rsidRPr="00D87B79">
              <w:rPr>
                <w:rFonts w:ascii="Tahoma" w:hAnsi="Tahoma" w:cs="Tahoma"/>
                <w:color w:val="000000"/>
                <w:sz w:val="18"/>
                <w:lang w:val="it-IT"/>
              </w:rPr>
              <w:t>1 ora o meno</w:t>
            </w:r>
          </w:p>
          <w:p w:rsidR="00A92422" w:rsidRPr="00D87B79" w:rsidRDefault="00A92422" w:rsidP="00EA30FC">
            <w:pPr>
              <w:pStyle w:val="ListBullet3"/>
              <w:numPr>
                <w:ilvl w:val="0"/>
                <w:numId w:val="34"/>
              </w:numPr>
              <w:spacing w:line="276" w:lineRule="auto"/>
              <w:rPr>
                <w:rFonts w:ascii="Tahoma" w:hAnsi="Tahoma" w:cs="Tahoma"/>
              </w:rPr>
            </w:pPr>
            <w:r w:rsidRPr="00D87B79">
              <w:rPr>
                <w:rFonts w:ascii="Tahoma" w:hAnsi="Tahoma" w:cs="Tahoma"/>
                <w:color w:val="000000"/>
                <w:sz w:val="18"/>
                <w:lang w:val="it-IT"/>
              </w:rPr>
              <w:t>Risorse Microsoft sul sito il</w:t>
            </w:r>
            <w:r>
              <w:rPr>
                <w:rFonts w:ascii="Tahoma" w:hAnsi="Tahoma" w:cs="Tahoma"/>
                <w:color w:val="000000"/>
                <w:sz w:val="18"/>
                <w:lang w:val="it-IT"/>
              </w:rPr>
              <w:t> </w:t>
            </w:r>
            <w:r w:rsidRPr="00D87B79">
              <w:rPr>
                <w:rFonts w:ascii="Tahoma" w:hAnsi="Tahoma" w:cs="Tahoma"/>
                <w:color w:val="000000"/>
                <w:sz w:val="18"/>
                <w:lang w:val="it-IT"/>
              </w:rPr>
              <w:t>più presto possibile</w:t>
            </w:r>
          </w:p>
          <w:p w:rsidR="00A92422" w:rsidRPr="00D87B79" w:rsidRDefault="00A92422" w:rsidP="00EA30FC">
            <w:pPr>
              <w:pStyle w:val="ListBullet3"/>
              <w:numPr>
                <w:ilvl w:val="0"/>
                <w:numId w:val="34"/>
              </w:numPr>
              <w:spacing w:line="276" w:lineRule="auto"/>
              <w:rPr>
                <w:rFonts w:ascii="Tahoma" w:hAnsi="Tahoma" w:cs="Tahoma"/>
              </w:rPr>
            </w:pPr>
            <w:r w:rsidRPr="00D87B79">
              <w:rPr>
                <w:rFonts w:ascii="Tahoma" w:hAnsi="Tahoma" w:cs="Tahoma"/>
                <w:color w:val="000000"/>
                <w:sz w:val="18"/>
                <w:lang w:val="it-IT"/>
              </w:rPr>
              <w:t>Impegno continuo 24x7</w:t>
            </w:r>
          </w:p>
          <w:p w:rsidR="00A92422" w:rsidRPr="00D87B79" w:rsidRDefault="00A92422" w:rsidP="00EA30FC">
            <w:pPr>
              <w:pStyle w:val="ListBullet3"/>
              <w:numPr>
                <w:ilvl w:val="0"/>
                <w:numId w:val="34"/>
              </w:numPr>
              <w:spacing w:line="276" w:lineRule="auto"/>
              <w:rPr>
                <w:rFonts w:ascii="Tahoma" w:hAnsi="Tahoma" w:cs="Tahoma"/>
              </w:rPr>
            </w:pPr>
            <w:r w:rsidRPr="00D87B79">
              <w:rPr>
                <w:rFonts w:ascii="Tahoma" w:hAnsi="Tahoma" w:cs="Tahoma"/>
                <w:color w:val="000000"/>
                <w:sz w:val="18"/>
                <w:lang w:val="it-IT"/>
              </w:rPr>
              <w:t>Escalation Rapida ai team dei Prodotti di Microsoft</w:t>
            </w:r>
          </w:p>
          <w:p w:rsidR="00A92422" w:rsidRPr="00D87B79" w:rsidRDefault="00A92422" w:rsidP="00EA30FC">
            <w:pPr>
              <w:pStyle w:val="ListBullet3"/>
              <w:numPr>
                <w:ilvl w:val="0"/>
                <w:numId w:val="34"/>
              </w:numPr>
              <w:spacing w:line="276" w:lineRule="auto"/>
              <w:rPr>
                <w:rFonts w:ascii="Tahoma" w:hAnsi="Tahoma" w:cs="Tahoma"/>
                <w:color w:val="000000"/>
                <w:sz w:val="18"/>
                <w:szCs w:val="18"/>
              </w:rPr>
            </w:pPr>
            <w:r w:rsidRPr="00D87B79">
              <w:rPr>
                <w:rFonts w:ascii="Tahoma" w:hAnsi="Tahoma" w:cs="Tahoma"/>
                <w:color w:val="000000"/>
                <w:sz w:val="18"/>
                <w:szCs w:val="18"/>
                <w:lang w:val="it-IT"/>
              </w:rPr>
              <w:t>Comunicazione dei Dirigenti di Alto Livello di Microsoft</w:t>
            </w:r>
            <w:r w:rsidRPr="00D87B79">
              <w:rPr>
                <w:rFonts w:ascii="Tahoma" w:hAnsi="Tahoma" w:cs="Tahoma"/>
                <w:color w:val="000000"/>
                <w:sz w:val="18"/>
                <w:szCs w:val="18"/>
              </w:rPr>
              <w:t xml:space="preserve">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A92422" w:rsidRPr="00D87B79" w:rsidRDefault="00A92422" w:rsidP="00EA30FC">
            <w:pPr>
              <w:pStyle w:val="ListBullet3"/>
              <w:numPr>
                <w:ilvl w:val="0"/>
                <w:numId w:val="35"/>
              </w:numPr>
              <w:spacing w:line="276" w:lineRule="auto"/>
              <w:rPr>
                <w:rFonts w:ascii="Tahoma" w:hAnsi="Tahoma" w:cs="Tahoma"/>
              </w:rPr>
            </w:pPr>
            <w:r w:rsidRPr="00D87B79">
              <w:rPr>
                <w:rFonts w:ascii="Tahoma" w:hAnsi="Tahoma" w:cs="Tahoma"/>
                <w:color w:val="000000"/>
                <w:sz w:val="18"/>
                <w:lang w:val="it-IT"/>
              </w:rPr>
              <w:t>Comunicazione dei dirigenti di alto livello della società</w:t>
            </w:r>
            <w:r w:rsidRPr="00D87B79">
              <w:rPr>
                <w:rFonts w:ascii="Tahoma" w:hAnsi="Tahoma" w:cs="Tahoma"/>
              </w:rPr>
              <w:t xml:space="preserve"> </w:t>
            </w:r>
          </w:p>
          <w:p w:rsidR="00A92422" w:rsidRPr="00D87B79" w:rsidRDefault="00A92422" w:rsidP="00EA30FC">
            <w:pPr>
              <w:pStyle w:val="ListBullet3"/>
              <w:numPr>
                <w:ilvl w:val="0"/>
                <w:numId w:val="35"/>
              </w:numPr>
              <w:spacing w:line="276" w:lineRule="auto"/>
              <w:rPr>
                <w:rFonts w:ascii="Tahoma" w:hAnsi="Tahoma" w:cs="Tahoma"/>
              </w:rPr>
            </w:pPr>
            <w:r w:rsidRPr="00D87B79">
              <w:rPr>
                <w:rFonts w:ascii="Tahoma" w:hAnsi="Tahoma" w:cs="Tahoma"/>
                <w:color w:val="000000"/>
                <w:sz w:val="18"/>
                <w:lang w:val="it-IT"/>
              </w:rPr>
              <w:t>Allocazione delle risorse appropriate per sostenere l’impegno continuo 24x7</w:t>
            </w:r>
            <w:r w:rsidRPr="00E76D13">
              <w:rPr>
                <w:rFonts w:ascii="Tahoma" w:hAnsi="Tahoma" w:cs="Tahoma"/>
                <w:color w:val="000000"/>
                <w:sz w:val="18"/>
                <w:vertAlign w:val="superscript"/>
                <w:lang w:val="it-IT"/>
              </w:rPr>
              <w:t>2</w:t>
            </w:r>
          </w:p>
          <w:p w:rsidR="00A92422" w:rsidRPr="00D87B79" w:rsidRDefault="00A92422" w:rsidP="00EA30FC">
            <w:pPr>
              <w:pStyle w:val="ListBullet3"/>
              <w:numPr>
                <w:ilvl w:val="0"/>
                <w:numId w:val="35"/>
              </w:numPr>
              <w:spacing w:line="276" w:lineRule="auto"/>
              <w:rPr>
                <w:rFonts w:ascii="Tahoma" w:hAnsi="Tahoma" w:cs="Tahoma"/>
                <w:color w:val="000000"/>
                <w:sz w:val="18"/>
                <w:szCs w:val="18"/>
              </w:rPr>
            </w:pPr>
            <w:r w:rsidRPr="00D87B79">
              <w:rPr>
                <w:rFonts w:ascii="Tahoma" w:hAnsi="Tahoma" w:cs="Tahoma"/>
                <w:color w:val="000000"/>
                <w:sz w:val="18"/>
                <w:szCs w:val="18"/>
                <w:lang w:val="it-IT"/>
              </w:rPr>
              <w:t>Accesso e risposte rapide dall’autorità di</w:t>
            </w:r>
            <w:r>
              <w:rPr>
                <w:rFonts w:ascii="Tahoma" w:hAnsi="Tahoma" w:cs="Tahoma"/>
                <w:color w:val="000000"/>
                <w:sz w:val="18"/>
                <w:szCs w:val="18"/>
                <w:lang w:val="it-IT"/>
              </w:rPr>
              <w:t> </w:t>
            </w:r>
            <w:r w:rsidRPr="00D87B79">
              <w:rPr>
                <w:rFonts w:ascii="Tahoma" w:hAnsi="Tahoma" w:cs="Tahoma"/>
                <w:color w:val="000000"/>
                <w:sz w:val="18"/>
                <w:szCs w:val="18"/>
                <w:lang w:val="it-IT"/>
              </w:rPr>
              <w:t>controllo delle</w:t>
            </w:r>
            <w:r>
              <w:rPr>
                <w:rFonts w:ascii="Tahoma" w:hAnsi="Tahoma" w:cs="Tahoma"/>
                <w:color w:val="000000"/>
                <w:sz w:val="18"/>
                <w:szCs w:val="18"/>
                <w:lang w:val="it-IT"/>
              </w:rPr>
              <w:t> </w:t>
            </w:r>
            <w:r w:rsidRPr="00D87B79">
              <w:rPr>
                <w:rFonts w:ascii="Tahoma" w:hAnsi="Tahoma" w:cs="Tahoma"/>
                <w:color w:val="000000"/>
                <w:sz w:val="18"/>
                <w:szCs w:val="18"/>
                <w:lang w:val="it-IT"/>
              </w:rPr>
              <w:t>modifiche</w:t>
            </w:r>
          </w:p>
        </w:tc>
      </w:tr>
      <w:tr w:rsidR="00A92422" w:rsidRPr="00D87B79" w:rsidTr="00EA30FC">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92422" w:rsidRPr="00D87B79" w:rsidRDefault="00A92422" w:rsidP="00EA30FC">
            <w:pPr>
              <w:pStyle w:val="tableclose"/>
              <w:spacing w:line="276" w:lineRule="auto"/>
              <w:rPr>
                <w:rFonts w:ascii="Tahoma" w:hAnsi="Tahoma" w:cs="Tahoma"/>
                <w:color w:val="000000"/>
                <w:sz w:val="18"/>
                <w:szCs w:val="18"/>
              </w:rPr>
            </w:pPr>
            <w:r w:rsidRPr="00D87B79">
              <w:rPr>
                <w:rFonts w:ascii="Tahoma" w:hAnsi="Tahoma" w:cs="Tahoma"/>
                <w:color w:val="000000"/>
                <w:sz w:val="18"/>
                <w:szCs w:val="18"/>
                <w:lang w:val="it-IT"/>
              </w:rPr>
              <w:t>A Formulazione solo telefonica</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A92422" w:rsidRPr="00D87B79" w:rsidRDefault="00A92422" w:rsidP="00EA30FC">
            <w:pPr>
              <w:pStyle w:val="ListBullet3"/>
              <w:numPr>
                <w:ilvl w:val="0"/>
                <w:numId w:val="33"/>
              </w:numPr>
              <w:spacing w:line="276" w:lineRule="auto"/>
              <w:rPr>
                <w:rFonts w:ascii="Tahoma" w:hAnsi="Tahoma" w:cs="Tahoma"/>
              </w:rPr>
            </w:pPr>
            <w:r w:rsidRPr="00D87B79">
              <w:rPr>
                <w:rFonts w:ascii="Tahoma" w:hAnsi="Tahoma" w:cs="Tahoma"/>
                <w:color w:val="000000"/>
                <w:sz w:val="18"/>
                <w:szCs w:val="18"/>
                <w:lang w:val="it-IT"/>
              </w:rPr>
              <w:t>Impatto commerciale critico</w:t>
            </w:r>
            <w:r w:rsidRPr="00D87B79">
              <w:rPr>
                <w:rFonts w:ascii="Tahoma" w:hAnsi="Tahoma" w:cs="Tahoma"/>
                <w:color w:val="000000"/>
                <w:sz w:val="18"/>
                <w:szCs w:val="18"/>
              </w:rPr>
              <w:t xml:space="preserve"> </w:t>
            </w:r>
          </w:p>
          <w:p w:rsidR="00A92422" w:rsidRPr="00D87B79" w:rsidRDefault="00A92422" w:rsidP="00EA30FC">
            <w:pPr>
              <w:pStyle w:val="ListBullet3"/>
              <w:numPr>
                <w:ilvl w:val="0"/>
                <w:numId w:val="33"/>
              </w:numPr>
              <w:spacing w:line="276" w:lineRule="auto"/>
              <w:rPr>
                <w:rFonts w:ascii="Tahoma" w:hAnsi="Tahoma" w:cs="Tahoma"/>
              </w:rPr>
            </w:pPr>
            <w:r w:rsidRPr="00D87B79">
              <w:rPr>
                <w:rFonts w:ascii="Tahoma" w:hAnsi="Tahoma" w:cs="Tahoma"/>
                <w:color w:val="000000"/>
                <w:sz w:val="18"/>
                <w:lang w:val="it-IT"/>
              </w:rPr>
              <w:t>Perdita o degradazione significativa dei servizi</w:t>
            </w:r>
          </w:p>
          <w:p w:rsidR="00A92422" w:rsidRPr="00D87B79" w:rsidRDefault="00A92422" w:rsidP="00EA30FC">
            <w:pPr>
              <w:pStyle w:val="ListBullet3"/>
              <w:numPr>
                <w:ilvl w:val="0"/>
                <w:numId w:val="33"/>
              </w:numPr>
              <w:spacing w:line="276" w:lineRule="auto"/>
              <w:rPr>
                <w:rFonts w:ascii="Tahoma" w:hAnsi="Tahoma" w:cs="Tahoma"/>
                <w:color w:val="000000"/>
                <w:sz w:val="18"/>
                <w:szCs w:val="18"/>
              </w:rPr>
            </w:pPr>
            <w:r w:rsidRPr="00D87B79">
              <w:rPr>
                <w:rFonts w:ascii="Tahoma" w:hAnsi="Tahoma" w:cs="Tahoma"/>
                <w:color w:val="000000"/>
                <w:sz w:val="18"/>
                <w:szCs w:val="18"/>
                <w:lang w:val="it-IT"/>
              </w:rPr>
              <w:t>Necessità dell’intervento entro 1 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A92422" w:rsidRPr="00D87B79" w:rsidRDefault="00A92422" w:rsidP="00EA30FC">
            <w:pPr>
              <w:pStyle w:val="ListBullet3"/>
              <w:numPr>
                <w:ilvl w:val="0"/>
                <w:numId w:val="34"/>
              </w:numPr>
              <w:spacing w:line="276" w:lineRule="auto"/>
              <w:rPr>
                <w:rFonts w:ascii="Tahoma" w:hAnsi="Tahoma" w:cs="Tahoma"/>
              </w:rPr>
            </w:pPr>
            <w:r w:rsidRPr="00D87B79">
              <w:rPr>
                <w:rFonts w:ascii="Tahoma" w:hAnsi="Tahoma" w:cs="Tahoma"/>
                <w:color w:val="000000"/>
                <w:sz w:val="18"/>
                <w:lang w:val="it-IT"/>
              </w:rPr>
              <w:t>Risposta alla 1</w:t>
            </w:r>
            <w:r w:rsidRPr="00D87B79">
              <w:rPr>
                <w:rFonts w:ascii="Tahoma" w:hAnsi="Tahoma" w:cs="Tahoma"/>
                <w:color w:val="000000"/>
                <w:sz w:val="18"/>
                <w:vertAlign w:val="superscript"/>
                <w:lang w:val="it-IT"/>
              </w:rPr>
              <w:t>a</w:t>
            </w:r>
            <w:r w:rsidRPr="00D87B79">
              <w:rPr>
                <w:rFonts w:ascii="Tahoma" w:hAnsi="Tahoma" w:cs="Tahoma"/>
                <w:color w:val="000000"/>
                <w:sz w:val="18"/>
                <w:lang w:val="it-IT"/>
              </w:rPr>
              <w:t xml:space="preserve"> chiamata in</w:t>
            </w:r>
            <w:r>
              <w:rPr>
                <w:rFonts w:ascii="Tahoma" w:hAnsi="Tahoma" w:cs="Tahoma"/>
                <w:color w:val="000000"/>
                <w:sz w:val="18"/>
                <w:lang w:val="it-IT"/>
              </w:rPr>
              <w:t> </w:t>
            </w:r>
            <w:r w:rsidRPr="00D87B79">
              <w:rPr>
                <w:rFonts w:ascii="Tahoma" w:hAnsi="Tahoma" w:cs="Tahoma"/>
                <w:color w:val="000000"/>
                <w:sz w:val="18"/>
                <w:lang w:val="it-IT"/>
              </w:rPr>
              <w:t>1 ora o meno</w:t>
            </w:r>
          </w:p>
          <w:p w:rsidR="00A92422" w:rsidRPr="00D87B79" w:rsidRDefault="00A92422" w:rsidP="00EA30FC">
            <w:pPr>
              <w:pStyle w:val="ListBullet3"/>
              <w:numPr>
                <w:ilvl w:val="0"/>
                <w:numId w:val="34"/>
              </w:numPr>
              <w:spacing w:line="276" w:lineRule="auto"/>
              <w:rPr>
                <w:rFonts w:ascii="Tahoma" w:hAnsi="Tahoma" w:cs="Tahoma"/>
              </w:rPr>
            </w:pPr>
            <w:r w:rsidRPr="00D87B79">
              <w:rPr>
                <w:rFonts w:ascii="Tahoma" w:hAnsi="Tahoma" w:cs="Tahoma"/>
                <w:color w:val="000000"/>
                <w:sz w:val="18"/>
                <w:lang w:val="it-IT"/>
              </w:rPr>
              <w:t>Risorse Microsoft presso la</w:t>
            </w:r>
            <w:r>
              <w:rPr>
                <w:rFonts w:ascii="Tahoma" w:hAnsi="Tahoma" w:cs="Tahoma"/>
                <w:color w:val="000000"/>
                <w:sz w:val="18"/>
                <w:lang w:val="it-IT"/>
              </w:rPr>
              <w:t> </w:t>
            </w:r>
            <w:r w:rsidRPr="00D87B79">
              <w:rPr>
                <w:rFonts w:ascii="Tahoma" w:hAnsi="Tahoma" w:cs="Tahoma"/>
                <w:color w:val="000000"/>
                <w:sz w:val="18"/>
                <w:lang w:val="it-IT"/>
              </w:rPr>
              <w:t>sede della società, come</w:t>
            </w:r>
            <w:r>
              <w:rPr>
                <w:rFonts w:ascii="Tahoma" w:hAnsi="Tahoma" w:cs="Tahoma"/>
                <w:color w:val="000000"/>
                <w:sz w:val="18"/>
                <w:lang w:val="it-IT"/>
              </w:rPr>
              <w:t> </w:t>
            </w:r>
            <w:r w:rsidRPr="00D87B79">
              <w:rPr>
                <w:rFonts w:ascii="Tahoma" w:hAnsi="Tahoma" w:cs="Tahoma"/>
                <w:color w:val="000000"/>
                <w:sz w:val="18"/>
                <w:lang w:val="it-IT"/>
              </w:rPr>
              <w:t>richiesto.</w:t>
            </w:r>
          </w:p>
          <w:p w:rsidR="00A92422" w:rsidRPr="00D87B79" w:rsidRDefault="00A92422" w:rsidP="00EA30FC">
            <w:pPr>
              <w:pStyle w:val="ListBullet3"/>
              <w:numPr>
                <w:ilvl w:val="0"/>
                <w:numId w:val="34"/>
              </w:numPr>
              <w:spacing w:line="276" w:lineRule="auto"/>
              <w:rPr>
                <w:rFonts w:ascii="Tahoma" w:hAnsi="Tahoma" w:cs="Tahoma"/>
              </w:rPr>
            </w:pPr>
            <w:r w:rsidRPr="00D87B79">
              <w:rPr>
                <w:rFonts w:ascii="Tahoma" w:hAnsi="Tahoma" w:cs="Tahoma"/>
                <w:color w:val="000000"/>
                <w:sz w:val="18"/>
                <w:lang w:val="it-IT"/>
              </w:rPr>
              <w:t>Impegno continuo 24x7</w:t>
            </w:r>
          </w:p>
          <w:p w:rsidR="00A92422" w:rsidRPr="00D87B79" w:rsidRDefault="00A92422" w:rsidP="00EA30FC">
            <w:pPr>
              <w:pStyle w:val="ListBullet3"/>
              <w:numPr>
                <w:ilvl w:val="0"/>
                <w:numId w:val="34"/>
              </w:numPr>
              <w:spacing w:line="276" w:lineRule="auto"/>
              <w:rPr>
                <w:rFonts w:ascii="Tahoma" w:hAnsi="Tahoma" w:cs="Tahoma"/>
                <w:color w:val="000000"/>
                <w:sz w:val="18"/>
                <w:szCs w:val="18"/>
              </w:rPr>
            </w:pPr>
            <w:r w:rsidRPr="00D87B79">
              <w:rPr>
                <w:rFonts w:ascii="Tahoma" w:hAnsi="Tahoma" w:cs="Tahoma"/>
                <w:color w:val="000000"/>
                <w:sz w:val="18"/>
                <w:szCs w:val="18"/>
                <w:lang w:val="it-IT"/>
              </w:rPr>
              <w:t>Comunicazione dei Dirigenti di Alto Livello di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A92422" w:rsidRPr="00D87B79" w:rsidRDefault="00A92422" w:rsidP="00EA30FC">
            <w:pPr>
              <w:pStyle w:val="ListBullet3"/>
              <w:numPr>
                <w:ilvl w:val="0"/>
                <w:numId w:val="35"/>
              </w:numPr>
              <w:spacing w:line="276" w:lineRule="auto"/>
              <w:rPr>
                <w:rFonts w:ascii="Tahoma" w:hAnsi="Tahoma" w:cs="Tahoma"/>
              </w:rPr>
            </w:pPr>
            <w:r w:rsidRPr="00D87B79">
              <w:rPr>
                <w:rFonts w:ascii="Tahoma" w:hAnsi="Tahoma" w:cs="Tahoma"/>
                <w:color w:val="000000"/>
                <w:sz w:val="18"/>
                <w:lang w:val="it-IT"/>
              </w:rPr>
              <w:t>Allocazione delle risorse appropriate per sostenere l’impegno continuo 24x7</w:t>
            </w:r>
            <w:r w:rsidRPr="00E76D13">
              <w:rPr>
                <w:rFonts w:ascii="Tahoma" w:hAnsi="Tahoma" w:cs="Tahoma"/>
                <w:color w:val="000000"/>
                <w:sz w:val="18"/>
                <w:vertAlign w:val="superscript"/>
                <w:lang w:val="it-IT"/>
              </w:rPr>
              <w:t>2</w:t>
            </w:r>
          </w:p>
          <w:p w:rsidR="00A92422" w:rsidRPr="00D87B79" w:rsidRDefault="00A92422" w:rsidP="00EA30FC">
            <w:pPr>
              <w:pStyle w:val="ListBullet3"/>
              <w:numPr>
                <w:ilvl w:val="0"/>
                <w:numId w:val="35"/>
              </w:numPr>
              <w:spacing w:line="276" w:lineRule="auto"/>
              <w:rPr>
                <w:rFonts w:ascii="Tahoma" w:hAnsi="Tahoma" w:cs="Tahoma"/>
              </w:rPr>
            </w:pPr>
            <w:r w:rsidRPr="00D87B79">
              <w:rPr>
                <w:rFonts w:ascii="Tahoma" w:hAnsi="Tahoma" w:cs="Tahoma"/>
                <w:color w:val="000000"/>
                <w:sz w:val="18"/>
                <w:lang w:val="it-IT"/>
              </w:rPr>
              <w:t>Accesso e risposte rapide dall’autorità di</w:t>
            </w:r>
            <w:r>
              <w:rPr>
                <w:rFonts w:ascii="Tahoma" w:hAnsi="Tahoma" w:cs="Tahoma"/>
                <w:color w:val="000000"/>
                <w:sz w:val="18"/>
                <w:lang w:val="it-IT"/>
              </w:rPr>
              <w:t> </w:t>
            </w:r>
            <w:r w:rsidRPr="00D87B79">
              <w:rPr>
                <w:rFonts w:ascii="Tahoma" w:hAnsi="Tahoma" w:cs="Tahoma"/>
                <w:color w:val="000000"/>
                <w:sz w:val="18"/>
                <w:lang w:val="it-IT"/>
              </w:rPr>
              <w:t>controllo delle modifiche</w:t>
            </w:r>
          </w:p>
          <w:p w:rsidR="00A92422" w:rsidRPr="00D87B79" w:rsidRDefault="00A92422" w:rsidP="00EA30FC">
            <w:pPr>
              <w:pStyle w:val="ListBullet3"/>
              <w:numPr>
                <w:ilvl w:val="0"/>
                <w:numId w:val="35"/>
              </w:numPr>
              <w:spacing w:line="276" w:lineRule="auto"/>
              <w:rPr>
                <w:rFonts w:ascii="Tahoma" w:hAnsi="Tahoma" w:cs="Tahoma"/>
                <w:color w:val="000000"/>
                <w:sz w:val="18"/>
                <w:szCs w:val="18"/>
              </w:rPr>
            </w:pPr>
            <w:r w:rsidRPr="00D87B79">
              <w:rPr>
                <w:rFonts w:ascii="Tahoma" w:hAnsi="Tahoma" w:cs="Tahoma"/>
                <w:color w:val="000000"/>
                <w:sz w:val="18"/>
                <w:szCs w:val="18"/>
                <w:lang w:val="it-IT"/>
              </w:rPr>
              <w:t>Comunicazione della</w:t>
            </w:r>
            <w:r>
              <w:rPr>
                <w:rFonts w:ascii="Tahoma" w:hAnsi="Tahoma" w:cs="Tahoma"/>
                <w:color w:val="000000"/>
                <w:sz w:val="18"/>
                <w:szCs w:val="18"/>
                <w:lang w:val="it-IT"/>
              </w:rPr>
              <w:t> </w:t>
            </w:r>
            <w:r w:rsidRPr="00D87B79">
              <w:rPr>
                <w:rFonts w:ascii="Tahoma" w:hAnsi="Tahoma" w:cs="Tahoma"/>
                <w:color w:val="000000"/>
                <w:sz w:val="18"/>
                <w:szCs w:val="18"/>
                <w:lang w:val="it-IT"/>
              </w:rPr>
              <w:t>direzione</w:t>
            </w:r>
          </w:p>
        </w:tc>
      </w:tr>
      <w:tr w:rsidR="00A92422" w:rsidRPr="00D87B79" w:rsidTr="00EA30FC">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92422" w:rsidRPr="00D87B79" w:rsidRDefault="00A92422" w:rsidP="00EA30FC">
            <w:pPr>
              <w:pStyle w:val="tableclose"/>
              <w:spacing w:line="276" w:lineRule="auto"/>
              <w:rPr>
                <w:rFonts w:ascii="Tahoma" w:hAnsi="Tahoma" w:cs="Tahoma"/>
                <w:color w:val="000000"/>
                <w:sz w:val="18"/>
                <w:szCs w:val="18"/>
              </w:rPr>
            </w:pPr>
            <w:r w:rsidRPr="00D87B79">
              <w:rPr>
                <w:rFonts w:ascii="Tahoma" w:hAnsi="Tahoma" w:cs="Tahoma"/>
                <w:color w:val="000000"/>
                <w:sz w:val="18"/>
                <w:szCs w:val="18"/>
                <w:lang w:val="it-IT"/>
              </w:rPr>
              <w:t>B Formulazione telefonica o invio tramite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A92422" w:rsidRPr="00D87B79" w:rsidRDefault="00A92422" w:rsidP="00EA30FC">
            <w:pPr>
              <w:pStyle w:val="ListBullet3"/>
              <w:numPr>
                <w:ilvl w:val="0"/>
                <w:numId w:val="33"/>
              </w:numPr>
              <w:spacing w:line="276" w:lineRule="auto"/>
              <w:rPr>
                <w:rFonts w:ascii="Tahoma" w:hAnsi="Tahoma" w:cs="Tahoma"/>
              </w:rPr>
            </w:pPr>
            <w:r w:rsidRPr="00D87B79">
              <w:rPr>
                <w:rFonts w:ascii="Tahoma" w:hAnsi="Tahoma" w:cs="Tahoma"/>
                <w:color w:val="000000"/>
                <w:sz w:val="18"/>
                <w:lang w:val="it-IT"/>
              </w:rPr>
              <w:t>Impatto commerciale moderato:</w:t>
            </w:r>
            <w:r w:rsidRPr="00D87B79">
              <w:rPr>
                <w:rFonts w:ascii="Tahoma" w:hAnsi="Tahoma" w:cs="Tahoma"/>
                <w:color w:val="000000"/>
                <w:sz w:val="18"/>
                <w:szCs w:val="18"/>
              </w:rPr>
              <w:t xml:space="preserve"> </w:t>
            </w:r>
          </w:p>
          <w:p w:rsidR="00A92422" w:rsidRPr="00D87B79" w:rsidRDefault="00A92422" w:rsidP="00EA30FC">
            <w:pPr>
              <w:pStyle w:val="ListBullet3"/>
              <w:numPr>
                <w:ilvl w:val="0"/>
                <w:numId w:val="33"/>
              </w:numPr>
              <w:spacing w:line="276" w:lineRule="auto"/>
              <w:rPr>
                <w:rFonts w:ascii="Tahoma" w:hAnsi="Tahoma" w:cs="Tahoma"/>
              </w:rPr>
            </w:pPr>
            <w:r w:rsidRPr="00D87B79">
              <w:rPr>
                <w:rFonts w:ascii="Tahoma" w:hAnsi="Tahoma" w:cs="Tahoma"/>
                <w:color w:val="000000"/>
                <w:sz w:val="18"/>
                <w:lang w:val="it-IT"/>
              </w:rPr>
              <w:t>Perdita o degradazione moderata dei servizi e possibilità di continuare il lavoro in modo meno efficiente.</w:t>
            </w:r>
          </w:p>
          <w:p w:rsidR="00A92422" w:rsidRPr="00D87B79" w:rsidRDefault="00A92422" w:rsidP="00EA30FC">
            <w:pPr>
              <w:pStyle w:val="ListBullet3"/>
              <w:numPr>
                <w:ilvl w:val="0"/>
                <w:numId w:val="33"/>
              </w:numPr>
              <w:spacing w:line="276" w:lineRule="auto"/>
              <w:rPr>
                <w:rFonts w:ascii="Tahoma" w:hAnsi="Tahoma" w:cs="Tahoma"/>
                <w:color w:val="000000"/>
                <w:sz w:val="18"/>
                <w:szCs w:val="18"/>
              </w:rPr>
            </w:pPr>
            <w:r w:rsidRPr="00D87B79">
              <w:rPr>
                <w:rFonts w:ascii="Tahoma" w:hAnsi="Tahoma" w:cs="Tahoma"/>
                <w:color w:val="000000"/>
                <w:sz w:val="18"/>
                <w:lang w:val="it-IT"/>
              </w:rPr>
              <w:t>Necessità dell’intervento entro 2 Ore Lavorative</w:t>
            </w:r>
            <w:r w:rsidRPr="00E76D13">
              <w:rPr>
                <w:rFonts w:ascii="Tahoma" w:hAnsi="Tahoma" w:cs="Tahoma"/>
                <w:color w:val="000000"/>
                <w:sz w:val="18"/>
                <w:vertAlign w:val="superscript"/>
                <w:lang w:val="it-I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A92422" w:rsidRPr="00D87B79" w:rsidRDefault="00A92422" w:rsidP="00EA30FC">
            <w:pPr>
              <w:pStyle w:val="ListBullet3"/>
              <w:numPr>
                <w:ilvl w:val="0"/>
                <w:numId w:val="34"/>
              </w:numPr>
              <w:spacing w:line="276" w:lineRule="auto"/>
              <w:rPr>
                <w:rFonts w:ascii="Tahoma" w:hAnsi="Tahoma" w:cs="Tahoma"/>
              </w:rPr>
            </w:pPr>
            <w:r w:rsidRPr="00D87B79">
              <w:rPr>
                <w:rFonts w:ascii="Tahoma" w:hAnsi="Tahoma" w:cs="Tahoma"/>
                <w:color w:val="000000"/>
                <w:sz w:val="18"/>
                <w:lang w:val="it-IT"/>
              </w:rPr>
              <w:t>Risposta alla 1</w:t>
            </w:r>
            <w:r w:rsidRPr="00D87B79">
              <w:rPr>
                <w:rFonts w:ascii="Tahoma" w:hAnsi="Tahoma" w:cs="Tahoma"/>
                <w:color w:val="000000"/>
                <w:sz w:val="18"/>
                <w:vertAlign w:val="superscript"/>
                <w:lang w:val="it-IT"/>
              </w:rPr>
              <w:t>a</w:t>
            </w:r>
            <w:r w:rsidRPr="00D87B79">
              <w:rPr>
                <w:rFonts w:ascii="Tahoma" w:hAnsi="Tahoma" w:cs="Tahoma"/>
                <w:color w:val="000000"/>
                <w:sz w:val="18"/>
                <w:lang w:val="it-IT"/>
              </w:rPr>
              <w:t xml:space="preserve"> chiamata in</w:t>
            </w:r>
            <w:r>
              <w:rPr>
                <w:rFonts w:ascii="Tahoma" w:hAnsi="Tahoma" w:cs="Tahoma"/>
                <w:color w:val="000000"/>
                <w:sz w:val="18"/>
                <w:lang w:val="it-IT"/>
              </w:rPr>
              <w:t> </w:t>
            </w:r>
            <w:r w:rsidRPr="00D87B79">
              <w:rPr>
                <w:rFonts w:ascii="Tahoma" w:hAnsi="Tahoma" w:cs="Tahoma"/>
                <w:color w:val="000000"/>
                <w:sz w:val="18"/>
                <w:lang w:val="it-IT"/>
              </w:rPr>
              <w:t>2 ore o meno</w:t>
            </w:r>
          </w:p>
          <w:p w:rsidR="00A92422" w:rsidRPr="00D87B79" w:rsidRDefault="00A92422" w:rsidP="00EA30FC">
            <w:pPr>
              <w:pStyle w:val="ListBullet3"/>
              <w:numPr>
                <w:ilvl w:val="0"/>
                <w:numId w:val="34"/>
              </w:numPr>
              <w:spacing w:line="276" w:lineRule="auto"/>
              <w:rPr>
                <w:rFonts w:ascii="Tahoma" w:hAnsi="Tahoma" w:cs="Tahoma"/>
              </w:rPr>
            </w:pPr>
            <w:r w:rsidRPr="00D87B79">
              <w:rPr>
                <w:rFonts w:ascii="Tahoma" w:hAnsi="Tahoma" w:cs="Tahoma"/>
                <w:color w:val="000000"/>
                <w:sz w:val="18"/>
                <w:lang w:val="it-IT"/>
              </w:rPr>
              <w:t>Impegno solo durante le Ore</w:t>
            </w:r>
            <w:r>
              <w:rPr>
                <w:rFonts w:ascii="Tahoma" w:hAnsi="Tahoma" w:cs="Tahoma"/>
                <w:color w:val="000000"/>
                <w:sz w:val="18"/>
                <w:lang w:val="it-IT"/>
              </w:rPr>
              <w:t> </w:t>
            </w:r>
            <w:r w:rsidRPr="00D87B79">
              <w:rPr>
                <w:rFonts w:ascii="Tahoma" w:hAnsi="Tahoma" w:cs="Tahoma"/>
                <w:color w:val="000000"/>
                <w:sz w:val="18"/>
                <w:lang w:val="it-IT"/>
              </w:rPr>
              <w:t>Lavorative</w:t>
            </w:r>
            <w:r w:rsidRPr="00D87B79">
              <w:rPr>
                <w:rFonts w:ascii="Tahoma" w:hAnsi="Tahoma" w:cs="Tahoma"/>
                <w:color w:val="000000"/>
                <w:sz w:val="18"/>
                <w:vertAlign w:val="superscript"/>
                <w:lang w:val="it-IT"/>
              </w:rPr>
              <w:t>1</w:t>
            </w:r>
          </w:p>
          <w:p w:rsidR="00A92422" w:rsidRPr="00D87B79" w:rsidRDefault="00A92422" w:rsidP="00EA30FC">
            <w:pPr>
              <w:pStyle w:val="ListBullet3"/>
              <w:tabs>
                <w:tab w:val="clear" w:pos="1080"/>
                <w:tab w:val="left" w:pos="720"/>
              </w:tabs>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A92422" w:rsidRPr="00D87B79" w:rsidRDefault="00A92422" w:rsidP="00EA30FC">
            <w:pPr>
              <w:pStyle w:val="ListBullet3"/>
              <w:numPr>
                <w:ilvl w:val="0"/>
                <w:numId w:val="35"/>
              </w:numPr>
              <w:spacing w:line="276" w:lineRule="auto"/>
              <w:rPr>
                <w:rFonts w:ascii="Tahoma" w:hAnsi="Tahoma" w:cs="Tahoma"/>
              </w:rPr>
            </w:pPr>
            <w:r w:rsidRPr="00D87B79">
              <w:rPr>
                <w:rFonts w:ascii="Tahoma" w:hAnsi="Tahoma" w:cs="Tahoma"/>
                <w:color w:val="000000"/>
                <w:sz w:val="18"/>
                <w:lang w:val="it-IT"/>
              </w:rPr>
              <w:t>Allocazione di risorse appropriate per sostenere l’impegno continuo durante le</w:t>
            </w:r>
            <w:r>
              <w:rPr>
                <w:rFonts w:ascii="Tahoma" w:hAnsi="Tahoma" w:cs="Tahoma"/>
                <w:color w:val="000000"/>
                <w:sz w:val="18"/>
                <w:lang w:val="it-IT"/>
              </w:rPr>
              <w:t> </w:t>
            </w:r>
            <w:r w:rsidRPr="00D87B79">
              <w:rPr>
                <w:rFonts w:ascii="Tahoma" w:hAnsi="Tahoma" w:cs="Tahoma"/>
                <w:color w:val="000000"/>
                <w:sz w:val="18"/>
                <w:lang w:val="it-IT"/>
              </w:rPr>
              <w:t>Ore Lavorative</w:t>
            </w:r>
            <w:r w:rsidRPr="00E76D13">
              <w:rPr>
                <w:rFonts w:ascii="Tahoma" w:hAnsi="Tahoma" w:cs="Tahoma"/>
                <w:color w:val="000000"/>
                <w:sz w:val="18"/>
                <w:vertAlign w:val="superscript"/>
                <w:lang w:val="it-IT"/>
              </w:rPr>
              <w:t>1</w:t>
            </w:r>
          </w:p>
          <w:p w:rsidR="00A92422" w:rsidRPr="00D87B79" w:rsidRDefault="00A92422" w:rsidP="00EA30FC">
            <w:pPr>
              <w:pStyle w:val="ListBullet3"/>
              <w:numPr>
                <w:ilvl w:val="0"/>
                <w:numId w:val="35"/>
              </w:numPr>
              <w:spacing w:line="276" w:lineRule="auto"/>
              <w:rPr>
                <w:rFonts w:ascii="Tahoma" w:hAnsi="Tahoma" w:cs="Tahoma"/>
                <w:color w:val="000000"/>
                <w:sz w:val="18"/>
                <w:szCs w:val="18"/>
              </w:rPr>
            </w:pPr>
            <w:r w:rsidRPr="00D87B79">
              <w:rPr>
                <w:rFonts w:ascii="Tahoma" w:hAnsi="Tahoma" w:cs="Tahoma"/>
                <w:color w:val="000000"/>
                <w:sz w:val="18"/>
                <w:lang w:val="it-IT"/>
              </w:rPr>
              <w:t>Accesso e risposta dall’autorità preposta al controllo delle modifiche entro 4</w:t>
            </w:r>
            <w:r>
              <w:rPr>
                <w:rFonts w:ascii="Tahoma" w:hAnsi="Tahoma" w:cs="Tahoma"/>
                <w:color w:val="000000"/>
                <w:sz w:val="18"/>
                <w:lang w:val="it-IT"/>
              </w:rPr>
              <w:t> </w:t>
            </w:r>
            <w:r w:rsidRPr="00D87B79">
              <w:rPr>
                <w:rFonts w:ascii="Tahoma" w:hAnsi="Tahoma" w:cs="Tahoma"/>
                <w:color w:val="000000"/>
                <w:sz w:val="18"/>
                <w:lang w:val="it-IT"/>
              </w:rPr>
              <w:t>Ore</w:t>
            </w:r>
            <w:r>
              <w:rPr>
                <w:rFonts w:ascii="Tahoma" w:hAnsi="Tahoma" w:cs="Tahoma"/>
                <w:color w:val="000000"/>
                <w:sz w:val="18"/>
                <w:lang w:val="it-IT"/>
              </w:rPr>
              <w:t> </w:t>
            </w:r>
            <w:r w:rsidRPr="00D87B79">
              <w:rPr>
                <w:rFonts w:ascii="Tahoma" w:hAnsi="Tahoma" w:cs="Tahoma"/>
                <w:color w:val="000000"/>
                <w:sz w:val="18"/>
                <w:lang w:val="it-IT"/>
              </w:rPr>
              <w:t>Lavorative</w:t>
            </w:r>
            <w:r w:rsidRPr="00E76D13">
              <w:rPr>
                <w:rFonts w:ascii="Tahoma" w:hAnsi="Tahoma" w:cs="Tahoma"/>
                <w:color w:val="000000"/>
                <w:sz w:val="18"/>
                <w:vertAlign w:val="superscript"/>
                <w:lang w:val="it-IT"/>
              </w:rPr>
              <w:t>1</w:t>
            </w:r>
          </w:p>
        </w:tc>
      </w:tr>
      <w:tr w:rsidR="00A92422" w:rsidRPr="00D87B79" w:rsidTr="00EA30FC">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92422" w:rsidRPr="00D87B79" w:rsidRDefault="00A92422" w:rsidP="00EA30FC">
            <w:pPr>
              <w:pStyle w:val="tableclose"/>
              <w:spacing w:line="276" w:lineRule="auto"/>
              <w:rPr>
                <w:rFonts w:ascii="Tahoma" w:hAnsi="Tahoma" w:cs="Tahoma"/>
                <w:color w:val="000000"/>
                <w:sz w:val="18"/>
                <w:szCs w:val="18"/>
              </w:rPr>
            </w:pPr>
            <w:r w:rsidRPr="00D87B79">
              <w:rPr>
                <w:rFonts w:ascii="Tahoma" w:hAnsi="Tahoma" w:cs="Tahoma"/>
                <w:color w:val="000000"/>
                <w:sz w:val="18"/>
                <w:szCs w:val="18"/>
                <w:lang w:val="it-IT"/>
              </w:rPr>
              <w:t>C Formulazione telefonica o invio tramite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A92422" w:rsidRPr="00D87B79" w:rsidRDefault="00A92422" w:rsidP="00EA30FC">
            <w:pPr>
              <w:pStyle w:val="ListBullet3"/>
              <w:numPr>
                <w:ilvl w:val="0"/>
                <w:numId w:val="33"/>
              </w:numPr>
              <w:spacing w:line="276" w:lineRule="auto"/>
              <w:rPr>
                <w:rFonts w:ascii="Tahoma" w:hAnsi="Tahoma" w:cs="Tahoma"/>
              </w:rPr>
            </w:pPr>
            <w:r w:rsidRPr="00D87B79">
              <w:rPr>
                <w:rFonts w:ascii="Tahoma" w:hAnsi="Tahoma" w:cs="Tahoma"/>
                <w:color w:val="000000"/>
                <w:sz w:val="18"/>
                <w:szCs w:val="18"/>
                <w:lang w:val="it-IT"/>
              </w:rPr>
              <w:t>Impatto commerciale minimo</w:t>
            </w:r>
            <w:r w:rsidRPr="00D87B79">
              <w:rPr>
                <w:rFonts w:ascii="Tahoma" w:hAnsi="Tahoma" w:cs="Tahoma"/>
                <w:color w:val="000000"/>
                <w:sz w:val="18"/>
                <w:szCs w:val="18"/>
              </w:rPr>
              <w:t xml:space="preserve"> </w:t>
            </w:r>
          </w:p>
          <w:p w:rsidR="00A92422" w:rsidRPr="00D87B79" w:rsidRDefault="00A92422" w:rsidP="00EA30FC">
            <w:pPr>
              <w:pStyle w:val="ListBullet3"/>
              <w:numPr>
                <w:ilvl w:val="0"/>
                <w:numId w:val="33"/>
              </w:numPr>
              <w:spacing w:line="276" w:lineRule="auto"/>
              <w:rPr>
                <w:rFonts w:ascii="Tahoma" w:hAnsi="Tahoma" w:cs="Tahoma"/>
              </w:rPr>
            </w:pPr>
            <w:r w:rsidRPr="00D87B79">
              <w:rPr>
                <w:rFonts w:ascii="Tahoma" w:hAnsi="Tahoma" w:cs="Tahoma"/>
                <w:color w:val="000000"/>
                <w:sz w:val="18"/>
                <w:lang w:val="it-IT"/>
              </w:rPr>
              <w:t>Funzionamento sostanzialmente nella norma, in alcuni casi con qualche minimo impedimento dei servizi.</w:t>
            </w:r>
          </w:p>
          <w:p w:rsidR="00A92422" w:rsidRPr="00D87B79" w:rsidRDefault="00A92422" w:rsidP="00EA30FC">
            <w:pPr>
              <w:pStyle w:val="ListBullet3"/>
              <w:numPr>
                <w:ilvl w:val="0"/>
                <w:numId w:val="33"/>
              </w:numPr>
              <w:spacing w:line="276" w:lineRule="auto"/>
              <w:rPr>
                <w:rFonts w:ascii="Tahoma" w:hAnsi="Tahoma" w:cs="Tahoma"/>
                <w:color w:val="000000"/>
                <w:sz w:val="18"/>
                <w:szCs w:val="18"/>
              </w:rPr>
            </w:pPr>
            <w:r w:rsidRPr="00D87B79">
              <w:rPr>
                <w:rFonts w:ascii="Tahoma" w:hAnsi="Tahoma" w:cs="Tahoma"/>
                <w:color w:val="000000"/>
                <w:sz w:val="18"/>
                <w:lang w:val="it-IT"/>
              </w:rPr>
              <w:t>Necessità dell’intervento entro 4 Ore Lavorative</w:t>
            </w:r>
            <w:r w:rsidRPr="00E76D13">
              <w:rPr>
                <w:rFonts w:ascii="Tahoma" w:hAnsi="Tahoma" w:cs="Tahoma"/>
                <w:color w:val="000000"/>
                <w:sz w:val="18"/>
                <w:vertAlign w:val="superscript"/>
                <w:lang w:val="it-I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A92422" w:rsidRPr="00D87B79" w:rsidRDefault="00A92422" w:rsidP="00EA30FC">
            <w:pPr>
              <w:pStyle w:val="ListBullet3"/>
              <w:numPr>
                <w:ilvl w:val="0"/>
                <w:numId w:val="34"/>
              </w:numPr>
              <w:spacing w:line="276" w:lineRule="auto"/>
              <w:rPr>
                <w:rFonts w:ascii="Tahoma" w:hAnsi="Tahoma" w:cs="Tahoma"/>
              </w:rPr>
            </w:pPr>
            <w:r w:rsidRPr="00D87B79">
              <w:rPr>
                <w:rFonts w:ascii="Tahoma" w:hAnsi="Tahoma" w:cs="Tahoma"/>
                <w:color w:val="000000"/>
                <w:sz w:val="18"/>
                <w:lang w:val="it-IT"/>
              </w:rPr>
              <w:t>Risposta alla 1</w:t>
            </w:r>
            <w:r w:rsidRPr="00D87B79">
              <w:rPr>
                <w:rFonts w:ascii="Tahoma" w:hAnsi="Tahoma" w:cs="Tahoma"/>
                <w:color w:val="000000"/>
                <w:sz w:val="18"/>
                <w:vertAlign w:val="superscript"/>
                <w:lang w:val="it-IT"/>
              </w:rPr>
              <w:t>a</w:t>
            </w:r>
            <w:r w:rsidRPr="00D87B79">
              <w:rPr>
                <w:rFonts w:ascii="Tahoma" w:hAnsi="Tahoma" w:cs="Tahoma"/>
                <w:color w:val="000000"/>
                <w:sz w:val="18"/>
                <w:lang w:val="it-IT"/>
              </w:rPr>
              <w:t xml:space="preserve"> chiamata in</w:t>
            </w:r>
            <w:r>
              <w:rPr>
                <w:rFonts w:ascii="Tahoma" w:hAnsi="Tahoma" w:cs="Tahoma"/>
                <w:color w:val="000000"/>
                <w:sz w:val="18"/>
                <w:lang w:val="it-IT"/>
              </w:rPr>
              <w:t> </w:t>
            </w:r>
            <w:r w:rsidRPr="00D87B79">
              <w:rPr>
                <w:rFonts w:ascii="Tahoma" w:hAnsi="Tahoma" w:cs="Tahoma"/>
                <w:color w:val="000000"/>
                <w:sz w:val="18"/>
                <w:lang w:val="it-IT"/>
              </w:rPr>
              <w:t>4 ore o meno</w:t>
            </w:r>
          </w:p>
          <w:p w:rsidR="00A92422" w:rsidRPr="00D87B79" w:rsidRDefault="00A92422" w:rsidP="00EA30FC">
            <w:pPr>
              <w:pStyle w:val="ListBullet3"/>
              <w:numPr>
                <w:ilvl w:val="0"/>
                <w:numId w:val="34"/>
              </w:numPr>
              <w:spacing w:line="276" w:lineRule="auto"/>
              <w:rPr>
                <w:rFonts w:ascii="Tahoma" w:hAnsi="Tahoma" w:cs="Tahoma"/>
              </w:rPr>
            </w:pPr>
            <w:r w:rsidRPr="00D87B79">
              <w:rPr>
                <w:rFonts w:ascii="Tahoma" w:hAnsi="Tahoma" w:cs="Tahoma"/>
                <w:color w:val="000000"/>
                <w:sz w:val="18"/>
                <w:lang w:val="it-IT"/>
              </w:rPr>
              <w:t>Impegno solo durante le Ore</w:t>
            </w:r>
            <w:r>
              <w:rPr>
                <w:rFonts w:ascii="Tahoma" w:hAnsi="Tahoma" w:cs="Tahoma"/>
                <w:color w:val="000000"/>
                <w:sz w:val="18"/>
                <w:lang w:val="it-IT"/>
              </w:rPr>
              <w:t> </w:t>
            </w:r>
            <w:r w:rsidRPr="00D87B79">
              <w:rPr>
                <w:rFonts w:ascii="Tahoma" w:hAnsi="Tahoma" w:cs="Tahoma"/>
                <w:color w:val="000000"/>
                <w:sz w:val="18"/>
                <w:lang w:val="it-IT"/>
              </w:rPr>
              <w:t>Lavorative</w:t>
            </w:r>
            <w:r w:rsidRPr="00D87B79">
              <w:rPr>
                <w:rFonts w:ascii="Tahoma" w:hAnsi="Tahoma" w:cs="Tahoma"/>
                <w:color w:val="000000"/>
                <w:sz w:val="18"/>
                <w:vertAlign w:val="superscript"/>
                <w:lang w:val="it-IT"/>
              </w:rPr>
              <w:t>1</w:t>
            </w:r>
          </w:p>
          <w:p w:rsidR="00A92422" w:rsidRPr="00D87B79" w:rsidRDefault="00A92422" w:rsidP="00EA30FC">
            <w:pPr>
              <w:pStyle w:val="tableclose"/>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A92422" w:rsidRPr="00D87B79" w:rsidRDefault="00A92422" w:rsidP="00EA30FC">
            <w:pPr>
              <w:pStyle w:val="ListBullet3"/>
              <w:numPr>
                <w:ilvl w:val="0"/>
                <w:numId w:val="35"/>
              </w:numPr>
              <w:spacing w:line="276" w:lineRule="auto"/>
              <w:rPr>
                <w:rFonts w:ascii="Tahoma" w:hAnsi="Tahoma" w:cs="Tahoma"/>
              </w:rPr>
            </w:pPr>
            <w:r w:rsidRPr="00D87B79">
              <w:rPr>
                <w:rFonts w:ascii="Tahoma" w:hAnsi="Tahoma" w:cs="Tahoma"/>
                <w:color w:val="000000"/>
                <w:sz w:val="18"/>
                <w:lang w:val="it-IT"/>
              </w:rPr>
              <w:t>Informazioni accurate da parte di chi segue il</w:t>
            </w:r>
            <w:r>
              <w:rPr>
                <w:rFonts w:ascii="Tahoma" w:hAnsi="Tahoma" w:cs="Tahoma"/>
                <w:color w:val="000000"/>
                <w:sz w:val="18"/>
                <w:lang w:val="it-IT"/>
              </w:rPr>
              <w:t> </w:t>
            </w:r>
            <w:r w:rsidRPr="00D87B79">
              <w:rPr>
                <w:rFonts w:ascii="Tahoma" w:hAnsi="Tahoma" w:cs="Tahoma"/>
                <w:color w:val="000000"/>
                <w:sz w:val="18"/>
                <w:lang w:val="it-IT"/>
              </w:rPr>
              <w:t>caso</w:t>
            </w:r>
          </w:p>
          <w:p w:rsidR="00A92422" w:rsidRPr="00D87B79" w:rsidRDefault="00A92422" w:rsidP="00EA30FC">
            <w:pPr>
              <w:pStyle w:val="ListBullet3"/>
              <w:numPr>
                <w:ilvl w:val="0"/>
                <w:numId w:val="35"/>
              </w:numPr>
              <w:spacing w:line="276" w:lineRule="auto"/>
              <w:rPr>
                <w:rFonts w:ascii="Tahoma" w:hAnsi="Tahoma" w:cs="Tahoma"/>
                <w:color w:val="000000"/>
                <w:sz w:val="18"/>
                <w:szCs w:val="18"/>
              </w:rPr>
            </w:pPr>
            <w:r w:rsidRPr="00D87B79">
              <w:rPr>
                <w:rFonts w:ascii="Tahoma" w:hAnsi="Tahoma" w:cs="Tahoma"/>
                <w:color w:val="000000"/>
                <w:sz w:val="18"/>
                <w:szCs w:val="18"/>
                <w:lang w:val="it-IT"/>
              </w:rPr>
              <w:t>Risposta entro 24 ore.</w:t>
            </w:r>
          </w:p>
        </w:tc>
      </w:tr>
    </w:tbl>
    <w:p w:rsidR="00A92422" w:rsidRPr="00D87B79" w:rsidRDefault="00A92422" w:rsidP="00A92422">
      <w:pPr>
        <w:pStyle w:val="tableclose"/>
        <w:rPr>
          <w:rFonts w:ascii="Tahoma" w:hAnsi="Tahoma" w:cs="Tahoma"/>
        </w:rPr>
      </w:pPr>
      <w:r w:rsidRPr="00D87B79">
        <w:rPr>
          <w:rFonts w:ascii="Tahoma" w:hAnsi="Tahoma" w:cs="Tahoma"/>
          <w:i/>
          <w:color w:val="000000"/>
          <w:sz w:val="16"/>
          <w:vertAlign w:val="superscript"/>
          <w:lang w:val="it-IT"/>
        </w:rPr>
        <w:t>1</w:t>
      </w:r>
      <w:r w:rsidRPr="00D87B79">
        <w:rPr>
          <w:rFonts w:ascii="Tahoma" w:hAnsi="Tahoma" w:cs="Tahoma"/>
          <w:i/>
          <w:color w:val="000000"/>
          <w:sz w:val="16"/>
          <w:lang w:val="it-IT"/>
        </w:rPr>
        <w:t xml:space="preserve"> Le Ore Lavorative sono definite su base locale.</w:t>
      </w:r>
    </w:p>
    <w:p w:rsidR="00A92422" w:rsidRPr="00D87B79" w:rsidRDefault="00A92422" w:rsidP="00A92422">
      <w:pPr>
        <w:pStyle w:val="tableclose"/>
        <w:rPr>
          <w:rFonts w:ascii="Tahoma" w:hAnsi="Tahoma" w:cs="Tahoma"/>
        </w:rPr>
      </w:pPr>
      <w:r w:rsidRPr="00D87B79">
        <w:rPr>
          <w:rFonts w:ascii="Tahoma" w:hAnsi="Tahoma" w:cs="Tahoma"/>
          <w:i/>
          <w:color w:val="000000"/>
          <w:sz w:val="16"/>
          <w:vertAlign w:val="superscript"/>
          <w:lang w:val="it-IT"/>
        </w:rPr>
        <w:t xml:space="preserve">2 </w:t>
      </w:r>
      <w:r w:rsidRPr="00D87B79">
        <w:rPr>
          <w:rFonts w:ascii="Tahoma" w:hAnsi="Tahoma" w:cs="Tahoma"/>
          <w:i/>
          <w:color w:val="000000"/>
          <w:sz w:val="16"/>
          <w:lang w:val="it-IT"/>
        </w:rPr>
        <w:t>È possibile che Microsoft riduca il livello di gravità se la società non è in grado di fornire risorse o risposte adeguate a supporto dell’impegno di Microsoft volto a risolvere il problema.</w:t>
      </w:r>
    </w:p>
    <w:p w:rsidR="00A92422" w:rsidRPr="00D87B79" w:rsidRDefault="00A92422" w:rsidP="00A92422">
      <w:pPr>
        <w:rPr>
          <w:rFonts w:cs="Tahoma"/>
        </w:rPr>
      </w:pPr>
    </w:p>
    <w:p w:rsidR="00A92422" w:rsidRPr="00D87B79" w:rsidRDefault="00A92422" w:rsidP="00A92422">
      <w:pPr>
        <w:spacing w:after="120"/>
        <w:rPr>
          <w:rFonts w:cs="Tahoma"/>
        </w:rPr>
      </w:pPr>
      <w:r w:rsidRPr="00D87B79">
        <w:rPr>
          <w:rFonts w:cs="Tahoma"/>
          <w:color w:val="000000"/>
          <w:lang w:val="it-IT"/>
        </w:rPr>
        <w:t xml:space="preserve">Il servizio </w:t>
      </w:r>
      <w:r w:rsidRPr="00D87B79">
        <w:rPr>
          <w:rFonts w:cs="Tahoma"/>
          <w:b/>
          <w:color w:val="000000"/>
          <w:lang w:val="it-IT"/>
        </w:rPr>
        <w:t>Information Services</w:t>
      </w:r>
      <w:r w:rsidRPr="00D87B79">
        <w:rPr>
          <w:rFonts w:cs="Tahoma"/>
          <w:color w:val="000000"/>
          <w:lang w:val="it-IT"/>
        </w:rPr>
        <w:t xml:space="preserve"> include l’accesso al sito Web Premier e a Webcast di supporto pianificati su base periodica condotte da manager, sviluppatori ed esperti del programma Microsoft che forniscono informazioni chiave sulla tecnologia Microsoft.</w:t>
      </w:r>
    </w:p>
    <w:p w:rsidR="00A92422" w:rsidRPr="00D87B79" w:rsidRDefault="00A92422" w:rsidP="00A92422">
      <w:pPr>
        <w:rPr>
          <w:rFonts w:cs="Tahoma"/>
        </w:rPr>
      </w:pPr>
      <w:r w:rsidRPr="00D87B79">
        <w:rPr>
          <w:rFonts w:cs="Tahoma"/>
          <w:color w:val="000000"/>
          <w:lang w:val="it-IT"/>
        </w:rPr>
        <w:t xml:space="preserve">Le </w:t>
      </w:r>
      <w:r w:rsidRPr="00D87B79">
        <w:rPr>
          <w:rFonts w:cs="Tahoma"/>
          <w:b/>
          <w:color w:val="000000"/>
          <w:lang w:val="it-IT"/>
        </w:rPr>
        <w:t>Ore di Aggiunta</w:t>
      </w:r>
      <w:r w:rsidRPr="00D87B79">
        <w:rPr>
          <w:rFonts w:cs="Tahoma"/>
          <w:color w:val="000000"/>
          <w:lang w:val="it-IT"/>
        </w:rPr>
        <w:t xml:space="preserve"> possono essere utilizzate per le Attività Proattive di Supporto (Support Assistance) o il Supporto per la Risoluzione dei Problemi.</w:t>
      </w:r>
      <w:r w:rsidRPr="00D87B79">
        <w:rPr>
          <w:rFonts w:cs="Tahoma"/>
        </w:rPr>
        <w:t xml:space="preserve"> </w:t>
      </w:r>
    </w:p>
    <w:p w:rsidR="00A92422" w:rsidRPr="00D87B79" w:rsidRDefault="00A92422" w:rsidP="00A92422">
      <w:pPr>
        <w:rPr>
          <w:rFonts w:cs="Tahoma"/>
        </w:rPr>
      </w:pPr>
      <w:r w:rsidRPr="00D87B79">
        <w:rPr>
          <w:rFonts w:cs="Tahoma"/>
          <w:b/>
          <w:color w:val="000000"/>
          <w:lang w:val="it-IT"/>
        </w:rPr>
        <w:lastRenderedPageBreak/>
        <w:t>Regole Commerciali Associate.</w:t>
      </w:r>
      <w:r w:rsidRPr="00D87B79">
        <w:rPr>
          <w:rFonts w:cs="Tahoma"/>
        </w:rPr>
        <w:t xml:space="preserve"> </w:t>
      </w:r>
      <w:r w:rsidRPr="00D87B79">
        <w:rPr>
          <w:rFonts w:cs="Tahoma"/>
          <w:color w:val="000000"/>
          <w:lang w:val="it-IT"/>
        </w:rPr>
        <w:t>Tutti i Servizi forniscono il supporto per Prodotti Microsoft disponibili sul mercato e destinati a un uso commerciale (se non specificamente escluso sul sito Web Microsoft Premier o sul sito Web Microsoft di Supporto del Ciclo di Vita). I Servizi saranno addebitati, in genere, su base oraria, forniti in remoto e</w:t>
      </w:r>
      <w:r>
        <w:rPr>
          <w:rFonts w:cs="Tahoma"/>
          <w:color w:val="000000"/>
          <w:lang w:val="it-IT"/>
        </w:rPr>
        <w:t> </w:t>
      </w:r>
      <w:r w:rsidRPr="00D87B79">
        <w:rPr>
          <w:rFonts w:cs="Tahoma"/>
          <w:color w:val="000000"/>
          <w:lang w:val="it-IT"/>
        </w:rPr>
        <w:t>in</w:t>
      </w:r>
      <w:r>
        <w:rPr>
          <w:rFonts w:cs="Tahoma"/>
          <w:color w:val="000000"/>
          <w:lang w:val="it-IT"/>
        </w:rPr>
        <w:t> </w:t>
      </w:r>
      <w:r w:rsidRPr="00D87B79">
        <w:rPr>
          <w:rFonts w:cs="Tahoma"/>
          <w:color w:val="000000"/>
          <w:lang w:val="it-IT"/>
        </w:rPr>
        <w:t>lingua inglese (salvo laddove sia disponibile un’altra lingua). I Servizi saranno forniti nel paese in cui è stato sottoscritto il contratto VL.</w:t>
      </w:r>
      <w:r w:rsidRPr="00D87B79">
        <w:rPr>
          <w:rFonts w:cs="Tahoma"/>
        </w:rPr>
        <w:t xml:space="preserve"> </w:t>
      </w:r>
      <w:r w:rsidRPr="00D87B79">
        <w:rPr>
          <w:rFonts w:cs="Tahoma"/>
          <w:color w:val="000000"/>
          <w:lang w:val="it-IT"/>
        </w:rPr>
        <w:t>Gli interventi in loco non sono prepagati e dipendono dalla disponibilità delle risorse. Tutti i Servizi non utilizzati nell’anno andranno persi. Su richiesta della società, Microsoft potrà accedere al sistema della società tramite connessione telefonica remota per analizzare i problemi. Le società dovranno disporre di un accesso a</w:t>
      </w:r>
      <w:r>
        <w:rPr>
          <w:rFonts w:cs="Tahoma"/>
          <w:color w:val="000000"/>
          <w:lang w:val="it-IT"/>
        </w:rPr>
        <w:t> </w:t>
      </w:r>
      <w:r w:rsidRPr="00D87B79">
        <w:rPr>
          <w:rFonts w:cs="Tahoma"/>
          <w:color w:val="000000"/>
          <w:lang w:val="it-IT"/>
        </w:rPr>
        <w:t>Internet per poter utilizzare i servizi basati su Internet.</w:t>
      </w:r>
    </w:p>
    <w:p w:rsidR="00A92422" w:rsidRPr="00D87B79" w:rsidRDefault="00A92422" w:rsidP="00A92422">
      <w:pPr>
        <w:jc w:val="both"/>
        <w:rPr>
          <w:rFonts w:cs="Tahoma"/>
        </w:rPr>
      </w:pPr>
    </w:p>
    <w:p w:rsidR="00A92422" w:rsidRPr="00D87B79" w:rsidRDefault="00A92422" w:rsidP="00A92422">
      <w:pPr>
        <w:jc w:val="both"/>
        <w:rPr>
          <w:rFonts w:cs="Tahoma"/>
        </w:rPr>
      </w:pPr>
    </w:p>
    <w:p w:rsidR="00A92422" w:rsidRPr="00D87B79" w:rsidRDefault="00A92422" w:rsidP="00A92422">
      <w:pPr>
        <w:rPr>
          <w:rFonts w:cs="Tahoma"/>
        </w:rPr>
      </w:pPr>
      <w:r w:rsidRPr="00D87B79">
        <w:rPr>
          <w:rFonts w:cs="Tahoma"/>
          <w:b/>
          <w:sz w:val="24"/>
          <w:lang w:val="it-IT"/>
        </w:rPr>
        <w:t>Offerte di Supporto per Microsoft Windows Azure</w:t>
      </w:r>
    </w:p>
    <w:p w:rsidR="00A92422" w:rsidRPr="00D87B79" w:rsidRDefault="00A92422" w:rsidP="00A92422">
      <w:pPr>
        <w:rPr>
          <w:rFonts w:cs="Tahoma"/>
        </w:rPr>
      </w:pPr>
    </w:p>
    <w:p w:rsidR="00A92422" w:rsidRPr="00D87B79" w:rsidRDefault="00A92422" w:rsidP="00A92422">
      <w:pPr>
        <w:jc w:val="both"/>
        <w:rPr>
          <w:rFonts w:cs="Tahoma"/>
        </w:rPr>
      </w:pPr>
      <w:r w:rsidRPr="00D87B79">
        <w:rPr>
          <w:rFonts w:cs="Tahoma"/>
          <w:color w:val="000000"/>
          <w:lang w:val="it-IT"/>
        </w:rPr>
        <w:t>Salvo quanto diversamente specificato sotto, i Servizi di Supporto per Windows Azure sono disponibili per Windows</w:t>
      </w:r>
      <w:r>
        <w:rPr>
          <w:rFonts w:cs="Tahoma"/>
          <w:color w:val="000000"/>
          <w:lang w:val="it-IT"/>
        </w:rPr>
        <w:t> </w:t>
      </w:r>
      <w:r w:rsidRPr="00D87B79">
        <w:rPr>
          <w:rFonts w:cs="Tahoma"/>
          <w:color w:val="000000"/>
          <w:lang w:val="it-IT"/>
        </w:rPr>
        <w:t>Azure.</w:t>
      </w:r>
      <w:r w:rsidRPr="00D87B79">
        <w:rPr>
          <w:rFonts w:cs="Tahoma"/>
        </w:rPr>
        <w:t xml:space="preserve"> </w:t>
      </w:r>
    </w:p>
    <w:p w:rsidR="00A92422" w:rsidRPr="00D87B79" w:rsidRDefault="00A92422" w:rsidP="00A92422">
      <w:pPr>
        <w:tabs>
          <w:tab w:val="left" w:pos="360"/>
        </w:tabs>
        <w:jc w:val="both"/>
        <w:rPr>
          <w:rFonts w:cs="Tahoma"/>
        </w:rPr>
      </w:pPr>
    </w:p>
    <w:p w:rsidR="00A92422" w:rsidRPr="00D87B79" w:rsidRDefault="00A92422" w:rsidP="00A92422">
      <w:pPr>
        <w:tabs>
          <w:tab w:val="left" w:pos="360"/>
        </w:tabs>
        <w:jc w:val="both"/>
        <w:rPr>
          <w:rFonts w:cs="Tahoma"/>
        </w:rPr>
      </w:pPr>
      <w:r w:rsidRPr="00D87B79">
        <w:rPr>
          <w:rFonts w:cs="Tahoma"/>
          <w:lang w:val="it-IT"/>
        </w:rPr>
        <w:t>I Servizi verranno forniti dal team di Supporto di Windows Azure, che comprende specialisti di Windows Azure che</w:t>
      </w:r>
      <w:r>
        <w:rPr>
          <w:rFonts w:cs="Tahoma"/>
          <w:lang w:val="it-IT"/>
        </w:rPr>
        <w:t> </w:t>
      </w:r>
      <w:r w:rsidRPr="00D87B79">
        <w:rPr>
          <w:rFonts w:cs="Tahoma"/>
          <w:lang w:val="it-IT"/>
        </w:rPr>
        <w:t>risponderanno alle richieste di supporto per Windows Azure di una società.</w:t>
      </w:r>
      <w:r w:rsidRPr="00D87B79">
        <w:rPr>
          <w:rFonts w:cs="Tahoma"/>
        </w:rPr>
        <w:t xml:space="preserve"> </w:t>
      </w:r>
      <w:r w:rsidRPr="00D87B79">
        <w:rPr>
          <w:rFonts w:cs="Tahoma"/>
          <w:lang w:val="it-IT"/>
        </w:rPr>
        <w:t>Le società riceveranno assistenza di</w:t>
      </w:r>
      <w:r>
        <w:rPr>
          <w:rFonts w:cs="Tahoma"/>
          <w:lang w:val="it-IT"/>
        </w:rPr>
        <w:t> </w:t>
      </w:r>
      <w:r w:rsidRPr="00D87B79">
        <w:rPr>
          <w:rFonts w:cs="Tahoma"/>
          <w:lang w:val="it-IT"/>
        </w:rPr>
        <w:t>alto livello 24 ore al giorno, 7 giorni su 7.</w:t>
      </w:r>
      <w:r w:rsidRPr="00D87B79">
        <w:rPr>
          <w:rFonts w:cs="Tahoma"/>
        </w:rPr>
        <w:t xml:space="preserve"> </w:t>
      </w:r>
    </w:p>
    <w:p w:rsidR="00A92422" w:rsidRPr="00D87B79" w:rsidRDefault="00A92422" w:rsidP="00A92422">
      <w:pPr>
        <w:tabs>
          <w:tab w:val="left" w:pos="360"/>
        </w:tabs>
        <w:jc w:val="both"/>
        <w:rPr>
          <w:rFonts w:cs="Tahoma"/>
        </w:rPr>
      </w:pPr>
    </w:p>
    <w:p w:rsidR="00A92422" w:rsidRPr="00D87B79" w:rsidRDefault="00A92422" w:rsidP="00A92422">
      <w:pPr>
        <w:tabs>
          <w:tab w:val="left" w:pos="360"/>
        </w:tabs>
        <w:jc w:val="both"/>
        <w:rPr>
          <w:rFonts w:cs="Tahoma"/>
        </w:rPr>
      </w:pPr>
      <w:r w:rsidRPr="00D87B79">
        <w:rPr>
          <w:rFonts w:cs="Tahoma"/>
          <w:lang w:val="it-IT"/>
        </w:rPr>
        <w:t>“Intervento” indica una richiesta di assistenza in garanzia per un’Unica Problematica di Assistenza.</w:t>
      </w:r>
      <w:r w:rsidRPr="00D87B79">
        <w:rPr>
          <w:rFonts w:cs="Tahoma"/>
        </w:rPr>
        <w:t xml:space="preserve"> </w:t>
      </w:r>
      <w:r w:rsidRPr="00D87B79">
        <w:rPr>
          <w:rFonts w:cs="Tahoma"/>
          <w:lang w:val="it-IT"/>
        </w:rPr>
        <w:t>“Unica Problematica di Assistenza” indica un problema che non può essere suddiviso in problematiche subordinate.</w:t>
      </w:r>
      <w:r w:rsidRPr="00D87B79">
        <w:rPr>
          <w:rFonts w:cs="Tahoma"/>
        </w:rPr>
        <w:t xml:space="preserve"> </w:t>
      </w:r>
      <w:r w:rsidRPr="00D87B79">
        <w:rPr>
          <w:rFonts w:cs="Tahoma"/>
          <w:lang w:val="it-IT"/>
        </w:rPr>
        <w:t>Qualora un problema sia composto da problematiche subordinate, ogni problematica dovrà essere considerata un Intervento distinto.</w:t>
      </w:r>
      <w:r w:rsidRPr="00D87B79">
        <w:rPr>
          <w:rFonts w:cs="Tahoma"/>
        </w:rPr>
        <w:t xml:space="preserve"> </w:t>
      </w:r>
      <w:r w:rsidRPr="00D87B79">
        <w:rPr>
          <w:rFonts w:cs="Tahoma"/>
          <w:lang w:val="it-IT"/>
        </w:rPr>
        <w:t>Gli Interventi includono la quantità ragionevole sotto il profilo commerciale di servizi necessari per individuare e risolvere la problematica di assistenza.</w:t>
      </w:r>
      <w:r w:rsidRPr="00D87B79">
        <w:rPr>
          <w:rFonts w:cs="Tahoma"/>
        </w:rPr>
        <w:t xml:space="preserve"> </w:t>
      </w:r>
      <w:r w:rsidRPr="00D87B79">
        <w:rPr>
          <w:rFonts w:cs="Tahoma"/>
          <w:lang w:val="it-IT"/>
        </w:rPr>
        <w:t>Gli Interventi potranno essere eseguiti tramite il sito Web del supporto assistito online www.windowsazure.com.</w:t>
      </w:r>
      <w:r w:rsidRPr="00D87B79">
        <w:rPr>
          <w:rFonts w:cs="Tahoma"/>
        </w:rPr>
        <w:t xml:space="preserve"> </w:t>
      </w:r>
    </w:p>
    <w:p w:rsidR="00A92422" w:rsidRPr="00D87B79" w:rsidRDefault="00A92422" w:rsidP="00A92422">
      <w:pPr>
        <w:tabs>
          <w:tab w:val="left" w:pos="360"/>
        </w:tabs>
        <w:jc w:val="both"/>
        <w:rPr>
          <w:rFonts w:cs="Tahoma"/>
        </w:rPr>
      </w:pPr>
    </w:p>
    <w:p w:rsidR="00A92422" w:rsidRPr="00D87B79" w:rsidRDefault="00A92422" w:rsidP="00A92422">
      <w:pPr>
        <w:tabs>
          <w:tab w:val="left" w:pos="360"/>
        </w:tabs>
        <w:jc w:val="both"/>
        <w:rPr>
          <w:rFonts w:cs="Tahoma"/>
        </w:rPr>
      </w:pPr>
      <w:r w:rsidRPr="00D87B79">
        <w:rPr>
          <w:rFonts w:cs="Tahoma"/>
          <w:lang w:val="it-IT"/>
        </w:rPr>
        <w:t>I Servizi verranno forniti in lingua inglese salvo quanto diversamente concordato tra una società e Microsoft per</w:t>
      </w:r>
      <w:r>
        <w:rPr>
          <w:rFonts w:cs="Tahoma"/>
          <w:lang w:val="it-IT"/>
        </w:rPr>
        <w:t> </w:t>
      </w:r>
      <w:r w:rsidRPr="00D87B79">
        <w:rPr>
          <w:rFonts w:cs="Tahoma"/>
          <w:lang w:val="it-IT"/>
        </w:rPr>
        <w:t>iscritto.</w:t>
      </w:r>
      <w:r w:rsidRPr="00D87B79">
        <w:rPr>
          <w:rFonts w:cs="Tahoma"/>
        </w:rPr>
        <w:t xml:space="preserve"> </w:t>
      </w:r>
      <w:r w:rsidRPr="00D87B79">
        <w:rPr>
          <w:rFonts w:cs="Tahoma"/>
          <w:lang w:val="it-IT"/>
        </w:rPr>
        <w:t>Servizi aggiuntivi, inclusi i servizi di supporto, potranno essere disponibili per Windows Azure in</w:t>
      </w:r>
      <w:r>
        <w:rPr>
          <w:rFonts w:cs="Tahoma"/>
          <w:lang w:val="it-IT"/>
        </w:rPr>
        <w:t> </w:t>
      </w:r>
      <w:r w:rsidRPr="00D87B79">
        <w:rPr>
          <w:rFonts w:cs="Tahoma"/>
          <w:lang w:val="it-IT"/>
        </w:rPr>
        <w:t>conformità a un contratto specifico stipulato tra le parti.</w:t>
      </w:r>
      <w:r w:rsidRPr="00D87B79">
        <w:rPr>
          <w:rFonts w:cs="Tahoma"/>
        </w:rPr>
        <w:t xml:space="preserve"> </w:t>
      </w:r>
      <w:r w:rsidRPr="00D87B79">
        <w:rPr>
          <w:rFonts w:cs="Tahoma"/>
          <w:lang w:val="it-IT"/>
        </w:rPr>
        <w:t>Tali servizi aggiuntivi saranno disciplinati dalle condizioni di tale contratto specifico.</w:t>
      </w:r>
    </w:p>
    <w:p w:rsidR="00A92422" w:rsidRPr="007C4A57" w:rsidRDefault="00A92422" w:rsidP="00A92422">
      <w:pPr>
        <w:pStyle w:val="normal1"/>
        <w:jc w:val="both"/>
        <w:rPr>
          <w:rFonts w:ascii="Tahoma" w:hAnsi="Tahoma" w:cs="Tahoma"/>
          <w:sz w:val="18"/>
          <w:szCs w:val="18"/>
        </w:rPr>
      </w:pPr>
    </w:p>
    <w:p w:rsidR="00A92422" w:rsidRPr="007C4A57" w:rsidRDefault="00A92422" w:rsidP="00A92422">
      <w:pPr>
        <w:pStyle w:val="normal1"/>
        <w:jc w:val="both"/>
        <w:rPr>
          <w:rFonts w:ascii="Tahoma" w:hAnsi="Tahoma" w:cs="Tahoma"/>
          <w:sz w:val="18"/>
          <w:szCs w:val="18"/>
        </w:rPr>
      </w:pPr>
    </w:p>
    <w:p w:rsidR="00A92422" w:rsidRPr="00D87B79" w:rsidRDefault="00A92422" w:rsidP="00A92422">
      <w:pPr>
        <w:widowControl w:val="0"/>
        <w:tabs>
          <w:tab w:val="left" w:pos="720"/>
          <w:tab w:val="left" w:pos="1170"/>
        </w:tabs>
        <w:rPr>
          <w:rFonts w:cs="Tahoma"/>
        </w:rPr>
      </w:pPr>
      <w:r w:rsidRPr="00D87B79">
        <w:rPr>
          <w:rFonts w:cs="Tahoma"/>
          <w:b/>
          <w:sz w:val="24"/>
          <w:lang w:val="it-IT"/>
        </w:rPr>
        <w:t>Supporto Diretto Professionale per Windows Azure</w:t>
      </w:r>
    </w:p>
    <w:p w:rsidR="00A92422" w:rsidRPr="00D87B79" w:rsidRDefault="00A92422" w:rsidP="00A92422">
      <w:pPr>
        <w:tabs>
          <w:tab w:val="left" w:pos="360"/>
        </w:tabs>
        <w:jc w:val="both"/>
        <w:rPr>
          <w:rFonts w:cs="Tahoma"/>
        </w:rPr>
      </w:pPr>
    </w:p>
    <w:p w:rsidR="00A92422" w:rsidRPr="00D87B79" w:rsidRDefault="00A92422" w:rsidP="00A92422">
      <w:pPr>
        <w:tabs>
          <w:tab w:val="left" w:pos="360"/>
        </w:tabs>
        <w:jc w:val="both"/>
        <w:rPr>
          <w:rFonts w:cs="Tahoma"/>
        </w:rPr>
      </w:pPr>
      <w:r w:rsidRPr="00D87B79">
        <w:rPr>
          <w:rFonts w:cs="Tahoma"/>
          <w:color w:val="000000"/>
          <w:szCs w:val="18"/>
          <w:lang w:val="it-IT"/>
        </w:rPr>
        <w:t>Le società avranno la responsabilità di definire il livello di gravità iniziale in collaborazione con Microsoft. Le società potranno tuttavia chiedere di modificare il livello di gravità in qualsiasi momento.</w:t>
      </w:r>
      <w:r w:rsidRPr="00D87B79">
        <w:rPr>
          <w:rFonts w:cs="Tahoma"/>
          <w:color w:val="000000"/>
          <w:szCs w:val="18"/>
        </w:rPr>
        <w:t xml:space="preserve"> </w:t>
      </w:r>
      <w:r w:rsidRPr="00D87B79">
        <w:rPr>
          <w:rFonts w:cs="Tahoma"/>
          <w:color w:val="000000"/>
          <w:szCs w:val="18"/>
          <w:lang w:val="it-IT"/>
        </w:rPr>
        <w:t>La gravità dell’intervento determinerà i livelli di risposta da parte di Microsoft. I tempi di risposta previsti sono definiti nella tabella che segue.</w:t>
      </w:r>
      <w:r w:rsidRPr="00D87B79">
        <w:rPr>
          <w:rFonts w:cs="Tahoma"/>
        </w:rPr>
        <w:t xml:space="preserve"> </w:t>
      </w:r>
      <w:r w:rsidRPr="00D87B79">
        <w:rPr>
          <w:rFonts w:cs="Tahoma"/>
          <w:color w:val="000000"/>
          <w:lang w:val="it-IT"/>
        </w:rPr>
        <w:t>La possibilità per Microsoft di offrire i servizi dipende dalla totale e tempestiva collaborazione della società e</w:t>
      </w:r>
      <w:r>
        <w:rPr>
          <w:rFonts w:cs="Tahoma"/>
          <w:color w:val="000000"/>
          <w:lang w:val="it-IT"/>
        </w:rPr>
        <w:t> </w:t>
      </w:r>
      <w:r w:rsidRPr="00D87B79">
        <w:rPr>
          <w:rFonts w:cs="Tahoma"/>
          <w:color w:val="000000"/>
          <w:lang w:val="it-IT"/>
        </w:rPr>
        <w:t>dall’accuratezza e completezza dei dati forniti.</w:t>
      </w:r>
    </w:p>
    <w:p w:rsidR="00A92422" w:rsidRPr="00D87B79" w:rsidRDefault="00A92422" w:rsidP="00A92422">
      <w:pPr>
        <w:rPr>
          <w:rFonts w:cs="Tahoma"/>
        </w:rPr>
      </w:pPr>
    </w:p>
    <w:tbl>
      <w:tblPr>
        <w:tblW w:w="9540"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A92422" w:rsidRPr="00D87B79" w:rsidTr="00EA30FC">
        <w:trPr>
          <w:tblHeader/>
        </w:trPr>
        <w:tc>
          <w:tcPr>
            <w:tcW w:w="1347" w:type="dxa"/>
            <w:shd w:val="clear" w:color="auto" w:fill="FABF8F"/>
          </w:tcPr>
          <w:p w:rsidR="00A92422" w:rsidRPr="00D87B79" w:rsidRDefault="00A92422" w:rsidP="00EA30FC">
            <w:pPr>
              <w:jc w:val="center"/>
              <w:rPr>
                <w:rFonts w:cs="Tahoma"/>
                <w:b/>
                <w:bCs/>
                <w:color w:val="000000"/>
                <w:sz w:val="20"/>
                <w:szCs w:val="18"/>
              </w:rPr>
            </w:pPr>
            <w:r w:rsidRPr="00D87B79">
              <w:rPr>
                <w:rFonts w:cs="Tahoma"/>
                <w:b/>
                <w:bCs/>
                <w:color w:val="000000"/>
                <w:sz w:val="20"/>
                <w:szCs w:val="18"/>
                <w:lang w:val="it-IT"/>
              </w:rPr>
              <w:t>Severity</w:t>
            </w:r>
          </w:p>
        </w:tc>
        <w:tc>
          <w:tcPr>
            <w:tcW w:w="1800" w:type="dxa"/>
            <w:shd w:val="clear" w:color="auto" w:fill="FABF8F"/>
          </w:tcPr>
          <w:p w:rsidR="00A92422" w:rsidRPr="00D87B79" w:rsidRDefault="00A92422" w:rsidP="00EA30FC">
            <w:pPr>
              <w:jc w:val="center"/>
              <w:rPr>
                <w:rFonts w:cs="Tahoma"/>
                <w:b/>
                <w:bCs/>
                <w:color w:val="000000"/>
                <w:sz w:val="20"/>
                <w:szCs w:val="18"/>
              </w:rPr>
            </w:pPr>
            <w:r w:rsidRPr="00D87B79">
              <w:rPr>
                <w:rFonts w:cs="Tahoma"/>
                <w:b/>
                <w:bCs/>
                <w:color w:val="000000"/>
                <w:sz w:val="20"/>
                <w:szCs w:val="18"/>
                <w:lang w:val="it-IT"/>
              </w:rPr>
              <w:t>Contatto</w:t>
            </w:r>
          </w:p>
        </w:tc>
        <w:tc>
          <w:tcPr>
            <w:tcW w:w="3079" w:type="dxa"/>
            <w:shd w:val="clear" w:color="auto" w:fill="FABF8F"/>
          </w:tcPr>
          <w:p w:rsidR="00A92422" w:rsidRPr="00D87B79" w:rsidRDefault="00A92422" w:rsidP="00EA30FC">
            <w:pPr>
              <w:jc w:val="center"/>
              <w:rPr>
                <w:rFonts w:cs="Tahoma"/>
                <w:b/>
                <w:bCs/>
                <w:color w:val="000000"/>
                <w:sz w:val="20"/>
                <w:szCs w:val="18"/>
              </w:rPr>
            </w:pPr>
            <w:r w:rsidRPr="00D87B79">
              <w:rPr>
                <w:rFonts w:cs="Tahoma"/>
                <w:b/>
                <w:color w:val="000000"/>
                <w:sz w:val="20"/>
                <w:lang w:val="it-IT"/>
              </w:rPr>
              <w:t>Situazione della Società</w:t>
            </w:r>
          </w:p>
        </w:tc>
        <w:tc>
          <w:tcPr>
            <w:tcW w:w="3314" w:type="dxa"/>
            <w:shd w:val="clear" w:color="auto" w:fill="FABF8F"/>
          </w:tcPr>
          <w:p w:rsidR="00A92422" w:rsidRPr="00D87B79" w:rsidRDefault="00A92422" w:rsidP="00EA30FC">
            <w:pPr>
              <w:jc w:val="center"/>
              <w:rPr>
                <w:rFonts w:cs="Tahoma"/>
                <w:b/>
                <w:bCs/>
                <w:color w:val="000000"/>
                <w:sz w:val="20"/>
                <w:szCs w:val="18"/>
              </w:rPr>
            </w:pPr>
            <w:r w:rsidRPr="00D87B79">
              <w:rPr>
                <w:rFonts w:cs="Tahoma"/>
                <w:b/>
                <w:bCs/>
                <w:color w:val="000000"/>
                <w:sz w:val="20"/>
                <w:szCs w:val="18"/>
                <w:lang w:val="it-IT"/>
              </w:rPr>
              <w:t>Risposta di Microsoft Attesa</w:t>
            </w:r>
          </w:p>
        </w:tc>
      </w:tr>
      <w:tr w:rsidR="00A92422" w:rsidRPr="00D87B79" w:rsidTr="00EA30FC">
        <w:tc>
          <w:tcPr>
            <w:tcW w:w="1347" w:type="dxa"/>
          </w:tcPr>
          <w:p w:rsidR="00A92422" w:rsidRPr="00D87B79" w:rsidRDefault="00A92422" w:rsidP="00EA30FC">
            <w:pPr>
              <w:spacing w:after="60" w:line="240" w:lineRule="atLeast"/>
              <w:jc w:val="center"/>
              <w:rPr>
                <w:rFonts w:cs="Tahoma"/>
                <w:szCs w:val="18"/>
              </w:rPr>
            </w:pPr>
            <w:r w:rsidRPr="00D87B79">
              <w:rPr>
                <w:rFonts w:cs="Tahoma"/>
                <w:szCs w:val="18"/>
              </w:rPr>
              <w:t>1</w:t>
            </w:r>
          </w:p>
        </w:tc>
        <w:tc>
          <w:tcPr>
            <w:tcW w:w="1800" w:type="dxa"/>
          </w:tcPr>
          <w:p w:rsidR="00A92422" w:rsidRPr="00D87B79" w:rsidRDefault="00A92422" w:rsidP="00EA30FC">
            <w:pPr>
              <w:spacing w:after="60" w:line="240" w:lineRule="atLeast"/>
              <w:jc w:val="center"/>
              <w:rPr>
                <w:rFonts w:cs="Tahoma"/>
                <w:szCs w:val="18"/>
              </w:rPr>
            </w:pPr>
            <w:r w:rsidRPr="00D87B79">
              <w:rPr>
                <w:rFonts w:cs="Tahoma"/>
                <w:lang w:val="it-IT"/>
              </w:rPr>
              <w:t>Formulazione via</w:t>
            </w:r>
            <w:r>
              <w:rPr>
                <w:rFonts w:cs="Tahoma"/>
                <w:lang w:val="it-IT"/>
              </w:rPr>
              <w:t> </w:t>
            </w:r>
            <w:r w:rsidRPr="00D87B79">
              <w:rPr>
                <w:rFonts w:cs="Tahoma"/>
                <w:lang w:val="it-IT"/>
              </w:rPr>
              <w:t>Web</w:t>
            </w:r>
          </w:p>
        </w:tc>
        <w:tc>
          <w:tcPr>
            <w:tcW w:w="3079" w:type="dxa"/>
          </w:tcPr>
          <w:p w:rsidR="00A92422" w:rsidRPr="00D87B79" w:rsidRDefault="00A92422" w:rsidP="00EA30FC">
            <w:pPr>
              <w:spacing w:after="60" w:line="240" w:lineRule="atLeast"/>
              <w:rPr>
                <w:rFonts w:cs="Tahoma"/>
              </w:rPr>
            </w:pPr>
            <w:r w:rsidRPr="00D87B79">
              <w:rPr>
                <w:rFonts w:cs="Tahoma"/>
                <w:szCs w:val="18"/>
                <w:lang w:val="it-IT"/>
              </w:rPr>
              <w:t>Impatto commerciale catastrofico</w:t>
            </w:r>
            <w:r w:rsidRPr="00D87B79">
              <w:rPr>
                <w:rFonts w:cs="Tahoma"/>
                <w:szCs w:val="18"/>
              </w:rPr>
              <w:t xml:space="preserve"> </w:t>
            </w:r>
          </w:p>
          <w:p w:rsidR="00A92422" w:rsidRPr="00D87B79" w:rsidRDefault="00A92422" w:rsidP="00EA30FC">
            <w:pPr>
              <w:spacing w:after="60" w:line="240" w:lineRule="atLeast"/>
              <w:rPr>
                <w:rFonts w:cs="Tahoma"/>
              </w:rPr>
            </w:pPr>
            <w:r w:rsidRPr="00D87B79">
              <w:rPr>
                <w:rFonts w:cs="Tahoma"/>
                <w:lang w:val="it-IT"/>
              </w:rPr>
              <w:t>Perdita completa di un procedimento commerciale cruciale (mission critical) e impossibilità di</w:t>
            </w:r>
            <w:r>
              <w:rPr>
                <w:rFonts w:cs="Tahoma"/>
                <w:lang w:val="it-IT"/>
              </w:rPr>
              <w:t> </w:t>
            </w:r>
            <w:r w:rsidRPr="00D87B79">
              <w:rPr>
                <w:rFonts w:cs="Tahoma"/>
                <w:lang w:val="it-IT"/>
              </w:rPr>
              <w:t>continuare in modo adeguato il</w:t>
            </w:r>
            <w:r>
              <w:rPr>
                <w:rFonts w:cs="Tahoma"/>
                <w:lang w:val="it-IT"/>
              </w:rPr>
              <w:t> </w:t>
            </w:r>
            <w:r w:rsidRPr="00D87B79">
              <w:rPr>
                <w:rFonts w:cs="Tahoma"/>
                <w:lang w:val="it-IT"/>
              </w:rPr>
              <w:t>lavoro</w:t>
            </w:r>
          </w:p>
          <w:p w:rsidR="00A92422" w:rsidRPr="00D87B79" w:rsidRDefault="00A92422" w:rsidP="00EA30FC">
            <w:pPr>
              <w:spacing w:after="60" w:line="240" w:lineRule="atLeast"/>
              <w:rPr>
                <w:rFonts w:cs="Tahoma"/>
                <w:szCs w:val="18"/>
              </w:rPr>
            </w:pPr>
            <w:r w:rsidRPr="00D87B79">
              <w:rPr>
                <w:rFonts w:cs="Tahoma"/>
                <w:lang w:val="it-IT"/>
              </w:rPr>
              <w:t>Necessità di un intervento immediato</w:t>
            </w:r>
          </w:p>
        </w:tc>
        <w:tc>
          <w:tcPr>
            <w:tcW w:w="3314" w:type="dxa"/>
          </w:tcPr>
          <w:p w:rsidR="00A92422" w:rsidRPr="00D87B79" w:rsidRDefault="00A92422" w:rsidP="00EA30FC">
            <w:pPr>
              <w:spacing w:after="60" w:line="240" w:lineRule="atLeast"/>
              <w:rPr>
                <w:rFonts w:cs="Tahoma"/>
              </w:rPr>
            </w:pPr>
            <w:r w:rsidRPr="00D87B79">
              <w:rPr>
                <w:rFonts w:cs="Tahoma"/>
                <w:lang w:val="it-IT"/>
              </w:rPr>
              <w:t>1</w:t>
            </w:r>
            <w:r w:rsidRPr="00D87B79">
              <w:rPr>
                <w:rFonts w:cs="Tahoma"/>
                <w:vertAlign w:val="superscript"/>
                <w:lang w:val="it-IT"/>
              </w:rPr>
              <w:t>a</w:t>
            </w:r>
            <w:r w:rsidRPr="00D87B79">
              <w:rPr>
                <w:rFonts w:cs="Tahoma"/>
                <w:lang w:val="it-IT"/>
              </w:rPr>
              <w:t xml:space="preserve"> risposta in 1 Ora o meno</w:t>
            </w:r>
          </w:p>
          <w:p w:rsidR="00A92422" w:rsidRPr="00D87B79" w:rsidRDefault="00A92422" w:rsidP="00EA30FC">
            <w:pPr>
              <w:spacing w:after="60" w:line="240" w:lineRule="atLeast"/>
              <w:rPr>
                <w:rFonts w:cs="Tahoma"/>
                <w:szCs w:val="18"/>
              </w:rPr>
            </w:pPr>
          </w:p>
        </w:tc>
      </w:tr>
      <w:tr w:rsidR="00A92422" w:rsidRPr="00D87B79" w:rsidTr="00EA30FC">
        <w:tc>
          <w:tcPr>
            <w:tcW w:w="1347" w:type="dxa"/>
          </w:tcPr>
          <w:p w:rsidR="00A92422" w:rsidRPr="00D87B79" w:rsidRDefault="00A92422" w:rsidP="00EA30FC">
            <w:pPr>
              <w:spacing w:after="60" w:line="240" w:lineRule="atLeast"/>
              <w:jc w:val="center"/>
              <w:rPr>
                <w:rFonts w:cs="Tahoma"/>
                <w:szCs w:val="18"/>
              </w:rPr>
            </w:pPr>
            <w:r w:rsidRPr="00D87B79">
              <w:rPr>
                <w:rFonts w:cs="Tahoma"/>
                <w:szCs w:val="18"/>
                <w:lang w:val="it-IT"/>
              </w:rPr>
              <w:t>A</w:t>
            </w:r>
          </w:p>
        </w:tc>
        <w:tc>
          <w:tcPr>
            <w:tcW w:w="1800" w:type="dxa"/>
          </w:tcPr>
          <w:p w:rsidR="00A92422" w:rsidRPr="00D87B79" w:rsidRDefault="00A92422" w:rsidP="00EA30FC">
            <w:pPr>
              <w:spacing w:after="60" w:line="240" w:lineRule="atLeast"/>
              <w:jc w:val="center"/>
              <w:rPr>
                <w:rFonts w:cs="Tahoma"/>
                <w:szCs w:val="18"/>
              </w:rPr>
            </w:pPr>
            <w:r w:rsidRPr="00D87B79">
              <w:rPr>
                <w:rFonts w:cs="Tahoma"/>
                <w:lang w:val="it-IT"/>
              </w:rPr>
              <w:t>Formulazione via</w:t>
            </w:r>
            <w:r>
              <w:rPr>
                <w:rFonts w:cs="Tahoma"/>
                <w:lang w:val="it-IT"/>
              </w:rPr>
              <w:t> </w:t>
            </w:r>
            <w:r w:rsidRPr="00D87B79">
              <w:rPr>
                <w:rFonts w:cs="Tahoma"/>
                <w:lang w:val="it-IT"/>
              </w:rPr>
              <w:t>Web</w:t>
            </w:r>
          </w:p>
        </w:tc>
        <w:tc>
          <w:tcPr>
            <w:tcW w:w="3079" w:type="dxa"/>
          </w:tcPr>
          <w:p w:rsidR="00A92422" w:rsidRPr="00D87B79" w:rsidRDefault="00A92422" w:rsidP="00EA30FC">
            <w:pPr>
              <w:spacing w:after="60" w:line="240" w:lineRule="atLeast"/>
              <w:rPr>
                <w:rFonts w:cs="Tahoma"/>
              </w:rPr>
            </w:pPr>
            <w:r w:rsidRPr="00D87B79">
              <w:rPr>
                <w:rFonts w:cs="Tahoma"/>
                <w:lang w:val="it-IT"/>
              </w:rPr>
              <w:t>Impatto commerciale critico</w:t>
            </w:r>
          </w:p>
          <w:p w:rsidR="00A92422" w:rsidRPr="00D87B79" w:rsidRDefault="00A92422" w:rsidP="00EA30FC">
            <w:pPr>
              <w:spacing w:after="60" w:line="240" w:lineRule="atLeast"/>
              <w:rPr>
                <w:rFonts w:cs="Tahoma"/>
              </w:rPr>
            </w:pPr>
            <w:r w:rsidRPr="00D87B79">
              <w:rPr>
                <w:rFonts w:cs="Tahoma"/>
                <w:lang w:val="it-IT"/>
              </w:rPr>
              <w:t>Perdita o degradazione significativa dei servizi (applicazione fuori uso)</w:t>
            </w:r>
          </w:p>
          <w:p w:rsidR="00A92422" w:rsidRPr="00D87B79" w:rsidRDefault="00A92422" w:rsidP="00EA30FC">
            <w:pPr>
              <w:spacing w:after="60" w:line="240" w:lineRule="atLeast"/>
              <w:rPr>
                <w:rFonts w:cs="Tahoma"/>
                <w:szCs w:val="18"/>
              </w:rPr>
            </w:pPr>
            <w:r w:rsidRPr="00D87B79">
              <w:rPr>
                <w:rFonts w:cs="Tahoma"/>
                <w:lang w:val="it-IT"/>
              </w:rPr>
              <w:t>Necessità dell’intervento entro 1</w:t>
            </w:r>
            <w:r>
              <w:rPr>
                <w:rFonts w:cs="Tahoma"/>
                <w:lang w:val="it-IT"/>
              </w:rPr>
              <w:t> </w:t>
            </w:r>
            <w:r w:rsidRPr="00D87B79">
              <w:rPr>
                <w:rFonts w:cs="Tahoma"/>
                <w:lang w:val="it-IT"/>
              </w:rPr>
              <w:t>Ora</w:t>
            </w:r>
          </w:p>
        </w:tc>
        <w:tc>
          <w:tcPr>
            <w:tcW w:w="3314" w:type="dxa"/>
          </w:tcPr>
          <w:p w:rsidR="00A92422" w:rsidRPr="00D87B79" w:rsidRDefault="00A92422" w:rsidP="00EA30FC">
            <w:pPr>
              <w:spacing w:after="60" w:line="240" w:lineRule="atLeast"/>
              <w:rPr>
                <w:rFonts w:cs="Tahoma"/>
              </w:rPr>
            </w:pPr>
            <w:r w:rsidRPr="00D87B79">
              <w:rPr>
                <w:rFonts w:cs="Tahoma"/>
                <w:lang w:val="it-IT"/>
              </w:rPr>
              <w:t>1</w:t>
            </w:r>
            <w:r w:rsidRPr="00D87B79">
              <w:rPr>
                <w:rFonts w:cs="Tahoma"/>
                <w:vertAlign w:val="superscript"/>
                <w:lang w:val="it-IT"/>
              </w:rPr>
              <w:t>a</w:t>
            </w:r>
            <w:r w:rsidRPr="00D87B79">
              <w:rPr>
                <w:rFonts w:cs="Tahoma"/>
                <w:lang w:val="it-IT"/>
              </w:rPr>
              <w:t xml:space="preserve"> risposta in 1 Ora o meno</w:t>
            </w:r>
          </w:p>
          <w:p w:rsidR="00A92422" w:rsidRPr="00D87B79" w:rsidRDefault="00A92422" w:rsidP="00EA30FC">
            <w:pPr>
              <w:spacing w:after="60" w:line="240" w:lineRule="atLeast"/>
              <w:rPr>
                <w:rFonts w:cs="Tahoma"/>
                <w:szCs w:val="18"/>
              </w:rPr>
            </w:pPr>
          </w:p>
        </w:tc>
      </w:tr>
      <w:tr w:rsidR="00A92422" w:rsidRPr="00D87B79" w:rsidTr="00EA30FC">
        <w:trPr>
          <w:cantSplit/>
        </w:trPr>
        <w:tc>
          <w:tcPr>
            <w:tcW w:w="1347" w:type="dxa"/>
          </w:tcPr>
          <w:p w:rsidR="00A92422" w:rsidRPr="00D87B79" w:rsidRDefault="00A92422" w:rsidP="00EA30FC">
            <w:pPr>
              <w:spacing w:after="60" w:line="240" w:lineRule="atLeast"/>
              <w:jc w:val="center"/>
              <w:rPr>
                <w:rFonts w:cs="Tahoma"/>
                <w:szCs w:val="18"/>
              </w:rPr>
            </w:pPr>
            <w:r w:rsidRPr="00D87B79">
              <w:rPr>
                <w:rFonts w:cs="Tahoma"/>
                <w:szCs w:val="18"/>
                <w:lang w:val="it-IT"/>
              </w:rPr>
              <w:lastRenderedPageBreak/>
              <w:t>B</w:t>
            </w:r>
          </w:p>
        </w:tc>
        <w:tc>
          <w:tcPr>
            <w:tcW w:w="1800" w:type="dxa"/>
          </w:tcPr>
          <w:p w:rsidR="00A92422" w:rsidRPr="00D87B79" w:rsidRDefault="00A92422" w:rsidP="00EA30FC">
            <w:pPr>
              <w:spacing w:after="60" w:line="240" w:lineRule="atLeast"/>
              <w:jc w:val="center"/>
              <w:rPr>
                <w:rFonts w:cs="Tahoma"/>
                <w:szCs w:val="18"/>
              </w:rPr>
            </w:pPr>
            <w:r w:rsidRPr="00D87B79">
              <w:rPr>
                <w:rFonts w:cs="Tahoma"/>
                <w:lang w:val="it-IT"/>
              </w:rPr>
              <w:t>Formulazione via</w:t>
            </w:r>
            <w:r>
              <w:rPr>
                <w:rFonts w:cs="Tahoma"/>
                <w:lang w:val="it-IT"/>
              </w:rPr>
              <w:t> </w:t>
            </w:r>
            <w:r w:rsidRPr="00D87B79">
              <w:rPr>
                <w:rFonts w:cs="Tahoma"/>
                <w:lang w:val="it-IT"/>
              </w:rPr>
              <w:t>Web</w:t>
            </w:r>
          </w:p>
        </w:tc>
        <w:tc>
          <w:tcPr>
            <w:tcW w:w="3079" w:type="dxa"/>
          </w:tcPr>
          <w:p w:rsidR="00A92422" w:rsidRPr="00D87B79" w:rsidRDefault="00A92422" w:rsidP="00EA30FC">
            <w:pPr>
              <w:spacing w:after="60" w:line="240" w:lineRule="atLeast"/>
              <w:rPr>
                <w:rFonts w:cs="Tahoma"/>
              </w:rPr>
            </w:pPr>
            <w:r w:rsidRPr="00D87B79">
              <w:rPr>
                <w:rFonts w:cs="Tahoma"/>
                <w:szCs w:val="18"/>
                <w:lang w:val="it-IT"/>
              </w:rPr>
              <w:t>Impatto commerciale moderato:</w:t>
            </w:r>
            <w:r w:rsidRPr="00D87B79">
              <w:rPr>
                <w:rFonts w:cs="Tahoma"/>
                <w:szCs w:val="18"/>
              </w:rPr>
              <w:t xml:space="preserve"> </w:t>
            </w:r>
          </w:p>
          <w:p w:rsidR="00A92422" w:rsidRPr="00D87B79" w:rsidRDefault="00A92422" w:rsidP="00EA30FC">
            <w:pPr>
              <w:spacing w:line="240" w:lineRule="atLeast"/>
              <w:rPr>
                <w:rFonts w:cs="Tahoma"/>
              </w:rPr>
            </w:pPr>
            <w:r w:rsidRPr="00D87B79">
              <w:rPr>
                <w:rFonts w:cs="Tahoma"/>
                <w:lang w:val="it-IT"/>
              </w:rPr>
              <w:t>Perdita o degradazione moderata dei servizi e possibilità di continuare il lavoro in modo meno efficiente.</w:t>
            </w:r>
          </w:p>
          <w:p w:rsidR="00A92422" w:rsidRPr="00D87B79" w:rsidRDefault="00A92422" w:rsidP="00EA30FC">
            <w:pPr>
              <w:spacing w:after="60" w:line="240" w:lineRule="atLeast"/>
              <w:rPr>
                <w:rFonts w:cs="Tahoma"/>
                <w:szCs w:val="18"/>
              </w:rPr>
            </w:pPr>
            <w:r w:rsidRPr="00D87B79">
              <w:rPr>
                <w:rFonts w:cs="Tahoma"/>
                <w:lang w:val="it-IT"/>
              </w:rPr>
              <w:t>Necessità dell’intervento entro 2</w:t>
            </w:r>
            <w:r>
              <w:rPr>
                <w:rFonts w:cs="Tahoma"/>
                <w:lang w:val="it-IT"/>
              </w:rPr>
              <w:t> </w:t>
            </w:r>
            <w:r w:rsidRPr="00D87B79">
              <w:rPr>
                <w:rFonts w:cs="Tahoma"/>
                <w:lang w:val="it-IT"/>
              </w:rPr>
              <w:t>Ore</w:t>
            </w:r>
          </w:p>
        </w:tc>
        <w:tc>
          <w:tcPr>
            <w:tcW w:w="3314" w:type="dxa"/>
          </w:tcPr>
          <w:p w:rsidR="00A92422" w:rsidRPr="00D87B79" w:rsidRDefault="00A92422" w:rsidP="00EA30FC">
            <w:pPr>
              <w:spacing w:line="240" w:lineRule="atLeast"/>
              <w:rPr>
                <w:rFonts w:cs="Tahoma"/>
              </w:rPr>
            </w:pPr>
            <w:r w:rsidRPr="00D87B79">
              <w:rPr>
                <w:rFonts w:cs="Tahoma"/>
                <w:lang w:val="it-IT"/>
              </w:rPr>
              <w:t>1</w:t>
            </w:r>
            <w:r w:rsidRPr="00D87B79">
              <w:rPr>
                <w:rFonts w:cs="Tahoma"/>
                <w:vertAlign w:val="superscript"/>
                <w:lang w:val="it-IT"/>
              </w:rPr>
              <w:t>a</w:t>
            </w:r>
            <w:r w:rsidRPr="00D87B79">
              <w:rPr>
                <w:rFonts w:cs="Tahoma"/>
                <w:lang w:val="it-IT"/>
              </w:rPr>
              <w:t xml:space="preserve"> risposta in 2 Ore o meno</w:t>
            </w:r>
          </w:p>
          <w:p w:rsidR="00A92422" w:rsidRPr="00D87B79" w:rsidRDefault="00A92422" w:rsidP="00EA30FC">
            <w:pPr>
              <w:spacing w:after="60" w:line="240" w:lineRule="atLeast"/>
              <w:rPr>
                <w:rFonts w:cs="Tahoma"/>
                <w:szCs w:val="18"/>
              </w:rPr>
            </w:pPr>
          </w:p>
        </w:tc>
      </w:tr>
      <w:tr w:rsidR="00A92422" w:rsidRPr="00D87B79" w:rsidTr="00EA30FC">
        <w:tc>
          <w:tcPr>
            <w:tcW w:w="1347" w:type="dxa"/>
          </w:tcPr>
          <w:p w:rsidR="00A92422" w:rsidRPr="00D87B79" w:rsidRDefault="00A92422" w:rsidP="00EA30FC">
            <w:pPr>
              <w:spacing w:after="60" w:line="240" w:lineRule="atLeast"/>
              <w:jc w:val="center"/>
              <w:rPr>
                <w:rFonts w:cs="Tahoma"/>
                <w:szCs w:val="18"/>
              </w:rPr>
            </w:pPr>
            <w:r w:rsidRPr="00D87B79">
              <w:rPr>
                <w:rFonts w:cs="Tahoma"/>
                <w:szCs w:val="18"/>
                <w:lang w:val="it-IT"/>
              </w:rPr>
              <w:t>C</w:t>
            </w:r>
          </w:p>
        </w:tc>
        <w:tc>
          <w:tcPr>
            <w:tcW w:w="1800" w:type="dxa"/>
          </w:tcPr>
          <w:p w:rsidR="00A92422" w:rsidRPr="00D87B79" w:rsidRDefault="00A92422" w:rsidP="00EA30FC">
            <w:pPr>
              <w:spacing w:after="60" w:line="240" w:lineRule="atLeast"/>
              <w:jc w:val="center"/>
              <w:rPr>
                <w:rFonts w:cs="Tahoma"/>
                <w:szCs w:val="18"/>
              </w:rPr>
            </w:pPr>
            <w:r w:rsidRPr="00D87B79">
              <w:rPr>
                <w:rFonts w:cs="Tahoma"/>
                <w:szCs w:val="18"/>
                <w:lang w:val="it-IT"/>
              </w:rPr>
              <w:t>Formulazione via</w:t>
            </w:r>
            <w:r>
              <w:rPr>
                <w:rFonts w:cs="Tahoma"/>
                <w:szCs w:val="18"/>
                <w:lang w:val="it-IT"/>
              </w:rPr>
              <w:t> </w:t>
            </w:r>
            <w:r w:rsidRPr="00D87B79">
              <w:rPr>
                <w:rFonts w:cs="Tahoma"/>
                <w:szCs w:val="18"/>
                <w:lang w:val="it-IT"/>
              </w:rPr>
              <w:t>Web</w:t>
            </w:r>
          </w:p>
        </w:tc>
        <w:tc>
          <w:tcPr>
            <w:tcW w:w="3079" w:type="dxa"/>
          </w:tcPr>
          <w:p w:rsidR="00A92422" w:rsidRPr="00D87B79" w:rsidRDefault="00A92422" w:rsidP="00EA30FC">
            <w:pPr>
              <w:rPr>
                <w:rFonts w:cs="Tahoma"/>
              </w:rPr>
            </w:pPr>
            <w:r w:rsidRPr="00D87B79">
              <w:rPr>
                <w:rFonts w:cs="Tahoma"/>
                <w:lang w:val="it-IT"/>
              </w:rPr>
              <w:t>Impatto commerciale minimo</w:t>
            </w:r>
          </w:p>
          <w:p w:rsidR="00A92422" w:rsidRPr="00D87B79" w:rsidRDefault="00A92422" w:rsidP="00EA30FC">
            <w:pPr>
              <w:rPr>
                <w:rFonts w:cs="Tahoma"/>
              </w:rPr>
            </w:pPr>
            <w:r w:rsidRPr="00D87B79">
              <w:rPr>
                <w:rFonts w:cs="Tahoma"/>
                <w:lang w:val="it-IT"/>
              </w:rPr>
              <w:t>Funzionamento sostanzialmente nella norma, in alcuni casi con qualche minimo impedimento dei</w:t>
            </w:r>
            <w:r>
              <w:rPr>
                <w:rFonts w:cs="Tahoma"/>
                <w:lang w:val="it-IT"/>
              </w:rPr>
              <w:t> </w:t>
            </w:r>
            <w:r w:rsidRPr="00D87B79">
              <w:rPr>
                <w:rFonts w:cs="Tahoma"/>
                <w:lang w:val="it-IT"/>
              </w:rPr>
              <w:t>servizi.</w:t>
            </w:r>
          </w:p>
          <w:p w:rsidR="00A92422" w:rsidRPr="00D87B79" w:rsidRDefault="00A92422" w:rsidP="00EA30FC">
            <w:pPr>
              <w:spacing w:after="60" w:line="240" w:lineRule="atLeast"/>
              <w:rPr>
                <w:rFonts w:cs="Tahoma"/>
                <w:szCs w:val="18"/>
              </w:rPr>
            </w:pPr>
            <w:r w:rsidRPr="00D87B79">
              <w:rPr>
                <w:rFonts w:cs="Tahoma"/>
                <w:lang w:val="it-IT"/>
              </w:rPr>
              <w:t>Necessità dell’intervento entro</w:t>
            </w:r>
            <w:r>
              <w:rPr>
                <w:rFonts w:cs="Tahoma"/>
                <w:lang w:val="it-IT"/>
              </w:rPr>
              <w:t> </w:t>
            </w:r>
            <w:r w:rsidRPr="00D87B79">
              <w:rPr>
                <w:rFonts w:cs="Tahoma"/>
                <w:lang w:val="it-IT"/>
              </w:rPr>
              <w:t>4</w:t>
            </w:r>
            <w:r>
              <w:rPr>
                <w:rFonts w:cs="Tahoma"/>
                <w:lang w:val="it-IT"/>
              </w:rPr>
              <w:t> </w:t>
            </w:r>
            <w:r w:rsidRPr="00D87B79">
              <w:rPr>
                <w:rFonts w:cs="Tahoma"/>
                <w:lang w:val="it-IT"/>
              </w:rPr>
              <w:t>Ore</w:t>
            </w:r>
          </w:p>
        </w:tc>
        <w:tc>
          <w:tcPr>
            <w:tcW w:w="3314" w:type="dxa"/>
          </w:tcPr>
          <w:p w:rsidR="00A92422" w:rsidRPr="00D87B79" w:rsidRDefault="00A92422" w:rsidP="00EA30FC">
            <w:pPr>
              <w:rPr>
                <w:rFonts w:cs="Tahoma"/>
              </w:rPr>
            </w:pPr>
            <w:r w:rsidRPr="00D87B79">
              <w:rPr>
                <w:rFonts w:cs="Tahoma"/>
                <w:lang w:val="it-IT"/>
              </w:rPr>
              <w:t>1</w:t>
            </w:r>
            <w:r w:rsidRPr="00D87B79">
              <w:rPr>
                <w:rFonts w:cs="Tahoma"/>
                <w:vertAlign w:val="superscript"/>
                <w:lang w:val="it-IT"/>
              </w:rPr>
              <w:t>a</w:t>
            </w:r>
            <w:r w:rsidRPr="00D87B79">
              <w:rPr>
                <w:rFonts w:cs="Tahoma"/>
                <w:lang w:val="it-IT"/>
              </w:rPr>
              <w:t xml:space="preserve"> risposta in 4 Ore o meno</w:t>
            </w:r>
          </w:p>
          <w:p w:rsidR="00A92422" w:rsidRPr="00D87B79" w:rsidRDefault="00A92422" w:rsidP="00EA30FC">
            <w:pPr>
              <w:spacing w:line="240" w:lineRule="atLeast"/>
              <w:rPr>
                <w:rFonts w:cs="Tahoma"/>
                <w:szCs w:val="18"/>
              </w:rPr>
            </w:pPr>
          </w:p>
        </w:tc>
      </w:tr>
    </w:tbl>
    <w:p w:rsidR="00A92422" w:rsidRPr="00D87B79" w:rsidRDefault="00A92422" w:rsidP="00A92422">
      <w:pPr>
        <w:rPr>
          <w:rFonts w:cs="Tahoma"/>
        </w:rPr>
      </w:pPr>
    </w:p>
    <w:p w:rsidR="00A92422" w:rsidRPr="00D87B79" w:rsidRDefault="00A92422" w:rsidP="00A92422">
      <w:pPr>
        <w:tabs>
          <w:tab w:val="left" w:pos="360"/>
        </w:tabs>
        <w:jc w:val="both"/>
        <w:rPr>
          <w:rFonts w:cs="Tahoma"/>
        </w:rPr>
      </w:pPr>
      <w:r w:rsidRPr="00D87B79">
        <w:rPr>
          <w:rFonts w:cs="Tahoma"/>
          <w:color w:val="000000"/>
          <w:lang w:val="it-IT"/>
        </w:rPr>
        <w:t>Servizi di Escalation Aggiuntivi.</w:t>
      </w:r>
      <w:r w:rsidRPr="00D87B79">
        <w:rPr>
          <w:rFonts w:cs="Tahoma"/>
        </w:rPr>
        <w:t xml:space="preserve"> </w:t>
      </w:r>
      <w:r w:rsidRPr="00D87B79">
        <w:rPr>
          <w:rFonts w:cs="Tahoma"/>
          <w:color w:val="000000"/>
          <w:lang w:val="it-IT"/>
        </w:rPr>
        <w:t>In aggiunta ai Servizi descritti sopra</w:t>
      </w:r>
      <w:r w:rsidRPr="00D87B79">
        <w:rPr>
          <w:rFonts w:cs="Tahoma"/>
          <w:lang w:val="it-IT"/>
        </w:rPr>
        <w:t xml:space="preserve">, il Supporto Diretto Professionale per Windows Azure che le società ricevono aiuta a coordinare il rapporto tra il supporto e i servizi per </w:t>
      </w:r>
      <w:r w:rsidRPr="00D87B79">
        <w:rPr>
          <w:rFonts w:cs="Tahoma"/>
          <w:color w:val="000000"/>
          <w:lang w:val="it-IT"/>
        </w:rPr>
        <w:t>Windows Azure.</w:t>
      </w:r>
      <w:r w:rsidRPr="00D87B79">
        <w:rPr>
          <w:rFonts w:cs="Tahoma"/>
        </w:rPr>
        <w:t xml:space="preserve"> </w:t>
      </w:r>
      <w:r w:rsidRPr="00D87B79">
        <w:rPr>
          <w:rFonts w:cs="Tahoma"/>
          <w:color w:val="000000"/>
          <w:lang w:val="it-IT"/>
        </w:rPr>
        <w:t>Tali servizi sono erogati da un pool di addetti (</w:t>
      </w:r>
      <w:r w:rsidRPr="00E76D13">
        <w:rPr>
          <w:rFonts w:cs="Tahoma"/>
          <w:b/>
          <w:color w:val="000000"/>
          <w:lang w:val="it-IT"/>
        </w:rPr>
        <w:t>“</w:t>
      </w:r>
      <w:r w:rsidRPr="00D87B79">
        <w:rPr>
          <w:rFonts w:cs="Tahoma"/>
          <w:b/>
          <w:color w:val="000000"/>
          <w:lang w:val="it-IT"/>
        </w:rPr>
        <w:t>Agenti di</w:t>
      </w:r>
      <w:r w:rsidRPr="00D87B79">
        <w:rPr>
          <w:rFonts w:cs="Tahoma"/>
          <w:color w:val="000000"/>
          <w:lang w:val="it-IT"/>
        </w:rPr>
        <w:t xml:space="preserve"> </w:t>
      </w:r>
      <w:r w:rsidRPr="00D87B79">
        <w:rPr>
          <w:rFonts w:cs="Tahoma"/>
          <w:b/>
          <w:color w:val="000000"/>
          <w:lang w:val="it-IT"/>
        </w:rPr>
        <w:t>Escalation”</w:t>
      </w:r>
      <w:r w:rsidRPr="00D87B79">
        <w:rPr>
          <w:rFonts w:cs="Tahoma"/>
          <w:color w:val="000000"/>
          <w:lang w:val="it-IT"/>
        </w:rPr>
        <w:t>).</w:t>
      </w:r>
      <w:r w:rsidRPr="00D87B79">
        <w:rPr>
          <w:rFonts w:cs="Tahoma"/>
        </w:rPr>
        <w:t xml:space="preserve"> </w:t>
      </w:r>
      <w:r w:rsidRPr="00D87B79">
        <w:rPr>
          <w:rFonts w:cs="Tahoma"/>
          <w:color w:val="000000"/>
          <w:lang w:val="it-IT"/>
        </w:rPr>
        <w:t xml:space="preserve">Gli Agenti di Escalation sono i rappresentanti della società </w:t>
      </w:r>
      <w:r w:rsidRPr="00D87B79">
        <w:rPr>
          <w:rFonts w:cs="Tahoma"/>
          <w:lang w:val="it-IT"/>
        </w:rPr>
        <w:t>all’interno di</w:t>
      </w:r>
      <w:r w:rsidRPr="00D87B79">
        <w:rPr>
          <w:rFonts w:cs="Tahoma"/>
          <w:color w:val="000000"/>
          <w:lang w:val="it-IT"/>
        </w:rPr>
        <w:t xml:space="preserve"> Microsoft e facilitano il coordinamento con i team che possono fornire il supporto tecnico disponibile per i Servizi Online.</w:t>
      </w:r>
      <w:r w:rsidRPr="00D87B79">
        <w:rPr>
          <w:rFonts w:cs="Tahoma"/>
        </w:rPr>
        <w:t xml:space="preserve"> </w:t>
      </w:r>
      <w:r w:rsidRPr="00D87B79">
        <w:rPr>
          <w:rFonts w:cs="Tahoma"/>
          <w:lang w:val="it-IT"/>
        </w:rPr>
        <w:t>Gli Agenti di Escalation fungono inoltre da punto di riferimento per la raccolta di</w:t>
      </w:r>
      <w:r>
        <w:rPr>
          <w:rFonts w:cs="Tahoma"/>
          <w:lang w:val="it-IT"/>
        </w:rPr>
        <w:t> </w:t>
      </w:r>
      <w:r w:rsidRPr="00D87B79">
        <w:rPr>
          <w:rFonts w:cs="Tahoma"/>
          <w:lang w:val="it-IT"/>
        </w:rPr>
        <w:t>informazioni e forniscono ad altri gruppi Microsoft i commenti della società in merito ai Servizi.</w:t>
      </w:r>
      <w:r w:rsidRPr="00D87B79">
        <w:rPr>
          <w:rFonts w:cs="Tahoma"/>
        </w:rPr>
        <w:t xml:space="preserve"> </w:t>
      </w:r>
      <w:r w:rsidRPr="00D87B79">
        <w:rPr>
          <w:rFonts w:cs="Tahoma"/>
          <w:color w:val="000000"/>
          <w:lang w:val="it-IT"/>
        </w:rPr>
        <w:t>Gli Agenti di</w:t>
      </w:r>
      <w:r>
        <w:rPr>
          <w:rFonts w:cs="Tahoma"/>
          <w:color w:val="000000"/>
          <w:lang w:val="it-IT"/>
        </w:rPr>
        <w:t> </w:t>
      </w:r>
      <w:r w:rsidRPr="00D87B79">
        <w:rPr>
          <w:rFonts w:cs="Tahoma"/>
          <w:color w:val="000000"/>
          <w:lang w:val="it-IT"/>
        </w:rPr>
        <w:t>Escalation potranno inoltre fornire i seguenti Servizi aggiuntivi:</w:t>
      </w:r>
    </w:p>
    <w:p w:rsidR="00A92422" w:rsidRPr="00D87B79" w:rsidRDefault="00A92422" w:rsidP="00A92422">
      <w:pPr>
        <w:tabs>
          <w:tab w:val="left" w:pos="360"/>
        </w:tabs>
        <w:jc w:val="both"/>
        <w:rPr>
          <w:rFonts w:cs="Tahoma"/>
        </w:rPr>
      </w:pPr>
    </w:p>
    <w:p w:rsidR="00A92422" w:rsidRPr="00D87B79" w:rsidRDefault="00A92422" w:rsidP="00A92422">
      <w:pPr>
        <w:numPr>
          <w:ilvl w:val="0"/>
          <w:numId w:val="63"/>
        </w:numPr>
        <w:tabs>
          <w:tab w:val="clear" w:pos="720"/>
        </w:tabs>
        <w:spacing w:after="60"/>
        <w:ind w:left="1440"/>
        <w:jc w:val="both"/>
        <w:rPr>
          <w:rFonts w:cs="Tahoma"/>
        </w:rPr>
      </w:pPr>
      <w:r w:rsidRPr="00D87B79">
        <w:rPr>
          <w:rFonts w:cs="Tahoma"/>
          <w:b/>
          <w:color w:val="000000"/>
          <w:lang w:val="it-IT"/>
        </w:rPr>
        <w:t>Pianificazione e Gestione.</w:t>
      </w:r>
      <w:r w:rsidRPr="00D87B79">
        <w:rPr>
          <w:rFonts w:cs="Tahoma"/>
        </w:rPr>
        <w:t xml:space="preserve"> </w:t>
      </w:r>
      <w:r w:rsidRPr="00D87B79">
        <w:rPr>
          <w:rFonts w:cs="Tahoma"/>
          <w:lang w:val="it-IT"/>
        </w:rPr>
        <w:t>Alla data di entrata in vigore del presente Contratto Microsoft offre una sessione di orientamento alla direzione e al personale della società tramite teleconferenza.</w:t>
      </w:r>
      <w:r w:rsidRPr="00D87B79">
        <w:rPr>
          <w:rFonts w:cs="Tahoma"/>
        </w:rPr>
        <w:t xml:space="preserve"> </w:t>
      </w:r>
      <w:r w:rsidRPr="00D87B79">
        <w:rPr>
          <w:rFonts w:cs="Tahoma"/>
          <w:lang w:val="it-IT"/>
        </w:rPr>
        <w:t>Lo</w:t>
      </w:r>
      <w:r>
        <w:rPr>
          <w:rFonts w:cs="Tahoma"/>
          <w:lang w:val="it-IT"/>
        </w:rPr>
        <w:t> </w:t>
      </w:r>
      <w:r w:rsidRPr="00D87B79">
        <w:rPr>
          <w:rFonts w:cs="Tahoma"/>
          <w:lang w:val="it-IT"/>
        </w:rPr>
        <w:t>scopo di questa riunione è di discutere i Servizi di supporto disponibili e di rispondere a</w:t>
      </w:r>
      <w:r>
        <w:rPr>
          <w:rFonts w:cs="Tahoma"/>
          <w:lang w:val="it-IT"/>
        </w:rPr>
        <w:t> </w:t>
      </w:r>
      <w:r w:rsidRPr="00D87B79">
        <w:rPr>
          <w:rFonts w:cs="Tahoma"/>
          <w:lang w:val="it-IT"/>
        </w:rPr>
        <w:t>eventuali domande in modo che la società possa pianificare l’utilizzo dei Servizi.</w:t>
      </w:r>
    </w:p>
    <w:p w:rsidR="00A92422" w:rsidRPr="00D87B79" w:rsidRDefault="00A92422" w:rsidP="00A92422">
      <w:pPr>
        <w:numPr>
          <w:ilvl w:val="0"/>
          <w:numId w:val="63"/>
        </w:numPr>
        <w:tabs>
          <w:tab w:val="clear" w:pos="720"/>
        </w:tabs>
        <w:spacing w:after="60"/>
        <w:ind w:left="1440"/>
        <w:jc w:val="both"/>
        <w:rPr>
          <w:rFonts w:cs="Tahoma"/>
        </w:rPr>
      </w:pPr>
      <w:r w:rsidRPr="00D87B79">
        <w:rPr>
          <w:rFonts w:cs="Tahoma"/>
          <w:b/>
          <w:color w:val="000000"/>
          <w:lang w:val="it-IT"/>
        </w:rPr>
        <w:t>Gestione dell’Escalation.</w:t>
      </w:r>
      <w:r w:rsidRPr="00D87B79">
        <w:rPr>
          <w:rFonts w:cs="Tahoma"/>
        </w:rPr>
        <w:t xml:space="preserve"> </w:t>
      </w:r>
      <w:r w:rsidRPr="00D87B79">
        <w:rPr>
          <w:rFonts w:cs="Tahoma"/>
          <w:lang w:val="it-IT"/>
        </w:rPr>
        <w:t>Un Agente di Escalation fornirà alla società servizi di gestione dell’escalation per Windows Azure.</w:t>
      </w:r>
    </w:p>
    <w:p w:rsidR="00A92422" w:rsidRPr="00D87B79" w:rsidRDefault="00A92422" w:rsidP="00A92422">
      <w:pPr>
        <w:tabs>
          <w:tab w:val="left" w:pos="360"/>
        </w:tabs>
        <w:jc w:val="both"/>
        <w:rPr>
          <w:rFonts w:cs="Tahoma"/>
        </w:rPr>
      </w:pPr>
    </w:p>
    <w:p w:rsidR="00A92422" w:rsidRPr="003B3BFE" w:rsidRDefault="00A92422" w:rsidP="00A92422">
      <w:pPr>
        <w:pStyle w:val="normal1"/>
        <w:jc w:val="both"/>
        <w:rPr>
          <w:rFonts w:ascii="Tahoma" w:hAnsi="Tahoma" w:cs="Tahoma"/>
        </w:rPr>
      </w:pPr>
      <w:r w:rsidRPr="003B3BFE">
        <w:rPr>
          <w:rFonts w:ascii="Tahoma" w:hAnsi="Tahoma" w:cs="Tahoma"/>
          <w:color w:val="000000"/>
          <w:sz w:val="18"/>
          <w:lang w:val="it-IT"/>
        </w:rPr>
        <w:t>I Servizi di Escalation sono erogati dalle 9.00 alle 17.00 Ora Locale, da lunedì a venerdì, fine settimana e festività esclusi</w:t>
      </w:r>
      <w:r w:rsidRPr="003B3BFE">
        <w:rPr>
          <w:rFonts w:ascii="Tahoma" w:hAnsi="Tahoma" w:cs="Tahoma"/>
          <w:sz w:val="18"/>
          <w:lang w:val="it-IT"/>
        </w:rPr>
        <w:t>.</w:t>
      </w:r>
      <w:r w:rsidRPr="003B3BFE">
        <w:rPr>
          <w:rFonts w:ascii="Tahoma" w:hAnsi="Tahoma" w:cs="Tahoma"/>
        </w:rPr>
        <w:t xml:space="preserve"> </w:t>
      </w:r>
    </w:p>
    <w:p w:rsidR="00A92422" w:rsidRPr="00D87B79" w:rsidRDefault="00A92422" w:rsidP="00A92422">
      <w:pPr>
        <w:pStyle w:val="normal1"/>
        <w:jc w:val="both"/>
        <w:rPr>
          <w:rFonts w:ascii="Tahoma" w:hAnsi="Tahoma" w:cs="Tahoma"/>
        </w:rPr>
      </w:pPr>
    </w:p>
    <w:p w:rsidR="00A92422" w:rsidRPr="00D87B79" w:rsidRDefault="00A92422" w:rsidP="00A92422">
      <w:pPr>
        <w:tabs>
          <w:tab w:val="left" w:pos="360"/>
        </w:tabs>
        <w:jc w:val="both"/>
        <w:rPr>
          <w:rFonts w:cs="Tahoma"/>
        </w:rPr>
      </w:pPr>
      <w:r w:rsidRPr="00D87B79">
        <w:rPr>
          <w:rFonts w:cs="Tahoma"/>
          <w:b/>
          <w:lang w:val="it-IT"/>
        </w:rPr>
        <w:t>Altri Servizi Informativi e Vantaggi.</w:t>
      </w:r>
      <w:r w:rsidRPr="00D87B79">
        <w:rPr>
          <w:rFonts w:cs="Tahoma"/>
        </w:rPr>
        <w:t xml:space="preserve"> </w:t>
      </w:r>
      <w:r w:rsidRPr="00D87B79">
        <w:rPr>
          <w:rFonts w:cs="Tahoma"/>
          <w:lang w:val="it-IT"/>
        </w:rPr>
        <w:t>I Servizi Informativi forniscono dettagli tecnici su Windows Azure e gli strumenti di supporto che consentono alle società di implementare e far funzionare Windows Azure in modo più efficiente ed efficace.</w:t>
      </w:r>
      <w:r w:rsidRPr="00D87B79">
        <w:rPr>
          <w:rFonts w:cs="Tahoma"/>
        </w:rPr>
        <w:t xml:space="preserve"> </w:t>
      </w:r>
      <w:r w:rsidRPr="00D87B79">
        <w:rPr>
          <w:rFonts w:cs="Tahoma"/>
          <w:lang w:val="it-IT"/>
        </w:rPr>
        <w:t>I Servizi Informativi includono quanto segue:</w:t>
      </w:r>
    </w:p>
    <w:p w:rsidR="00A92422" w:rsidRPr="00D87B79" w:rsidRDefault="00A92422" w:rsidP="00A92422">
      <w:pPr>
        <w:tabs>
          <w:tab w:val="left" w:pos="360"/>
        </w:tabs>
        <w:jc w:val="both"/>
        <w:rPr>
          <w:rFonts w:cs="Tahoma"/>
        </w:rPr>
      </w:pPr>
    </w:p>
    <w:p w:rsidR="00A92422" w:rsidRPr="00D87B79" w:rsidRDefault="00A92422" w:rsidP="00A92422">
      <w:pPr>
        <w:pStyle w:val="ListParagraph"/>
        <w:numPr>
          <w:ilvl w:val="0"/>
          <w:numId w:val="64"/>
        </w:numPr>
        <w:tabs>
          <w:tab w:val="left" w:pos="360"/>
        </w:tabs>
        <w:spacing w:after="60"/>
        <w:ind w:left="1440"/>
        <w:contextualSpacing w:val="0"/>
        <w:jc w:val="both"/>
        <w:rPr>
          <w:rFonts w:ascii="Tahoma" w:hAnsi="Tahoma" w:cs="Tahoma"/>
        </w:rPr>
      </w:pPr>
      <w:r w:rsidRPr="00D87B79">
        <w:rPr>
          <w:rFonts w:ascii="Tahoma" w:hAnsi="Tahoma" w:cs="Tahoma"/>
          <w:b/>
          <w:color w:val="000000"/>
          <w:sz w:val="18"/>
          <w:lang w:val="it-IT"/>
        </w:rPr>
        <w:t>Supporto Diretto Professionale per il contenuto esclusivo di Windows Azure.</w:t>
      </w:r>
      <w:r w:rsidRPr="00D87B79">
        <w:rPr>
          <w:rFonts w:ascii="Tahoma" w:hAnsi="Tahoma" w:cs="Tahoma"/>
        </w:rPr>
        <w:t xml:space="preserve"> </w:t>
      </w:r>
      <w:r w:rsidRPr="00D87B79">
        <w:rPr>
          <w:rFonts w:ascii="Tahoma" w:hAnsi="Tahoma" w:cs="Tahoma"/>
          <w:sz w:val="18"/>
          <w:lang w:val="it-IT"/>
        </w:rPr>
        <w:t>Alle società verrà concesso l’accesso al contenuto esclusivo di Windows Azure, inclusi, a titolo esemplificativo, pubblicazioni online relative a manuali con procedure consigliate di architettura e distribuzione, contenuto di training archiviato, notifiche di futuri Webinar e altre informazioni di carattere generico su Windows Azure.</w:t>
      </w:r>
    </w:p>
    <w:p w:rsidR="00A92422" w:rsidRPr="00FE43EF" w:rsidRDefault="00A92422" w:rsidP="00A92422">
      <w:pPr>
        <w:numPr>
          <w:ilvl w:val="0"/>
          <w:numId w:val="64"/>
        </w:numPr>
        <w:tabs>
          <w:tab w:val="left" w:pos="360"/>
        </w:tabs>
        <w:spacing w:after="60"/>
        <w:ind w:left="1440"/>
        <w:jc w:val="both"/>
        <w:rPr>
          <w:rFonts w:cs="Tahoma"/>
        </w:rPr>
      </w:pPr>
      <w:r w:rsidRPr="00D87B79">
        <w:rPr>
          <w:rFonts w:cs="Tahoma"/>
          <w:b/>
          <w:color w:val="000000"/>
          <w:lang w:val="it-IT"/>
        </w:rPr>
        <w:t>Webinar.</w:t>
      </w:r>
      <w:r w:rsidRPr="00D87B79">
        <w:rPr>
          <w:rFonts w:cs="Tahoma"/>
        </w:rPr>
        <w:t xml:space="preserve"> </w:t>
      </w:r>
      <w:r w:rsidRPr="00D87B79">
        <w:rPr>
          <w:rFonts w:cs="Tahoma"/>
          <w:lang w:val="it-IT"/>
        </w:rPr>
        <w:t>I Webinar sono discussioni pianificate su base periodica condotte da esperti Microsoft che seguono aree importanti dei Servizi Online di Microsoft.</w:t>
      </w:r>
      <w:r w:rsidRPr="00D87B79">
        <w:rPr>
          <w:rFonts w:cs="Tahoma"/>
        </w:rPr>
        <w:t xml:space="preserve"> </w:t>
      </w:r>
      <w:r w:rsidRPr="00D87B79">
        <w:rPr>
          <w:rFonts w:cs="Tahoma"/>
          <w:lang w:val="it-IT"/>
        </w:rPr>
        <w:t>Esempi di argomenti potrebbero includere, a titolo esemplificativo, “Guida Introduttiva” di Windows Azure, Briefing sulle Nuove Funzionalità e Domande e Risposte con gli Esperti.</w:t>
      </w:r>
      <w:r w:rsidRPr="00D87B79">
        <w:rPr>
          <w:rFonts w:cs="Tahoma"/>
        </w:rPr>
        <w:t xml:space="preserve"> </w:t>
      </w:r>
    </w:p>
    <w:p w:rsidR="00A92422" w:rsidRPr="00D87B79" w:rsidRDefault="00A92422" w:rsidP="00A92422">
      <w:pPr>
        <w:numPr>
          <w:ilvl w:val="0"/>
          <w:numId w:val="64"/>
        </w:numPr>
        <w:tabs>
          <w:tab w:val="left" w:pos="360"/>
        </w:tabs>
        <w:spacing w:after="60"/>
        <w:ind w:left="1440"/>
        <w:jc w:val="both"/>
        <w:rPr>
          <w:rFonts w:cs="Tahoma"/>
        </w:rPr>
      </w:pPr>
      <w:r w:rsidRPr="00D87B79">
        <w:rPr>
          <w:rFonts w:cs="Tahoma"/>
          <w:b/>
          <w:color w:val="000000"/>
          <w:lang w:val="it-IT"/>
        </w:rPr>
        <w:t>Servizi di Consulenza Aggiuntivi erogati dagli Agenti di Escalation</w:t>
      </w:r>
    </w:p>
    <w:p w:rsidR="00A92422" w:rsidRPr="00D87B79" w:rsidRDefault="00A92422" w:rsidP="00A92422">
      <w:pPr>
        <w:numPr>
          <w:ilvl w:val="1"/>
          <w:numId w:val="54"/>
        </w:numPr>
        <w:tabs>
          <w:tab w:val="left" w:pos="360"/>
        </w:tabs>
        <w:spacing w:after="60"/>
        <w:ind w:left="1980"/>
        <w:jc w:val="both"/>
        <w:rPr>
          <w:rFonts w:cs="Tahoma"/>
        </w:rPr>
      </w:pPr>
      <w:r w:rsidRPr="00D87B79">
        <w:rPr>
          <w:rFonts w:cs="Tahoma"/>
          <w:snapToGrid w:val="0"/>
          <w:szCs w:val="18"/>
          <w:lang w:val="it-IT"/>
        </w:rPr>
        <w:t>Riferimenti alle principali risorse online.</w:t>
      </w:r>
      <w:r w:rsidRPr="00D87B79">
        <w:rPr>
          <w:rFonts w:cs="Tahoma"/>
        </w:rPr>
        <w:t xml:space="preserve"> </w:t>
      </w:r>
      <w:r w:rsidRPr="00D87B79">
        <w:rPr>
          <w:rFonts w:cs="Tahoma"/>
          <w:lang w:val="it-IT"/>
        </w:rPr>
        <w:t>Un Agente di Escalation fornirà alle società suggerimenti, incluse le istruzioni su come accedere alle risorse self-service in quel momento disponibili per poter rispondere alle domande relative alle procedure sui servizi e le funzionalità comuni di Windows Azure.</w:t>
      </w:r>
    </w:p>
    <w:p w:rsidR="00A92422" w:rsidRPr="00D87B79" w:rsidRDefault="00A92422" w:rsidP="00A92422">
      <w:pPr>
        <w:numPr>
          <w:ilvl w:val="1"/>
          <w:numId w:val="54"/>
        </w:numPr>
        <w:spacing w:after="60"/>
        <w:ind w:left="1987"/>
        <w:jc w:val="both"/>
        <w:rPr>
          <w:rFonts w:cs="Tahoma"/>
        </w:rPr>
      </w:pPr>
      <w:r w:rsidRPr="00D87B79">
        <w:rPr>
          <w:rFonts w:cs="Tahoma"/>
          <w:snapToGrid w:val="0"/>
          <w:szCs w:val="18"/>
          <w:lang w:val="it-IT"/>
        </w:rPr>
        <w:t>Orientamento di base degli interventi.</w:t>
      </w:r>
      <w:r w:rsidRPr="00D87B79">
        <w:rPr>
          <w:rFonts w:cs="Tahoma"/>
        </w:rPr>
        <w:t xml:space="preserve"> </w:t>
      </w:r>
      <w:r w:rsidRPr="00D87B79">
        <w:rPr>
          <w:rFonts w:cs="Tahoma"/>
          <w:lang w:val="it-IT"/>
        </w:rPr>
        <w:t>Un Agente di Escalation aiuterà a rilevare e valutare la causa principale delle richieste comuni di supporto formulate dalle società, fornendo consigli su come attenuare tali problematiche in futuro.</w:t>
      </w:r>
    </w:p>
    <w:p w:rsidR="00A92422" w:rsidRPr="00B31EA0" w:rsidRDefault="00A92422" w:rsidP="00A92422">
      <w:pPr>
        <w:pStyle w:val="ListParagraph"/>
        <w:numPr>
          <w:ilvl w:val="1"/>
          <w:numId w:val="54"/>
        </w:numPr>
        <w:tabs>
          <w:tab w:val="left" w:pos="360"/>
        </w:tabs>
        <w:spacing w:after="60"/>
        <w:ind w:left="1980"/>
        <w:contextualSpacing w:val="0"/>
        <w:jc w:val="both"/>
        <w:rPr>
          <w:rFonts w:ascii="Tahoma" w:hAnsi="Tahoma" w:cs="Tahoma"/>
          <w:sz w:val="18"/>
          <w:szCs w:val="18"/>
        </w:rPr>
      </w:pPr>
      <w:r w:rsidRPr="00B31EA0">
        <w:rPr>
          <w:rFonts w:ascii="Tahoma" w:hAnsi="Tahoma" w:cs="Tahoma"/>
          <w:b/>
          <w:color w:val="000000"/>
          <w:sz w:val="18"/>
          <w:szCs w:val="18"/>
          <w:lang w:val="it-IT"/>
        </w:rPr>
        <w:lastRenderedPageBreak/>
        <w:t>Segnalazioni per l’Ottimizzazione di Windows Azure.</w:t>
      </w:r>
      <w:r w:rsidRPr="00B31EA0">
        <w:rPr>
          <w:rFonts w:ascii="Tahoma" w:hAnsi="Tahoma" w:cs="Tahoma"/>
          <w:sz w:val="18"/>
          <w:szCs w:val="18"/>
        </w:rPr>
        <w:t xml:space="preserve"> </w:t>
      </w:r>
      <w:r w:rsidRPr="00B31EA0">
        <w:rPr>
          <w:rFonts w:ascii="Tahoma" w:hAnsi="Tahoma" w:cs="Tahoma"/>
          <w:sz w:val="18"/>
          <w:szCs w:val="18"/>
          <w:lang w:val="it-IT"/>
        </w:rPr>
        <w:t>Un Agente di Escalation fornirà segnalazioni periodiche per contribuire all’identificazione dei rischi potenziali alla protezione e delle opportunità di ottimizzazione.</w:t>
      </w:r>
      <w:r w:rsidRPr="00B31EA0">
        <w:rPr>
          <w:rFonts w:ascii="Tahoma" w:hAnsi="Tahoma" w:cs="Tahoma"/>
          <w:sz w:val="18"/>
          <w:szCs w:val="18"/>
        </w:rPr>
        <w:t xml:space="preserve"> </w:t>
      </w:r>
    </w:p>
    <w:p w:rsidR="00A92422" w:rsidRPr="00D87B79" w:rsidRDefault="00A92422" w:rsidP="00A92422">
      <w:pPr>
        <w:pStyle w:val="normal1"/>
        <w:jc w:val="both"/>
        <w:rPr>
          <w:rFonts w:ascii="Tahoma" w:hAnsi="Tahoma" w:cs="Tahoma"/>
        </w:rPr>
      </w:pPr>
    </w:p>
    <w:p w:rsidR="00A92422" w:rsidRPr="00D87B79" w:rsidRDefault="00A92422" w:rsidP="00A92422">
      <w:pPr>
        <w:tabs>
          <w:tab w:val="left" w:pos="360"/>
        </w:tabs>
        <w:jc w:val="both"/>
        <w:rPr>
          <w:rFonts w:cs="Tahoma"/>
        </w:rPr>
      </w:pPr>
      <w:r w:rsidRPr="00D87B79">
        <w:rPr>
          <w:rFonts w:cs="Tahoma"/>
          <w:b/>
          <w:sz w:val="20"/>
          <w:lang w:val="it-IT"/>
        </w:rPr>
        <w:t>Supporto Standard per Windows Azure</w:t>
      </w:r>
    </w:p>
    <w:p w:rsidR="00A92422" w:rsidRPr="00D87B79" w:rsidRDefault="00A92422" w:rsidP="00A92422">
      <w:pPr>
        <w:tabs>
          <w:tab w:val="left" w:pos="360"/>
        </w:tabs>
        <w:jc w:val="both"/>
        <w:rPr>
          <w:rFonts w:cs="Tahoma"/>
        </w:rPr>
      </w:pPr>
    </w:p>
    <w:p w:rsidR="00A92422" w:rsidRPr="00D87B79" w:rsidRDefault="00A92422" w:rsidP="00A92422">
      <w:pPr>
        <w:rPr>
          <w:rFonts w:cs="Tahoma"/>
        </w:rPr>
      </w:pPr>
      <w:r w:rsidRPr="00D87B79">
        <w:rPr>
          <w:rFonts w:cs="Tahoma"/>
          <w:szCs w:val="18"/>
          <w:lang w:val="it-IT"/>
        </w:rPr>
        <w:t>Microsoft definirà di livello di gravità iniziale C tutti gli Interventi richiesti. La società potrà tuttavia richiedere di modificare il livello di gravità in qualsiasi momento.</w:t>
      </w:r>
      <w:r w:rsidRPr="00D87B79">
        <w:rPr>
          <w:rFonts w:cs="Tahoma"/>
        </w:rPr>
        <w:t xml:space="preserve"> </w:t>
      </w:r>
      <w:r w:rsidRPr="00D87B79">
        <w:rPr>
          <w:rFonts w:cs="Tahoma"/>
          <w:lang w:val="it-IT"/>
        </w:rPr>
        <w:t>La gravità dell’intervento determinerà i livelli di risposta da parte di Microsoft. I tempi di risposta previsti sono definiti nella tabella che segue.</w:t>
      </w:r>
      <w:r w:rsidRPr="00D87B79">
        <w:rPr>
          <w:rFonts w:cs="Tahoma"/>
        </w:rPr>
        <w:t xml:space="preserve"> </w:t>
      </w:r>
      <w:r w:rsidRPr="00D87B79">
        <w:rPr>
          <w:rFonts w:cs="Tahoma"/>
          <w:lang w:val="it-IT"/>
        </w:rPr>
        <w:t>La possibilità per Microsoft di offrire i servizi dipende dalla totale e tempestiva collaborazione della società e dall’accuratezza e completezza dei dati forniti.</w:t>
      </w:r>
    </w:p>
    <w:p w:rsidR="00A92422" w:rsidRPr="00D87B79" w:rsidRDefault="00A92422" w:rsidP="00A92422">
      <w:pPr>
        <w:rPr>
          <w:rFonts w:cs="Tahom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957"/>
        <w:gridCol w:w="3009"/>
        <w:gridCol w:w="3118"/>
      </w:tblGrid>
      <w:tr w:rsidR="00A92422" w:rsidRPr="00D87B79" w:rsidTr="00EA30FC">
        <w:tc>
          <w:tcPr>
            <w:tcW w:w="779" w:type="pct"/>
            <w:shd w:val="clear" w:color="auto" w:fill="FABF8F"/>
          </w:tcPr>
          <w:p w:rsidR="00A92422" w:rsidRPr="00D87B79" w:rsidRDefault="00A92422" w:rsidP="00EA30FC">
            <w:pPr>
              <w:jc w:val="center"/>
              <w:rPr>
                <w:rFonts w:cs="Tahoma"/>
                <w:b/>
                <w:bCs/>
                <w:color w:val="000000"/>
                <w:sz w:val="20"/>
                <w:szCs w:val="18"/>
              </w:rPr>
            </w:pPr>
            <w:r w:rsidRPr="00D87B79">
              <w:rPr>
                <w:rFonts w:cs="Tahoma"/>
                <w:b/>
                <w:bCs/>
                <w:color w:val="000000"/>
                <w:sz w:val="20"/>
                <w:szCs w:val="18"/>
                <w:lang w:val="it-IT"/>
              </w:rPr>
              <w:t>Severity</w:t>
            </w:r>
          </w:p>
        </w:tc>
        <w:tc>
          <w:tcPr>
            <w:tcW w:w="1022" w:type="pct"/>
            <w:shd w:val="clear" w:color="auto" w:fill="FABF8F"/>
          </w:tcPr>
          <w:p w:rsidR="00A92422" w:rsidRPr="00D87B79" w:rsidRDefault="00A92422" w:rsidP="00EA30FC">
            <w:pPr>
              <w:jc w:val="center"/>
              <w:rPr>
                <w:rFonts w:cs="Tahoma"/>
                <w:b/>
                <w:bCs/>
                <w:color w:val="000000"/>
                <w:sz w:val="20"/>
                <w:szCs w:val="18"/>
              </w:rPr>
            </w:pPr>
            <w:r w:rsidRPr="00D87B79">
              <w:rPr>
                <w:rFonts w:cs="Tahoma"/>
                <w:b/>
                <w:bCs/>
                <w:color w:val="000000"/>
                <w:sz w:val="20"/>
                <w:szCs w:val="18"/>
                <w:lang w:val="it-IT"/>
              </w:rPr>
              <w:t>Contatto</w:t>
            </w:r>
          </w:p>
        </w:tc>
        <w:tc>
          <w:tcPr>
            <w:tcW w:w="1571" w:type="pct"/>
            <w:shd w:val="clear" w:color="auto" w:fill="FABF8F"/>
          </w:tcPr>
          <w:p w:rsidR="00A92422" w:rsidRPr="00D87B79" w:rsidRDefault="00A92422" w:rsidP="00EA30FC">
            <w:pPr>
              <w:jc w:val="center"/>
              <w:rPr>
                <w:rFonts w:cs="Tahoma"/>
                <w:b/>
                <w:bCs/>
                <w:color w:val="000000"/>
                <w:sz w:val="20"/>
                <w:szCs w:val="18"/>
              </w:rPr>
            </w:pPr>
            <w:r w:rsidRPr="00D87B79">
              <w:rPr>
                <w:rFonts w:cs="Tahoma"/>
                <w:b/>
                <w:color w:val="000000"/>
                <w:sz w:val="20"/>
                <w:lang w:val="it-IT"/>
              </w:rPr>
              <w:t>Situazione della Società</w:t>
            </w:r>
          </w:p>
        </w:tc>
        <w:tc>
          <w:tcPr>
            <w:tcW w:w="1628" w:type="pct"/>
            <w:shd w:val="clear" w:color="auto" w:fill="FABF8F"/>
          </w:tcPr>
          <w:p w:rsidR="00A92422" w:rsidRPr="00D87B79" w:rsidRDefault="00A92422" w:rsidP="00EA30FC">
            <w:pPr>
              <w:jc w:val="center"/>
              <w:rPr>
                <w:rFonts w:cs="Tahoma"/>
                <w:b/>
                <w:bCs/>
                <w:color w:val="000000"/>
                <w:sz w:val="20"/>
                <w:szCs w:val="18"/>
              </w:rPr>
            </w:pPr>
            <w:r w:rsidRPr="00D87B79">
              <w:rPr>
                <w:rFonts w:cs="Tahoma"/>
                <w:b/>
                <w:bCs/>
                <w:color w:val="000000"/>
                <w:sz w:val="20"/>
                <w:szCs w:val="18"/>
                <w:lang w:val="it-IT"/>
              </w:rPr>
              <w:t>Risposta di Microsoft Attesa</w:t>
            </w:r>
          </w:p>
        </w:tc>
      </w:tr>
      <w:tr w:rsidR="00A92422" w:rsidRPr="00D87B79" w:rsidTr="00EA30FC">
        <w:tc>
          <w:tcPr>
            <w:tcW w:w="779" w:type="pct"/>
          </w:tcPr>
          <w:p w:rsidR="00A92422" w:rsidRPr="00D87B79" w:rsidRDefault="00A92422" w:rsidP="00EA30FC">
            <w:pPr>
              <w:spacing w:after="60" w:line="240" w:lineRule="atLeast"/>
              <w:jc w:val="center"/>
              <w:rPr>
                <w:rFonts w:cs="Tahoma"/>
                <w:szCs w:val="18"/>
              </w:rPr>
            </w:pPr>
            <w:r w:rsidRPr="00D87B79">
              <w:rPr>
                <w:rFonts w:cs="Tahoma"/>
                <w:szCs w:val="18"/>
                <w:lang w:val="it-IT"/>
              </w:rPr>
              <w:t>A</w:t>
            </w:r>
          </w:p>
        </w:tc>
        <w:tc>
          <w:tcPr>
            <w:tcW w:w="1022" w:type="pct"/>
          </w:tcPr>
          <w:p w:rsidR="00A92422" w:rsidRPr="00D87B79" w:rsidRDefault="00A92422" w:rsidP="00EA30FC">
            <w:pPr>
              <w:spacing w:after="60" w:line="240" w:lineRule="atLeast"/>
              <w:jc w:val="center"/>
              <w:rPr>
                <w:rFonts w:cs="Tahoma"/>
                <w:szCs w:val="18"/>
              </w:rPr>
            </w:pPr>
            <w:r w:rsidRPr="00D87B79">
              <w:rPr>
                <w:rFonts w:cs="Tahoma"/>
                <w:lang w:val="it-IT"/>
              </w:rPr>
              <w:t>Formulazione via</w:t>
            </w:r>
            <w:r>
              <w:rPr>
                <w:rFonts w:cs="Tahoma"/>
                <w:lang w:val="it-IT"/>
              </w:rPr>
              <w:t> </w:t>
            </w:r>
            <w:r w:rsidRPr="00D87B79">
              <w:rPr>
                <w:rFonts w:cs="Tahoma"/>
                <w:lang w:val="it-IT"/>
              </w:rPr>
              <w:t>Web</w:t>
            </w:r>
          </w:p>
        </w:tc>
        <w:tc>
          <w:tcPr>
            <w:tcW w:w="1571" w:type="pct"/>
          </w:tcPr>
          <w:p w:rsidR="00A92422" w:rsidRPr="00D87B79" w:rsidRDefault="00A92422" w:rsidP="00EA30FC">
            <w:pPr>
              <w:spacing w:after="60" w:line="240" w:lineRule="atLeast"/>
              <w:rPr>
                <w:rFonts w:cs="Tahoma"/>
              </w:rPr>
            </w:pPr>
            <w:r w:rsidRPr="00D87B79">
              <w:rPr>
                <w:rFonts w:cs="Tahoma"/>
                <w:lang w:val="it-IT"/>
              </w:rPr>
              <w:t>Impatto commerciale critico</w:t>
            </w:r>
          </w:p>
          <w:p w:rsidR="00A92422" w:rsidRPr="00D87B79" w:rsidRDefault="00A92422" w:rsidP="00EA30FC">
            <w:pPr>
              <w:spacing w:after="60" w:line="240" w:lineRule="atLeast"/>
              <w:rPr>
                <w:rFonts w:cs="Tahoma"/>
              </w:rPr>
            </w:pPr>
            <w:r w:rsidRPr="00D87B79">
              <w:rPr>
                <w:rFonts w:cs="Tahoma"/>
                <w:lang w:val="it-IT"/>
              </w:rPr>
              <w:t>Perdita o degradazione significativa dei servizi (applicazione fuori uso)</w:t>
            </w:r>
          </w:p>
          <w:p w:rsidR="00A92422" w:rsidRPr="00D87B79" w:rsidRDefault="00A92422" w:rsidP="00EA30FC">
            <w:pPr>
              <w:spacing w:after="60" w:line="240" w:lineRule="atLeast"/>
              <w:rPr>
                <w:rFonts w:cs="Tahoma"/>
                <w:szCs w:val="18"/>
              </w:rPr>
            </w:pPr>
            <w:r w:rsidRPr="00D87B79">
              <w:rPr>
                <w:rFonts w:cs="Tahoma"/>
                <w:lang w:val="it-IT"/>
              </w:rPr>
              <w:t>Necessità dell’intervento entro</w:t>
            </w:r>
            <w:r>
              <w:rPr>
                <w:rFonts w:cs="Tahoma"/>
                <w:lang w:val="it-IT"/>
              </w:rPr>
              <w:t> </w:t>
            </w:r>
            <w:r w:rsidRPr="00D87B79">
              <w:rPr>
                <w:rFonts w:cs="Tahoma"/>
                <w:lang w:val="it-IT"/>
              </w:rPr>
              <w:t>2</w:t>
            </w:r>
            <w:r>
              <w:rPr>
                <w:rFonts w:cs="Tahoma"/>
                <w:lang w:val="it-IT"/>
              </w:rPr>
              <w:t> </w:t>
            </w:r>
            <w:r w:rsidRPr="00D87B79">
              <w:rPr>
                <w:rFonts w:cs="Tahoma"/>
                <w:lang w:val="it-IT"/>
              </w:rPr>
              <w:t>Ore</w:t>
            </w:r>
          </w:p>
        </w:tc>
        <w:tc>
          <w:tcPr>
            <w:tcW w:w="1628" w:type="pct"/>
          </w:tcPr>
          <w:p w:rsidR="00A92422" w:rsidRPr="00D87B79" w:rsidRDefault="00A92422" w:rsidP="00EA30FC">
            <w:pPr>
              <w:spacing w:after="60" w:line="240" w:lineRule="atLeast"/>
              <w:rPr>
                <w:rFonts w:cs="Tahoma"/>
              </w:rPr>
            </w:pPr>
            <w:r w:rsidRPr="00D87B79">
              <w:rPr>
                <w:rFonts w:cs="Tahoma"/>
                <w:lang w:val="it-IT"/>
              </w:rPr>
              <w:t>1</w:t>
            </w:r>
            <w:r w:rsidRPr="00D87B79">
              <w:rPr>
                <w:rFonts w:cs="Tahoma"/>
                <w:vertAlign w:val="superscript"/>
                <w:lang w:val="it-IT"/>
              </w:rPr>
              <w:t>a</w:t>
            </w:r>
            <w:r w:rsidRPr="00D87B79">
              <w:rPr>
                <w:rFonts w:cs="Tahoma"/>
                <w:lang w:val="it-IT"/>
              </w:rPr>
              <w:t xml:space="preserve"> risposta in 2 Ore o meno</w:t>
            </w:r>
          </w:p>
          <w:p w:rsidR="00A92422" w:rsidRPr="00D87B79" w:rsidRDefault="00A92422" w:rsidP="00EA30FC">
            <w:pPr>
              <w:spacing w:after="60" w:line="240" w:lineRule="atLeast"/>
              <w:rPr>
                <w:rFonts w:cs="Tahoma"/>
                <w:szCs w:val="18"/>
              </w:rPr>
            </w:pPr>
          </w:p>
        </w:tc>
      </w:tr>
      <w:tr w:rsidR="00A92422" w:rsidRPr="00D87B79" w:rsidTr="00EA30FC">
        <w:tc>
          <w:tcPr>
            <w:tcW w:w="779" w:type="pct"/>
          </w:tcPr>
          <w:p w:rsidR="00A92422" w:rsidRPr="00D87B79" w:rsidRDefault="00A92422" w:rsidP="00EA30FC">
            <w:pPr>
              <w:spacing w:after="60" w:line="240" w:lineRule="atLeast"/>
              <w:jc w:val="center"/>
              <w:rPr>
                <w:rFonts w:cs="Tahoma"/>
                <w:szCs w:val="18"/>
              </w:rPr>
            </w:pPr>
            <w:r w:rsidRPr="00D87B79">
              <w:rPr>
                <w:rFonts w:cs="Tahoma"/>
                <w:szCs w:val="18"/>
                <w:lang w:val="it-IT"/>
              </w:rPr>
              <w:t>B</w:t>
            </w:r>
          </w:p>
        </w:tc>
        <w:tc>
          <w:tcPr>
            <w:tcW w:w="1022" w:type="pct"/>
          </w:tcPr>
          <w:p w:rsidR="00A92422" w:rsidRPr="00D87B79" w:rsidRDefault="00A92422" w:rsidP="00EA30FC">
            <w:pPr>
              <w:spacing w:after="60" w:line="240" w:lineRule="atLeast"/>
              <w:jc w:val="center"/>
              <w:rPr>
                <w:rFonts w:cs="Tahoma"/>
                <w:szCs w:val="18"/>
              </w:rPr>
            </w:pPr>
            <w:r w:rsidRPr="00D87B79">
              <w:rPr>
                <w:rFonts w:cs="Tahoma"/>
                <w:lang w:val="it-IT"/>
              </w:rPr>
              <w:t>Formulazione via</w:t>
            </w:r>
            <w:r>
              <w:rPr>
                <w:rFonts w:cs="Tahoma"/>
                <w:lang w:val="it-IT"/>
              </w:rPr>
              <w:t> </w:t>
            </w:r>
            <w:r w:rsidRPr="00D87B79">
              <w:rPr>
                <w:rFonts w:cs="Tahoma"/>
                <w:lang w:val="it-IT"/>
              </w:rPr>
              <w:t>Web</w:t>
            </w:r>
          </w:p>
        </w:tc>
        <w:tc>
          <w:tcPr>
            <w:tcW w:w="1571" w:type="pct"/>
          </w:tcPr>
          <w:p w:rsidR="00A92422" w:rsidRPr="00D87B79" w:rsidRDefault="00A92422" w:rsidP="00EA30FC">
            <w:pPr>
              <w:spacing w:after="60" w:line="240" w:lineRule="atLeast"/>
              <w:rPr>
                <w:rFonts w:cs="Tahoma"/>
              </w:rPr>
            </w:pPr>
            <w:r w:rsidRPr="00D87B79">
              <w:rPr>
                <w:rFonts w:cs="Tahoma"/>
                <w:szCs w:val="18"/>
                <w:lang w:val="it-IT"/>
              </w:rPr>
              <w:t>Impatto commerciale moderato:</w:t>
            </w:r>
            <w:r w:rsidRPr="00D87B79">
              <w:rPr>
                <w:rFonts w:cs="Tahoma"/>
                <w:szCs w:val="18"/>
              </w:rPr>
              <w:t xml:space="preserve"> </w:t>
            </w:r>
          </w:p>
          <w:p w:rsidR="00A92422" w:rsidRPr="00D87B79" w:rsidRDefault="00A92422" w:rsidP="00EA30FC">
            <w:pPr>
              <w:spacing w:line="240" w:lineRule="atLeast"/>
              <w:rPr>
                <w:rFonts w:cs="Tahoma"/>
              </w:rPr>
            </w:pPr>
            <w:r w:rsidRPr="00D87B79">
              <w:rPr>
                <w:rFonts w:cs="Tahoma"/>
                <w:lang w:val="it-IT"/>
              </w:rPr>
              <w:t>Perdita o degradazione moderata dei servizi e possibilità di continuare il lavoro in modo meno efficiente.</w:t>
            </w:r>
          </w:p>
          <w:p w:rsidR="00A92422" w:rsidRPr="00D87B79" w:rsidRDefault="00A92422" w:rsidP="00EA30FC">
            <w:pPr>
              <w:spacing w:after="60" w:line="240" w:lineRule="atLeast"/>
              <w:rPr>
                <w:rFonts w:cs="Tahoma"/>
                <w:szCs w:val="18"/>
              </w:rPr>
            </w:pPr>
            <w:r w:rsidRPr="00D87B79">
              <w:rPr>
                <w:rFonts w:cs="Tahoma"/>
                <w:lang w:val="it-IT"/>
              </w:rPr>
              <w:t>Necessità dell’intervento entro 4</w:t>
            </w:r>
            <w:r>
              <w:rPr>
                <w:rFonts w:cs="Tahoma"/>
                <w:lang w:val="it-IT"/>
              </w:rPr>
              <w:t> </w:t>
            </w:r>
            <w:r w:rsidRPr="00D87B79">
              <w:rPr>
                <w:rFonts w:cs="Tahoma"/>
                <w:lang w:val="it-IT"/>
              </w:rPr>
              <w:t>Ore</w:t>
            </w:r>
          </w:p>
        </w:tc>
        <w:tc>
          <w:tcPr>
            <w:tcW w:w="1628" w:type="pct"/>
          </w:tcPr>
          <w:p w:rsidR="00A92422" w:rsidRPr="00D87B79" w:rsidRDefault="00A92422" w:rsidP="00EA30FC">
            <w:pPr>
              <w:spacing w:line="240" w:lineRule="atLeast"/>
              <w:rPr>
                <w:rFonts w:cs="Tahoma"/>
              </w:rPr>
            </w:pPr>
            <w:r w:rsidRPr="00D87B79">
              <w:rPr>
                <w:rFonts w:cs="Tahoma"/>
                <w:lang w:val="it-IT"/>
              </w:rPr>
              <w:t>1</w:t>
            </w:r>
            <w:r w:rsidRPr="00D87B79">
              <w:rPr>
                <w:rFonts w:cs="Tahoma"/>
                <w:vertAlign w:val="superscript"/>
                <w:lang w:val="it-IT"/>
              </w:rPr>
              <w:t>a</w:t>
            </w:r>
            <w:r w:rsidRPr="00D87B79">
              <w:rPr>
                <w:rFonts w:cs="Tahoma"/>
                <w:lang w:val="it-IT"/>
              </w:rPr>
              <w:t xml:space="preserve"> risposta in 4 Ore o meno</w:t>
            </w:r>
          </w:p>
          <w:p w:rsidR="00A92422" w:rsidRPr="00D87B79" w:rsidRDefault="00A92422" w:rsidP="00EA30FC">
            <w:pPr>
              <w:spacing w:after="60" w:line="240" w:lineRule="atLeast"/>
              <w:rPr>
                <w:rFonts w:cs="Tahoma"/>
                <w:szCs w:val="18"/>
              </w:rPr>
            </w:pPr>
          </w:p>
        </w:tc>
      </w:tr>
      <w:tr w:rsidR="00A92422" w:rsidRPr="00D87B79" w:rsidTr="00EA30FC">
        <w:tc>
          <w:tcPr>
            <w:tcW w:w="779" w:type="pct"/>
          </w:tcPr>
          <w:p w:rsidR="00A92422" w:rsidRPr="00D87B79" w:rsidRDefault="00A92422" w:rsidP="00EA30FC">
            <w:pPr>
              <w:spacing w:after="60" w:line="240" w:lineRule="atLeast"/>
              <w:jc w:val="center"/>
              <w:rPr>
                <w:rFonts w:cs="Tahoma"/>
                <w:szCs w:val="18"/>
              </w:rPr>
            </w:pPr>
            <w:r w:rsidRPr="00D87B79">
              <w:rPr>
                <w:rFonts w:cs="Tahoma"/>
                <w:szCs w:val="18"/>
                <w:lang w:val="it-IT"/>
              </w:rPr>
              <w:t>C</w:t>
            </w:r>
          </w:p>
        </w:tc>
        <w:tc>
          <w:tcPr>
            <w:tcW w:w="1022" w:type="pct"/>
          </w:tcPr>
          <w:p w:rsidR="00A92422" w:rsidRPr="00D87B79" w:rsidRDefault="00A92422" w:rsidP="00EA30FC">
            <w:pPr>
              <w:spacing w:after="60" w:line="240" w:lineRule="atLeast"/>
              <w:jc w:val="center"/>
              <w:rPr>
                <w:rFonts w:cs="Tahoma"/>
                <w:szCs w:val="18"/>
              </w:rPr>
            </w:pPr>
            <w:r w:rsidRPr="00D87B79">
              <w:rPr>
                <w:rFonts w:cs="Tahoma"/>
                <w:szCs w:val="18"/>
                <w:lang w:val="it-IT"/>
              </w:rPr>
              <w:t>Formulazione via</w:t>
            </w:r>
            <w:r>
              <w:rPr>
                <w:rFonts w:cs="Tahoma"/>
                <w:szCs w:val="18"/>
                <w:lang w:val="it-IT"/>
              </w:rPr>
              <w:t> </w:t>
            </w:r>
            <w:r w:rsidRPr="00D87B79">
              <w:rPr>
                <w:rFonts w:cs="Tahoma"/>
                <w:szCs w:val="18"/>
                <w:lang w:val="it-IT"/>
              </w:rPr>
              <w:t>Web</w:t>
            </w:r>
          </w:p>
        </w:tc>
        <w:tc>
          <w:tcPr>
            <w:tcW w:w="1571" w:type="pct"/>
          </w:tcPr>
          <w:p w:rsidR="00A92422" w:rsidRPr="00D87B79" w:rsidRDefault="00A92422" w:rsidP="00EA30FC">
            <w:pPr>
              <w:rPr>
                <w:rFonts w:cs="Tahoma"/>
              </w:rPr>
            </w:pPr>
            <w:r w:rsidRPr="00D87B79">
              <w:rPr>
                <w:rFonts w:cs="Tahoma"/>
                <w:lang w:val="it-IT"/>
              </w:rPr>
              <w:t>Impatto commerciale minimo</w:t>
            </w:r>
          </w:p>
          <w:p w:rsidR="00A92422" w:rsidRPr="00D87B79" w:rsidRDefault="00A92422" w:rsidP="00EA30FC">
            <w:pPr>
              <w:rPr>
                <w:rFonts w:cs="Tahoma"/>
              </w:rPr>
            </w:pPr>
            <w:r w:rsidRPr="00D87B79">
              <w:rPr>
                <w:rFonts w:cs="Tahoma"/>
                <w:lang w:val="it-IT"/>
              </w:rPr>
              <w:t>Funzionamento sostanzialmente nella norma, in alcuni casi con qualche minimo impedimento dei</w:t>
            </w:r>
            <w:r>
              <w:rPr>
                <w:rFonts w:cs="Tahoma"/>
                <w:lang w:val="it-IT"/>
              </w:rPr>
              <w:t> </w:t>
            </w:r>
            <w:r w:rsidRPr="00D87B79">
              <w:rPr>
                <w:rFonts w:cs="Tahoma"/>
                <w:lang w:val="it-IT"/>
              </w:rPr>
              <w:t>servizi.</w:t>
            </w:r>
          </w:p>
          <w:p w:rsidR="00A92422" w:rsidRPr="00D87B79" w:rsidRDefault="00A92422" w:rsidP="00EA30FC">
            <w:pPr>
              <w:spacing w:after="60" w:line="240" w:lineRule="atLeast"/>
              <w:rPr>
                <w:rFonts w:cs="Tahoma"/>
                <w:szCs w:val="18"/>
              </w:rPr>
            </w:pPr>
            <w:r w:rsidRPr="00D87B79">
              <w:rPr>
                <w:rFonts w:cs="Tahoma"/>
                <w:lang w:val="it-IT"/>
              </w:rPr>
              <w:t>Necessità dell’intervento entro 8</w:t>
            </w:r>
            <w:r>
              <w:rPr>
                <w:rFonts w:cs="Tahoma"/>
                <w:lang w:val="it-IT"/>
              </w:rPr>
              <w:t> </w:t>
            </w:r>
            <w:r w:rsidRPr="00D87B79">
              <w:rPr>
                <w:rFonts w:cs="Tahoma"/>
                <w:lang w:val="it-IT"/>
              </w:rPr>
              <w:t>Ore</w:t>
            </w:r>
          </w:p>
        </w:tc>
        <w:tc>
          <w:tcPr>
            <w:tcW w:w="1628" w:type="pct"/>
          </w:tcPr>
          <w:p w:rsidR="00A92422" w:rsidRPr="00D87B79" w:rsidRDefault="00A92422" w:rsidP="00EA30FC">
            <w:pPr>
              <w:rPr>
                <w:rFonts w:cs="Tahoma"/>
              </w:rPr>
            </w:pPr>
            <w:r w:rsidRPr="00D87B79">
              <w:rPr>
                <w:rFonts w:cs="Tahoma"/>
                <w:lang w:val="it-IT"/>
              </w:rPr>
              <w:t>1</w:t>
            </w:r>
            <w:r w:rsidRPr="00D87B79">
              <w:rPr>
                <w:rFonts w:cs="Tahoma"/>
                <w:vertAlign w:val="superscript"/>
                <w:lang w:val="it-IT"/>
              </w:rPr>
              <w:t>a</w:t>
            </w:r>
            <w:r w:rsidRPr="00D87B79">
              <w:rPr>
                <w:rFonts w:cs="Tahoma"/>
                <w:lang w:val="it-IT"/>
              </w:rPr>
              <w:t xml:space="preserve"> risposta in 8 Ore o meno</w:t>
            </w:r>
          </w:p>
          <w:p w:rsidR="00A92422" w:rsidRPr="00D87B79" w:rsidRDefault="00A92422" w:rsidP="00EA30FC">
            <w:pPr>
              <w:spacing w:line="240" w:lineRule="atLeast"/>
              <w:rPr>
                <w:rFonts w:cs="Tahoma"/>
                <w:szCs w:val="18"/>
              </w:rPr>
            </w:pPr>
          </w:p>
        </w:tc>
      </w:tr>
    </w:tbl>
    <w:p w:rsidR="00A92422" w:rsidRPr="00D87B79" w:rsidRDefault="00A92422" w:rsidP="00A92422">
      <w:pPr>
        <w:rPr>
          <w:rFonts w:cs="Tahoma"/>
        </w:rPr>
      </w:pPr>
    </w:p>
    <w:p w:rsidR="00A92422" w:rsidRPr="00D87B79" w:rsidRDefault="00A92422" w:rsidP="00A92422">
      <w:pPr>
        <w:tabs>
          <w:tab w:val="left" w:pos="360"/>
        </w:tabs>
        <w:jc w:val="both"/>
        <w:rPr>
          <w:rFonts w:cs="Tahoma"/>
        </w:rPr>
      </w:pPr>
      <w:r w:rsidRPr="00D87B79">
        <w:rPr>
          <w:rFonts w:cs="Tahoma"/>
          <w:snapToGrid w:val="0"/>
          <w:color w:val="000000"/>
          <w:szCs w:val="18"/>
          <w:lang w:val="it-IT"/>
        </w:rPr>
        <w:t>Le società possono scegliere di essere richiamate da Microsoft per un massimo di 3 interventi al mese.</w:t>
      </w:r>
      <w:r w:rsidRPr="00D87B79">
        <w:rPr>
          <w:rFonts w:cs="Tahoma"/>
          <w:snapToGrid w:val="0"/>
          <w:color w:val="000000"/>
          <w:szCs w:val="18"/>
        </w:rPr>
        <w:t xml:space="preserve"> </w:t>
      </w:r>
      <w:r w:rsidRPr="00D87B79">
        <w:rPr>
          <w:rFonts w:cs="Tahoma"/>
          <w:snapToGrid w:val="0"/>
          <w:color w:val="000000"/>
          <w:szCs w:val="18"/>
          <w:lang w:val="it-IT"/>
        </w:rPr>
        <w:t>Diversamente, il team di supporto di Windows Azure individuerà e risolverà l’intervento tramite i canali online (ad esempio, tramite posta elettronica o il portale di Windows Azure).</w:t>
      </w:r>
      <w:r w:rsidRPr="00D87B79">
        <w:rPr>
          <w:rFonts w:cs="Tahoma"/>
          <w:snapToGrid w:val="0"/>
          <w:color w:val="000000"/>
          <w:szCs w:val="18"/>
        </w:rPr>
        <w:t xml:space="preserve"> </w:t>
      </w:r>
    </w:p>
    <w:p w:rsidR="00A92422" w:rsidRPr="00D87B79" w:rsidRDefault="00A92422" w:rsidP="00A92422">
      <w:pPr>
        <w:tabs>
          <w:tab w:val="left" w:pos="360"/>
        </w:tabs>
        <w:jc w:val="both"/>
        <w:rPr>
          <w:rFonts w:cs="Tahoma"/>
        </w:rPr>
      </w:pPr>
    </w:p>
    <w:p w:rsidR="00A92422" w:rsidRPr="00D87B79" w:rsidRDefault="00A92422" w:rsidP="00A92422">
      <w:pPr>
        <w:tabs>
          <w:tab w:val="left" w:pos="360"/>
        </w:tabs>
        <w:jc w:val="both"/>
        <w:rPr>
          <w:rFonts w:cs="Tahoma"/>
        </w:rPr>
      </w:pPr>
      <w:r w:rsidRPr="00D87B79">
        <w:rPr>
          <w:rFonts w:cs="Tahoma"/>
          <w:b/>
          <w:sz w:val="20"/>
          <w:lang w:val="it-IT"/>
        </w:rPr>
        <w:t>Supporto per Sviluppatori per Windows Azure</w:t>
      </w:r>
    </w:p>
    <w:p w:rsidR="00A92422" w:rsidRPr="00D87B79" w:rsidRDefault="00A92422" w:rsidP="00A92422">
      <w:pPr>
        <w:tabs>
          <w:tab w:val="left" w:pos="360"/>
        </w:tabs>
        <w:jc w:val="both"/>
        <w:rPr>
          <w:rFonts w:cs="Tahoma"/>
        </w:rPr>
      </w:pPr>
    </w:p>
    <w:p w:rsidR="00A92422" w:rsidRPr="00D87B79" w:rsidRDefault="00A92422" w:rsidP="00A92422">
      <w:pPr>
        <w:rPr>
          <w:rFonts w:cs="Tahoma"/>
        </w:rPr>
      </w:pPr>
      <w:r w:rsidRPr="00D87B79">
        <w:rPr>
          <w:rFonts w:cs="Tahoma"/>
          <w:szCs w:val="18"/>
          <w:lang w:val="it-IT"/>
        </w:rPr>
        <w:t>Microsoft definirà di livello di gravità iniziale C tutti gli Interventi richiesti. La società potrà tuttavia richiedere di modificare il livello di gravità in qualsiasi momento.</w:t>
      </w:r>
      <w:r w:rsidRPr="00D87B79">
        <w:rPr>
          <w:rFonts w:cs="Tahoma"/>
        </w:rPr>
        <w:t xml:space="preserve"> </w:t>
      </w:r>
      <w:r w:rsidRPr="00D87B79">
        <w:rPr>
          <w:rFonts w:cs="Tahoma"/>
          <w:lang w:val="it-IT"/>
        </w:rPr>
        <w:t>La gravità dell’intervento determinerà i livelli di risposta da parte di Microsoft. I tempi di risposta previsti sono definiti nella tabella che segue.</w:t>
      </w:r>
      <w:r w:rsidRPr="00D87B79">
        <w:rPr>
          <w:rFonts w:cs="Tahoma"/>
        </w:rPr>
        <w:t xml:space="preserve"> </w:t>
      </w:r>
      <w:r w:rsidRPr="00D87B79">
        <w:rPr>
          <w:rFonts w:cs="Tahoma"/>
          <w:lang w:val="it-IT"/>
        </w:rPr>
        <w:t>La possibilità per Microsoft di offrire i servizi dipende dalla totale e tempestiva collaborazione della società e dall’accuratezza e completezza dei dati forniti.</w:t>
      </w:r>
    </w:p>
    <w:p w:rsidR="00A92422" w:rsidRDefault="00A92422" w:rsidP="00A92422">
      <w:pPr>
        <w:rPr>
          <w:rFonts w:cs="Tahoma"/>
        </w:rPr>
      </w:pPr>
    </w:p>
    <w:p w:rsidR="00A92422" w:rsidRDefault="00A92422" w:rsidP="00A92422">
      <w:pPr>
        <w:rPr>
          <w:rFonts w:cs="Tahoma"/>
        </w:rPr>
      </w:pPr>
    </w:p>
    <w:p w:rsidR="00A92422" w:rsidRPr="00D87B79" w:rsidRDefault="00A92422" w:rsidP="00A92422">
      <w:pPr>
        <w:rPr>
          <w:rFonts w:cs="Tahom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2"/>
        <w:gridCol w:w="1928"/>
        <w:gridCol w:w="3342"/>
        <w:gridCol w:w="2834"/>
      </w:tblGrid>
      <w:tr w:rsidR="00A92422" w:rsidRPr="00D87B79" w:rsidTr="00EA30FC">
        <w:tc>
          <w:tcPr>
            <w:tcW w:w="768" w:type="pct"/>
            <w:shd w:val="clear" w:color="auto" w:fill="FABF8F"/>
          </w:tcPr>
          <w:p w:rsidR="00A92422" w:rsidRPr="00D87B79" w:rsidRDefault="00A92422" w:rsidP="00EA30FC">
            <w:pPr>
              <w:jc w:val="center"/>
              <w:rPr>
                <w:rFonts w:cs="Tahoma"/>
                <w:b/>
                <w:bCs/>
                <w:color w:val="000000"/>
                <w:sz w:val="20"/>
                <w:szCs w:val="18"/>
              </w:rPr>
            </w:pPr>
            <w:r w:rsidRPr="00D87B79">
              <w:rPr>
                <w:rFonts w:cs="Tahoma"/>
                <w:b/>
                <w:bCs/>
                <w:color w:val="000000"/>
                <w:sz w:val="20"/>
                <w:szCs w:val="18"/>
                <w:lang w:val="it-IT"/>
              </w:rPr>
              <w:t>Severity</w:t>
            </w:r>
          </w:p>
        </w:tc>
        <w:tc>
          <w:tcPr>
            <w:tcW w:w="1006" w:type="pct"/>
            <w:shd w:val="clear" w:color="auto" w:fill="FABF8F"/>
          </w:tcPr>
          <w:p w:rsidR="00A92422" w:rsidRPr="00D87B79" w:rsidRDefault="00A92422" w:rsidP="00EA30FC">
            <w:pPr>
              <w:jc w:val="center"/>
              <w:rPr>
                <w:rFonts w:cs="Tahoma"/>
                <w:b/>
                <w:bCs/>
                <w:color w:val="000000"/>
                <w:sz w:val="20"/>
                <w:szCs w:val="18"/>
              </w:rPr>
            </w:pPr>
            <w:r w:rsidRPr="00D87B79">
              <w:rPr>
                <w:rFonts w:cs="Tahoma"/>
                <w:b/>
                <w:bCs/>
                <w:color w:val="000000"/>
                <w:sz w:val="20"/>
                <w:szCs w:val="18"/>
                <w:lang w:val="it-IT"/>
              </w:rPr>
              <w:t>Contatto</w:t>
            </w:r>
          </w:p>
        </w:tc>
        <w:tc>
          <w:tcPr>
            <w:tcW w:w="1745" w:type="pct"/>
            <w:shd w:val="clear" w:color="auto" w:fill="FABF8F"/>
          </w:tcPr>
          <w:p w:rsidR="00A92422" w:rsidRPr="00D87B79" w:rsidRDefault="00A92422" w:rsidP="00EA30FC">
            <w:pPr>
              <w:jc w:val="center"/>
              <w:rPr>
                <w:rFonts w:cs="Tahoma"/>
                <w:b/>
                <w:bCs/>
                <w:color w:val="000000"/>
                <w:sz w:val="20"/>
                <w:szCs w:val="18"/>
              </w:rPr>
            </w:pPr>
            <w:r w:rsidRPr="00D87B79">
              <w:rPr>
                <w:rFonts w:cs="Tahoma"/>
                <w:b/>
                <w:color w:val="000000"/>
                <w:sz w:val="20"/>
                <w:lang w:val="it-IT"/>
              </w:rPr>
              <w:t>Situazione della Società</w:t>
            </w:r>
          </w:p>
        </w:tc>
        <w:tc>
          <w:tcPr>
            <w:tcW w:w="1480" w:type="pct"/>
            <w:shd w:val="clear" w:color="auto" w:fill="FABF8F"/>
          </w:tcPr>
          <w:p w:rsidR="00A92422" w:rsidRPr="00D87B79" w:rsidRDefault="00A92422" w:rsidP="00EA30FC">
            <w:pPr>
              <w:jc w:val="center"/>
              <w:rPr>
                <w:rFonts w:cs="Tahoma"/>
                <w:b/>
                <w:bCs/>
                <w:color w:val="000000"/>
                <w:sz w:val="20"/>
                <w:szCs w:val="18"/>
              </w:rPr>
            </w:pPr>
            <w:r w:rsidRPr="00D87B79">
              <w:rPr>
                <w:rFonts w:cs="Tahoma"/>
                <w:b/>
                <w:bCs/>
                <w:color w:val="000000"/>
                <w:sz w:val="20"/>
                <w:szCs w:val="18"/>
                <w:lang w:val="it-IT"/>
              </w:rPr>
              <w:t>Risposta di Microsoft Attesa</w:t>
            </w:r>
          </w:p>
        </w:tc>
      </w:tr>
      <w:tr w:rsidR="00A92422" w:rsidRPr="00D87B79" w:rsidTr="00EA30FC">
        <w:tc>
          <w:tcPr>
            <w:tcW w:w="768" w:type="pct"/>
          </w:tcPr>
          <w:p w:rsidR="00A92422" w:rsidRPr="00D87B79" w:rsidRDefault="00A92422" w:rsidP="00EA30FC">
            <w:pPr>
              <w:spacing w:after="60" w:line="240" w:lineRule="atLeast"/>
              <w:jc w:val="center"/>
              <w:rPr>
                <w:rFonts w:cs="Tahoma"/>
              </w:rPr>
            </w:pPr>
            <w:r w:rsidRPr="00D87B79">
              <w:rPr>
                <w:rFonts w:cs="Tahoma"/>
                <w:lang w:val="it-IT"/>
              </w:rPr>
              <w:t>C</w:t>
            </w:r>
          </w:p>
          <w:p w:rsidR="00A92422" w:rsidRPr="00D87B79" w:rsidRDefault="00A92422" w:rsidP="00EA30FC">
            <w:pPr>
              <w:spacing w:after="60" w:line="240" w:lineRule="atLeast"/>
              <w:jc w:val="center"/>
              <w:rPr>
                <w:rFonts w:cs="Tahoma"/>
                <w:szCs w:val="18"/>
              </w:rPr>
            </w:pPr>
            <w:r w:rsidRPr="00D87B79">
              <w:rPr>
                <w:rFonts w:cs="Tahoma"/>
                <w:szCs w:val="18"/>
                <w:lang w:val="it-IT"/>
              </w:rPr>
              <w:t>(Tutti i casi verranno definiti di livello di gravità C)</w:t>
            </w:r>
          </w:p>
        </w:tc>
        <w:tc>
          <w:tcPr>
            <w:tcW w:w="1006" w:type="pct"/>
          </w:tcPr>
          <w:p w:rsidR="00A92422" w:rsidRPr="00D87B79" w:rsidRDefault="00A92422" w:rsidP="00EA30FC">
            <w:pPr>
              <w:spacing w:after="60" w:line="240" w:lineRule="atLeast"/>
              <w:jc w:val="center"/>
              <w:rPr>
                <w:rFonts w:cs="Tahoma"/>
                <w:szCs w:val="18"/>
              </w:rPr>
            </w:pPr>
            <w:r w:rsidRPr="00D87B79">
              <w:rPr>
                <w:rFonts w:cs="Tahoma"/>
                <w:szCs w:val="18"/>
                <w:lang w:val="it-IT"/>
              </w:rPr>
              <w:t>Formulazione via</w:t>
            </w:r>
            <w:r>
              <w:rPr>
                <w:rFonts w:cs="Tahoma"/>
                <w:szCs w:val="18"/>
                <w:lang w:val="it-IT"/>
              </w:rPr>
              <w:t> </w:t>
            </w:r>
            <w:r w:rsidRPr="00D87B79">
              <w:rPr>
                <w:rFonts w:cs="Tahoma"/>
                <w:szCs w:val="18"/>
                <w:lang w:val="it-IT"/>
              </w:rPr>
              <w:t>Web</w:t>
            </w:r>
          </w:p>
        </w:tc>
        <w:tc>
          <w:tcPr>
            <w:tcW w:w="1745" w:type="pct"/>
          </w:tcPr>
          <w:p w:rsidR="00A92422" w:rsidRPr="00D87B79" w:rsidRDefault="00A92422" w:rsidP="00EA30FC">
            <w:pPr>
              <w:rPr>
                <w:rFonts w:cs="Tahoma"/>
              </w:rPr>
            </w:pPr>
            <w:r w:rsidRPr="00D87B79">
              <w:rPr>
                <w:rFonts w:cs="Tahoma"/>
                <w:lang w:val="it-IT"/>
              </w:rPr>
              <w:t>Impatto commerciale minimo</w:t>
            </w:r>
          </w:p>
          <w:p w:rsidR="00A92422" w:rsidRPr="00D87B79" w:rsidRDefault="00A92422" w:rsidP="00EA30FC">
            <w:pPr>
              <w:rPr>
                <w:rFonts w:cs="Tahoma"/>
              </w:rPr>
            </w:pPr>
            <w:r w:rsidRPr="00D87B79">
              <w:rPr>
                <w:rFonts w:cs="Tahoma"/>
                <w:lang w:val="it-IT"/>
              </w:rPr>
              <w:t>Funzionamento sostanzialmente nella norma, in alcuni casi con qualche minimo impedimento dei servizi.</w:t>
            </w:r>
          </w:p>
          <w:p w:rsidR="00A92422" w:rsidRPr="00D87B79" w:rsidRDefault="00A92422" w:rsidP="00EA30FC">
            <w:pPr>
              <w:spacing w:after="60" w:line="240" w:lineRule="atLeast"/>
              <w:rPr>
                <w:rFonts w:cs="Tahoma"/>
                <w:szCs w:val="18"/>
              </w:rPr>
            </w:pPr>
            <w:r w:rsidRPr="00D87B79">
              <w:rPr>
                <w:rFonts w:cs="Tahoma"/>
                <w:szCs w:val="18"/>
                <w:lang w:val="it-IT"/>
              </w:rPr>
              <w:t>Necessità dell’intervento entro 8 ore</w:t>
            </w:r>
          </w:p>
        </w:tc>
        <w:tc>
          <w:tcPr>
            <w:tcW w:w="1480" w:type="pct"/>
          </w:tcPr>
          <w:p w:rsidR="00A92422" w:rsidRPr="00D87B79" w:rsidRDefault="00A92422" w:rsidP="00EA30FC">
            <w:pPr>
              <w:rPr>
                <w:rFonts w:cs="Tahoma"/>
              </w:rPr>
            </w:pPr>
            <w:r w:rsidRPr="00D87B79">
              <w:rPr>
                <w:rFonts w:cs="Tahoma"/>
                <w:lang w:val="it-IT"/>
              </w:rPr>
              <w:t>1</w:t>
            </w:r>
            <w:r w:rsidRPr="00D87B79">
              <w:rPr>
                <w:rFonts w:cs="Tahoma"/>
                <w:vertAlign w:val="superscript"/>
                <w:lang w:val="it-IT"/>
              </w:rPr>
              <w:t>a</w:t>
            </w:r>
            <w:r w:rsidRPr="00D87B79">
              <w:rPr>
                <w:rFonts w:cs="Tahoma"/>
                <w:lang w:val="it-IT"/>
              </w:rPr>
              <w:t xml:space="preserve"> risposta in 8 Ore o meno</w:t>
            </w:r>
          </w:p>
          <w:p w:rsidR="00A92422" w:rsidRPr="00D87B79" w:rsidRDefault="00A92422" w:rsidP="00EA30FC">
            <w:pPr>
              <w:spacing w:line="240" w:lineRule="atLeast"/>
              <w:rPr>
                <w:rFonts w:cs="Tahoma"/>
                <w:szCs w:val="18"/>
              </w:rPr>
            </w:pPr>
          </w:p>
        </w:tc>
      </w:tr>
    </w:tbl>
    <w:p w:rsidR="00A92422" w:rsidRPr="00D87B79" w:rsidRDefault="00A92422" w:rsidP="00A92422">
      <w:pPr>
        <w:rPr>
          <w:rFonts w:cs="Tahoma"/>
        </w:rPr>
      </w:pPr>
    </w:p>
    <w:p w:rsidR="00A92422" w:rsidRPr="00D87B79" w:rsidRDefault="00A92422" w:rsidP="00A92422">
      <w:pPr>
        <w:tabs>
          <w:tab w:val="left" w:pos="360"/>
        </w:tabs>
        <w:jc w:val="both"/>
        <w:rPr>
          <w:rFonts w:cs="Tahoma"/>
        </w:rPr>
      </w:pPr>
      <w:r w:rsidRPr="00D87B79">
        <w:rPr>
          <w:rFonts w:cs="Tahoma"/>
          <w:snapToGrid w:val="0"/>
          <w:color w:val="000000"/>
          <w:szCs w:val="18"/>
          <w:lang w:val="it-IT"/>
        </w:rPr>
        <w:t>Il team di supporto di Windows Azure collabora con le società per individuare e risolvere gli Interventi tramite i canali online (ad esempio, tramite posta elettronica o il portale di Windows Azure).</w:t>
      </w:r>
      <w:r w:rsidRPr="00D87B79">
        <w:rPr>
          <w:rFonts w:cs="Tahoma"/>
        </w:rPr>
        <w:t xml:space="preserve"> </w:t>
      </w:r>
      <w:r w:rsidRPr="00D87B79">
        <w:rPr>
          <w:rFonts w:cs="Tahoma"/>
          <w:color w:val="000000"/>
          <w:lang w:val="it-IT"/>
        </w:rPr>
        <w:t>Il team di supporto di Windows Azure potrà contattare la società al numero di telefono fornito dalla società stessa, qualora sia necessario per risolvere un</w:t>
      </w:r>
      <w:r>
        <w:rPr>
          <w:rFonts w:cs="Tahoma"/>
          <w:color w:val="000000"/>
          <w:lang w:val="it-IT"/>
        </w:rPr>
        <w:t> </w:t>
      </w:r>
      <w:r w:rsidRPr="00D87B79">
        <w:rPr>
          <w:rFonts w:cs="Tahoma"/>
          <w:color w:val="000000"/>
          <w:lang w:val="it-IT"/>
        </w:rPr>
        <w:t>Intervento.</w:t>
      </w:r>
    </w:p>
    <w:p w:rsidR="00A92422" w:rsidRPr="00D87B79" w:rsidRDefault="00A92422" w:rsidP="00A92422">
      <w:pPr>
        <w:tabs>
          <w:tab w:val="left" w:pos="360"/>
        </w:tabs>
        <w:jc w:val="both"/>
        <w:rPr>
          <w:rFonts w:cs="Tahoma"/>
        </w:rPr>
      </w:pPr>
    </w:p>
    <w:p w:rsidR="00A92422" w:rsidRPr="00D87B79" w:rsidRDefault="00A92422" w:rsidP="00A92422">
      <w:pPr>
        <w:rPr>
          <w:rFonts w:cs="Tahoma"/>
        </w:rPr>
      </w:pPr>
    </w:p>
    <w:p w:rsidR="00A92422" w:rsidRPr="00D87B79" w:rsidRDefault="00A92422" w:rsidP="00A92422">
      <w:pPr>
        <w:rPr>
          <w:rFonts w:cs="Tahoma"/>
        </w:rPr>
      </w:pPr>
      <w:r w:rsidRPr="00D87B79">
        <w:rPr>
          <w:rFonts w:cs="Tahoma"/>
          <w:b/>
          <w:sz w:val="24"/>
          <w:lang w:val="it-IT"/>
        </w:rPr>
        <w:t>Offerte per il Programma Microsoft Enterprise Strategy</w:t>
      </w:r>
    </w:p>
    <w:p w:rsidR="00A92422" w:rsidRPr="00D87B79" w:rsidRDefault="00A92422" w:rsidP="00A92422">
      <w:pPr>
        <w:rPr>
          <w:rFonts w:cs="Tahoma"/>
        </w:rPr>
      </w:pPr>
    </w:p>
    <w:p w:rsidR="00A92422" w:rsidRPr="00D87B79" w:rsidRDefault="00A92422" w:rsidP="00A92422">
      <w:pPr>
        <w:widowControl w:val="0"/>
        <w:tabs>
          <w:tab w:val="left" w:pos="720"/>
          <w:tab w:val="left" w:pos="1170"/>
        </w:tabs>
        <w:rPr>
          <w:rFonts w:cs="Tahoma"/>
        </w:rPr>
      </w:pPr>
      <w:r w:rsidRPr="00D87B79">
        <w:rPr>
          <w:rFonts w:cs="Tahoma"/>
          <w:b/>
          <w:sz w:val="20"/>
          <w:lang w:val="it-IT"/>
        </w:rPr>
        <w:t>Panoramica del Programma Enterprise Strategy</w:t>
      </w:r>
    </w:p>
    <w:p w:rsidR="00A92422" w:rsidRPr="00D87B79" w:rsidRDefault="00A92422" w:rsidP="00A92422">
      <w:pPr>
        <w:widowControl w:val="0"/>
        <w:tabs>
          <w:tab w:val="left" w:pos="720"/>
          <w:tab w:val="left" w:pos="1170"/>
        </w:tabs>
        <w:rPr>
          <w:rFonts w:cs="Tahoma"/>
        </w:rPr>
      </w:pPr>
    </w:p>
    <w:p w:rsidR="00A92422" w:rsidRPr="00D87B79" w:rsidRDefault="00A92422" w:rsidP="00A92422">
      <w:pPr>
        <w:rPr>
          <w:rFonts w:cs="Tahoma"/>
        </w:rPr>
      </w:pPr>
      <w:r w:rsidRPr="00D87B79">
        <w:rPr>
          <w:rFonts w:cs="Tahoma"/>
          <w:lang w:val="it-IT"/>
        </w:rPr>
        <w:t>Il Programma Enterprise Strategy per il Contratto Microsoft Enterprise offre alle società la consulenza di un Microsoft Enterprise Architect in merito a come velocizzare la distribuzione e pianificare modifiche ragionevoli allo scopo di massimizzare l’investimento effettuato nelle tecnologie e nei prodotti Microsoft.</w:t>
      </w:r>
      <w:r w:rsidRPr="00D87B79">
        <w:rPr>
          <w:rFonts w:cs="Tahoma"/>
        </w:rPr>
        <w:t xml:space="preserve"> </w:t>
      </w:r>
      <w:r w:rsidRPr="00D87B79">
        <w:rPr>
          <w:rFonts w:cs="Tahoma"/>
          <w:lang w:val="it-IT"/>
        </w:rPr>
        <w:t>Le tempistiche, le date e i piani di</w:t>
      </w:r>
      <w:r>
        <w:rPr>
          <w:rFonts w:cs="Tahoma"/>
          <w:lang w:val="it-IT"/>
        </w:rPr>
        <w:t> </w:t>
      </w:r>
      <w:r w:rsidRPr="00D87B79">
        <w:rPr>
          <w:rFonts w:cs="Tahoma"/>
          <w:lang w:val="it-IT"/>
        </w:rPr>
        <w:t>consegna sono semplici stime e pertanto sono soggette a modifica.</w:t>
      </w:r>
      <w:r w:rsidRPr="00D87B79">
        <w:rPr>
          <w:rFonts w:cs="Tahoma"/>
        </w:rPr>
        <w:t xml:space="preserve"> </w:t>
      </w:r>
    </w:p>
    <w:p w:rsidR="00A92422" w:rsidRPr="00D87B79" w:rsidRDefault="00A92422" w:rsidP="00A92422">
      <w:pPr>
        <w:spacing w:after="60"/>
        <w:rPr>
          <w:rFonts w:cs="Tahoma"/>
        </w:rPr>
      </w:pPr>
    </w:p>
    <w:p w:rsidR="00A92422" w:rsidRPr="00D87B79" w:rsidRDefault="00A92422" w:rsidP="00A92422">
      <w:pPr>
        <w:spacing w:after="60"/>
        <w:rPr>
          <w:rFonts w:cs="Tahoma"/>
        </w:rPr>
      </w:pPr>
      <w:r w:rsidRPr="00D87B79">
        <w:rPr>
          <w:rFonts w:cs="Tahoma"/>
          <w:lang w:val="it-IT"/>
        </w:rPr>
        <w:t>Le offerte relative al Programma Enterprise Strategy includono i componenti descritti di seguito, che verranno forniti per ogni anno di validità del Contratto Enterprise stipulato dalla Società:</w:t>
      </w:r>
    </w:p>
    <w:p w:rsidR="00A92422" w:rsidRPr="00D87B79" w:rsidRDefault="00A92422" w:rsidP="00A92422">
      <w:pPr>
        <w:spacing w:after="60"/>
        <w:rPr>
          <w:rFonts w:cs="Tahoma"/>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A92422" w:rsidRPr="00D87B79" w:rsidTr="00EA30FC">
        <w:tc>
          <w:tcPr>
            <w:tcW w:w="2555" w:type="dxa"/>
            <w:shd w:val="clear" w:color="auto" w:fill="FABF8F"/>
            <w:vAlign w:val="center"/>
          </w:tcPr>
          <w:p w:rsidR="00A92422" w:rsidRPr="00D87B79" w:rsidRDefault="00A92422" w:rsidP="00EA30FC">
            <w:pPr>
              <w:jc w:val="center"/>
              <w:rPr>
                <w:rFonts w:cs="Tahoma"/>
                <w:color w:val="000000"/>
                <w:szCs w:val="18"/>
              </w:rPr>
            </w:pPr>
            <w:r w:rsidRPr="00D87B79">
              <w:rPr>
                <w:rFonts w:cs="Tahoma"/>
                <w:b/>
                <w:color w:val="000000"/>
                <w:sz w:val="20"/>
                <w:lang w:val="it-IT"/>
              </w:rPr>
              <w:t>Area</w:t>
            </w:r>
          </w:p>
        </w:tc>
        <w:tc>
          <w:tcPr>
            <w:tcW w:w="2215" w:type="dxa"/>
            <w:shd w:val="clear" w:color="auto" w:fill="FABF8F"/>
            <w:vAlign w:val="center"/>
          </w:tcPr>
          <w:p w:rsidR="00A92422" w:rsidRPr="00D87B79" w:rsidRDefault="00A92422" w:rsidP="00EA30FC">
            <w:pPr>
              <w:jc w:val="center"/>
              <w:rPr>
                <w:rFonts w:cs="Tahoma"/>
                <w:b/>
                <w:bCs/>
                <w:color w:val="000000"/>
                <w:sz w:val="20"/>
                <w:szCs w:val="20"/>
              </w:rPr>
            </w:pPr>
            <w:r w:rsidRPr="00D87B79">
              <w:rPr>
                <w:rFonts w:cs="Tahoma"/>
                <w:b/>
                <w:color w:val="000000"/>
                <w:sz w:val="20"/>
                <w:lang w:val="it-IT"/>
              </w:rPr>
              <w:t>Enterprise Strategy Connect</w:t>
            </w:r>
          </w:p>
        </w:tc>
        <w:tc>
          <w:tcPr>
            <w:tcW w:w="2340" w:type="dxa"/>
            <w:shd w:val="clear" w:color="auto" w:fill="FABF8F"/>
            <w:vAlign w:val="center"/>
          </w:tcPr>
          <w:p w:rsidR="00A92422" w:rsidRPr="00D87B79" w:rsidRDefault="00A92422" w:rsidP="00EA30FC">
            <w:pPr>
              <w:jc w:val="center"/>
              <w:rPr>
                <w:rFonts w:cs="Tahoma"/>
                <w:color w:val="000000"/>
                <w:sz w:val="20"/>
                <w:szCs w:val="20"/>
              </w:rPr>
            </w:pPr>
            <w:r w:rsidRPr="00D87B79">
              <w:rPr>
                <w:rFonts w:cs="Tahoma"/>
                <w:b/>
                <w:color w:val="000000"/>
                <w:sz w:val="20"/>
                <w:lang w:val="it-IT"/>
              </w:rPr>
              <w:t>Enterprise Strategy Foundation</w:t>
            </w:r>
          </w:p>
        </w:tc>
        <w:tc>
          <w:tcPr>
            <w:tcW w:w="2250" w:type="dxa"/>
            <w:shd w:val="clear" w:color="auto" w:fill="FABF8F"/>
            <w:vAlign w:val="center"/>
          </w:tcPr>
          <w:p w:rsidR="00A92422" w:rsidRPr="00D87B79" w:rsidRDefault="00A92422" w:rsidP="00EA30FC">
            <w:pPr>
              <w:jc w:val="center"/>
              <w:rPr>
                <w:rFonts w:cs="Tahoma"/>
                <w:b/>
                <w:bCs/>
                <w:color w:val="000000"/>
                <w:sz w:val="20"/>
                <w:szCs w:val="18"/>
              </w:rPr>
            </w:pPr>
            <w:r w:rsidRPr="00D87B79">
              <w:rPr>
                <w:rFonts w:cs="Tahoma"/>
                <w:b/>
                <w:bCs/>
                <w:color w:val="000000"/>
                <w:sz w:val="20"/>
                <w:szCs w:val="18"/>
                <w:lang w:val="it-IT"/>
              </w:rPr>
              <w:t>Enterprise Strategy Portfolio</w:t>
            </w:r>
          </w:p>
        </w:tc>
      </w:tr>
      <w:tr w:rsidR="00A92422" w:rsidRPr="00D87B79" w:rsidTr="00EA30FC">
        <w:tc>
          <w:tcPr>
            <w:tcW w:w="2555" w:type="dxa"/>
            <w:vAlign w:val="center"/>
          </w:tcPr>
          <w:p w:rsidR="00A92422" w:rsidRPr="00D87B79" w:rsidRDefault="00A92422" w:rsidP="00EA30FC">
            <w:pPr>
              <w:rPr>
                <w:rFonts w:cs="Tahoma"/>
                <w:color w:val="000000"/>
                <w:szCs w:val="18"/>
              </w:rPr>
            </w:pPr>
            <w:r w:rsidRPr="00D87B79">
              <w:rPr>
                <w:rFonts w:cs="Tahoma"/>
                <w:color w:val="000000"/>
                <w:szCs w:val="18"/>
                <w:lang w:val="it-IT"/>
              </w:rPr>
              <w:t>Enterprise Architect</w:t>
            </w:r>
          </w:p>
        </w:tc>
        <w:tc>
          <w:tcPr>
            <w:tcW w:w="2215" w:type="dxa"/>
            <w:vAlign w:val="center"/>
          </w:tcPr>
          <w:p w:rsidR="00A92422" w:rsidRPr="00D87B79" w:rsidRDefault="00A92422" w:rsidP="00EA30FC">
            <w:pPr>
              <w:jc w:val="center"/>
              <w:rPr>
                <w:rFonts w:eastAsia="MS UI Gothic" w:cs="Tahoma"/>
                <w:color w:val="000000"/>
                <w:szCs w:val="18"/>
              </w:rPr>
            </w:pPr>
            <w:r w:rsidRPr="00D87B79">
              <w:rPr>
                <w:rFonts w:cs="Tahoma"/>
                <w:color w:val="000000"/>
                <w:lang w:val="it-IT"/>
              </w:rPr>
              <w:t>1 Microsoft Enterprise Architect trimestrale</w:t>
            </w:r>
          </w:p>
        </w:tc>
        <w:tc>
          <w:tcPr>
            <w:tcW w:w="2340" w:type="dxa"/>
            <w:vAlign w:val="center"/>
          </w:tcPr>
          <w:p w:rsidR="00A92422" w:rsidRPr="00D87B79" w:rsidRDefault="00A92422" w:rsidP="00EA30FC">
            <w:pPr>
              <w:jc w:val="center"/>
              <w:rPr>
                <w:rFonts w:cs="Tahoma"/>
                <w:color w:val="000000"/>
                <w:szCs w:val="18"/>
              </w:rPr>
            </w:pPr>
            <w:r w:rsidRPr="00D87B79">
              <w:rPr>
                <w:rFonts w:cs="Tahoma"/>
                <w:color w:val="000000"/>
                <w:lang w:val="it-IT"/>
              </w:rPr>
              <w:t>1 Microsoft Enterprise Architect part-time</w:t>
            </w:r>
          </w:p>
        </w:tc>
        <w:tc>
          <w:tcPr>
            <w:tcW w:w="2250" w:type="dxa"/>
            <w:vAlign w:val="center"/>
          </w:tcPr>
          <w:p w:rsidR="00A92422" w:rsidRPr="00D87B79" w:rsidRDefault="00A92422" w:rsidP="00EA30FC">
            <w:pPr>
              <w:jc w:val="center"/>
              <w:rPr>
                <w:rFonts w:cs="Tahoma"/>
                <w:color w:val="000000"/>
                <w:szCs w:val="18"/>
              </w:rPr>
            </w:pPr>
            <w:r w:rsidRPr="00D87B79">
              <w:rPr>
                <w:rFonts w:cs="Tahoma"/>
                <w:color w:val="000000"/>
                <w:lang w:val="it-IT"/>
              </w:rPr>
              <w:t>1 Microsoft Enterprise Architect full-time</w:t>
            </w:r>
          </w:p>
        </w:tc>
      </w:tr>
      <w:tr w:rsidR="00A92422" w:rsidRPr="00D87B79" w:rsidTr="00EA30FC">
        <w:tc>
          <w:tcPr>
            <w:tcW w:w="2555" w:type="dxa"/>
            <w:vAlign w:val="center"/>
          </w:tcPr>
          <w:p w:rsidR="00A92422" w:rsidRPr="00D87B79" w:rsidRDefault="00A92422" w:rsidP="00EA30FC">
            <w:pPr>
              <w:rPr>
                <w:rFonts w:cs="Tahoma"/>
                <w:color w:val="000000"/>
                <w:szCs w:val="18"/>
              </w:rPr>
            </w:pPr>
            <w:bookmarkStart w:id="1023" w:name="OLE_LINK5"/>
            <w:bookmarkStart w:id="1024" w:name="OLE_LINK6"/>
            <w:bookmarkEnd w:id="1023"/>
            <w:bookmarkEnd w:id="1024"/>
            <w:r w:rsidRPr="00D87B79">
              <w:rPr>
                <w:rFonts w:cs="Tahoma"/>
                <w:color w:val="000000"/>
                <w:lang w:val="it-IT"/>
              </w:rPr>
              <w:t>Valutazione</w:t>
            </w:r>
            <w:r w:rsidRPr="00D87B79">
              <w:rPr>
                <w:rFonts w:cs="Tahoma"/>
                <w:b/>
                <w:color w:val="000000"/>
                <w:sz w:val="20"/>
                <w:lang w:val="it-IT"/>
              </w:rPr>
              <w:t xml:space="preserve"> </w:t>
            </w:r>
            <w:r w:rsidRPr="00D87B79">
              <w:rPr>
                <w:rFonts w:cs="Tahoma"/>
                <w:b/>
                <w:color w:val="000000"/>
                <w:sz w:val="20"/>
                <w:vertAlign w:val="superscript"/>
                <w:lang w:val="it-IT"/>
              </w:rPr>
              <w:t>1</w:t>
            </w:r>
          </w:p>
        </w:tc>
        <w:tc>
          <w:tcPr>
            <w:tcW w:w="2215" w:type="dxa"/>
            <w:vAlign w:val="center"/>
          </w:tcPr>
          <w:p w:rsidR="00A92422" w:rsidRPr="00D87B79" w:rsidRDefault="00A92422" w:rsidP="00EA30FC">
            <w:pPr>
              <w:jc w:val="center"/>
              <w:rPr>
                <w:rFonts w:cs="Tahoma"/>
                <w:color w:val="000000"/>
                <w:szCs w:val="18"/>
              </w:rPr>
            </w:pPr>
            <w:r w:rsidRPr="00D87B79">
              <w:rPr>
                <w:rFonts w:cs="Tahoma"/>
                <w:color w:val="000000"/>
                <w:lang w:val="it-IT"/>
              </w:rPr>
              <w:t>Fino al 25% dell’impegno di un Architect all’anno</w:t>
            </w:r>
          </w:p>
        </w:tc>
        <w:tc>
          <w:tcPr>
            <w:tcW w:w="2340" w:type="dxa"/>
            <w:vAlign w:val="center"/>
          </w:tcPr>
          <w:p w:rsidR="00A92422" w:rsidRPr="00D87B79" w:rsidRDefault="00A92422" w:rsidP="00EA30FC">
            <w:pPr>
              <w:jc w:val="center"/>
              <w:rPr>
                <w:rFonts w:cs="Tahoma"/>
                <w:color w:val="000000"/>
                <w:szCs w:val="18"/>
              </w:rPr>
            </w:pPr>
            <w:r w:rsidRPr="00D87B79">
              <w:rPr>
                <w:rFonts w:cs="Tahoma"/>
                <w:color w:val="000000"/>
                <w:lang w:val="it-IT"/>
              </w:rPr>
              <w:t>Fino al 25% dell’impegno di un Architect all’anno</w:t>
            </w:r>
          </w:p>
        </w:tc>
        <w:tc>
          <w:tcPr>
            <w:tcW w:w="2250" w:type="dxa"/>
            <w:vAlign w:val="center"/>
          </w:tcPr>
          <w:p w:rsidR="00A92422" w:rsidRPr="00D87B79" w:rsidRDefault="00A92422" w:rsidP="00EA30FC">
            <w:pPr>
              <w:jc w:val="center"/>
              <w:rPr>
                <w:rFonts w:cs="Tahoma"/>
                <w:color w:val="000000"/>
                <w:szCs w:val="18"/>
              </w:rPr>
            </w:pPr>
            <w:r w:rsidRPr="00D87B79">
              <w:rPr>
                <w:rFonts w:cs="Tahoma"/>
                <w:color w:val="000000"/>
                <w:lang w:val="it-IT"/>
              </w:rPr>
              <w:t>Fino al 25% dell’impegno di un Architect all’anno</w:t>
            </w:r>
          </w:p>
        </w:tc>
      </w:tr>
      <w:tr w:rsidR="00A92422" w:rsidRPr="00D87B79" w:rsidTr="00EA30FC">
        <w:tc>
          <w:tcPr>
            <w:tcW w:w="2555" w:type="dxa"/>
            <w:vAlign w:val="center"/>
          </w:tcPr>
          <w:p w:rsidR="00A92422" w:rsidRPr="00D87B79" w:rsidRDefault="00A92422" w:rsidP="00EA30FC">
            <w:pPr>
              <w:rPr>
                <w:rFonts w:cs="Tahoma"/>
                <w:color w:val="000000"/>
                <w:szCs w:val="18"/>
              </w:rPr>
            </w:pPr>
            <w:r w:rsidRPr="00D87B79">
              <w:rPr>
                <w:rFonts w:cs="Tahoma"/>
                <w:color w:val="000000"/>
                <w:lang w:val="it-IT"/>
              </w:rPr>
              <w:t>Progetto Enterprise Strategy</w:t>
            </w:r>
            <w:r>
              <w:rPr>
                <w:rFonts w:cs="Tahoma"/>
                <w:b/>
                <w:color w:val="000000"/>
                <w:sz w:val="20"/>
                <w:lang w:val="it-IT"/>
              </w:rPr>
              <w:t> </w:t>
            </w:r>
            <w:r w:rsidRPr="00D87B79">
              <w:rPr>
                <w:rFonts w:cs="Tahoma"/>
                <w:b/>
                <w:color w:val="000000"/>
                <w:sz w:val="20"/>
                <w:vertAlign w:val="superscript"/>
                <w:lang w:val="it-IT"/>
              </w:rPr>
              <w:t>1</w:t>
            </w:r>
          </w:p>
        </w:tc>
        <w:tc>
          <w:tcPr>
            <w:tcW w:w="2215" w:type="dxa"/>
            <w:vAlign w:val="center"/>
          </w:tcPr>
          <w:p w:rsidR="00A92422" w:rsidRPr="00D87B79" w:rsidRDefault="00A92422" w:rsidP="00EA30FC">
            <w:pPr>
              <w:jc w:val="center"/>
              <w:rPr>
                <w:rFonts w:cs="Tahoma"/>
                <w:color w:val="000000"/>
                <w:szCs w:val="18"/>
              </w:rPr>
            </w:pPr>
            <w:r w:rsidRPr="00D87B79">
              <w:rPr>
                <w:rFonts w:cs="Tahoma"/>
                <w:color w:val="000000"/>
                <w:lang w:val="it-IT"/>
              </w:rPr>
              <w:t>Fino al 75% dell’impegno di un Architect all’anno</w:t>
            </w:r>
          </w:p>
        </w:tc>
        <w:tc>
          <w:tcPr>
            <w:tcW w:w="2340" w:type="dxa"/>
            <w:vAlign w:val="center"/>
          </w:tcPr>
          <w:p w:rsidR="00A92422" w:rsidRPr="00D87B79" w:rsidRDefault="00A92422" w:rsidP="00EA30FC">
            <w:pPr>
              <w:jc w:val="center"/>
              <w:rPr>
                <w:rFonts w:cs="Tahoma"/>
                <w:color w:val="000000"/>
                <w:szCs w:val="18"/>
              </w:rPr>
            </w:pPr>
            <w:r w:rsidRPr="00D87B79">
              <w:rPr>
                <w:rFonts w:cs="Tahoma"/>
                <w:color w:val="000000"/>
                <w:lang w:val="it-IT"/>
              </w:rPr>
              <w:t>Fino al 75% dell’impegno di un Architect all’anno</w:t>
            </w:r>
          </w:p>
        </w:tc>
        <w:tc>
          <w:tcPr>
            <w:tcW w:w="2250" w:type="dxa"/>
            <w:vAlign w:val="center"/>
          </w:tcPr>
          <w:p w:rsidR="00A92422" w:rsidRPr="00D87B79" w:rsidRDefault="00A92422" w:rsidP="00EA30FC">
            <w:pPr>
              <w:jc w:val="center"/>
              <w:rPr>
                <w:rFonts w:cs="Tahoma"/>
                <w:color w:val="000000"/>
                <w:szCs w:val="18"/>
              </w:rPr>
            </w:pPr>
            <w:r w:rsidRPr="00D87B79">
              <w:rPr>
                <w:rFonts w:cs="Tahoma"/>
                <w:color w:val="000000"/>
                <w:lang w:val="it-IT"/>
              </w:rPr>
              <w:t>Fino al 75% dell’impegno di un Architect all’anno</w:t>
            </w:r>
          </w:p>
        </w:tc>
      </w:tr>
      <w:tr w:rsidR="00A92422" w:rsidRPr="00D87B79" w:rsidTr="00EA30FC">
        <w:tc>
          <w:tcPr>
            <w:tcW w:w="2555" w:type="dxa"/>
            <w:vAlign w:val="center"/>
          </w:tcPr>
          <w:p w:rsidR="00A92422" w:rsidRPr="00D87B79" w:rsidRDefault="00A92422" w:rsidP="00EA30FC">
            <w:pPr>
              <w:rPr>
                <w:rFonts w:cs="Tahoma"/>
                <w:color w:val="000000"/>
                <w:szCs w:val="18"/>
              </w:rPr>
            </w:pPr>
            <w:r w:rsidRPr="00D87B79">
              <w:rPr>
                <w:rFonts w:cs="Tahoma"/>
                <w:color w:val="000000"/>
                <w:szCs w:val="18"/>
                <w:lang w:val="it-IT"/>
              </w:rPr>
              <w:t>Workshop relativi all’engagement</w:t>
            </w:r>
          </w:p>
        </w:tc>
        <w:tc>
          <w:tcPr>
            <w:tcW w:w="2215" w:type="dxa"/>
            <w:vAlign w:val="center"/>
          </w:tcPr>
          <w:p w:rsidR="00A92422" w:rsidRPr="00D87B79" w:rsidRDefault="00A92422" w:rsidP="00EA30FC">
            <w:pPr>
              <w:jc w:val="center"/>
              <w:rPr>
                <w:rFonts w:cs="Tahoma"/>
                <w:color w:val="000000"/>
                <w:szCs w:val="18"/>
              </w:rPr>
            </w:pPr>
            <w:r w:rsidRPr="00D87B79">
              <w:rPr>
                <w:rFonts w:cs="Tahoma"/>
                <w:color w:val="000000"/>
                <w:lang w:val="it-IT"/>
              </w:rPr>
              <w:t>Fino a 1 all’anno</w:t>
            </w:r>
          </w:p>
        </w:tc>
        <w:tc>
          <w:tcPr>
            <w:tcW w:w="2340" w:type="dxa"/>
            <w:vAlign w:val="center"/>
          </w:tcPr>
          <w:p w:rsidR="00A92422" w:rsidRPr="00D87B79" w:rsidRDefault="00A92422" w:rsidP="00EA30FC">
            <w:pPr>
              <w:jc w:val="center"/>
              <w:rPr>
                <w:rFonts w:cs="Tahoma"/>
                <w:color w:val="000000"/>
                <w:szCs w:val="18"/>
              </w:rPr>
            </w:pPr>
            <w:r w:rsidRPr="00D87B79">
              <w:rPr>
                <w:rFonts w:cs="Tahoma"/>
                <w:color w:val="000000"/>
                <w:szCs w:val="18"/>
                <w:lang w:val="it-IT"/>
              </w:rPr>
              <w:t>Fino a 2 all’anno</w:t>
            </w:r>
          </w:p>
        </w:tc>
        <w:tc>
          <w:tcPr>
            <w:tcW w:w="2250" w:type="dxa"/>
            <w:vAlign w:val="center"/>
          </w:tcPr>
          <w:p w:rsidR="00A92422" w:rsidRPr="00D87B79" w:rsidRDefault="00A92422" w:rsidP="00EA30FC">
            <w:pPr>
              <w:spacing w:before="120"/>
              <w:jc w:val="center"/>
              <w:rPr>
                <w:rFonts w:cs="Tahoma"/>
                <w:color w:val="000000"/>
                <w:szCs w:val="18"/>
              </w:rPr>
            </w:pPr>
            <w:r w:rsidRPr="00D87B79">
              <w:rPr>
                <w:rFonts w:cs="Tahoma"/>
                <w:lang w:val="it-IT"/>
              </w:rPr>
              <w:t>Fino a 4 all’anno</w:t>
            </w:r>
          </w:p>
        </w:tc>
      </w:tr>
      <w:tr w:rsidR="00A92422" w:rsidRPr="00D87B79" w:rsidTr="00EA30FC">
        <w:tc>
          <w:tcPr>
            <w:tcW w:w="2555" w:type="dxa"/>
            <w:vAlign w:val="center"/>
          </w:tcPr>
          <w:p w:rsidR="00A92422" w:rsidRPr="00D87B79" w:rsidRDefault="00A92422" w:rsidP="00EA30FC">
            <w:pPr>
              <w:rPr>
                <w:rFonts w:cs="Tahoma"/>
                <w:color w:val="000000"/>
                <w:szCs w:val="18"/>
              </w:rPr>
            </w:pPr>
            <w:r w:rsidRPr="00D87B79">
              <w:rPr>
                <w:rFonts w:cs="Tahoma"/>
                <w:color w:val="000000"/>
                <w:lang w:val="it-IT"/>
              </w:rPr>
              <w:t>Enterprise Strategy Network</w:t>
            </w:r>
          </w:p>
        </w:tc>
        <w:tc>
          <w:tcPr>
            <w:tcW w:w="2215" w:type="dxa"/>
            <w:vAlign w:val="center"/>
          </w:tcPr>
          <w:p w:rsidR="00A92422" w:rsidRPr="00D87B79" w:rsidRDefault="00A92422" w:rsidP="00EA30FC">
            <w:pPr>
              <w:jc w:val="center"/>
              <w:rPr>
                <w:rFonts w:eastAsia="MS UI Gothic" w:cs="Tahoma"/>
                <w:color w:val="000000"/>
                <w:szCs w:val="18"/>
              </w:rPr>
            </w:pPr>
            <w:r w:rsidRPr="00D87B79">
              <w:rPr>
                <w:rFonts w:ascii="MS UI Gothic" w:eastAsia="MS UI Gothic" w:hAnsi="MS UI Gothic" w:cs="MS UI Gothic" w:hint="eastAsia"/>
                <w:color w:val="000000"/>
                <w:lang w:val="it-IT"/>
              </w:rPr>
              <w:t>✓</w:t>
            </w:r>
          </w:p>
        </w:tc>
        <w:tc>
          <w:tcPr>
            <w:tcW w:w="2340" w:type="dxa"/>
            <w:vAlign w:val="center"/>
          </w:tcPr>
          <w:p w:rsidR="00A92422" w:rsidRPr="00D87B79" w:rsidRDefault="00A92422" w:rsidP="00EA30FC">
            <w:pPr>
              <w:jc w:val="center"/>
              <w:rPr>
                <w:rFonts w:eastAsia="MS UI Gothic" w:cs="Tahoma"/>
                <w:color w:val="000000"/>
                <w:szCs w:val="18"/>
              </w:rPr>
            </w:pPr>
            <w:r w:rsidRPr="00D87B79">
              <w:rPr>
                <w:rFonts w:ascii="MS UI Gothic" w:eastAsia="MS UI Gothic" w:hAnsi="MS UI Gothic" w:cs="MS UI Gothic" w:hint="eastAsia"/>
                <w:color w:val="000000"/>
                <w:lang w:val="it-IT"/>
              </w:rPr>
              <w:t>✓</w:t>
            </w:r>
          </w:p>
        </w:tc>
        <w:tc>
          <w:tcPr>
            <w:tcW w:w="2250" w:type="dxa"/>
            <w:vAlign w:val="center"/>
          </w:tcPr>
          <w:p w:rsidR="00A92422" w:rsidRPr="00D87B79" w:rsidRDefault="00A92422" w:rsidP="00EA30FC">
            <w:pPr>
              <w:jc w:val="center"/>
              <w:rPr>
                <w:rFonts w:eastAsia="MS UI Gothic" w:cs="Tahoma"/>
              </w:rPr>
            </w:pPr>
            <w:r w:rsidRPr="00D87B79">
              <w:rPr>
                <w:rFonts w:ascii="MS UI Gothic" w:eastAsia="MS UI Gothic" w:hAnsi="MS UI Gothic" w:cs="MS UI Gothic" w:hint="eastAsia"/>
                <w:color w:val="000000"/>
                <w:lang w:val="it-IT"/>
              </w:rPr>
              <w:t>✓</w:t>
            </w:r>
          </w:p>
        </w:tc>
      </w:tr>
      <w:tr w:rsidR="00A92422" w:rsidRPr="00D87B79" w:rsidTr="00EA30FC">
        <w:tc>
          <w:tcPr>
            <w:tcW w:w="2555" w:type="dxa"/>
            <w:vAlign w:val="center"/>
          </w:tcPr>
          <w:p w:rsidR="00A92422" w:rsidRPr="00D87B79" w:rsidRDefault="00A92422" w:rsidP="00EA30FC">
            <w:pPr>
              <w:rPr>
                <w:rFonts w:cs="Tahoma"/>
                <w:color w:val="000000"/>
                <w:szCs w:val="18"/>
              </w:rPr>
            </w:pPr>
            <w:r w:rsidRPr="00D87B79">
              <w:rPr>
                <w:rFonts w:cs="Tahoma"/>
                <w:color w:val="000000"/>
                <w:lang w:val="it-IT"/>
              </w:rPr>
              <w:t>Enterprise Strategy Library</w:t>
            </w:r>
          </w:p>
        </w:tc>
        <w:tc>
          <w:tcPr>
            <w:tcW w:w="2215" w:type="dxa"/>
            <w:vAlign w:val="center"/>
          </w:tcPr>
          <w:p w:rsidR="00A92422" w:rsidRPr="00D87B79" w:rsidRDefault="00A92422" w:rsidP="00EA30FC">
            <w:pPr>
              <w:jc w:val="center"/>
              <w:rPr>
                <w:rFonts w:eastAsia="MS UI Gothic" w:cs="Tahoma"/>
                <w:color w:val="000000"/>
                <w:szCs w:val="18"/>
              </w:rPr>
            </w:pPr>
            <w:r w:rsidRPr="00D87B79">
              <w:rPr>
                <w:rFonts w:ascii="MS UI Gothic" w:eastAsia="MS UI Gothic" w:hAnsi="MS UI Gothic" w:cs="MS UI Gothic" w:hint="eastAsia"/>
                <w:color w:val="000000"/>
                <w:lang w:val="it-IT"/>
              </w:rPr>
              <w:t>✓</w:t>
            </w:r>
          </w:p>
        </w:tc>
        <w:tc>
          <w:tcPr>
            <w:tcW w:w="2340" w:type="dxa"/>
            <w:vAlign w:val="center"/>
          </w:tcPr>
          <w:p w:rsidR="00A92422" w:rsidRPr="00D87B79" w:rsidRDefault="00A92422" w:rsidP="00EA30FC">
            <w:pPr>
              <w:jc w:val="center"/>
              <w:rPr>
                <w:rFonts w:eastAsia="MS UI Gothic" w:cs="Tahoma"/>
                <w:color w:val="000000"/>
                <w:szCs w:val="18"/>
              </w:rPr>
            </w:pPr>
            <w:r w:rsidRPr="00D87B79">
              <w:rPr>
                <w:rFonts w:ascii="MS UI Gothic" w:eastAsia="MS UI Gothic" w:hAnsi="MS UI Gothic" w:cs="MS UI Gothic" w:hint="eastAsia"/>
                <w:color w:val="000000"/>
                <w:lang w:val="it-IT"/>
              </w:rPr>
              <w:t>✓</w:t>
            </w:r>
          </w:p>
        </w:tc>
        <w:tc>
          <w:tcPr>
            <w:tcW w:w="2250" w:type="dxa"/>
            <w:vAlign w:val="center"/>
          </w:tcPr>
          <w:p w:rsidR="00A92422" w:rsidRPr="00D87B79" w:rsidRDefault="00A92422" w:rsidP="00EA30FC">
            <w:pPr>
              <w:jc w:val="center"/>
              <w:rPr>
                <w:rFonts w:eastAsia="MS UI Gothic" w:cs="Tahoma"/>
              </w:rPr>
            </w:pPr>
            <w:r w:rsidRPr="00D87B79">
              <w:rPr>
                <w:rFonts w:ascii="MS UI Gothic" w:eastAsia="MS UI Gothic" w:hAnsi="MS UI Gothic" w:cs="MS UI Gothic" w:hint="eastAsia"/>
                <w:color w:val="000000"/>
                <w:lang w:val="it-IT"/>
              </w:rPr>
              <w:t>✓</w:t>
            </w:r>
          </w:p>
        </w:tc>
      </w:tr>
      <w:tr w:rsidR="00A92422" w:rsidRPr="00D87B79" w:rsidTr="00EA30FC">
        <w:tc>
          <w:tcPr>
            <w:tcW w:w="2555" w:type="dxa"/>
            <w:vAlign w:val="center"/>
          </w:tcPr>
          <w:p w:rsidR="00A92422" w:rsidRPr="00D87B79" w:rsidRDefault="00A92422" w:rsidP="00EA30FC">
            <w:pPr>
              <w:rPr>
                <w:rFonts w:cs="Tahoma"/>
                <w:color w:val="000000"/>
                <w:szCs w:val="18"/>
              </w:rPr>
            </w:pPr>
            <w:r w:rsidRPr="00D87B79">
              <w:rPr>
                <w:rFonts w:cs="Tahoma"/>
                <w:color w:val="000000"/>
                <w:szCs w:val="18"/>
                <w:lang w:val="it-IT"/>
              </w:rPr>
              <w:t>Briefing strategici</w:t>
            </w:r>
          </w:p>
        </w:tc>
        <w:tc>
          <w:tcPr>
            <w:tcW w:w="2215" w:type="dxa"/>
            <w:vAlign w:val="center"/>
          </w:tcPr>
          <w:p w:rsidR="00A92422" w:rsidRPr="00D87B79" w:rsidRDefault="00A92422" w:rsidP="00EA30FC">
            <w:pPr>
              <w:jc w:val="center"/>
              <w:rPr>
                <w:rFonts w:eastAsia="MS UI Gothic" w:cs="Tahoma"/>
                <w:color w:val="000000"/>
                <w:szCs w:val="18"/>
              </w:rPr>
            </w:pPr>
            <w:r w:rsidRPr="00D87B79">
              <w:rPr>
                <w:rFonts w:ascii="MS UI Gothic" w:eastAsia="MS UI Gothic" w:hAnsi="MS UI Gothic" w:cs="MS UI Gothic" w:hint="eastAsia"/>
                <w:color w:val="000000"/>
                <w:lang w:val="it-IT"/>
              </w:rPr>
              <w:t>✓</w:t>
            </w:r>
          </w:p>
        </w:tc>
        <w:tc>
          <w:tcPr>
            <w:tcW w:w="2340" w:type="dxa"/>
            <w:vAlign w:val="center"/>
          </w:tcPr>
          <w:p w:rsidR="00A92422" w:rsidRPr="00D87B79" w:rsidRDefault="00A92422" w:rsidP="00EA30FC">
            <w:pPr>
              <w:jc w:val="center"/>
              <w:rPr>
                <w:rFonts w:cs="Tahoma"/>
                <w:color w:val="000000"/>
                <w:szCs w:val="18"/>
              </w:rPr>
            </w:pPr>
            <w:r w:rsidRPr="00D87B79">
              <w:rPr>
                <w:rFonts w:ascii="MS UI Gothic" w:eastAsia="MS UI Gothic" w:hAnsi="MS UI Gothic" w:cs="MS UI Gothic" w:hint="eastAsia"/>
                <w:color w:val="000000"/>
                <w:lang w:val="it-IT"/>
              </w:rPr>
              <w:t>✓</w:t>
            </w:r>
          </w:p>
        </w:tc>
        <w:tc>
          <w:tcPr>
            <w:tcW w:w="2250" w:type="dxa"/>
            <w:vAlign w:val="center"/>
          </w:tcPr>
          <w:p w:rsidR="00A92422" w:rsidRPr="00D87B79" w:rsidRDefault="00A92422" w:rsidP="00EA30FC">
            <w:pPr>
              <w:jc w:val="center"/>
              <w:rPr>
                <w:rFonts w:cs="Tahoma"/>
                <w:color w:val="000000"/>
                <w:szCs w:val="18"/>
              </w:rPr>
            </w:pPr>
            <w:r w:rsidRPr="00D87B79">
              <w:rPr>
                <w:rFonts w:ascii="MS UI Gothic" w:eastAsia="MS UI Gothic" w:hAnsi="MS UI Gothic" w:cs="MS UI Gothic" w:hint="eastAsia"/>
                <w:lang w:val="it-IT"/>
              </w:rPr>
              <w:t>✓</w:t>
            </w:r>
          </w:p>
        </w:tc>
      </w:tr>
      <w:tr w:rsidR="00A92422" w:rsidRPr="00D87B79" w:rsidTr="00EA30FC">
        <w:tc>
          <w:tcPr>
            <w:tcW w:w="2555" w:type="dxa"/>
            <w:vAlign w:val="center"/>
          </w:tcPr>
          <w:p w:rsidR="00A92422" w:rsidRPr="00D87B79" w:rsidRDefault="00A92422" w:rsidP="00EA30FC">
            <w:pPr>
              <w:rPr>
                <w:rFonts w:cs="Tahoma"/>
                <w:color w:val="000000"/>
                <w:szCs w:val="18"/>
              </w:rPr>
            </w:pPr>
            <w:r w:rsidRPr="00D87B79">
              <w:rPr>
                <w:rFonts w:cs="Tahoma"/>
                <w:color w:val="000000"/>
                <w:szCs w:val="18"/>
                <w:lang w:val="it-IT"/>
              </w:rPr>
              <w:t>Forum strategico con Enterprise Architect</w:t>
            </w:r>
          </w:p>
        </w:tc>
        <w:tc>
          <w:tcPr>
            <w:tcW w:w="2215" w:type="dxa"/>
            <w:vAlign w:val="center"/>
          </w:tcPr>
          <w:p w:rsidR="00A92422" w:rsidRPr="00D87B79" w:rsidRDefault="00A92422" w:rsidP="00EA30FC">
            <w:pPr>
              <w:jc w:val="center"/>
              <w:rPr>
                <w:rFonts w:eastAsia="MS UI Gothic" w:cs="Tahoma"/>
                <w:color w:val="000000"/>
                <w:szCs w:val="18"/>
              </w:rPr>
            </w:pPr>
          </w:p>
        </w:tc>
        <w:tc>
          <w:tcPr>
            <w:tcW w:w="2340" w:type="dxa"/>
            <w:vAlign w:val="center"/>
          </w:tcPr>
          <w:p w:rsidR="00A92422" w:rsidRPr="00D87B79" w:rsidRDefault="00A92422" w:rsidP="00EA30FC">
            <w:pPr>
              <w:jc w:val="center"/>
              <w:rPr>
                <w:rFonts w:cs="Tahoma"/>
                <w:color w:val="000000"/>
                <w:szCs w:val="18"/>
              </w:rPr>
            </w:pPr>
            <w:r w:rsidRPr="00D87B79">
              <w:rPr>
                <w:rFonts w:ascii="MS UI Gothic" w:eastAsia="MS UI Gothic" w:hAnsi="MS UI Gothic" w:cs="MS UI Gothic" w:hint="eastAsia"/>
                <w:color w:val="000000"/>
                <w:lang w:val="it-IT"/>
              </w:rPr>
              <w:t>✓</w:t>
            </w:r>
          </w:p>
        </w:tc>
        <w:tc>
          <w:tcPr>
            <w:tcW w:w="2250" w:type="dxa"/>
            <w:vAlign w:val="center"/>
          </w:tcPr>
          <w:p w:rsidR="00A92422" w:rsidRPr="00D87B79" w:rsidRDefault="00A92422" w:rsidP="00EA30FC">
            <w:pPr>
              <w:jc w:val="center"/>
              <w:rPr>
                <w:rFonts w:cs="Tahoma"/>
                <w:color w:val="000000"/>
                <w:szCs w:val="18"/>
              </w:rPr>
            </w:pPr>
            <w:r w:rsidRPr="00D87B79">
              <w:rPr>
                <w:rFonts w:ascii="MS UI Gothic" w:eastAsia="MS UI Gothic" w:hAnsi="MS UI Gothic" w:cs="MS UI Gothic" w:hint="eastAsia"/>
                <w:lang w:val="it-IT"/>
              </w:rPr>
              <w:t>✓</w:t>
            </w:r>
          </w:p>
        </w:tc>
      </w:tr>
      <w:tr w:rsidR="00A92422" w:rsidRPr="00D87B79" w:rsidTr="00EA30FC">
        <w:tc>
          <w:tcPr>
            <w:tcW w:w="2555" w:type="dxa"/>
            <w:vAlign w:val="center"/>
          </w:tcPr>
          <w:p w:rsidR="00A92422" w:rsidRPr="00D87B79" w:rsidRDefault="00A92422" w:rsidP="00EA30FC">
            <w:pPr>
              <w:rPr>
                <w:rFonts w:cs="Tahoma"/>
                <w:color w:val="000000"/>
                <w:szCs w:val="18"/>
              </w:rPr>
            </w:pPr>
            <w:r w:rsidRPr="00D87B79">
              <w:rPr>
                <w:rFonts w:cs="Tahoma"/>
                <w:color w:val="000000"/>
                <w:lang w:val="it-IT"/>
              </w:rPr>
              <w:t>Componente Aggiuntivo di Enterprise Strategy Capacity</w:t>
            </w:r>
          </w:p>
        </w:tc>
        <w:tc>
          <w:tcPr>
            <w:tcW w:w="2215" w:type="dxa"/>
            <w:vAlign w:val="center"/>
          </w:tcPr>
          <w:p w:rsidR="00A92422" w:rsidRPr="00D87B79" w:rsidRDefault="00A92422" w:rsidP="00EA30FC">
            <w:pPr>
              <w:jc w:val="center"/>
              <w:rPr>
                <w:rFonts w:eastAsia="MS UI Gothic" w:cs="Tahoma"/>
                <w:color w:val="000000"/>
                <w:szCs w:val="18"/>
              </w:rPr>
            </w:pPr>
            <w:r w:rsidRPr="00D87B79">
              <w:rPr>
                <w:rFonts w:cs="Tahoma"/>
                <w:color w:val="000000"/>
                <w:lang w:val="it-IT"/>
              </w:rPr>
              <w:t>200 ore</w:t>
            </w:r>
          </w:p>
        </w:tc>
        <w:tc>
          <w:tcPr>
            <w:tcW w:w="2340" w:type="dxa"/>
            <w:vAlign w:val="center"/>
          </w:tcPr>
          <w:p w:rsidR="00A92422" w:rsidRPr="00D87B79" w:rsidRDefault="00A92422" w:rsidP="00EA30FC">
            <w:pPr>
              <w:jc w:val="center"/>
              <w:rPr>
                <w:rFonts w:eastAsia="MS UI Gothic" w:cs="Tahoma"/>
                <w:color w:val="000000"/>
                <w:szCs w:val="18"/>
              </w:rPr>
            </w:pPr>
            <w:r w:rsidRPr="00D87B79">
              <w:rPr>
                <w:rFonts w:cs="Tahoma"/>
                <w:color w:val="000000"/>
                <w:lang w:val="it-IT"/>
              </w:rPr>
              <w:t>200 ore</w:t>
            </w:r>
          </w:p>
        </w:tc>
        <w:tc>
          <w:tcPr>
            <w:tcW w:w="2250" w:type="dxa"/>
            <w:vAlign w:val="center"/>
          </w:tcPr>
          <w:p w:rsidR="00A92422" w:rsidRPr="00D87B79" w:rsidRDefault="00A92422" w:rsidP="00EA30FC">
            <w:pPr>
              <w:jc w:val="center"/>
              <w:rPr>
                <w:rFonts w:eastAsia="MS UI Gothic" w:cs="Tahoma"/>
              </w:rPr>
            </w:pPr>
            <w:r w:rsidRPr="00D87B79">
              <w:rPr>
                <w:rFonts w:cs="Tahoma"/>
                <w:color w:val="000000"/>
                <w:lang w:val="it-IT"/>
              </w:rPr>
              <w:t>200 ore</w:t>
            </w:r>
          </w:p>
        </w:tc>
      </w:tr>
    </w:tbl>
    <w:p w:rsidR="00A92422" w:rsidRPr="00D87B79" w:rsidRDefault="00A92422" w:rsidP="00A92422">
      <w:pPr>
        <w:rPr>
          <w:rFonts w:cs="Tahoma"/>
        </w:rPr>
      </w:pPr>
      <w:r w:rsidRPr="00D87B79">
        <w:rPr>
          <w:rFonts w:cs="Tahoma"/>
          <w:b/>
          <w:color w:val="000000"/>
          <w:sz w:val="20"/>
          <w:vertAlign w:val="superscript"/>
          <w:lang w:val="it-IT"/>
        </w:rPr>
        <w:t>1</w:t>
      </w:r>
      <w:r w:rsidRPr="00D87B79">
        <w:rPr>
          <w:rFonts w:cs="Tahoma"/>
          <w:b/>
          <w:i/>
          <w:color w:val="000000"/>
          <w:sz w:val="20"/>
          <w:vertAlign w:val="superscript"/>
          <w:lang w:val="it-IT"/>
        </w:rPr>
        <w:t xml:space="preserve"> </w:t>
      </w:r>
      <w:r w:rsidRPr="00D87B79">
        <w:rPr>
          <w:rFonts w:cs="Tahoma"/>
          <w:i/>
          <w:sz w:val="16"/>
          <w:lang w:val="it-IT"/>
        </w:rPr>
        <w:t>La quantità effettiva di impegno è concordata tra Microsoft e la Società</w:t>
      </w:r>
    </w:p>
    <w:p w:rsidR="00A92422" w:rsidRPr="00D87B79" w:rsidRDefault="00A92422" w:rsidP="00A92422">
      <w:pPr>
        <w:rPr>
          <w:rFonts w:cs="Tahoma"/>
        </w:rPr>
      </w:pPr>
    </w:p>
    <w:p w:rsidR="00A92422" w:rsidRPr="00D87B79" w:rsidRDefault="00A92422" w:rsidP="00A92422">
      <w:pPr>
        <w:spacing w:after="60"/>
        <w:rPr>
          <w:rFonts w:cs="Tahoma"/>
        </w:rPr>
      </w:pPr>
      <w:r w:rsidRPr="00D87B79">
        <w:rPr>
          <w:rFonts w:cs="Tahoma"/>
          <w:b/>
          <w:lang w:val="it-IT"/>
        </w:rPr>
        <w:t>Enterprise Architect:</w:t>
      </w:r>
      <w:r w:rsidRPr="00D87B79">
        <w:rPr>
          <w:rFonts w:cs="Tahoma"/>
          <w:b/>
        </w:rPr>
        <w:t xml:space="preserve"> </w:t>
      </w:r>
    </w:p>
    <w:p w:rsidR="00A92422" w:rsidRPr="00D87B79" w:rsidRDefault="00A92422" w:rsidP="00A92422">
      <w:pPr>
        <w:numPr>
          <w:ilvl w:val="0"/>
          <w:numId w:val="47"/>
        </w:numPr>
        <w:spacing w:after="60"/>
        <w:ind w:left="1440"/>
        <w:rPr>
          <w:rFonts w:cs="Tahoma"/>
        </w:rPr>
      </w:pPr>
      <w:r w:rsidRPr="00D87B79">
        <w:rPr>
          <w:rFonts w:cs="Tahoma"/>
          <w:lang w:val="it-IT"/>
        </w:rPr>
        <w:t>Lavorerà a stretto contatto con la Società per sviluppare un Piano di Erogazione dei Servizi di</w:t>
      </w:r>
      <w:r>
        <w:rPr>
          <w:rFonts w:cs="Tahoma"/>
          <w:lang w:val="it-IT"/>
        </w:rPr>
        <w:t> </w:t>
      </w:r>
      <w:r w:rsidRPr="00D87B79">
        <w:rPr>
          <w:rFonts w:cs="Tahoma"/>
          <w:lang w:val="it-IT"/>
        </w:rPr>
        <w:t>Architettura da implementare, nel quale verranno definiti obiettivi e milestone e verranno stabiliti</w:t>
      </w:r>
      <w:r>
        <w:rPr>
          <w:rFonts w:cs="Tahoma"/>
          <w:lang w:val="it-IT"/>
        </w:rPr>
        <w:t> </w:t>
      </w:r>
      <w:r w:rsidRPr="00D87B79">
        <w:rPr>
          <w:rFonts w:cs="Tahoma"/>
          <w:lang w:val="it-IT"/>
        </w:rPr>
        <w:t>processi, dati e regole che consentiranno di tenere traccia dei progressi conseguiti.</w:t>
      </w:r>
      <w:r w:rsidRPr="00D87B79">
        <w:rPr>
          <w:rFonts w:cs="Tahoma"/>
        </w:rPr>
        <w:t xml:space="preserve"> </w:t>
      </w:r>
    </w:p>
    <w:p w:rsidR="00A92422" w:rsidRPr="00D87B79" w:rsidRDefault="00A92422" w:rsidP="00A92422">
      <w:pPr>
        <w:numPr>
          <w:ilvl w:val="0"/>
          <w:numId w:val="47"/>
        </w:numPr>
        <w:spacing w:after="60"/>
        <w:ind w:left="1440"/>
        <w:rPr>
          <w:rFonts w:cs="Tahoma"/>
        </w:rPr>
      </w:pPr>
      <w:r w:rsidRPr="00D87B79">
        <w:rPr>
          <w:rFonts w:cs="Tahoma"/>
          <w:lang w:val="it-IT"/>
        </w:rPr>
        <w:t>Presenterà inoltre aggiornamenti mensili dello stato relativi ai progressi conseguiti dalla Società rispetto al piano prestabilito.</w:t>
      </w:r>
    </w:p>
    <w:p w:rsidR="00A92422" w:rsidRPr="00D87B79" w:rsidRDefault="00A92422" w:rsidP="00A92422">
      <w:pPr>
        <w:numPr>
          <w:ilvl w:val="0"/>
          <w:numId w:val="47"/>
        </w:numPr>
        <w:spacing w:after="60"/>
        <w:ind w:left="1440"/>
        <w:rPr>
          <w:rFonts w:cs="Tahoma"/>
        </w:rPr>
      </w:pPr>
      <w:r w:rsidRPr="00D87B79">
        <w:rPr>
          <w:rFonts w:cs="Tahoma"/>
          <w:lang w:val="it-IT"/>
        </w:rPr>
        <w:t>Gestirà l’accesso alla Microsoft Enterprise Strategy Network.</w:t>
      </w:r>
    </w:p>
    <w:p w:rsidR="00A92422" w:rsidRPr="00D87B79" w:rsidRDefault="00A92422" w:rsidP="00A92422">
      <w:pPr>
        <w:spacing w:after="60"/>
        <w:rPr>
          <w:rFonts w:cs="Tahoma"/>
        </w:rPr>
      </w:pPr>
      <w:r w:rsidRPr="00D87B79">
        <w:rPr>
          <w:rFonts w:cs="Tahoma"/>
          <w:b/>
          <w:lang w:val="it-IT"/>
        </w:rPr>
        <w:t>Valutazione:</w:t>
      </w:r>
    </w:p>
    <w:p w:rsidR="00A92422" w:rsidRPr="00D87B79" w:rsidRDefault="00A92422" w:rsidP="00A92422">
      <w:pPr>
        <w:numPr>
          <w:ilvl w:val="0"/>
          <w:numId w:val="48"/>
        </w:numPr>
        <w:spacing w:after="60"/>
        <w:ind w:left="1440"/>
        <w:contextualSpacing/>
        <w:rPr>
          <w:rFonts w:cs="Tahoma"/>
        </w:rPr>
      </w:pPr>
      <w:r w:rsidRPr="00D87B79">
        <w:rPr>
          <w:rFonts w:cs="Tahoma"/>
          <w:lang w:val="it-IT"/>
        </w:rPr>
        <w:t>Identifica le opportunità a livello IT allineabili agli obiettivi aziendali della Società.</w:t>
      </w:r>
    </w:p>
    <w:p w:rsidR="00A92422" w:rsidRPr="00D87B79" w:rsidRDefault="00A92422" w:rsidP="00A92422">
      <w:pPr>
        <w:numPr>
          <w:ilvl w:val="0"/>
          <w:numId w:val="48"/>
        </w:numPr>
        <w:spacing w:after="60"/>
        <w:ind w:left="1440"/>
        <w:contextualSpacing/>
        <w:rPr>
          <w:rFonts w:cs="Tahoma"/>
        </w:rPr>
      </w:pPr>
      <w:r w:rsidRPr="00D87B79">
        <w:rPr>
          <w:rFonts w:cs="Tahoma"/>
          <w:lang w:val="it-IT"/>
        </w:rPr>
        <w:t>Analizza queste opportunità relativamente ai servizi IT e ai gruppi aziendali interessati, allo scopo di</w:t>
      </w:r>
      <w:r>
        <w:rPr>
          <w:rFonts w:cs="Tahoma"/>
          <w:lang w:val="it-IT"/>
        </w:rPr>
        <w:t> </w:t>
      </w:r>
      <w:r w:rsidRPr="00D87B79">
        <w:rPr>
          <w:rFonts w:cs="Tahoma"/>
          <w:lang w:val="it-IT"/>
        </w:rPr>
        <w:t>individuare le dipendenze e definire attività e costi che giustifichino l’ulteriore pianificazione.</w:t>
      </w:r>
    </w:p>
    <w:p w:rsidR="00A92422" w:rsidRPr="00D87B79" w:rsidRDefault="00A92422" w:rsidP="00A92422">
      <w:pPr>
        <w:numPr>
          <w:ilvl w:val="0"/>
          <w:numId w:val="48"/>
        </w:numPr>
        <w:spacing w:after="60"/>
        <w:ind w:left="1440"/>
        <w:contextualSpacing/>
        <w:rPr>
          <w:rFonts w:cs="Tahoma"/>
        </w:rPr>
      </w:pPr>
      <w:r w:rsidRPr="00D87B79">
        <w:rPr>
          <w:rFonts w:cs="Tahoma"/>
          <w:lang w:val="it-IT"/>
        </w:rPr>
        <w:t>Definisce e conferma le iniziative e ne stabilisce la priorità nel Piano di Erogazione dei Servizi.</w:t>
      </w:r>
    </w:p>
    <w:p w:rsidR="00A92422" w:rsidRPr="00D87B79" w:rsidRDefault="00A92422" w:rsidP="00A92422">
      <w:pPr>
        <w:numPr>
          <w:ilvl w:val="0"/>
          <w:numId w:val="48"/>
        </w:numPr>
        <w:spacing w:after="60"/>
        <w:ind w:left="1440"/>
        <w:contextualSpacing/>
        <w:rPr>
          <w:rFonts w:cs="Tahoma"/>
        </w:rPr>
      </w:pPr>
      <w:r w:rsidRPr="00D87B79">
        <w:rPr>
          <w:rFonts w:cs="Tahoma"/>
          <w:lang w:val="it-IT"/>
        </w:rPr>
        <w:t>Fornisce la Relazione di Valutazione Finale in cui viene consigliata almeno un’iniziativa come Progetto Enterprise Strategy.</w:t>
      </w:r>
    </w:p>
    <w:p w:rsidR="00A92422" w:rsidRPr="00D87B79" w:rsidRDefault="00A92422" w:rsidP="00A92422">
      <w:pPr>
        <w:spacing w:after="60"/>
        <w:rPr>
          <w:rFonts w:cs="Tahoma"/>
        </w:rPr>
      </w:pPr>
    </w:p>
    <w:p w:rsidR="00A92422" w:rsidRPr="00D87B79" w:rsidRDefault="00A92422" w:rsidP="00A92422">
      <w:pPr>
        <w:spacing w:after="60"/>
        <w:rPr>
          <w:rFonts w:cs="Tahoma"/>
        </w:rPr>
      </w:pPr>
      <w:r w:rsidRPr="00D87B79">
        <w:rPr>
          <w:rFonts w:cs="Tahoma"/>
          <w:b/>
          <w:lang w:val="it-IT"/>
        </w:rPr>
        <w:lastRenderedPageBreak/>
        <w:t>Progetti Enterprise Strategy:</w:t>
      </w:r>
    </w:p>
    <w:p w:rsidR="00A92422" w:rsidRPr="00D87B79" w:rsidRDefault="00A92422" w:rsidP="00A92422">
      <w:pPr>
        <w:rPr>
          <w:rFonts w:cs="Tahoma"/>
        </w:rPr>
      </w:pPr>
      <w:r w:rsidRPr="00D87B79">
        <w:rPr>
          <w:rFonts w:cs="Tahoma"/>
          <w:color w:val="000000"/>
          <w:lang w:val="it-IT"/>
        </w:rPr>
        <w:t xml:space="preserve">L’Enterprise </w:t>
      </w:r>
      <w:r w:rsidRPr="00D87B79">
        <w:rPr>
          <w:rFonts w:cs="Tahoma"/>
          <w:lang w:val="it-IT"/>
        </w:rPr>
        <w:t>Architect collaborerà con la Società allo sviluppo di un piano che consenta a quest’ultima di realizzare gli</w:t>
      </w:r>
      <w:r>
        <w:rPr>
          <w:rFonts w:cs="Tahoma"/>
          <w:lang w:val="it-IT"/>
        </w:rPr>
        <w:t> </w:t>
      </w:r>
      <w:r w:rsidRPr="00D87B79">
        <w:rPr>
          <w:rFonts w:cs="Tahoma"/>
          <w:lang w:val="it-IT"/>
        </w:rPr>
        <w:t>obiettivi aziendali identificati</w:t>
      </w:r>
      <w:r w:rsidRPr="00D87B79">
        <w:rPr>
          <w:rFonts w:cs="Tahoma"/>
          <w:color w:val="000000"/>
          <w:lang w:val="it-IT"/>
        </w:rPr>
        <w:t xml:space="preserve"> per l’iniziativa o le iniziative selezionate e di passare allo stato IT definito, riducendo al contempo le interruzioni relative alla distribuzione e alle operazioni e massimizzando il ROI.</w:t>
      </w:r>
    </w:p>
    <w:p w:rsidR="00A92422" w:rsidRPr="00D87B79" w:rsidRDefault="00A92422" w:rsidP="00A92422">
      <w:pPr>
        <w:rPr>
          <w:rFonts w:cs="Tahoma"/>
        </w:rPr>
      </w:pPr>
    </w:p>
    <w:p w:rsidR="00A92422" w:rsidRPr="00D87B79" w:rsidRDefault="00A92422" w:rsidP="00A92422">
      <w:pPr>
        <w:rPr>
          <w:rFonts w:cs="Tahoma"/>
        </w:rPr>
      </w:pPr>
      <w:r w:rsidRPr="00D87B79">
        <w:rPr>
          <w:rFonts w:cs="Tahoma"/>
          <w:b/>
          <w:color w:val="000000"/>
          <w:lang w:val="it-IT"/>
        </w:rPr>
        <w:t>I Progetti Enterprise Strategy includono:</w:t>
      </w:r>
    </w:p>
    <w:p w:rsidR="00A92422" w:rsidRPr="00D87B79" w:rsidRDefault="00A92422" w:rsidP="00A92422">
      <w:pPr>
        <w:numPr>
          <w:ilvl w:val="0"/>
          <w:numId w:val="49"/>
        </w:numPr>
        <w:spacing w:after="60"/>
        <w:ind w:left="1440"/>
        <w:contextualSpacing/>
        <w:rPr>
          <w:rFonts w:cs="Tahoma"/>
        </w:rPr>
      </w:pPr>
      <w:r w:rsidRPr="00D87B79">
        <w:rPr>
          <w:rFonts w:cs="Tahoma"/>
          <w:szCs w:val="20"/>
          <w:lang w:val="it-IT"/>
        </w:rPr>
        <w:t>Documentazione e allineamento di tecnologie Microsoft a obiettivi aziendali fondamentali.</w:t>
      </w:r>
      <w:r w:rsidRPr="00D87B79">
        <w:rPr>
          <w:rFonts w:eastAsia="Times New Roman" w:cs="Tahoma"/>
          <w:szCs w:val="20"/>
        </w:rPr>
        <w:t xml:space="preserve"> </w:t>
      </w:r>
    </w:p>
    <w:p w:rsidR="00A92422" w:rsidRPr="00D87B79" w:rsidRDefault="00A92422" w:rsidP="00A92422">
      <w:pPr>
        <w:numPr>
          <w:ilvl w:val="0"/>
          <w:numId w:val="49"/>
        </w:numPr>
        <w:tabs>
          <w:tab w:val="left" w:pos="1080"/>
        </w:tabs>
        <w:spacing w:after="60"/>
        <w:ind w:left="1440"/>
        <w:contextualSpacing/>
        <w:rPr>
          <w:rFonts w:cs="Tahoma"/>
        </w:rPr>
      </w:pPr>
      <w:r w:rsidRPr="00D87B79">
        <w:rPr>
          <w:rFonts w:cs="Tahoma"/>
          <w:lang w:val="it-IT"/>
        </w:rPr>
        <w:t>Sviluppo di un business case per l’identificazione dei vantaggi e dei costi potenziali relativi a ogni unità aziendale o funzionale interessata dal progetto.</w:t>
      </w:r>
    </w:p>
    <w:p w:rsidR="00A92422" w:rsidRPr="00D87B79" w:rsidRDefault="00A92422" w:rsidP="00A92422">
      <w:pPr>
        <w:numPr>
          <w:ilvl w:val="0"/>
          <w:numId w:val="49"/>
        </w:numPr>
        <w:tabs>
          <w:tab w:val="left" w:pos="1080"/>
        </w:tabs>
        <w:spacing w:after="60"/>
        <w:ind w:left="1440"/>
        <w:contextualSpacing/>
        <w:rPr>
          <w:rFonts w:cs="Tahoma"/>
        </w:rPr>
      </w:pPr>
      <w:r w:rsidRPr="00D87B79">
        <w:rPr>
          <w:rFonts w:cs="Tahoma"/>
          <w:lang w:val="it-IT"/>
        </w:rPr>
        <w:t>Creazione di un Documento di Definizione dell’Architettura nel quale vengono descritti i requisiti delle specifiche e l’architettura funzionale delle applicazioni e della tecnologia a supporto della consulenza fornita.</w:t>
      </w:r>
    </w:p>
    <w:p w:rsidR="00A92422" w:rsidRPr="00D87B79" w:rsidRDefault="00A92422" w:rsidP="00A92422">
      <w:pPr>
        <w:numPr>
          <w:ilvl w:val="0"/>
          <w:numId w:val="49"/>
        </w:numPr>
        <w:tabs>
          <w:tab w:val="left" w:pos="1080"/>
        </w:tabs>
        <w:spacing w:after="60"/>
        <w:ind w:left="1440"/>
        <w:contextualSpacing/>
        <w:rPr>
          <w:rFonts w:cs="Tahoma"/>
        </w:rPr>
      </w:pPr>
      <w:r w:rsidRPr="00D87B79">
        <w:rPr>
          <w:rFonts w:cs="Tahoma"/>
          <w:lang w:val="it-IT"/>
        </w:rPr>
        <w:t>Creazione di un Piano di Misurazione nel quale viene descritta la metrica utilizzata per la</w:t>
      </w:r>
      <w:r>
        <w:rPr>
          <w:rFonts w:cs="Tahoma"/>
          <w:lang w:val="it-IT"/>
        </w:rPr>
        <w:t> </w:t>
      </w:r>
      <w:r w:rsidRPr="00D87B79">
        <w:rPr>
          <w:rFonts w:cs="Tahoma"/>
          <w:lang w:val="it-IT"/>
        </w:rPr>
        <w:t>misurazione dei progressi conseguiti a fronte della responsabilità, della tempistica e degli obiettivi aziendali proposti.</w:t>
      </w:r>
    </w:p>
    <w:p w:rsidR="00A92422" w:rsidRPr="00D87B79" w:rsidRDefault="00A92422" w:rsidP="00A92422">
      <w:pPr>
        <w:numPr>
          <w:ilvl w:val="0"/>
          <w:numId w:val="49"/>
        </w:numPr>
        <w:spacing w:after="60"/>
        <w:ind w:left="1440"/>
        <w:contextualSpacing/>
        <w:rPr>
          <w:rFonts w:cs="Tahoma"/>
        </w:rPr>
      </w:pPr>
      <w:r w:rsidRPr="00D87B79">
        <w:rPr>
          <w:rFonts w:cs="Tahoma"/>
          <w:lang w:val="it-IT"/>
        </w:rPr>
        <w:t>Personalizzazione, in base all’ambiente della Società, delle Procedure Consigliate Microsoft relativamente a supervisione/direzione, adozione e misurazione.</w:t>
      </w:r>
    </w:p>
    <w:p w:rsidR="00A92422" w:rsidRPr="00D87B79" w:rsidRDefault="00A92422" w:rsidP="00A92422">
      <w:pPr>
        <w:numPr>
          <w:ilvl w:val="0"/>
          <w:numId w:val="49"/>
        </w:numPr>
        <w:spacing w:after="60"/>
        <w:ind w:left="1440"/>
        <w:contextualSpacing/>
        <w:rPr>
          <w:rFonts w:cs="Tahoma"/>
        </w:rPr>
      </w:pPr>
      <w:r w:rsidRPr="00D87B79">
        <w:rPr>
          <w:rFonts w:cs="Tahoma"/>
          <w:lang w:val="it-IT"/>
        </w:rPr>
        <w:t>Collaborazione con il team esecutivo della Società per la definizione della governance del</w:t>
      </w:r>
      <w:r>
        <w:rPr>
          <w:rFonts w:cs="Tahoma"/>
          <w:lang w:val="it-IT"/>
        </w:rPr>
        <w:t> </w:t>
      </w:r>
      <w:r w:rsidRPr="00D87B79">
        <w:rPr>
          <w:rFonts w:cs="Tahoma"/>
          <w:lang w:val="it-IT"/>
        </w:rPr>
        <w:t>programma.</w:t>
      </w:r>
    </w:p>
    <w:p w:rsidR="00A92422" w:rsidRPr="00FE43EF" w:rsidRDefault="00A92422" w:rsidP="00A92422">
      <w:pPr>
        <w:numPr>
          <w:ilvl w:val="0"/>
          <w:numId w:val="49"/>
        </w:numPr>
        <w:spacing w:after="60"/>
        <w:ind w:left="1440"/>
        <w:contextualSpacing/>
        <w:rPr>
          <w:rFonts w:cs="Tahoma"/>
        </w:rPr>
      </w:pPr>
      <w:r w:rsidRPr="00D87B79">
        <w:rPr>
          <w:rFonts w:cs="Tahoma"/>
          <w:lang w:val="it-IT"/>
        </w:rPr>
        <w:t>Esame periodico dei progressi conseguiti dalla Società rispetto alla scorecard degli obiettivi</w:t>
      </w:r>
      <w:r>
        <w:rPr>
          <w:rFonts w:cs="Tahoma"/>
          <w:lang w:val="it-IT"/>
        </w:rPr>
        <w:t> </w:t>
      </w:r>
      <w:r w:rsidRPr="00D87B79">
        <w:rPr>
          <w:rFonts w:cs="Tahoma"/>
          <w:lang w:val="it-IT"/>
        </w:rPr>
        <w:t>aziendali.</w:t>
      </w:r>
    </w:p>
    <w:p w:rsidR="00A92422" w:rsidRPr="00D87B79" w:rsidRDefault="00A92422" w:rsidP="00A92422">
      <w:pPr>
        <w:spacing w:after="60"/>
        <w:rPr>
          <w:rFonts w:cs="Tahoma"/>
        </w:rPr>
      </w:pPr>
    </w:p>
    <w:p w:rsidR="00A92422" w:rsidRPr="00D87B79" w:rsidRDefault="00A92422" w:rsidP="00A92422">
      <w:pPr>
        <w:rPr>
          <w:rFonts w:cs="Tahoma"/>
        </w:rPr>
      </w:pPr>
      <w:r w:rsidRPr="00D87B79">
        <w:rPr>
          <w:rFonts w:cs="Tahoma"/>
          <w:b/>
          <w:sz w:val="24"/>
          <w:lang w:val="it-IT"/>
        </w:rPr>
        <w:t>Vantaggi del Programma</w:t>
      </w:r>
    </w:p>
    <w:p w:rsidR="00A92422" w:rsidRPr="00D87B79" w:rsidRDefault="00A92422" w:rsidP="00A92422">
      <w:pPr>
        <w:rPr>
          <w:rFonts w:cs="Tahoma"/>
        </w:rPr>
      </w:pPr>
    </w:p>
    <w:p w:rsidR="00A92422" w:rsidRPr="00D87B79" w:rsidRDefault="00A92422" w:rsidP="00A92422">
      <w:pPr>
        <w:rPr>
          <w:rFonts w:cs="Tahoma"/>
        </w:rPr>
      </w:pPr>
      <w:r w:rsidRPr="00D87B79">
        <w:rPr>
          <w:rFonts w:eastAsia="Times New Roman" w:cs="Tahoma"/>
          <w:szCs w:val="18"/>
          <w:lang w:val="it-IT" w:eastAsia="ja-JP"/>
        </w:rPr>
        <w:t>La partecipazione al programma consente di usufruire dei vantaggi seguenti:</w:t>
      </w:r>
      <w:r w:rsidRPr="00D87B79">
        <w:rPr>
          <w:rFonts w:eastAsia="Times New Roman" w:cs="Tahoma"/>
          <w:szCs w:val="18"/>
          <w:lang w:eastAsia="ja-JP"/>
        </w:rPr>
        <w:t xml:space="preserve"> </w:t>
      </w:r>
    </w:p>
    <w:p w:rsidR="00A92422" w:rsidRPr="00D87B79" w:rsidRDefault="00A92422" w:rsidP="00A92422">
      <w:pPr>
        <w:spacing w:after="60"/>
        <w:rPr>
          <w:rFonts w:cs="Tahoma"/>
        </w:rPr>
      </w:pPr>
    </w:p>
    <w:p w:rsidR="00A92422" w:rsidRPr="00D87B79" w:rsidRDefault="00A92422" w:rsidP="00A92422">
      <w:pPr>
        <w:rPr>
          <w:rFonts w:cs="Tahoma"/>
        </w:rPr>
      </w:pPr>
      <w:r w:rsidRPr="00D87B79">
        <w:rPr>
          <w:rFonts w:cs="Tahoma"/>
          <w:b/>
          <w:lang w:val="it-IT"/>
        </w:rPr>
        <w:t>Enterprise Strategy Network:</w:t>
      </w:r>
      <w:r w:rsidRPr="00D87B79">
        <w:rPr>
          <w:rFonts w:cs="Tahoma"/>
          <w:szCs w:val="18"/>
        </w:rPr>
        <w:t xml:space="preserve"> </w:t>
      </w:r>
      <w:r w:rsidRPr="00D87B79">
        <w:rPr>
          <w:rFonts w:cs="Tahoma"/>
          <w:szCs w:val="18"/>
          <w:lang w:val="it-IT"/>
        </w:rPr>
        <w:t>Il Programma Enterprise Strategy include una connessione integrale ai team di</w:t>
      </w:r>
      <w:r>
        <w:rPr>
          <w:rFonts w:cs="Tahoma"/>
          <w:szCs w:val="18"/>
          <w:lang w:val="it-IT"/>
        </w:rPr>
        <w:t> </w:t>
      </w:r>
      <w:r w:rsidRPr="00D87B79">
        <w:rPr>
          <w:rFonts w:cs="Tahoma"/>
          <w:szCs w:val="18"/>
          <w:lang w:val="it-IT"/>
        </w:rPr>
        <w:t>ricerca e sviluppo di Microsoft e agli esperti con competenze specifiche dei reparti dei servizi Microsoft.</w:t>
      </w:r>
      <w:r w:rsidRPr="00D87B79">
        <w:rPr>
          <w:rFonts w:cs="Tahoma"/>
          <w:szCs w:val="18"/>
        </w:rPr>
        <w:t xml:space="preserve"> </w:t>
      </w:r>
      <w:r w:rsidRPr="00D87B79">
        <w:rPr>
          <w:rFonts w:cs="Tahoma"/>
          <w:szCs w:val="18"/>
          <w:lang w:val="it-IT"/>
        </w:rPr>
        <w:t>Gli Enterprise Architect utilizzano tali esperti per fornire alle Società procedure appropriate, indicazioni specifiche su</w:t>
      </w:r>
      <w:r>
        <w:rPr>
          <w:rFonts w:cs="Tahoma"/>
          <w:szCs w:val="18"/>
          <w:lang w:val="it-IT"/>
        </w:rPr>
        <w:t> </w:t>
      </w:r>
      <w:r w:rsidRPr="00D87B79">
        <w:rPr>
          <w:rFonts w:cs="Tahoma"/>
          <w:szCs w:val="18"/>
          <w:lang w:val="it-IT"/>
        </w:rPr>
        <w:t>determinate tecnologie di Microsoft e architetture di riferimento.</w:t>
      </w:r>
      <w:r w:rsidRPr="00D87B79">
        <w:rPr>
          <w:rFonts w:cs="Tahoma"/>
        </w:rPr>
        <w:t xml:space="preserve"> </w:t>
      </w:r>
      <w:r w:rsidRPr="00D87B79">
        <w:rPr>
          <w:rFonts w:cs="Tahoma"/>
          <w:lang w:val="it-IT"/>
        </w:rPr>
        <w:t>Le procedure consigliate e il materiale e gli strumenti associati sono inclusi nella Microsoft Enterprise Strategy Library al fine di accelerare l’erogazione degli engagement ESP per le società.</w:t>
      </w:r>
    </w:p>
    <w:p w:rsidR="00A92422" w:rsidRPr="00D87B79" w:rsidRDefault="00A92422" w:rsidP="00A92422">
      <w:pPr>
        <w:rPr>
          <w:rFonts w:cs="Tahoma"/>
        </w:rPr>
      </w:pPr>
    </w:p>
    <w:p w:rsidR="00A92422" w:rsidRPr="00D87B79" w:rsidRDefault="00A92422" w:rsidP="00A92422">
      <w:pPr>
        <w:rPr>
          <w:rFonts w:cs="Tahoma"/>
        </w:rPr>
      </w:pPr>
      <w:r w:rsidRPr="00D87B79">
        <w:rPr>
          <w:rFonts w:cs="Tahoma"/>
          <w:b/>
          <w:lang w:val="it-IT"/>
        </w:rPr>
        <w:t>Enterprise Strategy Library:</w:t>
      </w:r>
      <w:r w:rsidRPr="00D87B79">
        <w:rPr>
          <w:rFonts w:cs="Tahoma"/>
          <w:b/>
          <w:szCs w:val="18"/>
        </w:rPr>
        <w:t xml:space="preserve"> </w:t>
      </w:r>
      <w:r w:rsidRPr="00D87B79">
        <w:rPr>
          <w:rFonts w:cs="Tahoma"/>
          <w:lang w:val="it-IT"/>
        </w:rPr>
        <w:t>Il Programma Enterprise Strategy include un’ampia raccolta di materiale, inclusi gli</w:t>
      </w:r>
      <w:r>
        <w:rPr>
          <w:rFonts w:cs="Tahoma"/>
          <w:lang w:val="it-IT"/>
        </w:rPr>
        <w:t> </w:t>
      </w:r>
      <w:r w:rsidRPr="00D87B79">
        <w:rPr>
          <w:rFonts w:cs="Tahoma"/>
          <w:lang w:val="it-IT"/>
        </w:rPr>
        <w:t>strumenti per gli approfondimenti del settore e le prove comparative e i modelli e i metodi di riferimento di Enterprise Architecture e Technology Architecture.</w:t>
      </w:r>
      <w:r w:rsidRPr="00D87B79">
        <w:rPr>
          <w:rFonts w:cs="Tahoma"/>
        </w:rPr>
        <w:t xml:space="preserve"> </w:t>
      </w:r>
      <w:r w:rsidRPr="00D87B79">
        <w:rPr>
          <w:rFonts w:cs="Tahoma"/>
          <w:lang w:val="it-IT"/>
        </w:rPr>
        <w:t>A seconda delle esigenze della Società, l’Enterprise Architect utilizza il materiale e gli strumenti appropriati.</w:t>
      </w:r>
    </w:p>
    <w:p w:rsidR="00A92422" w:rsidRPr="00D87B79" w:rsidRDefault="00A92422" w:rsidP="00A92422">
      <w:pPr>
        <w:spacing w:after="60"/>
        <w:rPr>
          <w:rFonts w:cs="Tahoma"/>
        </w:rPr>
      </w:pPr>
    </w:p>
    <w:p w:rsidR="00A92422" w:rsidRPr="00D87B79" w:rsidRDefault="00A92422" w:rsidP="00A92422">
      <w:pPr>
        <w:spacing w:after="60"/>
        <w:rPr>
          <w:rFonts w:cs="Tahoma"/>
        </w:rPr>
      </w:pPr>
      <w:r w:rsidRPr="00D87B79">
        <w:rPr>
          <w:rFonts w:eastAsia="Times New Roman" w:cs="Tahoma"/>
          <w:b/>
          <w:lang w:val="it-IT" w:eastAsia="ja-JP"/>
        </w:rPr>
        <w:t>Workshop relativi all’Engagement:</w:t>
      </w:r>
      <w:r w:rsidRPr="00D87B79">
        <w:rPr>
          <w:rFonts w:eastAsia="Times New Roman" w:cs="Tahoma"/>
          <w:b/>
          <w:lang w:eastAsia="ja-JP"/>
        </w:rPr>
        <w:t xml:space="preserve"> </w:t>
      </w:r>
      <w:r w:rsidRPr="00D87B79">
        <w:rPr>
          <w:rFonts w:eastAsia="Times New Roman" w:cs="Tahoma"/>
          <w:lang w:val="it-IT" w:eastAsia="ja-JP"/>
        </w:rPr>
        <w:t>questi workshop destinati all’esecutivo della Società hanno durata giornaliera e vengono generalmente svolti negli uffici regionali di Microsoft presso la filiale locale.</w:t>
      </w:r>
      <w:r w:rsidRPr="00D87B79">
        <w:rPr>
          <w:rFonts w:eastAsia="Times New Roman" w:cs="Tahoma"/>
          <w:lang w:eastAsia="ja-JP"/>
        </w:rPr>
        <w:t xml:space="preserve"> </w:t>
      </w:r>
      <w:r w:rsidRPr="00D87B79">
        <w:rPr>
          <w:rFonts w:eastAsia="Times New Roman" w:cs="Tahoma"/>
          <w:lang w:val="it-IT" w:eastAsia="ja-JP"/>
        </w:rPr>
        <w:t>Sono ideati e personalizzati per</w:t>
      </w:r>
      <w:r>
        <w:rPr>
          <w:rFonts w:eastAsia="Times New Roman" w:cs="Tahoma"/>
          <w:lang w:val="it-IT" w:eastAsia="ja-JP"/>
        </w:rPr>
        <w:t> </w:t>
      </w:r>
      <w:r w:rsidRPr="00D87B79">
        <w:rPr>
          <w:rFonts w:eastAsia="Times New Roman" w:cs="Tahoma"/>
          <w:lang w:val="it-IT" w:eastAsia="ja-JP"/>
        </w:rPr>
        <w:t>i responsabili aziendali e IT della Società, in quanto consentiranno loro di comprendere la rilevanza delle tecnologie emergenti e ricevere informazioni settoriali importanti per l’attività svolta.</w:t>
      </w:r>
      <w:r w:rsidRPr="00D87B79">
        <w:rPr>
          <w:rFonts w:cs="Tahoma"/>
        </w:rPr>
        <w:t xml:space="preserve"> </w:t>
      </w:r>
      <w:r w:rsidRPr="00D87B79">
        <w:rPr>
          <w:rFonts w:cs="Tahoma"/>
          <w:lang w:val="it-IT"/>
        </w:rPr>
        <w:t>La Società è responsabile dei</w:t>
      </w:r>
      <w:r>
        <w:rPr>
          <w:rFonts w:cs="Tahoma"/>
          <w:lang w:val="it-IT"/>
        </w:rPr>
        <w:t> </w:t>
      </w:r>
      <w:r w:rsidRPr="00D87B79">
        <w:rPr>
          <w:rFonts w:cs="Tahoma"/>
          <w:lang w:val="it-IT"/>
        </w:rPr>
        <w:t>costi da essa stessa sostenuti relativamente alla partecipazione a tali workshop.</w:t>
      </w:r>
    </w:p>
    <w:p w:rsidR="00A92422" w:rsidRPr="00D87B79" w:rsidRDefault="00A92422" w:rsidP="00A92422">
      <w:pPr>
        <w:spacing w:after="60"/>
        <w:rPr>
          <w:rFonts w:cs="Tahoma"/>
        </w:rPr>
      </w:pPr>
    </w:p>
    <w:p w:rsidR="00A92422" w:rsidRPr="00D87B79" w:rsidRDefault="00A92422" w:rsidP="00A92422">
      <w:pPr>
        <w:spacing w:after="60"/>
        <w:rPr>
          <w:rFonts w:cs="Tahoma"/>
        </w:rPr>
      </w:pPr>
      <w:r w:rsidRPr="00D87B79">
        <w:rPr>
          <w:rFonts w:eastAsia="Times New Roman" w:cs="Tahoma"/>
          <w:b/>
          <w:lang w:val="it-IT" w:eastAsia="ja-JP"/>
        </w:rPr>
        <w:t>Briefing Strategici:</w:t>
      </w:r>
      <w:r w:rsidRPr="00D87B79">
        <w:rPr>
          <w:rFonts w:eastAsia="Times New Roman" w:cs="Tahoma"/>
          <w:b/>
          <w:lang w:eastAsia="ja-JP"/>
        </w:rPr>
        <w:t xml:space="preserve"> </w:t>
      </w:r>
      <w:r w:rsidRPr="00D87B79">
        <w:rPr>
          <w:rFonts w:eastAsia="Times New Roman" w:cs="Tahoma"/>
          <w:lang w:val="it-IT" w:eastAsia="ja-JP"/>
        </w:rPr>
        <w:t>si tratta di conferenze Web globali della durata di un’ora, destinate a responsabili aziendali e</w:t>
      </w:r>
      <w:r>
        <w:rPr>
          <w:rFonts w:eastAsia="Times New Roman" w:cs="Tahoma"/>
          <w:lang w:val="it-IT" w:eastAsia="ja-JP"/>
        </w:rPr>
        <w:t> </w:t>
      </w:r>
      <w:r w:rsidRPr="00D87B79">
        <w:rPr>
          <w:rFonts w:eastAsia="Times New Roman" w:cs="Tahoma"/>
          <w:lang w:val="it-IT" w:eastAsia="ja-JP"/>
        </w:rPr>
        <w:t>IT,</w:t>
      </w:r>
      <w:r>
        <w:rPr>
          <w:rFonts w:eastAsia="Times New Roman" w:cs="Tahoma"/>
          <w:lang w:val="it-IT" w:eastAsia="ja-JP"/>
        </w:rPr>
        <w:t> </w:t>
      </w:r>
      <w:r w:rsidRPr="00D87B79">
        <w:rPr>
          <w:rFonts w:eastAsia="Times New Roman" w:cs="Tahoma"/>
          <w:lang w:val="it-IT" w:eastAsia="ja-JP"/>
        </w:rPr>
        <w:t>riguardanti le opportunità aziendali e di settore, le tendenze tecnologiche e la prospettiva di Microsoft in merito a punti di vista strategici su problemi importanti.</w:t>
      </w:r>
      <w:r w:rsidRPr="00D87B79">
        <w:rPr>
          <w:rFonts w:cs="Tahoma"/>
        </w:rPr>
        <w:t xml:space="preserve"> </w:t>
      </w:r>
      <w:r w:rsidRPr="00D87B79">
        <w:rPr>
          <w:rFonts w:cs="Tahoma"/>
          <w:lang w:val="it-IT"/>
        </w:rPr>
        <w:t>Le Società avranno la possibilità di vedere i Briefing Strategici registrati in precedenza.</w:t>
      </w:r>
    </w:p>
    <w:p w:rsidR="00A92422" w:rsidRPr="00D87B79" w:rsidRDefault="00A92422" w:rsidP="00A92422">
      <w:pPr>
        <w:spacing w:after="60"/>
        <w:rPr>
          <w:rFonts w:cs="Tahoma"/>
        </w:rPr>
      </w:pPr>
    </w:p>
    <w:p w:rsidR="00A92422" w:rsidRPr="00D87B79" w:rsidRDefault="00A92422" w:rsidP="00A92422">
      <w:pPr>
        <w:spacing w:after="60"/>
        <w:rPr>
          <w:rFonts w:cs="Tahoma"/>
        </w:rPr>
      </w:pPr>
      <w:r w:rsidRPr="00D87B79">
        <w:rPr>
          <w:rFonts w:eastAsia="Times New Roman" w:cs="Tahoma"/>
          <w:b/>
          <w:lang w:val="it-IT" w:eastAsia="ja-JP"/>
        </w:rPr>
        <w:t>Forum strategico con Enterprise Architect:</w:t>
      </w:r>
      <w:r w:rsidRPr="00D87B79">
        <w:rPr>
          <w:rFonts w:eastAsia="Times New Roman" w:cs="Tahoma"/>
          <w:b/>
          <w:lang w:eastAsia="ja-JP"/>
        </w:rPr>
        <w:t xml:space="preserve"> </w:t>
      </w:r>
      <w:r w:rsidRPr="00D87B79">
        <w:rPr>
          <w:rFonts w:eastAsia="Times New Roman" w:cs="Tahoma"/>
          <w:lang w:val="it-IT" w:eastAsia="ja-JP"/>
        </w:rPr>
        <w:t>si tratta di una conferenza, con partecipazione esclusivamente su</w:t>
      </w:r>
      <w:r>
        <w:rPr>
          <w:rFonts w:eastAsia="Times New Roman" w:cs="Tahoma"/>
          <w:lang w:val="it-IT" w:eastAsia="ja-JP"/>
        </w:rPr>
        <w:t> </w:t>
      </w:r>
      <w:r w:rsidRPr="00D87B79">
        <w:rPr>
          <w:rFonts w:eastAsia="Times New Roman" w:cs="Tahoma"/>
          <w:lang w:val="it-IT" w:eastAsia="ja-JP"/>
        </w:rPr>
        <w:t>invito, dedicata ai Chief Architect e ai rispettivi dirigenti, fruibile esclusivamente dalle Società partecipanti al Programma Enterprise Strategy di tutto il mondo.</w:t>
      </w:r>
      <w:r w:rsidRPr="00D87B79">
        <w:rPr>
          <w:rFonts w:eastAsia="Times New Roman" w:cs="Tahoma"/>
          <w:lang w:eastAsia="ja-JP"/>
        </w:rPr>
        <w:t xml:space="preserve"> </w:t>
      </w:r>
      <w:r w:rsidRPr="00D87B79">
        <w:rPr>
          <w:rFonts w:eastAsia="Times New Roman" w:cs="Tahoma"/>
          <w:lang w:val="it-IT" w:eastAsia="ja-JP"/>
        </w:rPr>
        <w:t>Offrirà ai Chief Architect un’opportunità di scambio con colleghi e</w:t>
      </w:r>
      <w:r>
        <w:rPr>
          <w:rFonts w:eastAsia="Times New Roman" w:cs="Tahoma"/>
          <w:lang w:val="it-IT" w:eastAsia="ja-JP"/>
        </w:rPr>
        <w:t> </w:t>
      </w:r>
      <w:r w:rsidRPr="00D87B79">
        <w:rPr>
          <w:rFonts w:eastAsia="Times New Roman" w:cs="Tahoma"/>
          <w:lang w:val="it-IT" w:eastAsia="ja-JP"/>
        </w:rPr>
        <w:t>dirigenti Microsoft. Durante il forum verranno discussi alcuni dei problemi delle grandi Società nonché le varie modalità di risoluzione degli stessi.</w:t>
      </w:r>
      <w:r w:rsidRPr="00D87B79">
        <w:rPr>
          <w:rFonts w:cs="Tahoma"/>
        </w:rPr>
        <w:t xml:space="preserve"> </w:t>
      </w:r>
      <w:r w:rsidRPr="00D87B79">
        <w:rPr>
          <w:rFonts w:cs="Tahoma"/>
          <w:lang w:val="it-IT"/>
        </w:rPr>
        <w:t>La Società è responsabile dei costi da essa stessa sostenuti relativamente alla partecipazione a tali forum.</w:t>
      </w:r>
    </w:p>
    <w:p w:rsidR="00A92422" w:rsidRPr="00D87B79" w:rsidRDefault="00A92422" w:rsidP="00A92422">
      <w:pPr>
        <w:rPr>
          <w:rFonts w:cs="Tahoma"/>
        </w:rPr>
      </w:pPr>
    </w:p>
    <w:p w:rsidR="00A92422" w:rsidRPr="00D87B79" w:rsidRDefault="00A92422" w:rsidP="00A92422">
      <w:pPr>
        <w:rPr>
          <w:rFonts w:cs="Tahoma"/>
        </w:rPr>
      </w:pPr>
      <w:r w:rsidRPr="00D87B79">
        <w:rPr>
          <w:rFonts w:cs="Tahoma"/>
          <w:b/>
          <w:bCs/>
          <w:color w:val="000000"/>
          <w:szCs w:val="18"/>
          <w:lang w:val="it-IT"/>
        </w:rPr>
        <w:lastRenderedPageBreak/>
        <w:t>Componente Aggiuntivo di Enterprise Strategy Capacity:</w:t>
      </w:r>
      <w:r w:rsidRPr="00D87B79">
        <w:rPr>
          <w:rFonts w:cs="Tahoma"/>
          <w:b/>
          <w:bCs/>
          <w:color w:val="000000"/>
          <w:szCs w:val="18"/>
        </w:rPr>
        <w:t xml:space="preserve"> </w:t>
      </w:r>
      <w:r w:rsidRPr="00D87B79">
        <w:rPr>
          <w:rFonts w:cs="Tahoma"/>
          <w:color w:val="000000"/>
          <w:lang w:val="it-IT"/>
        </w:rPr>
        <w:t>La società può acquistare blocchi di 200 ore di risorse del Programma Enterprise Strategy per migliorare la capacità di erogazione dei Progetti Enterprise Strategy.</w:t>
      </w:r>
      <w:r w:rsidRPr="00D87B79">
        <w:rPr>
          <w:rFonts w:cs="Tahoma"/>
        </w:rPr>
        <w:t xml:space="preserve"> </w:t>
      </w:r>
      <w:r w:rsidRPr="00D87B79">
        <w:rPr>
          <w:rFonts w:cs="Tahoma"/>
          <w:color w:val="000000"/>
          <w:lang w:val="it-IT"/>
        </w:rPr>
        <w:t>Il</w:t>
      </w:r>
      <w:r>
        <w:rPr>
          <w:rFonts w:cs="Tahoma"/>
          <w:color w:val="000000"/>
          <w:lang w:val="it-IT"/>
        </w:rPr>
        <w:t> </w:t>
      </w:r>
      <w:r w:rsidRPr="00D87B79">
        <w:rPr>
          <w:rFonts w:cs="Tahoma"/>
          <w:color w:val="000000"/>
          <w:lang w:val="it-IT"/>
        </w:rPr>
        <w:t>Componente Aggiuntivo di Enterprise Strategy Capacity è disponibile per le Società che hanno acquistato l’offerta Enterprise Strategy Connect, Enterprise Strategy Foundation o Enterprise Strategy Portfolio.</w:t>
      </w:r>
    </w:p>
    <w:p w:rsidR="00A92422" w:rsidRPr="00D87B79" w:rsidRDefault="00A92422" w:rsidP="00A92422">
      <w:pPr>
        <w:spacing w:after="60"/>
        <w:rPr>
          <w:rFonts w:cs="Tahoma"/>
        </w:rPr>
      </w:pPr>
    </w:p>
    <w:p w:rsidR="00A92422" w:rsidRPr="00AD026D" w:rsidRDefault="00A92422" w:rsidP="00A92422">
      <w:pPr>
        <w:rPr>
          <w:rFonts w:cs="Tahoma"/>
          <w:sz w:val="24"/>
          <w:szCs w:val="24"/>
        </w:rPr>
      </w:pPr>
      <w:r w:rsidRPr="00AD026D">
        <w:rPr>
          <w:rFonts w:cs="Tahoma"/>
          <w:b/>
          <w:sz w:val="24"/>
          <w:szCs w:val="24"/>
          <w:lang w:val="it-IT"/>
        </w:rPr>
        <w:t>Servizi non Inclusi nell’Ambito del Programma</w:t>
      </w:r>
      <w:r w:rsidRPr="00AD026D">
        <w:rPr>
          <w:rFonts w:cs="Tahoma"/>
          <w:sz w:val="24"/>
          <w:szCs w:val="24"/>
        </w:rPr>
        <w:t xml:space="preserve"> </w:t>
      </w:r>
    </w:p>
    <w:p w:rsidR="00A92422" w:rsidRPr="00D87B79" w:rsidRDefault="00A92422" w:rsidP="00A92422">
      <w:pPr>
        <w:rPr>
          <w:rFonts w:cs="Tahoma"/>
        </w:rPr>
      </w:pPr>
    </w:p>
    <w:p w:rsidR="00A92422" w:rsidRPr="00D87B79" w:rsidRDefault="00A92422" w:rsidP="00A92422">
      <w:pPr>
        <w:rPr>
          <w:rFonts w:cs="Tahoma"/>
        </w:rPr>
      </w:pPr>
      <w:r w:rsidRPr="00D87B79">
        <w:rPr>
          <w:rFonts w:cs="Tahoma"/>
          <w:szCs w:val="18"/>
          <w:lang w:val="it-IT"/>
        </w:rPr>
        <w:t>Il Programma Enterprise Strategy include esclusivamente consulenza e assistenza relative alla distribuzione e</w:t>
      </w:r>
      <w:r>
        <w:rPr>
          <w:rFonts w:cs="Tahoma"/>
          <w:szCs w:val="18"/>
          <w:lang w:val="it-IT"/>
        </w:rPr>
        <w:t> </w:t>
      </w:r>
      <w:r w:rsidRPr="00D87B79">
        <w:rPr>
          <w:rFonts w:cs="Tahoma"/>
          <w:szCs w:val="18"/>
          <w:lang w:val="it-IT"/>
        </w:rPr>
        <w:t>all’utilizzo di tecnologie Microsoft da parte della Società.</w:t>
      </w:r>
      <w:r w:rsidRPr="00D87B79">
        <w:rPr>
          <w:rFonts w:cs="Tahoma"/>
          <w:szCs w:val="18"/>
        </w:rPr>
        <w:t xml:space="preserve"> </w:t>
      </w:r>
      <w:r w:rsidRPr="00D87B79">
        <w:rPr>
          <w:rFonts w:cs="Tahoma"/>
          <w:sz w:val="19"/>
          <w:szCs w:val="18"/>
          <w:lang w:val="it-IT"/>
        </w:rPr>
        <w:t>Spetta solamente alla Società scegliere se seguire o</w:t>
      </w:r>
      <w:r>
        <w:rPr>
          <w:rFonts w:cs="Tahoma"/>
          <w:sz w:val="19"/>
          <w:szCs w:val="18"/>
          <w:lang w:val="it-IT"/>
        </w:rPr>
        <w:t> </w:t>
      </w:r>
      <w:r w:rsidRPr="00D87B79">
        <w:rPr>
          <w:rFonts w:cs="Tahoma"/>
          <w:sz w:val="19"/>
          <w:szCs w:val="18"/>
          <w:lang w:val="it-IT"/>
        </w:rPr>
        <w:t>ignorare la consulenza, l’assistenza e i consigli di Microsoft.</w:t>
      </w:r>
      <w:r w:rsidRPr="00D87B79">
        <w:rPr>
          <w:rFonts w:cs="Tahoma"/>
          <w:szCs w:val="18"/>
        </w:rPr>
        <w:t xml:space="preserve"> </w:t>
      </w:r>
      <w:r w:rsidRPr="00D87B79">
        <w:rPr>
          <w:rFonts w:cs="Tahoma"/>
          <w:sz w:val="19"/>
          <w:szCs w:val="18"/>
          <w:lang w:val="it-IT"/>
        </w:rPr>
        <w:t>Microsoft non rilascia alcuna dichiarazione, garanzia o condizione relativamente ai risultati ottenibili dalla Società in seguito all’applicazione della consulenza, dell’assistenza e dei consigli forniti da Microsoft stessa e riportati di seguito.</w:t>
      </w:r>
      <w:r w:rsidRPr="00D87B79">
        <w:rPr>
          <w:rFonts w:cs="Tahoma"/>
          <w:szCs w:val="18"/>
        </w:rPr>
        <w:t xml:space="preserve"> </w:t>
      </w:r>
      <w:r w:rsidRPr="00D87B79">
        <w:rPr>
          <w:rFonts w:cs="Tahoma"/>
          <w:szCs w:val="18"/>
          <w:lang w:val="it-IT"/>
        </w:rPr>
        <w:t>Le licenze per i prodotti non sono incluse.</w:t>
      </w:r>
      <w:r w:rsidRPr="00D87B79">
        <w:rPr>
          <w:rFonts w:cs="Tahoma"/>
          <w:szCs w:val="18"/>
        </w:rPr>
        <w:t xml:space="preserve"> </w:t>
      </w:r>
      <w:r w:rsidRPr="00D87B79">
        <w:rPr>
          <w:rFonts w:cs="Tahoma"/>
          <w:szCs w:val="18"/>
          <w:lang w:val="it-IT"/>
        </w:rPr>
        <w:t>I Servizi dell’Enterprise Architect, inoltre, non includono la distribuzione dei prodotti, la risoluzione dei problemi o l’assistenza break-fix, l’analisi di codice sorgente non Microsoft o consulenza tecnica e sull’architettura che non rientri nella Valutazione di cui sopra.</w:t>
      </w:r>
      <w:r w:rsidRPr="00D87B79">
        <w:rPr>
          <w:rFonts w:cs="Tahoma"/>
        </w:rPr>
        <w:t xml:space="preserve"> </w:t>
      </w:r>
      <w:r w:rsidRPr="00D87B79">
        <w:rPr>
          <w:rFonts w:cs="Tahoma"/>
          <w:lang w:val="it-IT"/>
        </w:rPr>
        <w:t>Nel caso di codice sorgente non Microsoft, i Servizi di Microsoft saranno limitati solo all’analisi dei dati binari, ad esempio un dump di processo o una traccia di Network Monitor.</w:t>
      </w:r>
    </w:p>
    <w:p w:rsidR="00A92422" w:rsidRPr="00D87B79" w:rsidRDefault="00A92422" w:rsidP="00A92422">
      <w:pPr>
        <w:rPr>
          <w:rFonts w:cs="Tahoma"/>
        </w:rPr>
      </w:pPr>
    </w:p>
    <w:p w:rsidR="00A92422" w:rsidRPr="00AD026D" w:rsidRDefault="00A92422" w:rsidP="00A92422">
      <w:pPr>
        <w:rPr>
          <w:rFonts w:cs="Tahoma"/>
          <w:sz w:val="24"/>
          <w:szCs w:val="24"/>
        </w:rPr>
      </w:pPr>
      <w:r w:rsidRPr="00AD026D">
        <w:rPr>
          <w:rFonts w:cs="Tahoma"/>
          <w:b/>
          <w:sz w:val="24"/>
          <w:szCs w:val="24"/>
          <w:lang w:val="it-IT"/>
        </w:rPr>
        <w:t>Responsabilità della Società</w:t>
      </w:r>
    </w:p>
    <w:p w:rsidR="00A92422" w:rsidRPr="00D87B79" w:rsidRDefault="00A92422" w:rsidP="00A92422">
      <w:pPr>
        <w:rPr>
          <w:rFonts w:cs="Tahoma"/>
        </w:rPr>
      </w:pPr>
    </w:p>
    <w:p w:rsidR="00A92422" w:rsidRPr="00AD026D" w:rsidRDefault="00A92422" w:rsidP="00A92422">
      <w:pPr>
        <w:rPr>
          <w:rFonts w:cs="Tahoma"/>
          <w:szCs w:val="18"/>
        </w:rPr>
      </w:pPr>
      <w:r w:rsidRPr="00AD026D">
        <w:rPr>
          <w:rFonts w:cs="Tahoma"/>
          <w:szCs w:val="18"/>
          <w:lang w:val="it-IT"/>
        </w:rPr>
        <w:t>Il successo del Programma Enterprise Strategy e le prestazioni di Microsoft relativamente alle proprie obbligazioni dipendono dal coinvolgimento della Società nel programma, inclusi, a titolo esemplificativo:</w:t>
      </w:r>
    </w:p>
    <w:p w:rsidR="00A92422" w:rsidRPr="00D87B79" w:rsidRDefault="00A92422" w:rsidP="00A92422">
      <w:pPr>
        <w:rPr>
          <w:rFonts w:cs="Tahoma"/>
        </w:rPr>
      </w:pPr>
    </w:p>
    <w:p w:rsidR="00A92422" w:rsidRPr="00D87B79" w:rsidRDefault="00A92422" w:rsidP="00A92422">
      <w:pPr>
        <w:numPr>
          <w:ilvl w:val="0"/>
          <w:numId w:val="50"/>
        </w:numPr>
        <w:tabs>
          <w:tab w:val="left" w:pos="1440"/>
        </w:tabs>
        <w:spacing w:after="60"/>
        <w:ind w:left="1440"/>
        <w:rPr>
          <w:rFonts w:cs="Tahoma"/>
        </w:rPr>
      </w:pPr>
      <w:r w:rsidRPr="00D87B79">
        <w:rPr>
          <w:rFonts w:cs="Tahoma"/>
          <w:color w:val="000000"/>
          <w:lang w:val="it-IT"/>
        </w:rPr>
        <w:t>disponibilità dei rappresentanti, del personale IT e delle risorse della Società, inclusi, in via esemplificativa, hardware, software, connettività Internet e spazi ragionevolmente sufficienti;</w:t>
      </w:r>
      <w:r w:rsidRPr="00D87B79">
        <w:rPr>
          <w:rFonts w:cs="Tahoma"/>
        </w:rPr>
        <w:t xml:space="preserve"> </w:t>
      </w:r>
    </w:p>
    <w:p w:rsidR="00A92422" w:rsidRPr="00D87B79" w:rsidRDefault="00A92422" w:rsidP="00A92422">
      <w:pPr>
        <w:numPr>
          <w:ilvl w:val="0"/>
          <w:numId w:val="50"/>
        </w:numPr>
        <w:tabs>
          <w:tab w:val="left" w:pos="1440"/>
        </w:tabs>
        <w:spacing w:after="60"/>
        <w:ind w:left="1440"/>
        <w:rPr>
          <w:rFonts w:cs="Tahoma"/>
        </w:rPr>
      </w:pPr>
      <w:r w:rsidRPr="00D87B79">
        <w:rPr>
          <w:rFonts w:cs="Tahoma"/>
          <w:color w:val="000000"/>
          <w:lang w:val="it-IT"/>
        </w:rPr>
        <w:t>tempestiva comunicazione, da parte della Società, di informazioni accurate e complete;</w:t>
      </w:r>
      <w:r w:rsidRPr="00D87B79">
        <w:rPr>
          <w:rFonts w:cs="Tahoma"/>
        </w:rPr>
        <w:t xml:space="preserve"> </w:t>
      </w:r>
    </w:p>
    <w:p w:rsidR="00A92422" w:rsidRPr="00D87B79" w:rsidRDefault="00A92422" w:rsidP="00A92422">
      <w:pPr>
        <w:numPr>
          <w:ilvl w:val="0"/>
          <w:numId w:val="50"/>
        </w:numPr>
        <w:tabs>
          <w:tab w:val="left" w:pos="1440"/>
        </w:tabs>
        <w:spacing w:after="60"/>
        <w:ind w:left="1440"/>
        <w:rPr>
          <w:rFonts w:cs="Tahoma"/>
        </w:rPr>
      </w:pPr>
      <w:r w:rsidRPr="00D87B79">
        <w:rPr>
          <w:rFonts w:cs="Tahoma"/>
          <w:color w:val="000000"/>
          <w:lang w:val="it-IT"/>
        </w:rPr>
        <w:t>accesso a informazioni riguardanti l’organizzazione della Società;</w:t>
      </w:r>
    </w:p>
    <w:p w:rsidR="00A92422" w:rsidRPr="00D87B79" w:rsidRDefault="00A92422" w:rsidP="00A92422">
      <w:pPr>
        <w:numPr>
          <w:ilvl w:val="0"/>
          <w:numId w:val="50"/>
        </w:numPr>
        <w:tabs>
          <w:tab w:val="left" w:pos="1440"/>
        </w:tabs>
        <w:spacing w:after="60"/>
        <w:ind w:left="1440"/>
        <w:rPr>
          <w:rFonts w:cs="Tahoma"/>
        </w:rPr>
      </w:pPr>
      <w:r w:rsidRPr="00D87B79">
        <w:rPr>
          <w:rFonts w:cs="Tahoma"/>
          <w:color w:val="000000"/>
          <w:lang w:val="it-IT"/>
        </w:rPr>
        <w:t>adempimento tempestivo ed efficace delle responsabilità della Società e</w:t>
      </w:r>
    </w:p>
    <w:p w:rsidR="00A92422" w:rsidRPr="00D87B79" w:rsidRDefault="00A92422" w:rsidP="00A92422">
      <w:pPr>
        <w:numPr>
          <w:ilvl w:val="0"/>
          <w:numId w:val="50"/>
        </w:numPr>
        <w:tabs>
          <w:tab w:val="left" w:pos="1440"/>
        </w:tabs>
        <w:spacing w:after="60"/>
        <w:ind w:left="1440"/>
        <w:rPr>
          <w:rFonts w:cs="Tahoma"/>
        </w:rPr>
      </w:pPr>
      <w:r w:rsidRPr="00D87B79">
        <w:rPr>
          <w:rFonts w:cs="Tahoma"/>
          <w:color w:val="000000"/>
          <w:szCs w:val="18"/>
          <w:lang w:val="it-IT"/>
        </w:rPr>
        <w:t>approvazioni e decisioni tempestive da parte dei dirigenti e manager della Società.</w:t>
      </w:r>
      <w:r w:rsidRPr="00D87B79">
        <w:rPr>
          <w:rFonts w:cs="Tahoma"/>
          <w:color w:val="000000"/>
          <w:szCs w:val="18"/>
        </w:rPr>
        <w:t xml:space="preserve"> </w:t>
      </w:r>
    </w:p>
    <w:p w:rsidR="00A92422" w:rsidRPr="00D87B79" w:rsidRDefault="00A92422" w:rsidP="00A92422">
      <w:pPr>
        <w:rPr>
          <w:rFonts w:cs="Tahoma"/>
        </w:rPr>
      </w:pPr>
      <w:bookmarkStart w:id="1025" w:name="_Toc288760404"/>
    </w:p>
    <w:p w:rsidR="00A92422" w:rsidRPr="00D87B79" w:rsidRDefault="00A92422" w:rsidP="00A92422">
      <w:pPr>
        <w:rPr>
          <w:rFonts w:cs="Tahoma"/>
        </w:rPr>
      </w:pPr>
    </w:p>
    <w:p w:rsidR="00A92422" w:rsidRPr="00D87B79" w:rsidRDefault="00A92422" w:rsidP="00A92422">
      <w:pPr>
        <w:rPr>
          <w:rFonts w:cs="Tahoma"/>
        </w:rPr>
      </w:pPr>
      <w:r w:rsidRPr="00D87B79">
        <w:rPr>
          <w:rFonts w:cs="Tahoma"/>
          <w:b/>
          <w:sz w:val="24"/>
          <w:lang w:val="it-IT"/>
        </w:rPr>
        <w:t>Condizioni di Servizio Aggiuntive</w:t>
      </w:r>
    </w:p>
    <w:p w:rsidR="00A92422" w:rsidRPr="00D87B79" w:rsidRDefault="00A92422" w:rsidP="00A92422">
      <w:pPr>
        <w:rPr>
          <w:rFonts w:cs="Tahoma"/>
        </w:rPr>
      </w:pPr>
    </w:p>
    <w:p w:rsidR="00A92422" w:rsidRPr="00D87B79" w:rsidRDefault="00A92422" w:rsidP="00A92422">
      <w:pPr>
        <w:rPr>
          <w:rFonts w:cs="Tahoma"/>
        </w:rPr>
      </w:pPr>
      <w:bookmarkStart w:id="1026" w:name="_Toc317591257"/>
      <w:bookmarkStart w:id="1027" w:name="_Toc336338248"/>
      <w:bookmarkStart w:id="1028" w:name="_Toc342900300"/>
      <w:bookmarkEnd w:id="1025"/>
      <w:bookmarkEnd w:id="1026"/>
      <w:bookmarkEnd w:id="1027"/>
      <w:r w:rsidRPr="00D87B79">
        <w:rPr>
          <w:rStyle w:val="Heading2Char"/>
          <w:rFonts w:ascii="Tahoma" w:hAnsi="Tahoma" w:cs="Tahoma"/>
          <w:sz w:val="20"/>
          <w:lang w:val="it-IT"/>
        </w:rPr>
        <w:t>Diritti sull’utilizzo, di titolarità e di licenza</w:t>
      </w:r>
      <w:bookmarkEnd w:id="1028"/>
    </w:p>
    <w:p w:rsidR="00A92422" w:rsidRPr="00AD026D" w:rsidRDefault="00A92422" w:rsidP="00A92422">
      <w:pPr>
        <w:pStyle w:val="normal1"/>
        <w:rPr>
          <w:rFonts w:ascii="Tahoma" w:hAnsi="Tahoma" w:cs="Tahoma"/>
          <w:sz w:val="18"/>
          <w:szCs w:val="18"/>
        </w:rPr>
      </w:pPr>
    </w:p>
    <w:p w:rsidR="00A92422" w:rsidRPr="00D87B79" w:rsidRDefault="00A92422" w:rsidP="00A92422">
      <w:pPr>
        <w:pStyle w:val="normal1"/>
        <w:rPr>
          <w:rFonts w:ascii="Tahoma" w:hAnsi="Tahoma" w:cs="Tahoma"/>
        </w:rPr>
      </w:pPr>
      <w:r w:rsidRPr="00D87B79">
        <w:rPr>
          <w:rFonts w:ascii="Tahoma" w:hAnsi="Tahoma" w:cs="Tahoma"/>
          <w:b/>
          <w:color w:val="000000"/>
          <w:sz w:val="18"/>
          <w:lang w:val="it-IT"/>
        </w:rPr>
        <w:t>Fix.</w:t>
      </w:r>
      <w:r w:rsidRPr="00D87B79">
        <w:rPr>
          <w:rFonts w:ascii="Tahoma" w:hAnsi="Tahoma" w:cs="Tahoma"/>
          <w:color w:val="000000"/>
          <w:sz w:val="18"/>
          <w:lang w:val="it-IT"/>
        </w:rPr>
        <w:t xml:space="preserve"> Qualora Microsoft fornisca Fix alla Società durante la prestazione dei Servizi, tali Fix sono concessi in licenza in</w:t>
      </w:r>
      <w:r>
        <w:rPr>
          <w:rFonts w:ascii="Tahoma" w:hAnsi="Tahoma" w:cs="Tahoma"/>
          <w:color w:val="000000"/>
          <w:sz w:val="18"/>
          <w:lang w:val="it-IT"/>
        </w:rPr>
        <w:t> </w:t>
      </w:r>
      <w:r w:rsidRPr="00D87B79">
        <w:rPr>
          <w:rFonts w:ascii="Tahoma" w:hAnsi="Tahoma" w:cs="Tahoma"/>
          <w:color w:val="000000"/>
          <w:sz w:val="18"/>
          <w:lang w:val="it-IT"/>
        </w:rPr>
        <w:t>conformità alle condizioni di licenza applicabili al Prodotto cui si riferiscono. Qualora i Fix non siano relativi a un Prodotto specifico, si applicheranno le condizioni per l’utilizzo fornite da Microsoft con i Fix. Nel caso non siano fornite condizioni per l’utilizzo, la Società avrà una licenza non esclusiva, perpetua e gratuita di utilizzare e riprodurre i Fix esclusivamente per uso interno. La Società non potrà modificare, cambiare il nome del file né combinare i Fix con altro codice per computer che non sia di Microsoft.</w:t>
      </w:r>
    </w:p>
    <w:p w:rsidR="00A92422" w:rsidRPr="00D87B79" w:rsidRDefault="00A92422" w:rsidP="00A92422">
      <w:pPr>
        <w:pStyle w:val="normal1"/>
        <w:rPr>
          <w:rFonts w:ascii="Tahoma" w:hAnsi="Tahoma" w:cs="Tahoma"/>
        </w:rPr>
      </w:pPr>
    </w:p>
    <w:p w:rsidR="00A92422" w:rsidRPr="00BD66EA" w:rsidRDefault="00A92422" w:rsidP="00A92422">
      <w:pPr>
        <w:pStyle w:val="normal1"/>
        <w:rPr>
          <w:rFonts w:ascii="Tahoma" w:hAnsi="Tahoma" w:cs="Tahoma"/>
          <w:sz w:val="18"/>
          <w:szCs w:val="18"/>
        </w:rPr>
      </w:pPr>
      <w:r w:rsidRPr="00BD66EA">
        <w:rPr>
          <w:rFonts w:ascii="Tahoma" w:hAnsi="Tahoma" w:cs="Tahoma"/>
          <w:b/>
          <w:color w:val="000000"/>
          <w:sz w:val="18"/>
          <w:szCs w:val="18"/>
          <w:lang w:val="it-IT"/>
        </w:rPr>
        <w:t>Lavoro Pre-esistente.</w:t>
      </w:r>
      <w:r w:rsidRPr="00BD66EA">
        <w:rPr>
          <w:rFonts w:ascii="Tahoma" w:hAnsi="Tahoma" w:cs="Tahoma"/>
          <w:color w:val="000000"/>
          <w:sz w:val="18"/>
          <w:szCs w:val="18"/>
          <w:lang w:val="it-IT"/>
        </w:rPr>
        <w:t xml:space="preserve"> Tutti i diritti riguardanti il codice per computer o qualsiasi altro materiale scritto non basato su codice sviluppato o altrimenti ottenuto da o per le parti o le relative Consociate e indipendente dal presente contratto (“Lavoro Pre-Esistente”) resteranno di esclusiva proprietà della parte che lo fornisce. Durante l’esecuzione dei Servizi, ciascuna parte concederà all’altra, e se necessario ai fornitori di Microsoft, una licenza temporanea e non</w:t>
      </w:r>
      <w:r>
        <w:rPr>
          <w:rFonts w:ascii="Tahoma" w:hAnsi="Tahoma" w:cs="Tahoma"/>
          <w:color w:val="000000"/>
          <w:sz w:val="18"/>
          <w:szCs w:val="18"/>
          <w:lang w:val="it-IT"/>
        </w:rPr>
        <w:t> </w:t>
      </w:r>
      <w:r w:rsidRPr="00BD66EA">
        <w:rPr>
          <w:rFonts w:ascii="Tahoma" w:hAnsi="Tahoma" w:cs="Tahoma"/>
          <w:color w:val="000000"/>
          <w:sz w:val="18"/>
          <w:szCs w:val="18"/>
          <w:lang w:val="it-IT"/>
        </w:rPr>
        <w:t>esclusiva di utilizzare, riprodurre e modificare qualsiasi Lavoro Pre-esistente fornito all’altra parte, al solo fine di</w:t>
      </w:r>
      <w:r>
        <w:rPr>
          <w:rFonts w:ascii="Tahoma" w:hAnsi="Tahoma" w:cs="Tahoma"/>
          <w:color w:val="000000"/>
          <w:sz w:val="18"/>
          <w:szCs w:val="18"/>
          <w:lang w:val="it-IT"/>
        </w:rPr>
        <w:t> </w:t>
      </w:r>
      <w:r w:rsidRPr="00BD66EA">
        <w:rPr>
          <w:rFonts w:ascii="Tahoma" w:hAnsi="Tahoma" w:cs="Tahoma"/>
          <w:color w:val="000000"/>
          <w:sz w:val="18"/>
          <w:szCs w:val="18"/>
          <w:lang w:val="it-IT"/>
        </w:rPr>
        <w:t>eseguire i Servizi.</w:t>
      </w:r>
    </w:p>
    <w:p w:rsidR="00A92422" w:rsidRPr="00D87B79" w:rsidRDefault="00A92422" w:rsidP="00A92422">
      <w:pPr>
        <w:pStyle w:val="normal1"/>
        <w:rPr>
          <w:rFonts w:ascii="Tahoma" w:hAnsi="Tahoma" w:cs="Tahoma"/>
        </w:rPr>
      </w:pPr>
      <w:r w:rsidRPr="00D87B79">
        <w:rPr>
          <w:rFonts w:ascii="Tahoma" w:hAnsi="Tahoma" w:cs="Tahoma"/>
          <w:color w:val="000000"/>
          <w:sz w:val="18"/>
          <w:szCs w:val="18"/>
          <w:lang w:val="it-IT"/>
        </w:rPr>
        <w:t>Fatto salvo quanto diversamente concordato per iscritto tra le parti, Microsoft, ricevuto l’intero corrispettivo, concede alla Società una licenza non esclusiva, perpetua e gratuita di utilizzare, riprodurre e modificare (se applicabile) il</w:t>
      </w:r>
      <w:r>
        <w:rPr>
          <w:rFonts w:ascii="Tahoma" w:hAnsi="Tahoma" w:cs="Tahoma"/>
          <w:color w:val="000000"/>
          <w:sz w:val="18"/>
          <w:szCs w:val="18"/>
          <w:lang w:val="it-IT"/>
        </w:rPr>
        <w:t> </w:t>
      </w:r>
      <w:r w:rsidRPr="00D87B79">
        <w:rPr>
          <w:rFonts w:ascii="Tahoma" w:hAnsi="Tahoma" w:cs="Tahoma"/>
          <w:color w:val="000000"/>
          <w:sz w:val="18"/>
          <w:szCs w:val="18"/>
          <w:lang w:val="it-IT"/>
        </w:rPr>
        <w:t>Lavoro Pre-esistente di Microsoft esclusivamente nella forma consegnata alla Società come parte del Materiale Fornito con i Servizi ed esclusivamente per l’attività interna della Società stessa.</w:t>
      </w:r>
      <w:r w:rsidRPr="00D87B79">
        <w:rPr>
          <w:rFonts w:ascii="Tahoma" w:hAnsi="Tahoma" w:cs="Tahoma"/>
        </w:rPr>
        <w:t xml:space="preserve"> </w:t>
      </w:r>
      <w:r w:rsidRPr="00D87B79">
        <w:rPr>
          <w:rFonts w:ascii="Tahoma" w:hAnsi="Tahoma" w:cs="Tahoma"/>
          <w:color w:val="000000"/>
          <w:sz w:val="18"/>
          <w:lang w:val="it-IT"/>
        </w:rPr>
        <w:t xml:space="preserve">La licenza riguardante il Lavoro </w:t>
      </w:r>
      <w:r>
        <w:rPr>
          <w:rFonts w:ascii="Tahoma" w:hAnsi="Tahoma" w:cs="Tahoma"/>
          <w:color w:val="000000"/>
          <w:sz w:val="18"/>
          <w:lang w:val="it-IT"/>
        </w:rPr>
        <w:br/>
      </w:r>
      <w:r w:rsidRPr="00D87B79">
        <w:rPr>
          <w:rFonts w:ascii="Tahoma" w:hAnsi="Tahoma" w:cs="Tahoma"/>
          <w:color w:val="000000"/>
          <w:sz w:val="18"/>
          <w:lang w:val="it-IT"/>
        </w:rPr>
        <w:t>Pre-esistente di Microsoft è subordinata al rispetto da parte della Società delle condizioni del presente contratto.</w:t>
      </w:r>
    </w:p>
    <w:p w:rsidR="00A92422" w:rsidRPr="00EF7F00" w:rsidRDefault="00A92422" w:rsidP="00A92422">
      <w:pPr>
        <w:pStyle w:val="normal1"/>
        <w:rPr>
          <w:rFonts w:ascii="Tahoma" w:hAnsi="Tahoma" w:cs="Tahoma"/>
          <w:sz w:val="18"/>
          <w:szCs w:val="18"/>
        </w:rPr>
      </w:pPr>
    </w:p>
    <w:p w:rsidR="00A92422" w:rsidRPr="00D87B79" w:rsidRDefault="00A92422" w:rsidP="00A92422">
      <w:pPr>
        <w:pStyle w:val="normal1"/>
        <w:rPr>
          <w:rFonts w:ascii="Tahoma" w:hAnsi="Tahoma" w:cs="Tahoma"/>
        </w:rPr>
      </w:pPr>
      <w:r w:rsidRPr="00D87B79">
        <w:rPr>
          <w:rFonts w:ascii="Tahoma" w:hAnsi="Tahoma" w:cs="Tahoma"/>
          <w:b/>
          <w:color w:val="000000"/>
          <w:sz w:val="18"/>
          <w:lang w:val="it-IT"/>
        </w:rPr>
        <w:t>Sviluppi.</w:t>
      </w:r>
      <w:r w:rsidRPr="00D87B79">
        <w:rPr>
          <w:rFonts w:ascii="Tahoma" w:hAnsi="Tahoma" w:cs="Tahoma"/>
          <w:color w:val="000000"/>
          <w:sz w:val="18"/>
          <w:lang w:val="it-IT"/>
        </w:rPr>
        <w:t xml:space="preserve"> Microsoft, ricevuto l’intero corrispettivo, concede alla Società la titolarità congiunta di qualsiasi codice per</w:t>
      </w:r>
      <w:r>
        <w:rPr>
          <w:rFonts w:ascii="Tahoma" w:hAnsi="Tahoma" w:cs="Tahoma"/>
          <w:color w:val="000000"/>
          <w:sz w:val="18"/>
          <w:lang w:val="it-IT"/>
        </w:rPr>
        <w:t> </w:t>
      </w:r>
      <w:r w:rsidRPr="00D87B79">
        <w:rPr>
          <w:rFonts w:ascii="Tahoma" w:hAnsi="Tahoma" w:cs="Tahoma"/>
          <w:color w:val="000000"/>
          <w:sz w:val="18"/>
          <w:lang w:val="it-IT"/>
        </w:rPr>
        <w:t>computer o materiale scritto non basato su codice (diverso da Prodotti, Fix o Lavoro Pre-esistente) sviluppato da</w:t>
      </w:r>
      <w:r>
        <w:rPr>
          <w:rFonts w:ascii="Tahoma" w:hAnsi="Tahoma" w:cs="Tahoma"/>
          <w:color w:val="000000"/>
          <w:sz w:val="18"/>
          <w:lang w:val="it-IT"/>
        </w:rPr>
        <w:t> </w:t>
      </w:r>
      <w:r w:rsidRPr="00D87B79">
        <w:rPr>
          <w:rFonts w:ascii="Tahoma" w:hAnsi="Tahoma" w:cs="Tahoma"/>
          <w:color w:val="000000"/>
          <w:sz w:val="18"/>
          <w:lang w:val="it-IT"/>
        </w:rPr>
        <w:t xml:space="preserve">Microsoft o in collaborazione con la Società e lasciato presso quest’ultima alla conclusione dei Servizi (“Sviluppi”). </w:t>
      </w:r>
      <w:r w:rsidRPr="00D87B79">
        <w:rPr>
          <w:rFonts w:ascii="Tahoma" w:hAnsi="Tahoma" w:cs="Tahoma"/>
          <w:color w:val="000000"/>
          <w:sz w:val="18"/>
          <w:lang w:val="it-IT"/>
        </w:rPr>
        <w:lastRenderedPageBreak/>
        <w:t>Ciascuna parte sarà l’unica titolare dei diritti attinenti alle modifiche effettuate in base agli sviluppi. La Società accetta</w:t>
      </w:r>
      <w:r>
        <w:rPr>
          <w:rFonts w:ascii="Tahoma" w:hAnsi="Tahoma" w:cs="Tahoma"/>
          <w:color w:val="000000"/>
          <w:sz w:val="18"/>
          <w:lang w:val="it-IT"/>
        </w:rPr>
        <w:t> </w:t>
      </w:r>
      <w:r w:rsidRPr="00D87B79">
        <w:rPr>
          <w:rFonts w:ascii="Tahoma" w:hAnsi="Tahoma" w:cs="Tahoma"/>
          <w:color w:val="000000"/>
          <w:sz w:val="18"/>
          <w:lang w:val="it-IT"/>
        </w:rPr>
        <w:t>di esercitare i propri diritti in relazione a qualsiasi Sviluppo esclusivamente per le proprie attività interne e</w:t>
      </w:r>
      <w:r>
        <w:rPr>
          <w:rFonts w:ascii="Tahoma" w:hAnsi="Tahoma" w:cs="Tahoma"/>
          <w:color w:val="000000"/>
          <w:sz w:val="18"/>
          <w:lang w:val="it-IT"/>
        </w:rPr>
        <w:t> </w:t>
      </w:r>
      <w:r w:rsidRPr="00D87B79">
        <w:rPr>
          <w:rFonts w:ascii="Tahoma" w:hAnsi="Tahoma" w:cs="Tahoma"/>
          <w:color w:val="000000"/>
          <w:sz w:val="18"/>
          <w:lang w:val="it-IT"/>
        </w:rPr>
        <w:t>di</w:t>
      </w:r>
      <w:r>
        <w:rPr>
          <w:rFonts w:ascii="Tahoma" w:hAnsi="Tahoma" w:cs="Tahoma"/>
          <w:color w:val="000000"/>
          <w:sz w:val="18"/>
          <w:lang w:val="it-IT"/>
        </w:rPr>
        <w:t> </w:t>
      </w:r>
      <w:r w:rsidRPr="00D87B79">
        <w:rPr>
          <w:rFonts w:ascii="Tahoma" w:hAnsi="Tahoma" w:cs="Tahoma"/>
          <w:color w:val="000000"/>
          <w:sz w:val="18"/>
          <w:lang w:val="it-IT"/>
        </w:rPr>
        <w:t>non rivendere né distribuire gli Sviluppi a terze parti.</w:t>
      </w:r>
    </w:p>
    <w:p w:rsidR="00A92422" w:rsidRPr="0056355B" w:rsidRDefault="00A92422" w:rsidP="00A92422">
      <w:pPr>
        <w:pStyle w:val="normal1"/>
        <w:rPr>
          <w:rFonts w:ascii="Tahoma" w:hAnsi="Tahoma" w:cs="Tahoma"/>
          <w:sz w:val="18"/>
          <w:szCs w:val="18"/>
        </w:rPr>
      </w:pPr>
    </w:p>
    <w:p w:rsidR="00A92422" w:rsidRPr="00D87B79" w:rsidRDefault="00A92422" w:rsidP="00A92422">
      <w:pPr>
        <w:rPr>
          <w:rFonts w:cs="Tahoma"/>
        </w:rPr>
      </w:pPr>
      <w:r w:rsidRPr="00D87B79">
        <w:rPr>
          <w:rFonts w:eastAsia="Times New Roman" w:cs="Tahoma"/>
          <w:b/>
          <w:bCs/>
          <w:color w:val="000000"/>
          <w:szCs w:val="18"/>
          <w:lang w:val="it-IT"/>
        </w:rPr>
        <w:t>Materiale.</w:t>
      </w:r>
      <w:r w:rsidRPr="00D87B79">
        <w:rPr>
          <w:rFonts w:cs="Tahoma"/>
        </w:rPr>
        <w:t xml:space="preserve"> </w:t>
      </w:r>
      <w:r w:rsidRPr="00D87B79">
        <w:rPr>
          <w:rFonts w:cs="Tahoma"/>
          <w:color w:val="000000"/>
          <w:lang w:val="it-IT"/>
        </w:rPr>
        <w:t>Tutti i diritti relativi a qualsiasi materiale sviluppato da Microsoft, diverso dal codice di software, e fornito alla società al fine di erogare il Supporto per Windows Azure e il Supporto Professionale (“Materiale”) saranno di proprietà esclusiva di Microsoft, fatta eccezione per i casi in cui il suddetto Materiale costituisca il Lavoro Preesistente della società.</w:t>
      </w:r>
      <w:r w:rsidRPr="00D87B79">
        <w:rPr>
          <w:rFonts w:cs="Tahoma"/>
        </w:rPr>
        <w:t xml:space="preserve"> </w:t>
      </w:r>
      <w:r w:rsidRPr="00D87B79">
        <w:rPr>
          <w:rFonts w:cs="Tahoma"/>
          <w:color w:val="000000"/>
          <w:lang w:val="it-IT"/>
        </w:rPr>
        <w:t>Microsoft concede alle società una licenza non esclusiva, perpetua, gratuita di utilizzo, riproduzione e</w:t>
      </w:r>
      <w:r>
        <w:rPr>
          <w:rFonts w:cs="Tahoma"/>
          <w:color w:val="000000"/>
          <w:lang w:val="it-IT"/>
        </w:rPr>
        <w:t> </w:t>
      </w:r>
      <w:r w:rsidRPr="00D87B79">
        <w:rPr>
          <w:rFonts w:cs="Tahoma"/>
          <w:color w:val="000000"/>
          <w:lang w:val="it-IT"/>
        </w:rPr>
        <w:t>modifica del Materiale esclusivamente per le loro attività interne e senza alcuna obbligazione di contabilizzazione o</w:t>
      </w:r>
      <w:r>
        <w:rPr>
          <w:rFonts w:cs="Tahoma"/>
          <w:color w:val="000000"/>
          <w:lang w:val="it-IT"/>
        </w:rPr>
        <w:t> </w:t>
      </w:r>
      <w:r w:rsidRPr="00D87B79">
        <w:rPr>
          <w:rFonts w:cs="Tahoma"/>
          <w:color w:val="000000"/>
          <w:lang w:val="it-IT"/>
        </w:rPr>
        <w:t>pagamento di royalty.</w:t>
      </w:r>
      <w:r w:rsidRPr="00D87B79">
        <w:rPr>
          <w:rFonts w:cs="Tahoma"/>
        </w:rPr>
        <w:t xml:space="preserve"> </w:t>
      </w:r>
      <w:r w:rsidRPr="00D87B79">
        <w:rPr>
          <w:rFonts w:cs="Tahoma"/>
          <w:color w:val="000000"/>
          <w:lang w:val="it-IT"/>
        </w:rPr>
        <w:t>Le società potranno concedere in sublicenza alle proprie Consociate i diritti concessi nel</w:t>
      </w:r>
      <w:r>
        <w:rPr>
          <w:rFonts w:cs="Tahoma"/>
          <w:color w:val="000000"/>
          <w:lang w:val="it-IT"/>
        </w:rPr>
        <w:t> </w:t>
      </w:r>
      <w:r w:rsidRPr="00D87B79">
        <w:rPr>
          <w:rFonts w:cs="Tahoma"/>
          <w:color w:val="000000"/>
          <w:lang w:val="it-IT"/>
        </w:rPr>
        <w:t>presente documento.</w:t>
      </w:r>
      <w:r w:rsidRPr="00D87B79">
        <w:rPr>
          <w:rFonts w:cs="Tahoma"/>
        </w:rPr>
        <w:t xml:space="preserve"> </w:t>
      </w:r>
      <w:r w:rsidRPr="00D87B79">
        <w:rPr>
          <w:rFonts w:cs="Tahoma"/>
          <w:color w:val="000000"/>
          <w:lang w:val="it-IT"/>
        </w:rPr>
        <w:t>Tutti i diritti non espressamente concessi sono riservati.</w:t>
      </w:r>
    </w:p>
    <w:p w:rsidR="00A92422" w:rsidRPr="00D87B79" w:rsidRDefault="00A92422" w:rsidP="00A92422">
      <w:pPr>
        <w:rPr>
          <w:rFonts w:cs="Tahoma"/>
        </w:rPr>
      </w:pPr>
    </w:p>
    <w:p w:rsidR="00A92422" w:rsidRPr="00D87B79" w:rsidRDefault="00A92422" w:rsidP="00A92422">
      <w:pPr>
        <w:rPr>
          <w:rFonts w:cs="Tahoma"/>
        </w:rPr>
      </w:pPr>
      <w:r w:rsidRPr="00D87B79">
        <w:rPr>
          <w:rFonts w:eastAsia="Times New Roman" w:cs="Tahoma"/>
          <w:b/>
          <w:bCs/>
          <w:color w:val="000000"/>
          <w:szCs w:val="18"/>
          <w:lang w:val="it-IT"/>
        </w:rPr>
        <w:t>Codice Campione.</w:t>
      </w:r>
      <w:r w:rsidRPr="00D87B79">
        <w:rPr>
          <w:rFonts w:cs="Tahoma"/>
        </w:rPr>
        <w:t xml:space="preserve"> </w:t>
      </w:r>
      <w:r w:rsidRPr="00D87B79">
        <w:rPr>
          <w:rFonts w:cs="Tahoma"/>
          <w:color w:val="000000"/>
          <w:lang w:val="it-IT"/>
        </w:rPr>
        <w:t>Microsoft concede alle società un diritto non esclusivo, perpetuo e gratuito di utilizzare e</w:t>
      </w:r>
      <w:r>
        <w:rPr>
          <w:rFonts w:cs="Tahoma"/>
          <w:color w:val="000000"/>
          <w:lang w:val="it-IT"/>
        </w:rPr>
        <w:t> </w:t>
      </w:r>
      <w:r w:rsidRPr="00D87B79">
        <w:rPr>
          <w:rFonts w:cs="Tahoma"/>
          <w:color w:val="000000"/>
          <w:lang w:val="it-IT"/>
        </w:rPr>
        <w:t>modificare qualsiasi codice di software (“Codice Campione”) fornito da Microsoft allo scopo di illustrare e di riprodurre e distribuire il formato in codice oggetto del Codice Campione, a condizione che le società accettino di:</w:t>
      </w:r>
      <w:r w:rsidRPr="00D87B79">
        <w:rPr>
          <w:rFonts w:eastAsia="Times New Roman" w:cs="Tahoma"/>
          <w:bCs/>
          <w:color w:val="000000"/>
          <w:szCs w:val="18"/>
        </w:rPr>
        <w:t xml:space="preserve"> </w:t>
      </w:r>
      <w:r w:rsidRPr="00D87B79">
        <w:rPr>
          <w:rFonts w:cs="Tahoma"/>
          <w:color w:val="000000"/>
          <w:lang w:val="it-IT"/>
        </w:rPr>
        <w:t>(i) astenersi dall’utilizzare il nome, il logo o i marchi Microsoft per commercializzare il proprio prodotto software nel quale è incorporato il Codice Campione, (ii) includere valide informazioni sul copyright nel proprio prodotto software nel quale è incorporato il Codice Campione e (iii) indennizzare, manlevare e difendere Microsoft e i suoi fornitori da</w:t>
      </w:r>
      <w:r>
        <w:rPr>
          <w:rFonts w:cs="Tahoma"/>
          <w:color w:val="000000"/>
          <w:lang w:val="it-IT"/>
        </w:rPr>
        <w:t> </w:t>
      </w:r>
      <w:r w:rsidRPr="00D87B79">
        <w:rPr>
          <w:rFonts w:cs="Tahoma"/>
          <w:color w:val="000000"/>
          <w:lang w:val="it-IT"/>
        </w:rPr>
        <w:t>ogni e qualsiasi reclamo o azione giudiziaria, ivi incluse le spese legali che derivino o risultino dall’utilizzo o dalla distribuzione del Codice Campione.</w:t>
      </w:r>
      <w:r w:rsidRPr="00D87B79">
        <w:rPr>
          <w:rFonts w:cs="Tahoma"/>
        </w:rPr>
        <w:t xml:space="preserve"> </w:t>
      </w:r>
    </w:p>
    <w:p w:rsidR="00A92422" w:rsidRPr="00D87B79" w:rsidRDefault="00A92422" w:rsidP="00A92422">
      <w:pPr>
        <w:rPr>
          <w:rFonts w:cs="Tahoma"/>
        </w:rPr>
      </w:pPr>
    </w:p>
    <w:p w:rsidR="00A92422" w:rsidRPr="00D87B79" w:rsidRDefault="00A92422" w:rsidP="00A92422">
      <w:pPr>
        <w:pStyle w:val="normal1"/>
        <w:rPr>
          <w:rFonts w:ascii="Tahoma" w:hAnsi="Tahoma" w:cs="Tahoma"/>
        </w:rPr>
      </w:pPr>
      <w:r w:rsidRPr="00D87B79">
        <w:rPr>
          <w:rFonts w:ascii="Tahoma" w:hAnsi="Tahoma" w:cs="Tahoma"/>
          <w:b/>
          <w:color w:val="000000"/>
          <w:sz w:val="18"/>
          <w:lang w:val="it-IT"/>
        </w:rPr>
        <w:t>Restrizioni di Licenza Open Source.</w:t>
      </w:r>
      <w:r w:rsidRPr="00D87B79">
        <w:rPr>
          <w:rFonts w:ascii="Tahoma" w:hAnsi="Tahoma" w:cs="Tahoma"/>
          <w:color w:val="000000"/>
          <w:sz w:val="18"/>
          <w:lang w:val="it-IT"/>
        </w:rPr>
        <w:t xml:space="preserve"> Poiché alcune condizioni di licenza di terzi richiedono che il codice per computer sia a livello generale (i) divulgato a terzi nel formato in codice sorgente, (ii) concesso in licenza a terzi allo scopo di creare lavori derivati oppure (iii) ridistribuibile gratuitamente a terzi (collettivamente, “Condizioni di Licenza Open Source”), i diritti di licenza concessi da ciascuna parte relativamente a qualsiasi codice per computer, o a qualsiasi proprietà intellettuale ad esso associata, non comprendono alcuna licenza, diritto o potere di incorporare, modificare, associare e/o distribuire tale codice per computer con qualsiasi altro codice per computer in modo tale da</w:t>
      </w:r>
      <w:r>
        <w:rPr>
          <w:rFonts w:ascii="Tahoma" w:hAnsi="Tahoma" w:cs="Tahoma"/>
          <w:color w:val="000000"/>
          <w:sz w:val="18"/>
          <w:lang w:val="it-IT"/>
        </w:rPr>
        <w:t> </w:t>
      </w:r>
      <w:r w:rsidRPr="00D87B79">
        <w:rPr>
          <w:rFonts w:ascii="Tahoma" w:hAnsi="Tahoma" w:cs="Tahoma"/>
          <w:color w:val="000000"/>
          <w:sz w:val="18"/>
          <w:lang w:val="it-IT"/>
        </w:rPr>
        <w:t>assoggettare il codice per computer dell’altra parte a Condizioni di Licenza Open Source. Inoltre, ciascuna parte garantisce che non fornirà né metterà a disposizione dell’altra parte codice per computer che sia disciplinato da</w:t>
      </w:r>
      <w:r>
        <w:rPr>
          <w:rFonts w:ascii="Tahoma" w:hAnsi="Tahoma" w:cs="Tahoma"/>
          <w:color w:val="000000"/>
          <w:sz w:val="18"/>
          <w:lang w:val="it-IT"/>
        </w:rPr>
        <w:t> </w:t>
      </w:r>
      <w:r w:rsidRPr="00D87B79">
        <w:rPr>
          <w:rFonts w:ascii="Tahoma" w:hAnsi="Tahoma" w:cs="Tahoma"/>
          <w:color w:val="000000"/>
          <w:sz w:val="18"/>
          <w:lang w:val="it-IT"/>
        </w:rPr>
        <w:t>Condizioni di Licenza Open Source.</w:t>
      </w:r>
    </w:p>
    <w:p w:rsidR="00A92422" w:rsidRPr="008C46A9" w:rsidRDefault="00A92422" w:rsidP="00A92422">
      <w:pPr>
        <w:pStyle w:val="normal1"/>
        <w:rPr>
          <w:rFonts w:ascii="Tahoma" w:hAnsi="Tahoma" w:cs="Tahoma"/>
          <w:sz w:val="18"/>
          <w:szCs w:val="18"/>
        </w:rPr>
      </w:pPr>
    </w:p>
    <w:p w:rsidR="00A92422" w:rsidRPr="00D87B79" w:rsidRDefault="00A92422" w:rsidP="00A92422">
      <w:pPr>
        <w:pStyle w:val="normal1"/>
        <w:rPr>
          <w:rFonts w:ascii="Tahoma" w:hAnsi="Tahoma" w:cs="Tahoma"/>
        </w:rPr>
      </w:pPr>
      <w:r w:rsidRPr="00D87B79">
        <w:rPr>
          <w:rFonts w:ascii="Tahoma" w:hAnsi="Tahoma" w:cs="Tahoma"/>
          <w:b/>
          <w:color w:val="000000"/>
          <w:sz w:val="18"/>
          <w:lang w:val="it-IT"/>
        </w:rPr>
        <w:t xml:space="preserve">Diritti delle Consociate. </w:t>
      </w:r>
      <w:r w:rsidRPr="00D87B79">
        <w:rPr>
          <w:rFonts w:ascii="Tahoma" w:hAnsi="Tahoma" w:cs="Tahoma"/>
          <w:color w:val="000000"/>
          <w:sz w:val="18"/>
          <w:lang w:val="it-IT"/>
        </w:rPr>
        <w:t>La Società può concedere in sublicenza alle proprie Consociate i diritti contenuti nel</w:t>
      </w:r>
      <w:r>
        <w:rPr>
          <w:rFonts w:ascii="Tahoma" w:hAnsi="Tahoma" w:cs="Tahoma"/>
          <w:color w:val="000000"/>
          <w:sz w:val="18"/>
          <w:lang w:val="it-IT"/>
        </w:rPr>
        <w:t> </w:t>
      </w:r>
      <w:r w:rsidRPr="00D87B79">
        <w:rPr>
          <w:rFonts w:ascii="Tahoma" w:hAnsi="Tahoma" w:cs="Tahoma"/>
          <w:color w:val="000000"/>
          <w:sz w:val="18"/>
          <w:lang w:val="it-IT"/>
        </w:rPr>
        <w:t>presente sottoparagrafo relativi al Materiale Fornito con i Servizi. Tali Consociate, tuttavia, non potranno ulteriormente concedere in sublicenza tali diritti e il loro utilizzo dovrà essere conforme alle condizioni di licenza previste nel presente contratto.</w:t>
      </w:r>
    </w:p>
    <w:p w:rsidR="00A92422" w:rsidRPr="00EC75EC" w:rsidRDefault="00A92422" w:rsidP="00A92422">
      <w:pPr>
        <w:pStyle w:val="normal1"/>
        <w:rPr>
          <w:rFonts w:ascii="Tahoma" w:hAnsi="Tahoma" w:cs="Tahoma"/>
          <w:sz w:val="18"/>
          <w:szCs w:val="18"/>
        </w:rPr>
      </w:pPr>
    </w:p>
    <w:p w:rsidR="00A92422" w:rsidRPr="00D87B79" w:rsidRDefault="00A92422" w:rsidP="00A92422">
      <w:pPr>
        <w:rPr>
          <w:rFonts w:cs="Tahoma"/>
        </w:rPr>
      </w:pPr>
      <w:r w:rsidRPr="00D87B79">
        <w:rPr>
          <w:rFonts w:cs="Tahoma"/>
          <w:b/>
          <w:color w:val="000000"/>
          <w:lang w:val="it-IT"/>
        </w:rPr>
        <w:t>Riserva di Diritti.</w:t>
      </w:r>
      <w:r w:rsidRPr="00D87B79">
        <w:rPr>
          <w:rFonts w:cs="Tahoma"/>
          <w:color w:val="000000"/>
          <w:lang w:val="it-IT"/>
        </w:rPr>
        <w:t xml:space="preserve"> Tutti i diritti non espressamente concessi sono riservati.</w:t>
      </w:r>
    </w:p>
    <w:p w:rsidR="00A92422" w:rsidRPr="00D87B79" w:rsidRDefault="00A92422" w:rsidP="00A92422">
      <w:pPr>
        <w:rPr>
          <w:rFonts w:cs="Tahoma"/>
        </w:rPr>
      </w:pPr>
    </w:p>
    <w:p w:rsidR="00A92422" w:rsidRPr="00D87B79" w:rsidRDefault="00A92422" w:rsidP="00A92422">
      <w:pPr>
        <w:rPr>
          <w:rFonts w:cs="Tahoma"/>
        </w:rPr>
      </w:pPr>
      <w:r w:rsidRPr="00D87B79">
        <w:rPr>
          <w:rFonts w:cs="Tahoma"/>
          <w:b/>
          <w:lang w:val="it-IT"/>
        </w:rPr>
        <w:t>Garanzie, Dichiarazioni di non Responsabilità e Limitazioni di Responsabilità</w:t>
      </w:r>
      <w:r w:rsidRPr="00D87B79">
        <w:rPr>
          <w:rFonts w:cs="Tahoma"/>
          <w:color w:val="000000"/>
          <w:lang w:val="it-IT"/>
        </w:rPr>
        <w:t>.</w:t>
      </w:r>
    </w:p>
    <w:p w:rsidR="00A92422" w:rsidRPr="00D87B79" w:rsidRDefault="00A92422" w:rsidP="00A92422">
      <w:pPr>
        <w:rPr>
          <w:rFonts w:cs="Tahoma"/>
        </w:rPr>
      </w:pPr>
    </w:p>
    <w:p w:rsidR="00A92422" w:rsidRPr="00D87B79" w:rsidRDefault="00A92422" w:rsidP="00A92422">
      <w:pPr>
        <w:ind w:left="360"/>
        <w:rPr>
          <w:rFonts w:cs="Tahoma"/>
        </w:rPr>
      </w:pPr>
      <w:r w:rsidRPr="00CD67B4">
        <w:rPr>
          <w:rFonts w:cs="Tahoma"/>
          <w:b/>
          <w:color w:val="000000"/>
          <w:lang w:val="it-IT"/>
        </w:rPr>
        <w:t>Garanzia per i Servizi.</w:t>
      </w:r>
      <w:r w:rsidRPr="00D87B79">
        <w:rPr>
          <w:rFonts w:cs="Tahoma"/>
        </w:rPr>
        <w:t xml:space="preserve"> </w:t>
      </w:r>
      <w:r w:rsidRPr="00D87B79">
        <w:rPr>
          <w:rFonts w:cs="Tahoma"/>
          <w:color w:val="000000"/>
          <w:lang w:val="it-IT"/>
        </w:rPr>
        <w:t>Microsoft garantisce che tutti i Servizi verranno eseguiti con cura e</w:t>
      </w:r>
      <w:r>
        <w:rPr>
          <w:rFonts w:cs="Tahoma"/>
          <w:color w:val="000000"/>
          <w:lang w:val="it-IT"/>
        </w:rPr>
        <w:t> </w:t>
      </w:r>
      <w:r w:rsidRPr="00D87B79">
        <w:rPr>
          <w:rFonts w:cs="Tahoma"/>
          <w:color w:val="000000"/>
          <w:lang w:val="it-IT"/>
        </w:rPr>
        <w:t>competenza</w:t>
      </w:r>
      <w:r>
        <w:rPr>
          <w:rFonts w:cs="Tahoma"/>
          <w:color w:val="000000"/>
          <w:lang w:val="it-IT"/>
        </w:rPr>
        <w:t> </w:t>
      </w:r>
      <w:r w:rsidRPr="00D87B79">
        <w:rPr>
          <w:rFonts w:cs="Tahoma"/>
          <w:color w:val="000000"/>
          <w:lang w:val="it-IT"/>
        </w:rPr>
        <w:t>professionali.</w:t>
      </w:r>
    </w:p>
    <w:p w:rsidR="00A92422" w:rsidRPr="00D87B79" w:rsidRDefault="00A92422" w:rsidP="00A92422">
      <w:pPr>
        <w:ind w:left="360"/>
        <w:rPr>
          <w:rFonts w:cs="Tahoma"/>
        </w:rPr>
      </w:pPr>
    </w:p>
    <w:p w:rsidR="00A92422" w:rsidRPr="00D87B79" w:rsidRDefault="00A92422" w:rsidP="00A92422">
      <w:pPr>
        <w:ind w:left="360"/>
        <w:rPr>
          <w:rFonts w:cs="Tahoma"/>
        </w:rPr>
      </w:pPr>
      <w:r w:rsidRPr="00D87B79">
        <w:rPr>
          <w:rFonts w:cs="Tahoma"/>
          <w:b/>
          <w:lang w:val="it-IT"/>
        </w:rPr>
        <w:t>ESCLUSIONE DI ALTRE GARANZIE.</w:t>
      </w:r>
      <w:r w:rsidRPr="00D87B79">
        <w:rPr>
          <w:rFonts w:cs="Tahoma"/>
        </w:rPr>
        <w:t xml:space="preserve"> </w:t>
      </w:r>
      <w:r w:rsidRPr="00D87B79">
        <w:rPr>
          <w:rFonts w:cs="Tahoma"/>
          <w:lang w:val="it-IT"/>
        </w:rPr>
        <w:t>NELLA MISURA MASSIMA CONSENTITA DALLA LEGGE APPLICABILE, MICROSOFT NON RICONOSCE ED ESCLUDE TUTTE LE DICHIARAZIONI, LE GARANZIE E LE CONDIZIONI ESPRESSE, IMPLICITE O DI LEGGE DIVERSE DA QUELLE SPECIFICATAMENTE INDICATE NEL PRESENTE CONTRATTO.</w:t>
      </w:r>
      <w:r w:rsidRPr="00D87B79">
        <w:rPr>
          <w:rFonts w:cs="Tahoma"/>
        </w:rPr>
        <w:t xml:space="preserve"> </w:t>
      </w:r>
      <w:r w:rsidRPr="00D87B79">
        <w:rPr>
          <w:rFonts w:cs="Tahoma"/>
          <w:lang w:val="it-IT"/>
        </w:rPr>
        <w:t>LA PRESENTE DICHIARAZIONE DI NON RESPONSABILITÀ INCLUDE QUALSIASI GARANZIA O</w:t>
      </w:r>
      <w:r>
        <w:rPr>
          <w:rFonts w:cs="Tahoma"/>
          <w:lang w:val="it-IT"/>
        </w:rPr>
        <w:t> </w:t>
      </w:r>
      <w:r w:rsidRPr="00D87B79">
        <w:rPr>
          <w:rFonts w:cs="Tahoma"/>
          <w:lang w:val="it-IT"/>
        </w:rPr>
        <w:t>CONDIZIONE DI TITOLARITÀ, DI NON VIOLAZIONE DI DIRITTI ALTRUI, DI QUALITÀ O RISULTATI SODDISFACENTI, DI COMMERCIABILITÀ (QUALITÀ NON INFERIORE ALLA MEDIA) E DI ADEGUATEZZA PER UNO SCOPO SPECIFICO, RELATIVAMENTE A CONSULENZA, RACCOMANDAZIONI, FIX, MATERIALE FORNITO CON I SERVIZI E MATERIALE CORRELATO FORNITO DA MICROSOFT E DA CONSOCIATE, FORNITORI E APPALTATORI MICROSOFT DURANTE L’EROGAZIONE DEI SERVIZI.</w:t>
      </w:r>
      <w:r w:rsidRPr="00D87B79">
        <w:rPr>
          <w:rFonts w:cs="Tahoma"/>
        </w:rPr>
        <w:t xml:space="preserve"> </w:t>
      </w:r>
    </w:p>
    <w:p w:rsidR="00A92422" w:rsidRPr="00D87B79" w:rsidRDefault="00A92422" w:rsidP="00A92422">
      <w:pPr>
        <w:ind w:left="360"/>
        <w:rPr>
          <w:rFonts w:cs="Tahoma"/>
        </w:rPr>
      </w:pPr>
    </w:p>
    <w:p w:rsidR="00A92422" w:rsidRPr="00D87B79" w:rsidRDefault="00A92422" w:rsidP="00A92422">
      <w:pPr>
        <w:ind w:left="360"/>
        <w:rPr>
          <w:rFonts w:cs="Tahoma"/>
        </w:rPr>
      </w:pPr>
      <w:r w:rsidRPr="00CD67B4">
        <w:rPr>
          <w:rFonts w:cs="Tahoma"/>
          <w:b/>
          <w:lang w:val="it-IT"/>
        </w:rPr>
        <w:t>Limitazione di Responsabilità.</w:t>
      </w:r>
      <w:r w:rsidRPr="00D87B79">
        <w:rPr>
          <w:rFonts w:cs="Tahoma"/>
        </w:rPr>
        <w:t xml:space="preserve"> </w:t>
      </w:r>
      <w:r w:rsidRPr="00D87B79">
        <w:rPr>
          <w:rFonts w:cs="Tahoma"/>
          <w:lang w:val="it-IT"/>
        </w:rPr>
        <w:t>La responsabilità complessiva di Microsoft per i danni diretti sarà limitata alla misura massima consentita dalla legge applicabile agli importi versati dalla Società per il pagamento dei Servizi che hanno dato origine al reclamo nei 12 mesi precedenti al reclamo.</w:t>
      </w:r>
      <w:r w:rsidRPr="00D87B79">
        <w:rPr>
          <w:rFonts w:cs="Tahoma"/>
        </w:rPr>
        <w:t xml:space="preserve"> </w:t>
      </w:r>
    </w:p>
    <w:p w:rsidR="00A92422" w:rsidRPr="00D87B79" w:rsidRDefault="00A92422" w:rsidP="00A92422">
      <w:pPr>
        <w:ind w:left="360"/>
        <w:rPr>
          <w:rFonts w:cs="Tahoma"/>
        </w:rPr>
      </w:pPr>
    </w:p>
    <w:p w:rsidR="00A92422" w:rsidRPr="00D87B79" w:rsidRDefault="00A92422" w:rsidP="00A92422">
      <w:pPr>
        <w:ind w:left="360"/>
        <w:rPr>
          <w:rFonts w:cs="Tahoma"/>
        </w:rPr>
      </w:pPr>
      <w:r w:rsidRPr="00CD67B4">
        <w:rPr>
          <w:rFonts w:cs="Tahoma"/>
          <w:b/>
          <w:lang w:val="it-IT"/>
        </w:rPr>
        <w:t>ESCLUSIONE DI RESPONSABILITÀ PER DANNI PARTICOLARI.</w:t>
      </w:r>
      <w:r w:rsidRPr="00D87B79">
        <w:rPr>
          <w:rFonts w:cs="Tahoma"/>
        </w:rPr>
        <w:t xml:space="preserve"> </w:t>
      </w:r>
      <w:r w:rsidRPr="00D87B79">
        <w:rPr>
          <w:rFonts w:cs="Tahoma"/>
          <w:lang w:val="it-IT"/>
        </w:rPr>
        <w:t>NELLA MISURA MASSIMA CONSENTITA DALLA</w:t>
      </w:r>
      <w:r>
        <w:rPr>
          <w:rFonts w:cs="Tahoma"/>
          <w:lang w:val="it-IT"/>
        </w:rPr>
        <w:t> </w:t>
      </w:r>
      <w:r w:rsidRPr="00D87B79">
        <w:rPr>
          <w:rFonts w:cs="Tahoma"/>
          <w:lang w:val="it-IT"/>
        </w:rPr>
        <w:t xml:space="preserve">LEGGE APPLICABILE, NESSUNA DELLE PARTI NÉ DELLE RELATIVE CONSOCIATE O DEI RELATIVI </w:t>
      </w:r>
      <w:r w:rsidRPr="00D87B79">
        <w:rPr>
          <w:rFonts w:cs="Tahoma"/>
          <w:lang w:val="it-IT"/>
        </w:rPr>
        <w:lastRenderedPageBreak/>
        <w:t>FORNITORI O</w:t>
      </w:r>
      <w:r>
        <w:rPr>
          <w:rFonts w:cs="Tahoma"/>
          <w:lang w:val="it-IT"/>
        </w:rPr>
        <w:t> </w:t>
      </w:r>
      <w:r w:rsidRPr="00D87B79">
        <w:rPr>
          <w:rFonts w:cs="Tahoma"/>
          <w:lang w:val="it-IT"/>
        </w:rPr>
        <w:t>APPALTATORI SARÀ RESPONSABILE DI EVENTUALI DANNI INDIRETTI (INCLUSI, A TITOLO ESEMPLIFICATIVO, DANNI CONSEQUENZIALI, SPECIALI O INCIDENTALI, DANNI PER PERDITA O MANCATO GUADAGNO, INTERRUZIONE DELL’ATTIVITÀ O PERDITA DI INFORMAZIONI) CORRELATI AL PRESENTE CONTRATTO, ANCHE NEL CASO IN CUI LA POSSIBILITÀ DEL VERIFICARSI DI TALI DANNI FOSSE STATA COMUNICATA O FOSSE RAGIONEVOLMENTE PREVEDIBILE.</w:t>
      </w:r>
      <w:r w:rsidRPr="00D87B79">
        <w:rPr>
          <w:rFonts w:cs="Tahoma"/>
        </w:rPr>
        <w:t xml:space="preserve"> </w:t>
      </w:r>
      <w:r w:rsidRPr="00D87B79">
        <w:rPr>
          <w:rFonts w:cs="Tahoma"/>
          <w:lang w:val="it-IT"/>
        </w:rPr>
        <w:t>LA PRESENTE ESCLUSIONE DI RESPONSABILITÀ NON SI APPLICA ALLA RESPONSABILITÀ DI CIASCUNA DELLE PARTI NEI CONFRONTI DELL’ALTRA PER LA</w:t>
      </w:r>
      <w:r>
        <w:rPr>
          <w:rFonts w:cs="Tahoma"/>
          <w:lang w:val="it-IT"/>
        </w:rPr>
        <w:t> </w:t>
      </w:r>
      <w:r w:rsidRPr="00D87B79">
        <w:rPr>
          <w:rFonts w:cs="Tahoma"/>
          <w:lang w:val="it-IT"/>
        </w:rPr>
        <w:t>VIOLAZIONE DI OBBLIGHI DI RISERVATEZZA O PER LA VIOLAZIONE DEI DIRITTI DI PROPRIETÀ INTELLETTUALE DELL’ALTRA PARTE.</w:t>
      </w:r>
    </w:p>
    <w:p w:rsidR="00A92422" w:rsidRPr="00D87B79" w:rsidRDefault="00A92422" w:rsidP="00A92422">
      <w:pPr>
        <w:ind w:left="360" w:hanging="360"/>
        <w:jc w:val="both"/>
        <w:rPr>
          <w:rFonts w:cs="Tahoma"/>
        </w:rPr>
      </w:pPr>
    </w:p>
    <w:p w:rsidR="00A92422" w:rsidRPr="00D87B79" w:rsidRDefault="00A92422" w:rsidP="00A92422">
      <w:pPr>
        <w:ind w:left="360"/>
        <w:rPr>
          <w:rFonts w:cs="Tahoma"/>
        </w:rPr>
      </w:pPr>
      <w:r w:rsidRPr="00CD67B4">
        <w:rPr>
          <w:rFonts w:cs="Tahoma"/>
          <w:b/>
          <w:lang w:val="it-IT"/>
        </w:rPr>
        <w:t>Applicazione.</w:t>
      </w:r>
      <w:r w:rsidRPr="00D87B79">
        <w:rPr>
          <w:rFonts w:cs="Tahoma"/>
        </w:rPr>
        <w:t xml:space="preserve"> </w:t>
      </w:r>
      <w:r w:rsidRPr="00D87B79">
        <w:rPr>
          <w:rFonts w:cs="Tahoma"/>
          <w:lang w:val="it-IT"/>
        </w:rPr>
        <w:t>Fatto salvo quanto espressamente indicato nel presente documento, le limitazioni e le esclusioni di</w:t>
      </w:r>
      <w:r>
        <w:rPr>
          <w:rFonts w:cs="Tahoma"/>
          <w:lang w:val="it-IT"/>
        </w:rPr>
        <w:t> </w:t>
      </w:r>
      <w:r w:rsidRPr="00D87B79">
        <w:rPr>
          <w:rFonts w:cs="Tahoma"/>
          <w:lang w:val="it-IT"/>
        </w:rPr>
        <w:t>responsabilità per danni, contenute nel presente contratto, sono comunque applicabili qualunque sia la natura della responsabilità, ovvero anche nel caso in cui la responsabilità derivi da inadempimento contrattuale, illecito civile (inclusa la negligenza), responsabilità oggettiva o violazione di garanzie.</w:t>
      </w:r>
    </w:p>
    <w:p w:rsidR="00A92422" w:rsidRPr="00D87B79" w:rsidRDefault="00A92422" w:rsidP="00A92422">
      <w:pPr>
        <w:tabs>
          <w:tab w:val="left" w:pos="2936"/>
        </w:tabs>
        <w:rPr>
          <w:rFonts w:cs="Tahoma"/>
        </w:rPr>
      </w:pPr>
    </w:p>
    <w:p w:rsidR="00A92422" w:rsidRPr="00D87B79" w:rsidRDefault="00A92422" w:rsidP="00A92422">
      <w:pPr>
        <w:rPr>
          <w:rFonts w:cs="Tahoma"/>
        </w:rPr>
      </w:pPr>
      <w:r w:rsidRPr="00D87B79">
        <w:rPr>
          <w:rFonts w:cs="Tahoma"/>
          <w:lang w:eastAsia="ja-JP"/>
        </w:rPr>
        <w:br w:type="page"/>
      </w:r>
    </w:p>
    <w:p w:rsidR="00A92422" w:rsidRPr="00B31EA0" w:rsidRDefault="00A92422" w:rsidP="00A92422">
      <w:pPr>
        <w:pStyle w:val="Heading1"/>
      </w:pPr>
      <w:bookmarkStart w:id="1029" w:name="_Toc336338249"/>
      <w:bookmarkStart w:id="1030" w:name="_Toc342900301"/>
      <w:bookmarkEnd w:id="1029"/>
      <w:r w:rsidRPr="00B31EA0">
        <w:lastRenderedPageBreak/>
        <w:t>ARTICOLO 9</w:t>
      </w:r>
      <w:r w:rsidRPr="00B31EA0">
        <w:rPr>
          <w:rFonts w:cs="Tahoma"/>
        </w:rPr>
        <w:t xml:space="preserve"> – </w:t>
      </w:r>
      <w:r w:rsidRPr="00B31EA0">
        <w:t>Condizioni Aggiuntive</w:t>
      </w:r>
      <w:bookmarkEnd w:id="1030"/>
    </w:p>
    <w:p w:rsidR="00A92422" w:rsidRPr="00B31EA0" w:rsidRDefault="00A92422" w:rsidP="00A92422">
      <w:pPr>
        <w:pStyle w:val="Heading1"/>
      </w:pPr>
    </w:p>
    <w:p w:rsidR="00A92422" w:rsidRPr="00057FB4" w:rsidRDefault="00A92422" w:rsidP="00A92422">
      <w:pPr>
        <w:pStyle w:val="Heading3"/>
        <w:ind w:left="800" w:right="720" w:hanging="800"/>
        <w:rPr>
          <w:rFonts w:ascii="Tahoma" w:hAnsi="Tahoma" w:cs="Tahoma"/>
          <w:sz w:val="24"/>
          <w:szCs w:val="24"/>
        </w:rPr>
      </w:pPr>
      <w:bookmarkStart w:id="1031" w:name="_Toc323159781"/>
      <w:bookmarkStart w:id="1032" w:name="_Toc336338250"/>
      <w:bookmarkStart w:id="1033" w:name="_Toc342900302"/>
      <w:bookmarkEnd w:id="1031"/>
      <w:bookmarkEnd w:id="1032"/>
      <w:r w:rsidRPr="00057FB4">
        <w:rPr>
          <w:rFonts w:ascii="Tahoma" w:hAnsi="Tahoma" w:cs="Tahoma"/>
          <w:color w:val="000000"/>
          <w:sz w:val="24"/>
          <w:szCs w:val="24"/>
          <w:lang w:val="it-IT"/>
        </w:rPr>
        <w:t>Client Access Licenses (CAL) e Licenze di Gestione Client (ML)</w:t>
      </w:r>
      <w:bookmarkEnd w:id="1033"/>
    </w:p>
    <w:p w:rsidR="00A92422" w:rsidRPr="00D87B79" w:rsidRDefault="00A92422" w:rsidP="00A92422">
      <w:pPr>
        <w:pStyle w:val="AppendixFlushBulletedList"/>
        <w:tabs>
          <w:tab w:val="clear" w:pos="360"/>
        </w:tabs>
        <w:ind w:left="720" w:right="720" w:firstLine="0"/>
        <w:rPr>
          <w:rFonts w:ascii="Tahoma" w:hAnsi="Tahoma" w:cs="Tahoma"/>
        </w:rPr>
      </w:pPr>
    </w:p>
    <w:p w:rsidR="00A92422" w:rsidRPr="00D87B79" w:rsidRDefault="00A92422" w:rsidP="00A92422">
      <w:pPr>
        <w:pStyle w:val="AppendixFlushBulletedList"/>
        <w:numPr>
          <w:ilvl w:val="0"/>
          <w:numId w:val="51"/>
        </w:numPr>
        <w:ind w:left="1440" w:right="720"/>
        <w:rPr>
          <w:rFonts w:ascii="Tahoma" w:hAnsi="Tahoma" w:cs="Tahoma"/>
        </w:rPr>
      </w:pPr>
      <w:r w:rsidRPr="00D87B79">
        <w:rPr>
          <w:rFonts w:ascii="Tahoma" w:hAnsi="Tahoma" w:cs="Tahoma"/>
          <w:b/>
          <w:color w:val="000000"/>
          <w:sz w:val="18"/>
          <w:lang w:val="it-IT"/>
        </w:rPr>
        <w:t>Transizione tra User CAL e CAL per Dispositivo</w:t>
      </w:r>
    </w:p>
    <w:p w:rsidR="00A92422" w:rsidRPr="00D87B79" w:rsidRDefault="00A92422" w:rsidP="00A92422">
      <w:pPr>
        <w:pStyle w:val="AppendixBodyText"/>
        <w:numPr>
          <w:ilvl w:val="0"/>
          <w:numId w:val="52"/>
        </w:numPr>
        <w:spacing w:afterLines="60" w:after="144"/>
        <w:ind w:left="1800" w:right="450"/>
        <w:rPr>
          <w:rFonts w:ascii="Tahoma" w:hAnsi="Tahoma" w:cs="Tahoma"/>
        </w:rPr>
      </w:pPr>
      <w:r w:rsidRPr="00D87B79">
        <w:rPr>
          <w:rFonts w:ascii="Tahoma" w:hAnsi="Tahoma" w:cs="Tahoma"/>
          <w:color w:val="000000"/>
          <w:sz w:val="18"/>
          <w:szCs w:val="18"/>
          <w:lang w:val="it-IT"/>
        </w:rPr>
        <w:t>Le società con Software Assurance attiva per le CAL possono passare da Utente a</w:t>
      </w:r>
      <w:r>
        <w:rPr>
          <w:rFonts w:ascii="Tahoma" w:hAnsi="Tahoma" w:cs="Tahoma"/>
          <w:color w:val="000000"/>
          <w:sz w:val="18"/>
          <w:szCs w:val="18"/>
          <w:lang w:val="it-IT"/>
        </w:rPr>
        <w:t> </w:t>
      </w:r>
      <w:r w:rsidRPr="00D87B79">
        <w:rPr>
          <w:rFonts w:ascii="Tahoma" w:hAnsi="Tahoma" w:cs="Tahoma"/>
          <w:color w:val="000000"/>
          <w:sz w:val="18"/>
          <w:szCs w:val="18"/>
          <w:lang w:val="it-IT"/>
        </w:rPr>
        <w:t>Dispositivo e viceversa quando effettuano il rinnovo della loro copertura Software Assurance. Tale transizione non cambia l’edizione della CAL (ad esempio, da Standard</w:t>
      </w:r>
      <w:r>
        <w:rPr>
          <w:rFonts w:ascii="Tahoma" w:hAnsi="Tahoma" w:cs="Tahoma"/>
          <w:color w:val="000000"/>
          <w:sz w:val="18"/>
          <w:szCs w:val="18"/>
          <w:lang w:val="it-IT"/>
        </w:rPr>
        <w:t> </w:t>
      </w:r>
      <w:r w:rsidRPr="00D87B79">
        <w:rPr>
          <w:rFonts w:ascii="Tahoma" w:hAnsi="Tahoma" w:cs="Tahoma"/>
          <w:color w:val="000000"/>
          <w:sz w:val="18"/>
          <w:szCs w:val="18"/>
          <w:lang w:val="it-IT"/>
        </w:rPr>
        <w:t>a Enterprise).</w:t>
      </w:r>
      <w:r w:rsidRPr="00D87B79">
        <w:rPr>
          <w:rFonts w:ascii="Tahoma" w:hAnsi="Tahoma" w:cs="Tahoma"/>
        </w:rPr>
        <w:t xml:space="preserve"> </w:t>
      </w:r>
      <w:r w:rsidRPr="00D87B79">
        <w:rPr>
          <w:rFonts w:ascii="Tahoma" w:hAnsi="Tahoma" w:cs="Tahoma"/>
          <w:color w:val="000000"/>
          <w:sz w:val="18"/>
          <w:lang w:val="it-IT"/>
        </w:rPr>
        <w:t>Fare riferimento alle Note del Prodotto per informazioni sui</w:t>
      </w:r>
      <w:r>
        <w:rPr>
          <w:rFonts w:ascii="Tahoma" w:hAnsi="Tahoma" w:cs="Tahoma"/>
          <w:color w:val="000000"/>
          <w:sz w:val="18"/>
          <w:lang w:val="it-IT"/>
        </w:rPr>
        <w:t> </w:t>
      </w:r>
      <w:r w:rsidRPr="00D87B79">
        <w:rPr>
          <w:rFonts w:ascii="Tahoma" w:hAnsi="Tahoma" w:cs="Tahoma"/>
          <w:color w:val="000000"/>
          <w:sz w:val="18"/>
          <w:lang w:val="it-IT"/>
        </w:rPr>
        <w:t>singoli prodotti.</w:t>
      </w:r>
      <w:r w:rsidRPr="00D87B79">
        <w:rPr>
          <w:rFonts w:ascii="Tahoma" w:hAnsi="Tahoma" w:cs="Tahoma"/>
        </w:rPr>
        <w:t xml:space="preserve"> </w:t>
      </w:r>
    </w:p>
    <w:p w:rsidR="00A92422" w:rsidRPr="00D87B79" w:rsidRDefault="00A92422" w:rsidP="00A92422">
      <w:pPr>
        <w:pStyle w:val="AppendixFlushBulletedList"/>
        <w:numPr>
          <w:ilvl w:val="0"/>
          <w:numId w:val="51"/>
        </w:numPr>
        <w:ind w:left="1440" w:right="720"/>
        <w:rPr>
          <w:rFonts w:ascii="Tahoma" w:hAnsi="Tahoma" w:cs="Tahoma"/>
        </w:rPr>
      </w:pPr>
      <w:r w:rsidRPr="00D87B79">
        <w:rPr>
          <w:rFonts w:ascii="Tahoma" w:hAnsi="Tahoma" w:cs="Tahoma"/>
          <w:b/>
          <w:color w:val="000000"/>
          <w:sz w:val="18"/>
          <w:lang w:val="it-IT"/>
        </w:rPr>
        <w:t>Transizione tra User CAL e OSE client ML</w:t>
      </w:r>
    </w:p>
    <w:p w:rsidR="00A92422" w:rsidRPr="00D87B79" w:rsidRDefault="00A92422" w:rsidP="00A92422">
      <w:pPr>
        <w:pStyle w:val="AppendixBodyText"/>
        <w:numPr>
          <w:ilvl w:val="0"/>
          <w:numId w:val="52"/>
        </w:numPr>
        <w:spacing w:afterLines="60" w:after="144"/>
        <w:ind w:left="1800" w:right="540"/>
        <w:rPr>
          <w:rFonts w:ascii="Tahoma" w:hAnsi="Tahoma" w:cs="Tahoma"/>
        </w:rPr>
      </w:pPr>
      <w:r w:rsidRPr="00D87B79">
        <w:rPr>
          <w:rFonts w:ascii="Tahoma" w:hAnsi="Tahoma" w:cs="Tahoma"/>
          <w:color w:val="000000"/>
          <w:sz w:val="18"/>
          <w:szCs w:val="18"/>
          <w:lang w:val="it-IT"/>
        </w:rPr>
        <w:t>Le società con Software Assurance attiva per le client ML possono passare da Utente a OSE e viceversa quando effettuano il rinnovo della loro copertura Software Assurance. Fare riferimento alle Note del Prodotto per informazioni sui singoli prodotti.</w:t>
      </w:r>
      <w:r w:rsidRPr="00D87B79">
        <w:rPr>
          <w:rFonts w:ascii="Tahoma" w:hAnsi="Tahoma" w:cs="Tahoma"/>
          <w:color w:val="000000"/>
          <w:sz w:val="18"/>
          <w:szCs w:val="18"/>
        </w:rPr>
        <w:t xml:space="preserve"> </w:t>
      </w:r>
    </w:p>
    <w:p w:rsidR="00A92422" w:rsidRPr="00D87B79" w:rsidRDefault="00A92422" w:rsidP="00A92422">
      <w:pPr>
        <w:pStyle w:val="AppendixFlushBulletedList"/>
        <w:numPr>
          <w:ilvl w:val="0"/>
          <w:numId w:val="51"/>
        </w:numPr>
        <w:ind w:left="1440" w:right="720"/>
        <w:rPr>
          <w:rFonts w:ascii="Tahoma" w:hAnsi="Tahoma" w:cs="Tahoma"/>
        </w:rPr>
      </w:pPr>
      <w:r w:rsidRPr="00D87B79">
        <w:rPr>
          <w:rFonts w:ascii="Tahoma" w:hAnsi="Tahoma" w:cs="Tahoma"/>
          <w:b/>
          <w:color w:val="000000"/>
          <w:sz w:val="18"/>
          <w:lang w:val="it-IT"/>
        </w:rPr>
        <w:t>In fase di rinnovo</w:t>
      </w:r>
    </w:p>
    <w:p w:rsidR="00A92422" w:rsidRPr="00D87B79" w:rsidRDefault="00A92422" w:rsidP="00A92422">
      <w:pPr>
        <w:pStyle w:val="AppendixBodyText"/>
        <w:numPr>
          <w:ilvl w:val="0"/>
          <w:numId w:val="52"/>
        </w:numPr>
        <w:spacing w:afterLines="60" w:after="144"/>
        <w:ind w:left="1800" w:right="450"/>
        <w:rPr>
          <w:rFonts w:ascii="Tahoma" w:hAnsi="Tahoma" w:cs="Tahoma"/>
        </w:rPr>
      </w:pPr>
      <w:r w:rsidRPr="00D87B79">
        <w:rPr>
          <w:rFonts w:ascii="Tahoma" w:hAnsi="Tahoma" w:cs="Tahoma"/>
          <w:color w:val="000000"/>
          <w:sz w:val="18"/>
          <w:szCs w:val="18"/>
          <w:lang w:val="it-IT"/>
        </w:rPr>
        <w:t>Nel caso in cui siano disponibili sia User CAL che CAL per Dispositivo, le società potranno rinnovare Software Assurance per entrambi i tipi. I diritti di utilizzo del</w:t>
      </w:r>
      <w:r>
        <w:rPr>
          <w:rFonts w:ascii="Tahoma" w:hAnsi="Tahoma" w:cs="Tahoma"/>
          <w:color w:val="000000"/>
          <w:sz w:val="18"/>
          <w:szCs w:val="18"/>
          <w:lang w:val="it-IT"/>
        </w:rPr>
        <w:t> </w:t>
      </w:r>
      <w:r w:rsidRPr="00D87B79">
        <w:rPr>
          <w:rFonts w:ascii="Tahoma" w:hAnsi="Tahoma" w:cs="Tahoma"/>
          <w:color w:val="000000"/>
          <w:sz w:val="18"/>
          <w:szCs w:val="18"/>
          <w:lang w:val="it-IT"/>
        </w:rPr>
        <w:t>prodotto per il tipo di CAL per il quale è stata ordinata Software Assurance determinano la modalità di assegnazione e uso delle CAL. Le società che hanno effettuato l’Iscrizione Enterprise e che scelgono di ordinare Software Assurance per le</w:t>
      </w:r>
      <w:r>
        <w:rPr>
          <w:rFonts w:ascii="Tahoma" w:hAnsi="Tahoma" w:cs="Tahoma"/>
          <w:color w:val="000000"/>
          <w:sz w:val="18"/>
          <w:szCs w:val="18"/>
          <w:lang w:val="it-IT"/>
        </w:rPr>
        <w:t> </w:t>
      </w:r>
      <w:r w:rsidRPr="00D87B79">
        <w:rPr>
          <w:rFonts w:ascii="Tahoma" w:hAnsi="Tahoma" w:cs="Tahoma"/>
          <w:color w:val="000000"/>
          <w:sz w:val="18"/>
          <w:szCs w:val="18"/>
          <w:lang w:val="it-IT"/>
        </w:rPr>
        <w:t>User CAL potranno acquistare le CAL sulla base del loro numero di utenti. Fare riferimento alle note per informazioni sui singoli prodotti.</w:t>
      </w:r>
      <w:r w:rsidRPr="00D87B79">
        <w:rPr>
          <w:rFonts w:ascii="Tahoma" w:hAnsi="Tahoma" w:cs="Tahoma"/>
          <w:color w:val="000000"/>
          <w:sz w:val="18"/>
          <w:szCs w:val="18"/>
        </w:rPr>
        <w:t xml:space="preserve"> </w:t>
      </w:r>
    </w:p>
    <w:p w:rsidR="00A92422" w:rsidRPr="00D87B79" w:rsidRDefault="00A92422" w:rsidP="00A92422">
      <w:pPr>
        <w:pStyle w:val="AppendixFlushBulletedList"/>
        <w:numPr>
          <w:ilvl w:val="0"/>
          <w:numId w:val="51"/>
        </w:numPr>
        <w:ind w:left="1440" w:right="720"/>
        <w:rPr>
          <w:rFonts w:ascii="Tahoma" w:hAnsi="Tahoma" w:cs="Tahoma"/>
        </w:rPr>
      </w:pPr>
      <w:r w:rsidRPr="00D87B79">
        <w:rPr>
          <w:rFonts w:ascii="Tahoma" w:hAnsi="Tahoma" w:cs="Tahoma"/>
          <w:b/>
          <w:color w:val="000000"/>
          <w:sz w:val="18"/>
          <w:lang w:val="it-IT"/>
        </w:rPr>
        <w:t>CAL in Eccedenza</w:t>
      </w:r>
    </w:p>
    <w:p w:rsidR="00A92422" w:rsidRPr="00D87B79" w:rsidRDefault="00A92422" w:rsidP="00A92422">
      <w:pPr>
        <w:pStyle w:val="AppendixBodyText"/>
        <w:numPr>
          <w:ilvl w:val="0"/>
          <w:numId w:val="52"/>
        </w:numPr>
        <w:spacing w:afterLines="60" w:after="144"/>
        <w:ind w:left="1800" w:right="360"/>
        <w:rPr>
          <w:rFonts w:ascii="Tahoma" w:hAnsi="Tahoma" w:cs="Tahoma"/>
        </w:rPr>
      </w:pPr>
      <w:r w:rsidRPr="00D87B79">
        <w:rPr>
          <w:rFonts w:ascii="Tahoma" w:hAnsi="Tahoma" w:cs="Tahoma"/>
          <w:color w:val="000000"/>
          <w:sz w:val="18"/>
          <w:szCs w:val="18"/>
          <w:lang w:val="it-IT"/>
        </w:rPr>
        <w:t>La transizione tra User CAL e CAL per Dispositivo, nella modalità consentita sopra, potrebbe dar luogo a un’eccedenza di CAL. Le società potranno riassegnare le CAL in</w:t>
      </w:r>
      <w:r>
        <w:rPr>
          <w:rFonts w:ascii="Tahoma" w:hAnsi="Tahoma" w:cs="Tahoma"/>
          <w:color w:val="000000"/>
          <w:sz w:val="18"/>
          <w:szCs w:val="18"/>
          <w:lang w:val="it-IT"/>
        </w:rPr>
        <w:t> </w:t>
      </w:r>
      <w:r w:rsidRPr="00D87B79">
        <w:rPr>
          <w:rFonts w:ascii="Tahoma" w:hAnsi="Tahoma" w:cs="Tahoma"/>
          <w:color w:val="000000"/>
          <w:sz w:val="18"/>
          <w:szCs w:val="18"/>
          <w:lang w:val="it-IT"/>
        </w:rPr>
        <w:t>eccedenza quando il loro numero di utenti o dispositivi crescerà. In fase di rinnovo le società potranno scegliere di tenere Software Assurance per le CAL in eccedenza.</w:t>
      </w:r>
      <w:r w:rsidRPr="00D87B79">
        <w:rPr>
          <w:rFonts w:ascii="Tahoma" w:hAnsi="Tahoma" w:cs="Tahoma"/>
          <w:color w:val="000000"/>
          <w:sz w:val="18"/>
          <w:szCs w:val="18"/>
        </w:rPr>
        <w:t xml:space="preserve"> </w:t>
      </w:r>
      <w:r w:rsidRPr="00D87B79">
        <w:rPr>
          <w:rFonts w:ascii="Tahoma" w:hAnsi="Tahoma" w:cs="Tahoma"/>
          <w:color w:val="000000"/>
          <w:sz w:val="18"/>
          <w:szCs w:val="18"/>
          <w:lang w:val="it-IT"/>
        </w:rPr>
        <w:t>Le società non potranno rinnovare successivamente Software Assurance per le CAL in</w:t>
      </w:r>
      <w:r>
        <w:rPr>
          <w:rFonts w:ascii="Tahoma" w:hAnsi="Tahoma" w:cs="Tahoma"/>
          <w:color w:val="000000"/>
          <w:sz w:val="18"/>
          <w:szCs w:val="18"/>
          <w:lang w:val="it-IT"/>
        </w:rPr>
        <w:t> </w:t>
      </w:r>
      <w:r w:rsidRPr="00D87B79">
        <w:rPr>
          <w:rFonts w:ascii="Tahoma" w:hAnsi="Tahoma" w:cs="Tahoma"/>
          <w:color w:val="000000"/>
          <w:sz w:val="18"/>
          <w:szCs w:val="18"/>
          <w:lang w:val="it-IT"/>
        </w:rPr>
        <w:t>eccedenza, per le quali è scaduta la copertura.</w:t>
      </w:r>
      <w:r w:rsidRPr="00D87B79">
        <w:rPr>
          <w:rFonts w:ascii="Tahoma" w:hAnsi="Tahoma" w:cs="Tahoma"/>
          <w:color w:val="000000"/>
          <w:sz w:val="18"/>
          <w:szCs w:val="18"/>
        </w:rPr>
        <w:t xml:space="preserve"> </w:t>
      </w:r>
    </w:p>
    <w:p w:rsidR="00A92422" w:rsidRPr="00D87B79" w:rsidRDefault="00A92422" w:rsidP="00A92422">
      <w:pPr>
        <w:pStyle w:val="AppendixFlushBulletedList"/>
        <w:numPr>
          <w:ilvl w:val="0"/>
          <w:numId w:val="51"/>
        </w:numPr>
        <w:ind w:left="1440" w:right="720"/>
        <w:rPr>
          <w:rFonts w:ascii="Tahoma" w:hAnsi="Tahoma" w:cs="Tahoma"/>
        </w:rPr>
      </w:pPr>
      <w:r w:rsidRPr="00D87B79">
        <w:rPr>
          <w:rFonts w:ascii="Tahoma" w:hAnsi="Tahoma" w:cs="Tahoma"/>
          <w:b/>
          <w:color w:val="000000"/>
          <w:sz w:val="18"/>
          <w:lang w:val="it-IT"/>
        </w:rPr>
        <w:t>ML in Eccedenza</w:t>
      </w:r>
    </w:p>
    <w:p w:rsidR="00A92422" w:rsidRPr="00D87B79" w:rsidRDefault="00A92422" w:rsidP="00A92422">
      <w:pPr>
        <w:pStyle w:val="AppendixBodyText"/>
        <w:numPr>
          <w:ilvl w:val="0"/>
          <w:numId w:val="52"/>
        </w:numPr>
        <w:spacing w:afterLines="60" w:after="144"/>
        <w:ind w:left="1800" w:right="720"/>
        <w:rPr>
          <w:rFonts w:ascii="Tahoma" w:hAnsi="Tahoma" w:cs="Tahoma"/>
        </w:rPr>
      </w:pPr>
      <w:r w:rsidRPr="00D87B79">
        <w:rPr>
          <w:rFonts w:ascii="Tahoma" w:hAnsi="Tahoma" w:cs="Tahoma"/>
          <w:color w:val="000000"/>
          <w:sz w:val="18"/>
          <w:szCs w:val="18"/>
          <w:lang w:val="it-IT"/>
        </w:rPr>
        <w:t>La transizione tra User CAL e OSE client ML, nella modalità consentita sopra, potrebbe dar luogo a un’eccedenza di ML. Le società potranno riassegnare le ML in eccedenza quando il loro numero di utenti o di OSE gestiti crescerà. In fase di rinnovo le società potranno scegliere di tenere Software Assurance per le ML in eccedenza.</w:t>
      </w:r>
      <w:r w:rsidRPr="00D87B79">
        <w:rPr>
          <w:rFonts w:ascii="Tahoma" w:hAnsi="Tahoma" w:cs="Tahoma"/>
          <w:color w:val="000000"/>
          <w:sz w:val="18"/>
          <w:szCs w:val="18"/>
        </w:rPr>
        <w:t xml:space="preserve"> </w:t>
      </w:r>
      <w:r w:rsidRPr="00D87B79">
        <w:rPr>
          <w:rFonts w:ascii="Tahoma" w:hAnsi="Tahoma" w:cs="Tahoma"/>
          <w:color w:val="000000"/>
          <w:sz w:val="18"/>
          <w:szCs w:val="18"/>
          <w:lang w:val="it-IT"/>
        </w:rPr>
        <w:t>Le</w:t>
      </w:r>
      <w:r>
        <w:rPr>
          <w:rFonts w:ascii="Tahoma" w:hAnsi="Tahoma" w:cs="Tahoma"/>
          <w:color w:val="000000"/>
          <w:sz w:val="18"/>
          <w:szCs w:val="18"/>
          <w:lang w:val="it-IT"/>
        </w:rPr>
        <w:t> </w:t>
      </w:r>
      <w:r w:rsidRPr="00D87B79">
        <w:rPr>
          <w:rFonts w:ascii="Tahoma" w:hAnsi="Tahoma" w:cs="Tahoma"/>
          <w:color w:val="000000"/>
          <w:sz w:val="18"/>
          <w:szCs w:val="18"/>
          <w:lang w:val="it-IT"/>
        </w:rPr>
        <w:t>società non potranno rinnovare successivamente Software Assurance per le ML in</w:t>
      </w:r>
      <w:r>
        <w:rPr>
          <w:rFonts w:ascii="Tahoma" w:hAnsi="Tahoma" w:cs="Tahoma"/>
          <w:color w:val="000000"/>
          <w:sz w:val="18"/>
          <w:szCs w:val="18"/>
          <w:lang w:val="it-IT"/>
        </w:rPr>
        <w:t> </w:t>
      </w:r>
      <w:r w:rsidRPr="00D87B79">
        <w:rPr>
          <w:rFonts w:ascii="Tahoma" w:hAnsi="Tahoma" w:cs="Tahoma"/>
          <w:color w:val="000000"/>
          <w:sz w:val="18"/>
          <w:szCs w:val="18"/>
          <w:lang w:val="it-IT"/>
        </w:rPr>
        <w:t>eccedenza, per le quali è scaduta la copertura.</w:t>
      </w:r>
      <w:r w:rsidRPr="00D87B79">
        <w:rPr>
          <w:rFonts w:ascii="Tahoma" w:hAnsi="Tahoma" w:cs="Tahoma"/>
          <w:color w:val="000000"/>
          <w:sz w:val="18"/>
          <w:szCs w:val="18"/>
        </w:rPr>
        <w:t xml:space="preserve"> </w:t>
      </w:r>
    </w:p>
    <w:p w:rsidR="00A92422" w:rsidRPr="00D87B79" w:rsidRDefault="00A92422" w:rsidP="00A92422">
      <w:pPr>
        <w:pStyle w:val="AppendixFlushBulletedList"/>
        <w:numPr>
          <w:ilvl w:val="0"/>
          <w:numId w:val="51"/>
        </w:numPr>
        <w:ind w:left="1440" w:right="720"/>
        <w:rPr>
          <w:rFonts w:ascii="Tahoma" w:hAnsi="Tahoma" w:cs="Tahoma"/>
        </w:rPr>
      </w:pPr>
      <w:r w:rsidRPr="00D87B79">
        <w:rPr>
          <w:rFonts w:ascii="Tahoma" w:hAnsi="Tahoma" w:cs="Tahoma"/>
          <w:b/>
          <w:color w:val="000000"/>
          <w:sz w:val="18"/>
          <w:lang w:val="it-IT"/>
        </w:rPr>
        <w:t>Prova di Licenze</w:t>
      </w:r>
    </w:p>
    <w:p w:rsidR="00A92422" w:rsidRPr="00D87B79" w:rsidRDefault="00A92422" w:rsidP="00A92422">
      <w:pPr>
        <w:pStyle w:val="AppendixBodyText"/>
        <w:numPr>
          <w:ilvl w:val="0"/>
          <w:numId w:val="52"/>
        </w:numPr>
        <w:spacing w:afterLines="60" w:after="144"/>
        <w:ind w:left="1800" w:right="720"/>
        <w:rPr>
          <w:rFonts w:ascii="Tahoma" w:hAnsi="Tahoma" w:cs="Tahoma"/>
        </w:rPr>
      </w:pPr>
      <w:r w:rsidRPr="00D87B79">
        <w:rPr>
          <w:rFonts w:ascii="Tahoma" w:hAnsi="Tahoma" w:cs="Tahoma"/>
          <w:color w:val="000000"/>
          <w:sz w:val="18"/>
          <w:szCs w:val="18"/>
          <w:lang w:val="it-IT"/>
        </w:rPr>
        <w:t>Il diritto di migrare alle User CAL e di utilizzarle è evidenziato nella presente Lista dei Prodotti, nelle documentazioni relative a Software Assurance delle società e nelle CAL</w:t>
      </w:r>
      <w:r>
        <w:rPr>
          <w:rFonts w:ascii="Tahoma" w:hAnsi="Tahoma" w:cs="Tahoma"/>
          <w:color w:val="000000"/>
          <w:sz w:val="18"/>
          <w:szCs w:val="18"/>
          <w:lang w:val="it-IT"/>
        </w:rPr>
        <w:t> </w:t>
      </w:r>
      <w:r w:rsidRPr="00D87B79">
        <w:rPr>
          <w:rFonts w:ascii="Tahoma" w:hAnsi="Tahoma" w:cs="Tahoma"/>
          <w:color w:val="000000"/>
          <w:sz w:val="18"/>
          <w:szCs w:val="18"/>
          <w:lang w:val="it-IT"/>
        </w:rPr>
        <w:t>sottostanti.</w:t>
      </w:r>
      <w:r w:rsidRPr="00D87B79">
        <w:rPr>
          <w:rFonts w:ascii="Tahoma" w:hAnsi="Tahoma" w:cs="Tahoma"/>
        </w:rPr>
        <w:t xml:space="preserve"> </w:t>
      </w:r>
      <w:r w:rsidRPr="00D87B79">
        <w:rPr>
          <w:rFonts w:ascii="Tahoma" w:hAnsi="Tahoma" w:cs="Tahoma"/>
          <w:color w:val="000000"/>
          <w:sz w:val="18"/>
          <w:lang w:val="it-IT"/>
        </w:rPr>
        <w:t>Il diritto di migrare alle User ML e di utilizzarle è evidenziato nella presente Lista dei Prodotti, nelle documentazioni relative a Software Assurance delle società e nelle ML sottostanti.</w:t>
      </w:r>
    </w:p>
    <w:p w:rsidR="00A92422" w:rsidRPr="001677C9" w:rsidRDefault="00A92422" w:rsidP="00A92422">
      <w:pPr>
        <w:pStyle w:val="AppendixBodyText"/>
        <w:spacing w:after="0"/>
        <w:ind w:right="720"/>
        <w:rPr>
          <w:rFonts w:ascii="Tahoma" w:hAnsi="Tahoma" w:cs="Tahoma"/>
          <w:sz w:val="18"/>
          <w:szCs w:val="18"/>
        </w:rPr>
      </w:pPr>
    </w:p>
    <w:p w:rsidR="00A92422" w:rsidRPr="001677C9" w:rsidRDefault="00A92422" w:rsidP="00A92422">
      <w:pPr>
        <w:pStyle w:val="AppendixBodyText"/>
        <w:spacing w:after="0"/>
        <w:ind w:right="720"/>
        <w:rPr>
          <w:rFonts w:ascii="Tahoma" w:hAnsi="Tahoma" w:cs="Tahoma"/>
          <w:sz w:val="18"/>
          <w:szCs w:val="18"/>
        </w:rPr>
      </w:pPr>
    </w:p>
    <w:p w:rsidR="00A92422" w:rsidRPr="00D87B79" w:rsidRDefault="00A92422" w:rsidP="00A92422">
      <w:pPr>
        <w:pStyle w:val="Heading3"/>
        <w:ind w:right="720"/>
        <w:rPr>
          <w:rFonts w:ascii="Tahoma" w:hAnsi="Tahoma" w:cs="Tahoma"/>
        </w:rPr>
      </w:pPr>
      <w:bookmarkStart w:id="1034" w:name="_Toc323159782"/>
      <w:bookmarkStart w:id="1035" w:name="_Toc336338251"/>
      <w:bookmarkStart w:id="1036" w:name="_Toc342900303"/>
      <w:bookmarkEnd w:id="1034"/>
      <w:bookmarkEnd w:id="1035"/>
      <w:r w:rsidRPr="00D87B79">
        <w:rPr>
          <w:rFonts w:ascii="Tahoma" w:hAnsi="Tahoma" w:cs="Tahoma"/>
          <w:sz w:val="24"/>
          <w:lang w:val="it-IT"/>
        </w:rPr>
        <w:t>Limitazioni dei Controlli EI</w:t>
      </w:r>
      <w:bookmarkEnd w:id="1036"/>
    </w:p>
    <w:p w:rsidR="00A92422" w:rsidRPr="00D87B79" w:rsidRDefault="00A92422" w:rsidP="00A92422">
      <w:pPr>
        <w:ind w:right="720"/>
        <w:rPr>
          <w:rFonts w:cs="Tahoma"/>
        </w:rPr>
      </w:pPr>
    </w:p>
    <w:p w:rsidR="00A92422" w:rsidRPr="00D87B79" w:rsidRDefault="00A92422" w:rsidP="00A92422">
      <w:pPr>
        <w:pStyle w:val="AppendixBodyText"/>
        <w:ind w:right="720"/>
        <w:rPr>
          <w:rFonts w:ascii="Tahoma" w:hAnsi="Tahoma" w:cs="Tahoma"/>
        </w:rPr>
      </w:pPr>
      <w:r w:rsidRPr="00D87B79">
        <w:rPr>
          <w:rFonts w:ascii="Tahoma" w:hAnsi="Tahoma" w:cs="Tahoma"/>
          <w:sz w:val="18"/>
          <w:lang w:val="it-IT"/>
        </w:rPr>
        <w:t>L’esportazione di alcuni prodotti Microsoft dagli Stati Uniti è regolata ai sensi dei “Controlli EI” dell’Export Administration Regulations (EAR, 15 CFR 730-744) del Commerce Department, Bureau of Export Administration (BXA) degli Stati Uniti.</w:t>
      </w:r>
      <w:r w:rsidRPr="00D87B79">
        <w:rPr>
          <w:rFonts w:ascii="Tahoma" w:hAnsi="Tahoma" w:cs="Tahoma"/>
          <w:sz w:val="18"/>
        </w:rPr>
        <w:t xml:space="preserve"> </w:t>
      </w:r>
      <w:r w:rsidRPr="00D87B79">
        <w:rPr>
          <w:rFonts w:ascii="Tahoma" w:hAnsi="Tahoma" w:cs="Tahoma"/>
          <w:sz w:val="18"/>
          <w:lang w:val="it-IT"/>
        </w:rPr>
        <w:t>Per ulteriori informazioni, visitare la pagina:</w:t>
      </w:r>
      <w:r w:rsidRPr="00D87B79">
        <w:rPr>
          <w:rFonts w:ascii="Tahoma" w:hAnsi="Tahoma" w:cs="Tahoma"/>
          <w:sz w:val="18"/>
        </w:rPr>
        <w:t xml:space="preserve"> </w:t>
      </w:r>
      <w:hyperlink r:id="rId25" w:history="1">
        <w:r w:rsidRPr="00D87B79">
          <w:rPr>
            <w:rStyle w:val="Hyperlink"/>
            <w:rFonts w:ascii="Tahoma" w:hAnsi="Tahoma" w:cs="Tahoma"/>
            <w:sz w:val="18"/>
            <w:lang w:val="it-IT"/>
          </w:rPr>
          <w:t>www.microsoft.com/products/exporting/basics.htm</w:t>
        </w:r>
      </w:hyperlink>
    </w:p>
    <w:p w:rsidR="00A92422" w:rsidRPr="00D87B79" w:rsidRDefault="00A92422" w:rsidP="00A92422">
      <w:pPr>
        <w:pStyle w:val="Heading3"/>
        <w:ind w:right="720"/>
        <w:rPr>
          <w:rFonts w:ascii="Tahoma" w:hAnsi="Tahoma" w:cs="Tahoma"/>
        </w:rPr>
      </w:pPr>
      <w:bookmarkStart w:id="1037" w:name="_Toc323159783"/>
      <w:bookmarkStart w:id="1038" w:name="_Toc336338252"/>
      <w:bookmarkStart w:id="1039" w:name="_Toc342900304"/>
      <w:bookmarkEnd w:id="1037"/>
      <w:bookmarkEnd w:id="1038"/>
      <w:r w:rsidRPr="00D87B79">
        <w:rPr>
          <w:rFonts w:ascii="Tahoma" w:hAnsi="Tahoma" w:cs="Tahoma"/>
          <w:lang w:val="it-IT"/>
        </w:rPr>
        <w:lastRenderedPageBreak/>
        <w:t>Multilanguage Pack (MLP), Funzionalità Multilanguage User Interface (MUI) e Nuovi Diritti sulle Lingue</w:t>
      </w:r>
      <w:bookmarkEnd w:id="1039"/>
    </w:p>
    <w:p w:rsidR="00A92422" w:rsidRPr="00B35455" w:rsidRDefault="00A92422" w:rsidP="00A92422">
      <w:pPr>
        <w:pStyle w:val="Heading3"/>
        <w:ind w:right="720"/>
        <w:rPr>
          <w:rFonts w:ascii="Tahoma" w:hAnsi="Tahoma" w:cs="Tahoma"/>
          <w:sz w:val="18"/>
          <w:szCs w:val="18"/>
        </w:rPr>
      </w:pPr>
    </w:p>
    <w:p w:rsidR="00A92422" w:rsidRPr="00D87B79" w:rsidRDefault="00A92422" w:rsidP="00A92422">
      <w:pPr>
        <w:rPr>
          <w:rFonts w:cs="Tahoma"/>
        </w:rPr>
      </w:pPr>
      <w:r w:rsidRPr="00D87B79">
        <w:rPr>
          <w:rFonts w:cs="Tahoma"/>
          <w:lang w:val="it-IT"/>
        </w:rPr>
        <w:t>Le funzionalità MLP e MUI consentono alle società di eseguire e alternare versioni in lingua diversa di prodotti con</w:t>
      </w:r>
      <w:r>
        <w:rPr>
          <w:rFonts w:cs="Tahoma"/>
          <w:lang w:val="it-IT"/>
        </w:rPr>
        <w:t> </w:t>
      </w:r>
      <w:r w:rsidRPr="00D87B79">
        <w:rPr>
          <w:rFonts w:cs="Tahoma"/>
          <w:lang w:val="it-IT"/>
        </w:rPr>
        <w:t>licenza. Il diritto di utilizzare entrambi varia in base al tipo di prodotto, programma e licenza.</w:t>
      </w:r>
      <w:r w:rsidRPr="00D87B79">
        <w:rPr>
          <w:rFonts w:cs="Tahoma"/>
        </w:rPr>
        <w:t xml:space="preserve"> </w:t>
      </w:r>
    </w:p>
    <w:p w:rsidR="00A92422" w:rsidRPr="00B35455" w:rsidRDefault="00A92422" w:rsidP="00A92422">
      <w:pPr>
        <w:pStyle w:val="Heading3"/>
        <w:ind w:right="720"/>
        <w:rPr>
          <w:rFonts w:ascii="Tahoma" w:hAnsi="Tahoma" w:cs="Tahoma"/>
          <w:sz w:val="18"/>
          <w:szCs w:val="18"/>
        </w:rPr>
      </w:pPr>
    </w:p>
    <w:p w:rsidR="00A92422" w:rsidRPr="00D87B79" w:rsidRDefault="00A92422" w:rsidP="00A92422">
      <w:pPr>
        <w:numPr>
          <w:ilvl w:val="0"/>
          <w:numId w:val="20"/>
        </w:numPr>
        <w:tabs>
          <w:tab w:val="left" w:pos="1440"/>
        </w:tabs>
        <w:spacing w:after="60"/>
        <w:rPr>
          <w:rFonts w:cs="Tahoma"/>
        </w:rPr>
      </w:pPr>
      <w:r w:rsidRPr="00D87B79">
        <w:rPr>
          <w:rFonts w:cs="Tahoma"/>
          <w:lang w:val="it-IT"/>
        </w:rPr>
        <w:t>Per la maggior parte dei prodotti server, ad esempio Windows Server, la funzionalità MUI è inclusa nel prodotto base. Le società che ottengono in licenza tali prodotti potranno utilizzare tale funzionalità in conformità ai diritti sull’utilizzo per tali prodotti.</w:t>
      </w:r>
      <w:r w:rsidRPr="00D87B79">
        <w:rPr>
          <w:rFonts w:cs="Tahoma"/>
        </w:rPr>
        <w:t xml:space="preserve"> </w:t>
      </w:r>
    </w:p>
    <w:p w:rsidR="00A92422" w:rsidRPr="00D87B79" w:rsidRDefault="00A92422" w:rsidP="00A92422">
      <w:pPr>
        <w:numPr>
          <w:ilvl w:val="0"/>
          <w:numId w:val="20"/>
        </w:numPr>
        <w:tabs>
          <w:tab w:val="left" w:pos="1440"/>
        </w:tabs>
        <w:spacing w:after="60"/>
        <w:rPr>
          <w:rFonts w:cs="Tahoma"/>
        </w:rPr>
      </w:pPr>
      <w:r w:rsidRPr="00D87B79">
        <w:rPr>
          <w:rFonts w:cs="Tahoma"/>
          <w:lang w:val="it-IT"/>
        </w:rPr>
        <w:t>Nel caso dei prodotti Office System, diversi dai server, e delle suite, a partire dal 1 ottobre 2008 il</w:t>
      </w:r>
      <w:r>
        <w:rPr>
          <w:rFonts w:cs="Tahoma"/>
          <w:lang w:val="it-IT"/>
        </w:rPr>
        <w:t> </w:t>
      </w:r>
      <w:r w:rsidRPr="00D87B79">
        <w:rPr>
          <w:rFonts w:cs="Tahoma"/>
          <w:lang w:val="it-IT"/>
        </w:rPr>
        <w:t>diritto di utilizzare la funzionalità MLP è disponibile per le società con copertura Software Assurance attiva sulle licenze qualificanti (per dettagli consultare l’Articolo 6). Ai sensi di alcuni programmi, ad esempio Select, i pacchetti MLP per i prodotti e le suite Office System continuano a</w:t>
      </w:r>
      <w:r>
        <w:rPr>
          <w:rFonts w:cs="Tahoma"/>
          <w:lang w:val="it-IT"/>
        </w:rPr>
        <w:t> </w:t>
      </w:r>
      <w:r w:rsidRPr="00D87B79">
        <w:rPr>
          <w:rFonts w:cs="Tahoma"/>
          <w:lang w:val="it-IT"/>
        </w:rPr>
        <w:t>essere disponibili separatamente al di fuori di Software Assurance.</w:t>
      </w:r>
      <w:r w:rsidRPr="00D87B79">
        <w:rPr>
          <w:rFonts w:cs="Tahoma"/>
        </w:rPr>
        <w:t xml:space="preserve"> </w:t>
      </w:r>
    </w:p>
    <w:p w:rsidR="00A92422" w:rsidRPr="00D87B79" w:rsidRDefault="00A92422" w:rsidP="00A92422">
      <w:pPr>
        <w:numPr>
          <w:ilvl w:val="0"/>
          <w:numId w:val="20"/>
        </w:numPr>
        <w:spacing w:after="60"/>
        <w:rPr>
          <w:rFonts w:cs="Tahoma"/>
        </w:rPr>
      </w:pPr>
      <w:r w:rsidRPr="00D87B79">
        <w:rPr>
          <w:rFonts w:cs="Tahoma"/>
          <w:lang w:val="it-IT"/>
        </w:rPr>
        <w:t>Nel caso di Windows 8 la funzionalità MUI è inclusa nella versione Windows 8 Pro.</w:t>
      </w:r>
      <w:r w:rsidRPr="00D87B79">
        <w:rPr>
          <w:rFonts w:cs="Tahoma"/>
        </w:rPr>
        <w:t xml:space="preserve"> </w:t>
      </w:r>
    </w:p>
    <w:p w:rsidR="00A92422" w:rsidRPr="00D87B79" w:rsidRDefault="00A92422" w:rsidP="00A92422">
      <w:pPr>
        <w:rPr>
          <w:rFonts w:cs="Tahoma"/>
        </w:rPr>
      </w:pPr>
    </w:p>
    <w:p w:rsidR="00A92422" w:rsidRPr="00D87B79" w:rsidRDefault="00A92422" w:rsidP="00A92422">
      <w:pPr>
        <w:rPr>
          <w:rFonts w:cs="Tahoma"/>
        </w:rPr>
      </w:pPr>
      <w:r w:rsidRPr="00D87B79">
        <w:rPr>
          <w:rFonts w:cs="Tahoma"/>
          <w:lang w:val="it-IT"/>
        </w:rPr>
        <w:t>Le versioni in lingua, grazie alle quali alle società è consentito utilizzare nello stesso modo le funzionalità MUI e MLP, variano in base al programma, al prodotto e al paese.</w:t>
      </w:r>
      <w:r w:rsidRPr="00D87B79">
        <w:rPr>
          <w:rFonts w:cs="Tahoma"/>
        </w:rPr>
        <w:t xml:space="preserve"> </w:t>
      </w:r>
    </w:p>
    <w:p w:rsidR="00A92422" w:rsidRPr="00C37D5E" w:rsidRDefault="00A92422" w:rsidP="00A92422">
      <w:pPr>
        <w:pStyle w:val="Heading3"/>
        <w:ind w:right="720"/>
        <w:rPr>
          <w:rFonts w:ascii="Tahoma" w:hAnsi="Tahoma" w:cs="Tahoma"/>
          <w:sz w:val="18"/>
          <w:szCs w:val="18"/>
        </w:rPr>
      </w:pPr>
    </w:p>
    <w:p w:rsidR="00A92422" w:rsidRPr="00D87B79" w:rsidRDefault="00A92422" w:rsidP="00A92422">
      <w:pPr>
        <w:numPr>
          <w:ilvl w:val="0"/>
          <w:numId w:val="21"/>
        </w:numPr>
        <w:tabs>
          <w:tab w:val="clear" w:pos="1080"/>
          <w:tab w:val="num" w:pos="1440"/>
        </w:tabs>
        <w:ind w:left="1440"/>
        <w:rPr>
          <w:rFonts w:cs="Tahoma"/>
        </w:rPr>
      </w:pPr>
      <w:r w:rsidRPr="00D87B79">
        <w:rPr>
          <w:rFonts w:cs="Tahoma"/>
          <w:lang w:val="it-IT"/>
        </w:rPr>
        <w:t>A partire dal 1 ottobre 2008 le società che acquistano il diritto di utilizzare le funzionalità MUI e</w:t>
      </w:r>
      <w:r>
        <w:rPr>
          <w:rFonts w:cs="Tahoma"/>
          <w:lang w:val="it-IT"/>
        </w:rPr>
        <w:t> </w:t>
      </w:r>
      <w:r w:rsidRPr="00D87B79">
        <w:rPr>
          <w:rFonts w:cs="Tahoma"/>
          <w:lang w:val="it-IT"/>
        </w:rPr>
        <w:t>MLP ai sensi di un Contratto Enterprise, Enterprise Subscription, Open Value (per l'intera organizzazione/a livello aziendale) o Open Value Subscription, potranno usare tali funzionalità con</w:t>
      </w:r>
      <w:r>
        <w:rPr>
          <w:rFonts w:cs="Tahoma"/>
          <w:lang w:val="it-IT"/>
        </w:rPr>
        <w:t> </w:t>
      </w:r>
      <w:r w:rsidRPr="00D87B79">
        <w:rPr>
          <w:rFonts w:cs="Tahoma"/>
          <w:lang w:val="it-IT"/>
        </w:rPr>
        <w:t>i</w:t>
      </w:r>
      <w:r>
        <w:rPr>
          <w:rFonts w:cs="Tahoma"/>
          <w:lang w:val="it-IT"/>
        </w:rPr>
        <w:t> </w:t>
      </w:r>
      <w:r w:rsidRPr="00D87B79">
        <w:rPr>
          <w:rFonts w:cs="Tahoma"/>
          <w:lang w:val="it-IT"/>
        </w:rPr>
        <w:t xml:space="preserve">prodotti con licenza </w:t>
      </w:r>
      <w:r w:rsidRPr="00D87B79">
        <w:rPr>
          <w:rFonts w:cs="Tahoma"/>
          <w:b/>
          <w:u w:val="single"/>
          <w:lang w:val="it-IT"/>
        </w:rPr>
        <w:t>in tutte le versioni in lingua</w:t>
      </w:r>
      <w:r w:rsidRPr="00D87B79">
        <w:rPr>
          <w:rFonts w:cs="Tahoma"/>
          <w:lang w:val="it-IT"/>
        </w:rPr>
        <w:t>, nonostante qualsiasi limitazione in tali contratti rispetto all'utilizzo di determinate lingue.</w:t>
      </w:r>
      <w:r w:rsidRPr="00D87B79">
        <w:rPr>
          <w:rFonts w:cs="Tahoma"/>
        </w:rPr>
        <w:t xml:space="preserve"> </w:t>
      </w:r>
    </w:p>
    <w:p w:rsidR="00A92422" w:rsidRPr="00C37D5E" w:rsidRDefault="00A92422" w:rsidP="00A92422">
      <w:pPr>
        <w:pStyle w:val="Heading3"/>
        <w:ind w:right="720"/>
        <w:rPr>
          <w:rFonts w:ascii="Tahoma" w:hAnsi="Tahoma" w:cs="Tahoma"/>
          <w:sz w:val="18"/>
          <w:szCs w:val="18"/>
        </w:rPr>
      </w:pPr>
    </w:p>
    <w:p w:rsidR="00A92422" w:rsidRPr="00D87B79" w:rsidRDefault="00A92422" w:rsidP="00A92422">
      <w:pPr>
        <w:rPr>
          <w:rFonts w:cs="Tahoma"/>
        </w:rPr>
      </w:pPr>
      <w:r w:rsidRPr="00D87B79">
        <w:rPr>
          <w:rFonts w:cs="Tahoma"/>
          <w:lang w:val="it-IT"/>
        </w:rPr>
        <w:t>Le società che acquistano il diritto di utilizzare le funzionalità MUI e MLP ai sensi di contratti diversi da un Contratto Enterprise o Open Value (per l’intera organizzazione/a livello aziendale) (con il prodotto base o tramite Software Assurance) rimangono soggette a eventuali limitazioni presenti nel loro contratto per quanto riguarda l’uso di alcune lingue. Ad esempio, nel caso in cui la versione in lingua locale di un prodotto sia ottenuta in licenza a un prezzo diverso da quello riportato sul listino prezzi della società, il diritto di tale società di utilizzare altre versioni in lingua al</w:t>
      </w:r>
      <w:r>
        <w:rPr>
          <w:rFonts w:cs="Tahoma"/>
          <w:lang w:val="it-IT"/>
        </w:rPr>
        <w:t> </w:t>
      </w:r>
      <w:r w:rsidRPr="00D87B79">
        <w:rPr>
          <w:rFonts w:cs="Tahoma"/>
          <w:lang w:val="it-IT"/>
        </w:rPr>
        <w:t>posto di tale versione (con o senza funzionalità MUI o MLP) potrà essere limitato.</w:t>
      </w:r>
      <w:r w:rsidRPr="00D87B79">
        <w:rPr>
          <w:rFonts w:cs="Tahoma"/>
        </w:rPr>
        <w:t xml:space="preserve"> </w:t>
      </w:r>
      <w:r w:rsidRPr="00D87B79">
        <w:rPr>
          <w:rFonts w:cs="Tahoma"/>
          <w:lang w:val="it-IT"/>
        </w:rPr>
        <w:t>Le società dovranno esaminare il</w:t>
      </w:r>
      <w:r>
        <w:rPr>
          <w:rFonts w:cs="Tahoma"/>
          <w:lang w:val="it-IT"/>
        </w:rPr>
        <w:t> </w:t>
      </w:r>
      <w:r w:rsidRPr="00D87B79">
        <w:rPr>
          <w:rFonts w:cs="Tahoma"/>
          <w:lang w:val="it-IT"/>
        </w:rPr>
        <w:t>loro Contratto di Licenza oppure contattare il loro Rivenditore o l’Account Manager designato da Microsoft per</w:t>
      </w:r>
      <w:r>
        <w:rPr>
          <w:rFonts w:cs="Tahoma"/>
          <w:lang w:val="it-IT"/>
        </w:rPr>
        <w:t> </w:t>
      </w:r>
      <w:r w:rsidRPr="00D87B79">
        <w:rPr>
          <w:rFonts w:cs="Tahoma"/>
          <w:lang w:val="it-IT"/>
        </w:rPr>
        <w:t>ulteriori informazioni sul loro diritto di utilizzare altre lingue.</w:t>
      </w:r>
      <w:r w:rsidRPr="00D87B79">
        <w:rPr>
          <w:rFonts w:cs="Tahoma"/>
        </w:rPr>
        <w:t xml:space="preserve"> </w:t>
      </w:r>
    </w:p>
    <w:p w:rsidR="00A92422" w:rsidRPr="00D87B79" w:rsidRDefault="00A92422" w:rsidP="00A92422">
      <w:pPr>
        <w:rPr>
          <w:rFonts w:cs="Tahoma"/>
        </w:rPr>
      </w:pPr>
    </w:p>
    <w:p w:rsidR="00A92422" w:rsidRPr="00D87B79" w:rsidRDefault="00A92422" w:rsidP="00A92422">
      <w:pPr>
        <w:rPr>
          <w:rFonts w:cs="Tahoma"/>
        </w:rPr>
      </w:pPr>
    </w:p>
    <w:p w:rsidR="00A92422" w:rsidRPr="00D87B79" w:rsidRDefault="00A92422" w:rsidP="00A92422">
      <w:pPr>
        <w:pStyle w:val="Heading2"/>
        <w:ind w:left="0"/>
        <w:rPr>
          <w:rFonts w:ascii="Tahoma" w:hAnsi="Tahoma" w:cs="Tahoma"/>
        </w:rPr>
      </w:pPr>
      <w:bookmarkStart w:id="1040" w:name="_Toc323159784"/>
      <w:bookmarkStart w:id="1041" w:name="_Toc336338253"/>
      <w:bookmarkStart w:id="1042" w:name="_Toc342900305"/>
      <w:bookmarkEnd w:id="1040"/>
      <w:bookmarkEnd w:id="1041"/>
      <w:r w:rsidRPr="00D87B79">
        <w:rPr>
          <w:rFonts w:ascii="Tahoma" w:hAnsi="Tahoma" w:cs="Tahoma"/>
          <w:lang w:val="it-IT"/>
        </w:rPr>
        <w:t>Licenze Indipendenti dalla Piattaforma</w:t>
      </w:r>
      <w:bookmarkEnd w:id="1042"/>
    </w:p>
    <w:p w:rsidR="00A92422" w:rsidRPr="00D87B79" w:rsidRDefault="00A92422" w:rsidP="00A92422">
      <w:pPr>
        <w:tabs>
          <w:tab w:val="num" w:pos="0"/>
        </w:tabs>
        <w:ind w:right="720"/>
        <w:rPr>
          <w:rFonts w:cs="Tahoma"/>
        </w:rPr>
      </w:pPr>
    </w:p>
    <w:p w:rsidR="00A92422" w:rsidRPr="00D87B79" w:rsidRDefault="00A92422" w:rsidP="00A92422">
      <w:pPr>
        <w:pStyle w:val="AppendixBodyText"/>
        <w:spacing w:after="0"/>
        <w:ind w:right="720"/>
        <w:rPr>
          <w:rFonts w:ascii="Tahoma" w:hAnsi="Tahoma" w:cs="Tahoma"/>
        </w:rPr>
      </w:pPr>
      <w:r w:rsidRPr="00D87B79">
        <w:rPr>
          <w:rFonts w:ascii="Tahoma" w:hAnsi="Tahoma" w:cs="Tahoma"/>
          <w:color w:val="000000"/>
          <w:sz w:val="18"/>
          <w:lang w:val="it-IT"/>
        </w:rPr>
        <w:t>Microsoft Office Standard, Office Professional Plus, Word, Excel, PowerPoint, Outlook, Lync Office per Mac,</w:t>
      </w:r>
      <w:r>
        <w:rPr>
          <w:rFonts w:ascii="Tahoma" w:hAnsi="Tahoma" w:cs="Tahoma"/>
          <w:color w:val="000000"/>
          <w:sz w:val="18"/>
          <w:lang w:val="it-IT"/>
        </w:rPr>
        <w:t> </w:t>
      </w:r>
      <w:r w:rsidRPr="00D87B79">
        <w:rPr>
          <w:rFonts w:ascii="Tahoma" w:hAnsi="Tahoma" w:cs="Tahoma"/>
          <w:color w:val="000000"/>
          <w:sz w:val="18"/>
          <w:lang w:val="it-IT"/>
        </w:rPr>
        <w:t>Word per Mac, Excel per Mac, PowerPoint per Mac, Lync per Mac e Outlook per Mac sono licenze “indipendenti dalla piattaforma”. Una licenza indipendente dalla piattaforma consente l’utilizzo di un prodotto specifico su qualsiasi piattaforma di computer su cui è in esecuzione il software, a condizione che</w:t>
      </w:r>
      <w:r>
        <w:rPr>
          <w:rFonts w:ascii="Tahoma" w:hAnsi="Tahoma" w:cs="Tahoma"/>
          <w:color w:val="000000"/>
          <w:sz w:val="18"/>
          <w:lang w:val="it-IT"/>
        </w:rPr>
        <w:t> </w:t>
      </w:r>
      <w:r w:rsidRPr="00D87B79">
        <w:rPr>
          <w:rFonts w:ascii="Tahoma" w:hAnsi="Tahoma" w:cs="Tahoma"/>
          <w:color w:val="000000"/>
          <w:sz w:val="18"/>
          <w:lang w:val="it-IT"/>
        </w:rPr>
        <w:t>la versione usata sia identica o precedente alla versione originale ottenuta in licenza. Ad esempio, una società che ha ottenuto in licenza Office per Mac Standard 2011 potrà scegliere di utilizzare tale licenza per</w:t>
      </w:r>
      <w:r>
        <w:rPr>
          <w:rFonts w:ascii="Tahoma" w:hAnsi="Tahoma" w:cs="Tahoma"/>
          <w:color w:val="000000"/>
          <w:sz w:val="18"/>
          <w:lang w:val="it-IT"/>
        </w:rPr>
        <w:t> </w:t>
      </w:r>
      <w:r w:rsidRPr="00D87B79">
        <w:rPr>
          <w:rFonts w:ascii="Tahoma" w:hAnsi="Tahoma" w:cs="Tahoma"/>
          <w:color w:val="000000"/>
          <w:sz w:val="18"/>
          <w:lang w:val="it-IT"/>
        </w:rPr>
        <w:t>eseguire Office Standard 2010 per Windows.</w:t>
      </w:r>
    </w:p>
    <w:p w:rsidR="00A92422" w:rsidRPr="00D87B79" w:rsidRDefault="00A92422" w:rsidP="00A92422">
      <w:pPr>
        <w:pStyle w:val="AppendixBodyText"/>
        <w:spacing w:after="0"/>
        <w:rPr>
          <w:rFonts w:ascii="Tahoma" w:hAnsi="Tahoma" w:cs="Tahoma"/>
        </w:rPr>
      </w:pPr>
    </w:p>
    <w:p w:rsidR="00A92422" w:rsidRPr="00D87B79" w:rsidRDefault="00A92422" w:rsidP="00A92422">
      <w:pPr>
        <w:pStyle w:val="AppendixBodyText"/>
        <w:spacing w:after="0"/>
        <w:ind w:right="720"/>
        <w:rPr>
          <w:rFonts w:ascii="Tahoma" w:hAnsi="Tahoma" w:cs="Tahoma"/>
        </w:rPr>
      </w:pPr>
      <w:r w:rsidRPr="00D87B79">
        <w:rPr>
          <w:rFonts w:ascii="Tahoma" w:hAnsi="Tahoma" w:cs="Tahoma"/>
          <w:color w:val="000000"/>
          <w:sz w:val="18"/>
          <w:szCs w:val="18"/>
          <w:lang w:val="it-IT"/>
        </w:rPr>
        <w:t>I componenti di una famiglia di prodotti potranno essere diversi a seconda della versione della piattaforma.</w:t>
      </w:r>
      <w:r w:rsidRPr="00D87B79">
        <w:rPr>
          <w:rFonts w:ascii="Tahoma" w:hAnsi="Tahoma" w:cs="Tahoma"/>
          <w:color w:val="000000"/>
          <w:sz w:val="18"/>
          <w:szCs w:val="18"/>
        </w:rPr>
        <w:t xml:space="preserve"> </w:t>
      </w:r>
      <w:r w:rsidRPr="00D87B79">
        <w:rPr>
          <w:rFonts w:ascii="Tahoma" w:hAnsi="Tahoma" w:cs="Tahoma"/>
          <w:color w:val="000000"/>
          <w:sz w:val="18"/>
          <w:szCs w:val="18"/>
          <w:lang w:val="it-IT"/>
        </w:rPr>
        <w:t>La società potrà utilizzare esclusivamente i componenti della famiglia di prodotti che ha scelto di distribuire.</w:t>
      </w:r>
      <w:r w:rsidRPr="00D87B79">
        <w:rPr>
          <w:rFonts w:ascii="Tahoma" w:hAnsi="Tahoma" w:cs="Tahoma"/>
        </w:rPr>
        <w:t xml:space="preserve"> </w:t>
      </w:r>
      <w:r w:rsidRPr="00D87B79">
        <w:rPr>
          <w:rFonts w:ascii="Tahoma" w:hAnsi="Tahoma" w:cs="Tahoma"/>
          <w:color w:val="000000"/>
          <w:sz w:val="18"/>
          <w:lang w:val="it-IT"/>
        </w:rPr>
        <w:t>Ad esempio, nel caso in cui una società con licenza per Office per Mac Standard 2011 scelga di eseguire Office Standard 2010, tale società potrà eseguire solo i componenti inclusi in Office Standard 2010. Non avrà, ad esempio, il diritto di eseguire Lync, bensì OneNote.</w:t>
      </w:r>
    </w:p>
    <w:p w:rsidR="00A92422" w:rsidRPr="00D87B79" w:rsidRDefault="00A92422" w:rsidP="00A92422">
      <w:pPr>
        <w:pStyle w:val="AppendixBodyText"/>
        <w:spacing w:after="0"/>
        <w:ind w:right="720"/>
        <w:rPr>
          <w:rFonts w:ascii="Tahoma" w:hAnsi="Tahoma" w:cs="Tahoma"/>
        </w:rPr>
      </w:pPr>
      <w:r w:rsidRPr="00D87B79">
        <w:rPr>
          <w:rFonts w:ascii="Tahoma" w:hAnsi="Tahoma" w:cs="Tahoma"/>
          <w:color w:val="000000"/>
          <w:sz w:val="18"/>
          <w:lang w:val="it-IT"/>
        </w:rPr>
        <w:t>Inoltre, la copertura Software Assurance attiva per una licenza indipendente dalla piattaforma permette a</w:t>
      </w:r>
      <w:r>
        <w:rPr>
          <w:rFonts w:ascii="Tahoma" w:hAnsi="Tahoma" w:cs="Tahoma"/>
          <w:color w:val="000000"/>
          <w:sz w:val="18"/>
          <w:lang w:val="it-IT"/>
        </w:rPr>
        <w:t> </w:t>
      </w:r>
      <w:r w:rsidRPr="00D87B79">
        <w:rPr>
          <w:rFonts w:ascii="Tahoma" w:hAnsi="Tahoma" w:cs="Tahoma"/>
          <w:color w:val="000000"/>
          <w:sz w:val="18"/>
          <w:lang w:val="it-IT"/>
        </w:rPr>
        <w:t>una società di utilizzare al posto del prodotto con licenza la versione più corrente di una delle due versioni della piattaforma del prodotto che diventa disponibile durante il periodo di validità della copertura Software Assurance (in conformità alla limitazione relativa ai componenti di cui sopra).</w:t>
      </w:r>
      <w:r w:rsidRPr="00D87B79">
        <w:rPr>
          <w:rFonts w:ascii="Tahoma" w:hAnsi="Tahoma" w:cs="Tahoma"/>
        </w:rPr>
        <w:t xml:space="preserve"> </w:t>
      </w:r>
      <w:r w:rsidRPr="00D87B79">
        <w:rPr>
          <w:rFonts w:ascii="Tahoma" w:hAnsi="Tahoma" w:cs="Tahoma"/>
          <w:color w:val="000000"/>
          <w:sz w:val="18"/>
          <w:lang w:val="it-IT"/>
        </w:rPr>
        <w:t>Ad esempio, una società che ha una copertura Software Assurance attiva per una licenza Office per Mac è idonea a utilizzare al posto di</w:t>
      </w:r>
      <w:r>
        <w:rPr>
          <w:rFonts w:ascii="Tahoma" w:hAnsi="Tahoma" w:cs="Tahoma"/>
          <w:color w:val="000000"/>
          <w:sz w:val="18"/>
          <w:lang w:val="it-IT"/>
        </w:rPr>
        <w:t> </w:t>
      </w:r>
      <w:r w:rsidRPr="00D87B79">
        <w:rPr>
          <w:rFonts w:ascii="Tahoma" w:hAnsi="Tahoma" w:cs="Tahoma"/>
          <w:color w:val="000000"/>
          <w:sz w:val="18"/>
          <w:lang w:val="it-IT"/>
        </w:rPr>
        <w:t>Office per Mac la versione più corrente della corrispondente edizione di Office per Windows rilasciata nel</w:t>
      </w:r>
      <w:r>
        <w:rPr>
          <w:rFonts w:ascii="Tahoma" w:hAnsi="Tahoma" w:cs="Tahoma"/>
          <w:color w:val="000000"/>
          <w:sz w:val="18"/>
          <w:lang w:val="it-IT"/>
        </w:rPr>
        <w:t> </w:t>
      </w:r>
      <w:r w:rsidRPr="00D87B79">
        <w:rPr>
          <w:rFonts w:ascii="Tahoma" w:hAnsi="Tahoma" w:cs="Tahoma"/>
          <w:color w:val="000000"/>
          <w:sz w:val="18"/>
          <w:lang w:val="it-IT"/>
        </w:rPr>
        <w:t>periodo di validità della copertura.</w:t>
      </w:r>
    </w:p>
    <w:p w:rsidR="00A92422" w:rsidRPr="00D87B79" w:rsidRDefault="00A92422" w:rsidP="00A92422">
      <w:pPr>
        <w:pStyle w:val="AppendixBodyText"/>
        <w:spacing w:after="0"/>
        <w:ind w:right="720"/>
        <w:rPr>
          <w:rFonts w:ascii="Tahoma" w:hAnsi="Tahoma" w:cs="Tahoma"/>
        </w:rPr>
      </w:pPr>
      <w:r w:rsidRPr="00D87B79">
        <w:rPr>
          <w:rFonts w:ascii="Tahoma" w:hAnsi="Tahoma" w:cs="Tahoma"/>
          <w:sz w:val="18"/>
          <w:lang w:val="it-IT"/>
        </w:rPr>
        <w:lastRenderedPageBreak/>
        <w:t>Microsoft SQL Server è una licenza “indipendente dalla piattaforma”.</w:t>
      </w:r>
      <w:r w:rsidRPr="00D87B79">
        <w:rPr>
          <w:rFonts w:ascii="Tahoma" w:hAnsi="Tahoma" w:cs="Tahoma"/>
        </w:rPr>
        <w:t xml:space="preserve"> </w:t>
      </w:r>
      <w:r w:rsidRPr="00D87B79">
        <w:rPr>
          <w:rFonts w:ascii="Tahoma" w:hAnsi="Tahoma" w:cs="Tahoma"/>
          <w:sz w:val="18"/>
          <w:lang w:val="it-IT"/>
        </w:rPr>
        <w:t>Una licenza indipendente dalla piattaforma consente l’utilizzo di un prodotto specifico su qualsiasi piattaforma di computer su cui è in esecuzione il software, a condizione che la versione usata sia identica o precedente alla versione originale ottenuta in licenza.</w:t>
      </w:r>
    </w:p>
    <w:p w:rsidR="00A92422" w:rsidRPr="00D87B79" w:rsidRDefault="00A92422" w:rsidP="00A92422">
      <w:pPr>
        <w:pStyle w:val="AppendixBodyText"/>
        <w:spacing w:after="0"/>
        <w:ind w:right="720"/>
        <w:rPr>
          <w:rFonts w:ascii="Tahoma" w:hAnsi="Tahoma" w:cs="Tahoma"/>
        </w:rPr>
      </w:pPr>
    </w:p>
    <w:p w:rsidR="00A92422" w:rsidRPr="00D87B79" w:rsidRDefault="00A92422" w:rsidP="00A92422">
      <w:pPr>
        <w:pStyle w:val="AppendixBodyText"/>
        <w:spacing w:after="0"/>
        <w:ind w:right="720"/>
        <w:rPr>
          <w:rFonts w:ascii="Tahoma" w:hAnsi="Tahoma" w:cs="Tahoma"/>
        </w:rPr>
      </w:pPr>
      <w:r w:rsidRPr="00D87B79">
        <w:rPr>
          <w:rFonts w:ascii="Tahoma" w:hAnsi="Tahoma" w:cs="Tahoma"/>
          <w:sz w:val="18"/>
          <w:lang w:val="it-IT"/>
        </w:rPr>
        <w:t>Inoltre, una società che si iscrive a una licenza indipendente dalla piattaforma in Software Assurance è idonea a utilizzare la versione più corrente di quel particolare prodotto che è disponibile durante il periodo di</w:t>
      </w:r>
      <w:r>
        <w:rPr>
          <w:rFonts w:ascii="Tahoma" w:hAnsi="Tahoma" w:cs="Tahoma"/>
          <w:sz w:val="18"/>
          <w:lang w:val="it-IT"/>
        </w:rPr>
        <w:t> </w:t>
      </w:r>
      <w:r w:rsidRPr="00D87B79">
        <w:rPr>
          <w:rFonts w:ascii="Tahoma" w:hAnsi="Tahoma" w:cs="Tahoma"/>
          <w:sz w:val="18"/>
          <w:lang w:val="it-IT"/>
        </w:rPr>
        <w:t>validità della copertura Software Assurance, indipendentemente dalla piattaforma (a condizione che sia installata o utilizzata una sola versione alla volta).</w:t>
      </w:r>
    </w:p>
    <w:p w:rsidR="00A92422" w:rsidRPr="00D87B79" w:rsidRDefault="00A92422" w:rsidP="00A92422">
      <w:pPr>
        <w:rPr>
          <w:rFonts w:cs="Tahoma"/>
        </w:rPr>
      </w:pPr>
    </w:p>
    <w:p w:rsidR="00A92422" w:rsidRPr="00D87B79" w:rsidRDefault="00A92422" w:rsidP="00A92422">
      <w:pPr>
        <w:rPr>
          <w:rFonts w:cs="Tahoma"/>
        </w:rPr>
      </w:pPr>
      <w:bookmarkStart w:id="1043" w:name="_Toc336338254"/>
    </w:p>
    <w:p w:rsidR="00A92422" w:rsidRPr="00D87B79" w:rsidRDefault="00A92422" w:rsidP="00A92422">
      <w:pPr>
        <w:pStyle w:val="Heading2"/>
        <w:ind w:left="0"/>
        <w:rPr>
          <w:rFonts w:ascii="Tahoma" w:hAnsi="Tahoma" w:cs="Tahoma"/>
        </w:rPr>
      </w:pPr>
      <w:bookmarkStart w:id="1044" w:name="_Toc342900306"/>
      <w:bookmarkEnd w:id="1043"/>
      <w:r w:rsidRPr="00D87B79">
        <w:rPr>
          <w:rFonts w:ascii="Tahoma" w:hAnsi="Tahoma" w:cs="Tahoma"/>
          <w:lang w:val="it-IT"/>
        </w:rPr>
        <w:t>Codice “Product Key” per Volume Licensing</w:t>
      </w:r>
      <w:bookmarkEnd w:id="1044"/>
    </w:p>
    <w:p w:rsidR="00A92422" w:rsidRPr="00D87B79" w:rsidRDefault="00A92422" w:rsidP="00A92422">
      <w:pPr>
        <w:spacing w:after="60"/>
        <w:ind w:right="720"/>
        <w:rPr>
          <w:rFonts w:cs="Tahoma"/>
        </w:rPr>
      </w:pPr>
    </w:p>
    <w:p w:rsidR="00A92422" w:rsidRPr="00D87B79" w:rsidRDefault="00A92422" w:rsidP="00A92422">
      <w:pPr>
        <w:ind w:right="720"/>
        <w:rPr>
          <w:rFonts w:cs="Tahoma"/>
        </w:rPr>
      </w:pPr>
      <w:r w:rsidRPr="00D87B79">
        <w:rPr>
          <w:rFonts w:cs="Tahoma"/>
          <w:color w:val="000000"/>
          <w:lang w:val="it-IT"/>
        </w:rPr>
        <w:t xml:space="preserve">I codici “Product Key” consentono alle organizzazioni di utilizzare il software e i prodotti ricevuti in licenza. Tutti i codici vengono rilasciati a una società ai sensi di un contratto di licenza specifico. Per ottenere i codici “Product Key”, visitare </w:t>
      </w:r>
      <w:hyperlink r:id="rId26" w:history="1">
        <w:r w:rsidRPr="00D87B79">
          <w:rPr>
            <w:rStyle w:val="Hyperlink"/>
            <w:rFonts w:cs="Tahoma"/>
            <w:lang w:val="it-IT"/>
          </w:rPr>
          <w:t>Microsoft Volume Licensing Service Center (VLSC)</w:t>
        </w:r>
      </w:hyperlink>
      <w:r w:rsidRPr="00D87B79">
        <w:rPr>
          <w:rFonts w:cs="Tahoma"/>
          <w:color w:val="000000"/>
          <w:lang w:val="it-IT"/>
        </w:rPr>
        <w:t>.</w:t>
      </w:r>
      <w:r w:rsidRPr="00D87B79">
        <w:rPr>
          <w:rFonts w:cs="Tahoma"/>
        </w:rPr>
        <w:t xml:space="preserve"> </w:t>
      </w:r>
      <w:r w:rsidRPr="00D87B79">
        <w:rPr>
          <w:rFonts w:cs="Tahoma"/>
          <w:color w:val="000000"/>
          <w:lang w:val="it-IT"/>
        </w:rPr>
        <w:t xml:space="preserve">Sarà inoltre possibile contattare il </w:t>
      </w:r>
      <w:hyperlink r:id="rId27" w:history="1">
        <w:r w:rsidRPr="00D87B79">
          <w:rPr>
            <w:rStyle w:val="Hyperlink"/>
            <w:rFonts w:cs="Tahoma"/>
            <w:color w:val="0070C0"/>
            <w:lang w:val="it-IT"/>
          </w:rPr>
          <w:t>Centro di Attivazione Multilicenza Microsoft</w:t>
        </w:r>
      </w:hyperlink>
      <w:r w:rsidRPr="00D87B79">
        <w:rPr>
          <w:rFonts w:cs="Tahoma"/>
          <w:color w:val="0070C0"/>
          <w:lang w:val="it-IT"/>
        </w:rPr>
        <w:t>.</w:t>
      </w:r>
      <w:r w:rsidRPr="00D87B79">
        <w:rPr>
          <w:rFonts w:cs="Tahoma"/>
        </w:rPr>
        <w:t xml:space="preserve"> </w:t>
      </w:r>
    </w:p>
    <w:p w:rsidR="00A92422" w:rsidRPr="00D87B79" w:rsidRDefault="00A92422" w:rsidP="00A92422">
      <w:pPr>
        <w:ind w:right="720"/>
        <w:rPr>
          <w:rFonts w:cs="Tahoma"/>
        </w:rPr>
      </w:pPr>
    </w:p>
    <w:p w:rsidR="00A92422" w:rsidRPr="00D87B79" w:rsidRDefault="00A92422" w:rsidP="00A92422">
      <w:pPr>
        <w:ind w:right="720"/>
        <w:rPr>
          <w:rFonts w:cs="Tahoma"/>
        </w:rPr>
      </w:pPr>
      <w:r w:rsidRPr="00D87B79">
        <w:rPr>
          <w:rFonts w:cs="Tahoma"/>
          <w:color w:val="000000"/>
          <w:szCs w:val="18"/>
          <w:lang w:val="it-IT"/>
        </w:rPr>
        <w:t>Per prendere visione di una lista di prodotti Volume Licensing che richiedono i codici “Product Key” e</w:t>
      </w:r>
      <w:r>
        <w:rPr>
          <w:rFonts w:cs="Tahoma"/>
          <w:color w:val="000000"/>
          <w:szCs w:val="18"/>
          <w:lang w:val="it-IT"/>
        </w:rPr>
        <w:t> </w:t>
      </w:r>
      <w:r w:rsidRPr="00D87B79">
        <w:rPr>
          <w:rFonts w:cs="Tahoma"/>
          <w:color w:val="000000"/>
          <w:szCs w:val="18"/>
          <w:lang w:val="it-IT"/>
        </w:rPr>
        <w:t>per</w:t>
      </w:r>
      <w:r>
        <w:rPr>
          <w:rFonts w:cs="Tahoma"/>
          <w:color w:val="000000"/>
          <w:szCs w:val="18"/>
          <w:lang w:val="it-IT"/>
        </w:rPr>
        <w:t> </w:t>
      </w:r>
      <w:r w:rsidRPr="00D87B79">
        <w:rPr>
          <w:rFonts w:cs="Tahoma"/>
          <w:color w:val="000000"/>
          <w:szCs w:val="18"/>
          <w:lang w:val="it-IT"/>
        </w:rPr>
        <w:t>ulteriori informazioni, fare riferimento a:</w:t>
      </w:r>
      <w:r w:rsidRPr="00D87B79">
        <w:rPr>
          <w:rFonts w:cs="Tahoma"/>
          <w:color w:val="000000"/>
          <w:szCs w:val="18"/>
        </w:rPr>
        <w:t xml:space="preserve"> </w:t>
      </w:r>
      <w:hyperlink r:id="rId28" w:history="1">
        <w:r w:rsidRPr="00D87B79">
          <w:rPr>
            <w:rStyle w:val="Hyperlink"/>
            <w:rFonts w:cs="Tahoma"/>
            <w:lang w:val="it-IT"/>
          </w:rPr>
          <w:t>http://www.microsoft.com/licensing/resources/vol/volumelicensekey/default.mspx</w:t>
        </w:r>
      </w:hyperlink>
      <w:r w:rsidRPr="00D87B79">
        <w:rPr>
          <w:rFonts w:cs="Tahoma"/>
          <w:lang w:val="it-IT"/>
        </w:rPr>
        <w:t>.</w:t>
      </w:r>
      <w:r w:rsidRPr="00D87B79">
        <w:rPr>
          <w:rFonts w:cs="Tahoma"/>
        </w:rPr>
        <w:t xml:space="preserve"> </w:t>
      </w:r>
    </w:p>
    <w:p w:rsidR="00A92422" w:rsidRPr="00D87B79" w:rsidRDefault="00A92422" w:rsidP="00A92422">
      <w:pPr>
        <w:ind w:right="720"/>
        <w:rPr>
          <w:rFonts w:cs="Tahoma"/>
        </w:rPr>
      </w:pPr>
      <w:r w:rsidRPr="00D87B79">
        <w:rPr>
          <w:rFonts w:cs="Tahoma"/>
          <w:color w:val="1F497D"/>
          <w:szCs w:val="18"/>
        </w:rPr>
        <w:br/>
      </w:r>
      <w:r w:rsidRPr="00D87B79">
        <w:rPr>
          <w:rFonts w:cs="Tahoma"/>
          <w:color w:val="000000"/>
          <w:lang w:val="it-IT"/>
        </w:rPr>
        <w:t>Non tutti i prodotti con contratti multilicenza (Volume Licensing) richiedono un codice “Product Key”.</w:t>
      </w:r>
      <w:r w:rsidRPr="00D87B79">
        <w:rPr>
          <w:rFonts w:cs="Tahoma"/>
        </w:rPr>
        <w:t xml:space="preserve"> </w:t>
      </w:r>
      <w:r w:rsidRPr="00D87B79">
        <w:rPr>
          <w:rFonts w:cs="Tahoma"/>
          <w:color w:val="000000"/>
          <w:lang w:val="it-IT"/>
        </w:rPr>
        <w:t>Se</w:t>
      </w:r>
      <w:r>
        <w:rPr>
          <w:rFonts w:cs="Tahoma"/>
          <w:color w:val="000000"/>
          <w:lang w:val="it-IT"/>
        </w:rPr>
        <w:t> </w:t>
      </w:r>
      <w:r w:rsidRPr="00D87B79">
        <w:rPr>
          <w:rFonts w:cs="Tahoma"/>
          <w:color w:val="000000"/>
          <w:lang w:val="it-IT"/>
        </w:rPr>
        <w:t>il</w:t>
      </w:r>
      <w:r>
        <w:rPr>
          <w:rFonts w:cs="Tahoma"/>
          <w:color w:val="000000"/>
          <w:lang w:val="it-IT"/>
        </w:rPr>
        <w:t> </w:t>
      </w:r>
      <w:r w:rsidRPr="00D87B79">
        <w:rPr>
          <w:rFonts w:cs="Tahoma"/>
          <w:color w:val="000000"/>
          <w:lang w:val="it-IT"/>
        </w:rPr>
        <w:t>prodotto non è indicato nell’elenco, non richiede un codice “Product Key”.</w:t>
      </w:r>
    </w:p>
    <w:p w:rsidR="00A92422" w:rsidRPr="00D87B79" w:rsidRDefault="00A92422" w:rsidP="00A92422">
      <w:pPr>
        <w:ind w:right="720"/>
        <w:rPr>
          <w:rFonts w:cs="Tahoma"/>
        </w:rPr>
      </w:pPr>
    </w:p>
    <w:p w:rsidR="00A92422" w:rsidRPr="00D87B79" w:rsidRDefault="00A92422" w:rsidP="00A92422">
      <w:pPr>
        <w:ind w:right="720"/>
        <w:rPr>
          <w:rFonts w:cs="Tahoma"/>
        </w:rPr>
      </w:pPr>
      <w:r w:rsidRPr="00D87B79">
        <w:rPr>
          <w:rFonts w:cs="Tahoma"/>
          <w:b/>
          <w:color w:val="000000"/>
          <w:lang w:val="it-IT"/>
        </w:rPr>
        <w:t>Nota</w:t>
      </w:r>
      <w:r w:rsidRPr="002015B0">
        <w:rPr>
          <w:rFonts w:cs="Tahoma"/>
          <w:b/>
          <w:color w:val="000000"/>
          <w:lang w:val="it-IT"/>
        </w:rPr>
        <w:t>:</w:t>
      </w:r>
      <w:r w:rsidRPr="00D87B79">
        <w:rPr>
          <w:rFonts w:cs="Tahoma"/>
          <w:color w:val="000000"/>
          <w:lang w:val="it-IT"/>
        </w:rPr>
        <w:t> i codici “Product Key” vengono ceduti all'organizzazione e sono a suo esclusivo utilizzo.</w:t>
      </w:r>
      <w:r w:rsidRPr="00D87B79">
        <w:rPr>
          <w:rFonts w:cs="Tahoma"/>
        </w:rPr>
        <w:t xml:space="preserve"> </w:t>
      </w:r>
      <w:r w:rsidRPr="00D87B79">
        <w:rPr>
          <w:rFonts w:cs="Tahoma"/>
          <w:color w:val="000000"/>
          <w:lang w:val="it-IT"/>
        </w:rPr>
        <w:t>La società sarà responsabile dell’utilizzo non autorizzato dei codici “Product Key” rilasciati ai sensi del contratto stipulato.</w:t>
      </w:r>
      <w:r w:rsidRPr="00D87B79">
        <w:rPr>
          <w:rFonts w:cs="Tahoma"/>
        </w:rPr>
        <w:t xml:space="preserve"> </w:t>
      </w:r>
      <w:r w:rsidRPr="00D87B79">
        <w:rPr>
          <w:rFonts w:cs="Tahoma"/>
          <w:color w:val="000000"/>
          <w:lang w:val="it-IT"/>
        </w:rPr>
        <w:t>La società dovrà adottare le precauzioni necessarie per proteggerli.</w:t>
      </w:r>
      <w:r w:rsidRPr="00D87B79">
        <w:rPr>
          <w:rFonts w:cs="Tahoma"/>
        </w:rPr>
        <w:t xml:space="preserve"> </w:t>
      </w:r>
      <w:r w:rsidRPr="00D87B79">
        <w:rPr>
          <w:rFonts w:cs="Tahoma"/>
          <w:color w:val="000000"/>
          <w:lang w:val="it-IT"/>
        </w:rPr>
        <w:t>Non dovrà divulgarli a terzi non autorizzati.</w:t>
      </w:r>
    </w:p>
    <w:p w:rsidR="00A92422" w:rsidRPr="00D87B79" w:rsidRDefault="00A92422" w:rsidP="00A92422">
      <w:pPr>
        <w:pStyle w:val="Heading1"/>
      </w:pPr>
      <w:r w:rsidRPr="00D87B79">
        <w:br w:type="page"/>
      </w:r>
      <w:bookmarkStart w:id="1045" w:name="_Toc336338255"/>
      <w:bookmarkStart w:id="1046" w:name="_Toc342900307"/>
      <w:bookmarkEnd w:id="1045"/>
      <w:r w:rsidRPr="00D87B79">
        <w:lastRenderedPageBreak/>
        <w:t>NOTE del Prodotto</w:t>
      </w:r>
      <w:bookmarkEnd w:id="1046"/>
    </w:p>
    <w:p w:rsidR="00A92422" w:rsidRPr="00D87B79" w:rsidRDefault="00A92422" w:rsidP="00A92422">
      <w:pPr>
        <w:pStyle w:val="Heading2"/>
        <w:ind w:hanging="540"/>
        <w:rPr>
          <w:rFonts w:ascii="Tahoma" w:hAnsi="Tahoma" w:cs="Tahoma"/>
        </w:rPr>
      </w:pPr>
    </w:p>
    <w:p w:rsidR="00A92422" w:rsidRDefault="00A92422" w:rsidP="00A92422">
      <w:pPr>
        <w:pStyle w:val="Heading2"/>
        <w:ind w:left="0"/>
        <w:rPr>
          <w:rFonts w:ascii="Tahoma" w:hAnsi="Tahoma" w:cs="Tahoma"/>
          <w:sz w:val="28"/>
          <w:lang w:val="it-IT"/>
        </w:rPr>
      </w:pPr>
      <w:bookmarkStart w:id="1047" w:name="_Toc336338256"/>
      <w:bookmarkStart w:id="1048" w:name="_Toc342900308"/>
      <w:bookmarkEnd w:id="1047"/>
      <w:r w:rsidRPr="00D87B79">
        <w:rPr>
          <w:rFonts w:ascii="Tahoma" w:hAnsi="Tahoma" w:cs="Tahoma"/>
          <w:sz w:val="28"/>
          <w:lang w:val="it-IT"/>
        </w:rPr>
        <w:t>Pool di Applicazioni</w:t>
      </w:r>
      <w:bookmarkEnd w:id="1048"/>
    </w:p>
    <w:p w:rsidR="00A92422" w:rsidRPr="00D56217" w:rsidRDefault="00A92422" w:rsidP="00A92422">
      <w:pPr>
        <w:rPr>
          <w:lang w:val="it-IT"/>
        </w:rPr>
      </w:pPr>
    </w:p>
    <w:p w:rsidR="00A92422" w:rsidRPr="00D87B79" w:rsidRDefault="00A92422" w:rsidP="00A92422">
      <w:pPr>
        <w:pStyle w:val="Heading3"/>
        <w:rPr>
          <w:rFonts w:ascii="Tahoma" w:hAnsi="Tahoma" w:cs="Tahoma"/>
        </w:rPr>
      </w:pPr>
      <w:bookmarkStart w:id="1049" w:name="_1_Data_Analyzer"/>
      <w:bookmarkStart w:id="1050" w:name="_Toc336338257"/>
      <w:bookmarkStart w:id="1051" w:name="_Toc342900309"/>
      <w:bookmarkStart w:id="1052" w:name="Aps_1BingMapsDesktopandContentPack"/>
      <w:bookmarkEnd w:id="1049"/>
      <w:bookmarkEnd w:id="1050"/>
      <w:r w:rsidRPr="00D87B79">
        <w:rPr>
          <w:rFonts w:ascii="Tahoma" w:hAnsi="Tahoma" w:cs="Tahoma"/>
          <w:caps/>
          <w:color w:val="F66400"/>
          <w:sz w:val="22"/>
          <w:vertAlign w:val="superscript"/>
          <w:lang w:val="it-IT"/>
        </w:rPr>
        <w:t>1</w:t>
      </w:r>
      <w:r w:rsidRPr="00D87B79">
        <w:rPr>
          <w:rFonts w:ascii="Tahoma" w:hAnsi="Tahoma" w:cs="Tahoma"/>
          <w:color w:val="F66400"/>
          <w:sz w:val="22"/>
          <w:lang w:val="it-IT"/>
        </w:rPr>
        <w:t xml:space="preserve"> Bing Maps Desktop con Enhanced Content Pack</w:t>
      </w:r>
      <w:bookmarkEnd w:id="1051"/>
    </w:p>
    <w:bookmarkEnd w:id="1052"/>
    <w:p w:rsidR="00A92422" w:rsidRPr="00D87B79" w:rsidRDefault="00A92422" w:rsidP="00A92422">
      <w:pPr>
        <w:rPr>
          <w:rFonts w:cs="Tahoma"/>
        </w:rPr>
      </w:pPr>
    </w:p>
    <w:p w:rsidR="00A92422" w:rsidRPr="00D87B79" w:rsidRDefault="00A92422" w:rsidP="00A92422">
      <w:pPr>
        <w:spacing w:after="60"/>
        <w:ind w:left="720"/>
        <w:rPr>
          <w:rFonts w:cs="Tahoma"/>
        </w:rPr>
      </w:pPr>
      <w:bookmarkStart w:id="1053" w:name="Aps_ExpStudioproducts"/>
      <w:bookmarkStart w:id="1054" w:name="Aps_ExpStudio2"/>
      <w:bookmarkStart w:id="1055" w:name="Aps_1ExpStudio3"/>
      <w:bookmarkEnd w:id="1053"/>
      <w:bookmarkEnd w:id="1054"/>
      <w:bookmarkEnd w:id="1055"/>
      <w:r w:rsidRPr="00D87B79">
        <w:rPr>
          <w:rFonts w:cs="Tahoma"/>
          <w:b/>
          <w:lang w:val="it-IT"/>
        </w:rPr>
        <w:t>Servizi di Generazione Necessari</w:t>
      </w:r>
      <w:r w:rsidRPr="00D87B79">
        <w:rPr>
          <w:rFonts w:cs="Tahoma"/>
        </w:rPr>
        <w:t xml:space="preserve"> </w:t>
      </w:r>
    </w:p>
    <w:p w:rsidR="00A92422" w:rsidRDefault="00A92422" w:rsidP="00A92422">
      <w:pPr>
        <w:ind w:left="720"/>
        <w:rPr>
          <w:rFonts w:cs="Tahoma"/>
          <w:lang w:val="it-IT"/>
        </w:rPr>
      </w:pPr>
      <w:r w:rsidRPr="00D87B79">
        <w:rPr>
          <w:rFonts w:cs="Tahoma"/>
          <w:lang w:val="it-IT"/>
        </w:rPr>
        <w:t>Bing Maps Desktop con Enhanced Content Pack richiede i servizi di generazione del sistema di Vexcel, filiale</w:t>
      </w:r>
      <w:r>
        <w:rPr>
          <w:rFonts w:cs="Tahoma"/>
          <w:lang w:val="it-IT"/>
        </w:rPr>
        <w:t> </w:t>
      </w:r>
      <w:r w:rsidRPr="00D87B79">
        <w:rPr>
          <w:rFonts w:cs="Tahoma"/>
          <w:lang w:val="it-IT"/>
        </w:rPr>
        <w:t>geospaziale di Microsoft.</w:t>
      </w:r>
      <w:r w:rsidRPr="00D87B79">
        <w:rPr>
          <w:rFonts w:cs="Tahoma"/>
        </w:rPr>
        <w:t xml:space="preserve"> </w:t>
      </w:r>
      <w:r w:rsidRPr="00D87B79">
        <w:rPr>
          <w:rFonts w:cs="Tahoma"/>
          <w:lang w:val="it-IT"/>
        </w:rPr>
        <w:t xml:space="preserve">Servizi aggiuntivi di formazione, supporto e manutenzione sono disponibili, ma non necessari. Per ulteriori informazioni, visitare il sito </w:t>
      </w:r>
      <w:hyperlink r:id="rId29" w:history="1">
        <w:r w:rsidRPr="00D87B79">
          <w:rPr>
            <w:rStyle w:val="Hyperlink"/>
            <w:rFonts w:cs="Tahoma"/>
            <w:lang w:val="it-IT"/>
          </w:rPr>
          <w:t>http://www.vexcel.com/geospatial/bingmapsserver/index.asp</w:t>
        </w:r>
      </w:hyperlink>
      <w:r w:rsidRPr="00D87B79">
        <w:rPr>
          <w:rFonts w:cs="Tahoma"/>
          <w:lang w:val="it-IT"/>
        </w:rPr>
        <w:t>.</w:t>
      </w:r>
    </w:p>
    <w:p w:rsidR="00A92422" w:rsidRPr="00D87B79" w:rsidRDefault="00A92422" w:rsidP="00A92422">
      <w:pPr>
        <w:ind w:left="720"/>
        <w:rPr>
          <w:rFonts w:cs="Tahoma"/>
        </w:rPr>
      </w:pPr>
    </w:p>
    <w:p w:rsidR="00A92422" w:rsidRPr="00D87B79" w:rsidRDefault="00A92422" w:rsidP="00A92422">
      <w:pPr>
        <w:rPr>
          <w:rFonts w:cs="Tahoma"/>
        </w:rPr>
      </w:pPr>
    </w:p>
    <w:p w:rsidR="00A92422" w:rsidRPr="00D87B79" w:rsidRDefault="00A92422" w:rsidP="00A92422">
      <w:pPr>
        <w:pStyle w:val="Heading3"/>
        <w:ind w:left="180" w:hanging="180"/>
        <w:rPr>
          <w:rFonts w:ascii="Tahoma" w:hAnsi="Tahoma" w:cs="Tahoma"/>
        </w:rPr>
      </w:pPr>
      <w:bookmarkStart w:id="1056" w:name="_Toc336338258"/>
      <w:bookmarkStart w:id="1057" w:name="_2_Expression_Studio"/>
      <w:bookmarkStart w:id="1058" w:name="_Toc342900310"/>
      <w:bookmarkEnd w:id="1056"/>
      <w:bookmarkEnd w:id="1057"/>
      <w:r w:rsidRPr="00D87B79">
        <w:rPr>
          <w:rFonts w:ascii="Tahoma" w:hAnsi="Tahoma" w:cs="Tahoma"/>
          <w:caps/>
          <w:color w:val="F66400"/>
          <w:sz w:val="22"/>
          <w:vertAlign w:val="superscript"/>
          <w:lang w:val="it-IT"/>
        </w:rPr>
        <w:t>2</w:t>
      </w:r>
      <w:r w:rsidRPr="00D87B79">
        <w:rPr>
          <w:rFonts w:ascii="Tahoma" w:hAnsi="Tahoma" w:cs="Tahoma"/>
          <w:color w:val="F66400"/>
          <w:sz w:val="22"/>
          <w:lang w:val="it-IT"/>
        </w:rPr>
        <w:t xml:space="preserve"> Expression Studio Web Professional 4, Expression Studio Ultimate 4, Expression Encoder Pro 4</w:t>
      </w:r>
      <w:bookmarkEnd w:id="1058"/>
    </w:p>
    <w:p w:rsidR="00A92422" w:rsidRPr="00D87B79" w:rsidRDefault="00A92422" w:rsidP="00A92422">
      <w:pPr>
        <w:rPr>
          <w:rFonts w:cs="Tahoma"/>
        </w:rPr>
      </w:pPr>
    </w:p>
    <w:p w:rsidR="00A92422" w:rsidRPr="00D87B79" w:rsidRDefault="00A92422" w:rsidP="00A92422">
      <w:pPr>
        <w:spacing w:after="60"/>
        <w:ind w:left="720"/>
        <w:rPr>
          <w:rFonts w:cs="Tahoma"/>
        </w:rPr>
      </w:pPr>
      <w:r w:rsidRPr="00D87B79">
        <w:rPr>
          <w:rFonts w:cs="Tahoma"/>
          <w:b/>
          <w:lang w:val="it-IT"/>
        </w:rPr>
        <w:t>Expression Studio Web Professional 4</w:t>
      </w:r>
    </w:p>
    <w:p w:rsidR="00A92422" w:rsidRPr="00D87B79" w:rsidRDefault="00A92422" w:rsidP="00A92422">
      <w:pPr>
        <w:ind w:left="720"/>
        <w:rPr>
          <w:rFonts w:cs="Tahoma"/>
        </w:rPr>
      </w:pPr>
      <w:r w:rsidRPr="00D87B79">
        <w:rPr>
          <w:rFonts w:cs="Tahoma"/>
          <w:color w:val="000000"/>
          <w:szCs w:val="18"/>
          <w:lang w:val="it-IT"/>
        </w:rPr>
        <w:t>È stato applicato un nuovo marchio alla linea di prodotti Expression.</w:t>
      </w:r>
      <w:r w:rsidRPr="00D87B79">
        <w:rPr>
          <w:rFonts w:cs="Tahoma"/>
          <w:color w:val="000000"/>
          <w:szCs w:val="18"/>
        </w:rPr>
        <w:t xml:space="preserve"> </w:t>
      </w:r>
      <w:r w:rsidRPr="00D87B79">
        <w:rPr>
          <w:rFonts w:cs="Tahoma"/>
          <w:color w:val="000000"/>
          <w:szCs w:val="18"/>
          <w:lang w:val="it-IT"/>
        </w:rPr>
        <w:t>È stato modificato solo il marchio del</w:t>
      </w:r>
      <w:r>
        <w:rPr>
          <w:rFonts w:cs="Tahoma"/>
          <w:color w:val="000000"/>
          <w:szCs w:val="18"/>
          <w:lang w:val="it-IT"/>
        </w:rPr>
        <w:t> </w:t>
      </w:r>
      <w:r w:rsidRPr="00D87B79">
        <w:rPr>
          <w:rFonts w:cs="Tahoma"/>
          <w:color w:val="000000"/>
          <w:szCs w:val="18"/>
          <w:lang w:val="it-IT"/>
        </w:rPr>
        <w:t>prodotto. La versione 3 e la versione 4 del software sono uguali.</w:t>
      </w:r>
      <w:r w:rsidRPr="00D87B79">
        <w:rPr>
          <w:rFonts w:cs="Tahoma"/>
          <w:color w:val="000000"/>
          <w:szCs w:val="18"/>
        </w:rPr>
        <w:t xml:space="preserve"> </w:t>
      </w:r>
      <w:r w:rsidRPr="00D87B79">
        <w:rPr>
          <w:rFonts w:cs="Tahoma"/>
          <w:color w:val="000000"/>
          <w:szCs w:val="18"/>
          <w:lang w:val="it-IT"/>
        </w:rPr>
        <w:t>Di conseguenza, le società che dispongono della licenza per i prodotti con versione 3 saranno considerate titolari della licenza per i prodotti con versione 4 corrispondenti (come illustrato di seguito) e potranno utilizzare il software con il marchio associato alla versione 4 al posto del software con il marchio associato alla versione 3. Il diritto di utilizzo del</w:t>
      </w:r>
      <w:r>
        <w:rPr>
          <w:rFonts w:cs="Tahoma"/>
          <w:color w:val="000000"/>
          <w:szCs w:val="18"/>
          <w:lang w:val="it-IT"/>
        </w:rPr>
        <w:t> </w:t>
      </w:r>
      <w:r w:rsidRPr="00D87B79">
        <w:rPr>
          <w:rFonts w:cs="Tahoma"/>
          <w:color w:val="000000"/>
          <w:szCs w:val="18"/>
          <w:lang w:val="it-IT"/>
        </w:rPr>
        <w:t>software continuerà a essere disciplinato dalle condizioni del Contratto Multilicenza (Volume Licensing) della società e dai diritti di utilizzo del prodotto per il software integrati dalla presente nota relativa alle condizioni del prodotto.</w:t>
      </w:r>
      <w:r w:rsidRPr="00D87B79">
        <w:rPr>
          <w:rFonts w:cs="Tahoma"/>
        </w:rPr>
        <w:t xml:space="preserve"> </w:t>
      </w:r>
      <w:r w:rsidRPr="00D87B79">
        <w:rPr>
          <w:rFonts w:cs="Tahoma"/>
          <w:color w:val="000000"/>
          <w:lang w:val="it-IT"/>
        </w:rPr>
        <w:t>La modifica del marchio non estende la garanzia né le obbligazioni correlate al</w:t>
      </w:r>
      <w:r>
        <w:rPr>
          <w:rFonts w:cs="Tahoma"/>
          <w:color w:val="000000"/>
          <w:lang w:val="it-IT"/>
        </w:rPr>
        <w:t> </w:t>
      </w:r>
      <w:r w:rsidRPr="00D87B79">
        <w:rPr>
          <w:rFonts w:cs="Tahoma"/>
          <w:color w:val="000000"/>
          <w:lang w:val="it-IT"/>
        </w:rPr>
        <w:t>supporto tecnico di Microsoft in relazione alla copertura Software Assurance per il prodotto.</w:t>
      </w:r>
    </w:p>
    <w:p w:rsidR="00A92422" w:rsidRPr="00D87B79" w:rsidRDefault="00A92422" w:rsidP="00A92422">
      <w:pPr>
        <w:ind w:left="720"/>
        <w:rPr>
          <w:rFonts w:cs="Tahoma"/>
        </w:rPr>
      </w:pPr>
    </w:p>
    <w:tbl>
      <w:tblPr>
        <w:tblW w:w="0" w:type="auto"/>
        <w:tblInd w:w="10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3690"/>
      </w:tblGrid>
      <w:tr w:rsidR="00A92422" w:rsidRPr="00D87B79" w:rsidTr="00EA30FC">
        <w:tc>
          <w:tcPr>
            <w:tcW w:w="3690" w:type="dxa"/>
            <w:shd w:val="clear" w:color="auto" w:fill="FABF8F"/>
          </w:tcPr>
          <w:p w:rsidR="00A92422" w:rsidRPr="00D87B79" w:rsidRDefault="00A92422" w:rsidP="00EA30FC">
            <w:pPr>
              <w:ind w:left="342"/>
              <w:rPr>
                <w:rFonts w:cs="Tahoma"/>
                <w:b/>
                <w:color w:val="000000"/>
                <w:szCs w:val="18"/>
              </w:rPr>
            </w:pPr>
            <w:r w:rsidRPr="00D87B79">
              <w:rPr>
                <w:rFonts w:cs="Tahoma"/>
                <w:b/>
                <w:color w:val="000000"/>
                <w:szCs w:val="18"/>
                <w:lang w:val="it-IT"/>
              </w:rPr>
              <w:t>Nome Prodotto Precedente</w:t>
            </w:r>
          </w:p>
        </w:tc>
        <w:tc>
          <w:tcPr>
            <w:tcW w:w="3690" w:type="dxa"/>
            <w:shd w:val="clear" w:color="auto" w:fill="FABF8F"/>
          </w:tcPr>
          <w:p w:rsidR="00A92422" w:rsidRPr="00D87B79" w:rsidRDefault="00A92422" w:rsidP="00EA30FC">
            <w:pPr>
              <w:ind w:left="162"/>
              <w:rPr>
                <w:rFonts w:cs="Tahoma"/>
                <w:b/>
                <w:color w:val="000000"/>
                <w:szCs w:val="18"/>
              </w:rPr>
            </w:pPr>
            <w:r w:rsidRPr="00D87B79">
              <w:rPr>
                <w:rFonts w:cs="Tahoma"/>
                <w:b/>
                <w:color w:val="000000"/>
                <w:szCs w:val="18"/>
                <w:lang w:val="it-IT"/>
              </w:rPr>
              <w:t>Nuovo Nome Prodotto</w:t>
            </w:r>
          </w:p>
        </w:tc>
      </w:tr>
      <w:tr w:rsidR="00A92422" w:rsidRPr="00D87B79" w:rsidTr="00EA30FC">
        <w:tc>
          <w:tcPr>
            <w:tcW w:w="3690" w:type="dxa"/>
          </w:tcPr>
          <w:p w:rsidR="00A92422" w:rsidRPr="00D87B79" w:rsidRDefault="00A92422" w:rsidP="00EA30FC">
            <w:pPr>
              <w:numPr>
                <w:ilvl w:val="0"/>
                <w:numId w:val="28"/>
              </w:numPr>
              <w:ind w:left="522"/>
              <w:rPr>
                <w:rFonts w:cs="Tahoma"/>
                <w:color w:val="000000"/>
                <w:szCs w:val="18"/>
              </w:rPr>
            </w:pPr>
            <w:r w:rsidRPr="00D87B79">
              <w:rPr>
                <w:rFonts w:cs="Tahoma"/>
                <w:color w:val="000000"/>
                <w:szCs w:val="18"/>
                <w:lang w:val="it-IT"/>
              </w:rPr>
              <w:t>Expression Professional Subscription</w:t>
            </w:r>
          </w:p>
        </w:tc>
        <w:tc>
          <w:tcPr>
            <w:tcW w:w="3690" w:type="dxa"/>
          </w:tcPr>
          <w:p w:rsidR="00A92422" w:rsidRPr="00D87B79" w:rsidRDefault="00A92422" w:rsidP="00EA30FC">
            <w:pPr>
              <w:numPr>
                <w:ilvl w:val="0"/>
                <w:numId w:val="29"/>
              </w:numPr>
              <w:ind w:left="342" w:hanging="270"/>
              <w:rPr>
                <w:rFonts w:cs="Tahoma"/>
                <w:color w:val="000000"/>
                <w:szCs w:val="18"/>
              </w:rPr>
            </w:pPr>
            <w:r w:rsidRPr="00D87B79">
              <w:rPr>
                <w:rFonts w:cs="Tahoma"/>
                <w:color w:val="000000"/>
                <w:szCs w:val="18"/>
                <w:lang w:val="it-IT"/>
              </w:rPr>
              <w:t>Expression Studio Ultimate 4 + Expression Encoder Pro 4</w:t>
            </w:r>
          </w:p>
        </w:tc>
      </w:tr>
      <w:tr w:rsidR="00A92422" w:rsidRPr="00D87B79" w:rsidTr="00EA30FC">
        <w:tc>
          <w:tcPr>
            <w:tcW w:w="3690" w:type="dxa"/>
          </w:tcPr>
          <w:p w:rsidR="00A92422" w:rsidRPr="00D87B79" w:rsidRDefault="00A92422" w:rsidP="00EA30FC">
            <w:pPr>
              <w:numPr>
                <w:ilvl w:val="0"/>
                <w:numId w:val="28"/>
              </w:numPr>
              <w:ind w:left="522"/>
              <w:rPr>
                <w:rFonts w:cs="Tahoma"/>
                <w:color w:val="000000"/>
                <w:szCs w:val="18"/>
              </w:rPr>
            </w:pPr>
            <w:r w:rsidRPr="00D87B79">
              <w:rPr>
                <w:rFonts w:cs="Tahoma"/>
                <w:color w:val="000000"/>
                <w:szCs w:val="18"/>
                <w:lang w:val="it-IT"/>
              </w:rPr>
              <w:t>Expression Studio 3</w:t>
            </w:r>
          </w:p>
        </w:tc>
        <w:tc>
          <w:tcPr>
            <w:tcW w:w="3690" w:type="dxa"/>
          </w:tcPr>
          <w:p w:rsidR="00A92422" w:rsidRPr="00D87B79" w:rsidRDefault="00A92422" w:rsidP="00EA30FC">
            <w:pPr>
              <w:numPr>
                <w:ilvl w:val="0"/>
                <w:numId w:val="29"/>
              </w:numPr>
              <w:ind w:left="342" w:hanging="270"/>
              <w:rPr>
                <w:rFonts w:cs="Tahoma"/>
                <w:color w:val="000000"/>
                <w:szCs w:val="18"/>
              </w:rPr>
            </w:pPr>
            <w:r w:rsidRPr="00D87B79">
              <w:rPr>
                <w:rFonts w:cs="Tahoma"/>
                <w:color w:val="000000"/>
                <w:szCs w:val="18"/>
                <w:lang w:val="it-IT"/>
              </w:rPr>
              <w:t>Expression Studio Ultimate 4 + Expression Encoder Pro 4</w:t>
            </w:r>
          </w:p>
        </w:tc>
      </w:tr>
      <w:tr w:rsidR="00A92422" w:rsidRPr="00D87B79" w:rsidTr="00EA30FC">
        <w:tc>
          <w:tcPr>
            <w:tcW w:w="3690" w:type="dxa"/>
          </w:tcPr>
          <w:p w:rsidR="00A92422" w:rsidRPr="00D87B79" w:rsidRDefault="00A92422" w:rsidP="00EA30FC">
            <w:pPr>
              <w:numPr>
                <w:ilvl w:val="0"/>
                <w:numId w:val="28"/>
              </w:numPr>
              <w:ind w:left="522"/>
              <w:rPr>
                <w:rFonts w:cs="Tahoma"/>
                <w:color w:val="000000"/>
                <w:szCs w:val="18"/>
              </w:rPr>
            </w:pPr>
            <w:r w:rsidRPr="00D87B79">
              <w:rPr>
                <w:rFonts w:cs="Tahoma"/>
                <w:color w:val="000000"/>
                <w:szCs w:val="18"/>
                <w:lang w:val="it-IT"/>
              </w:rPr>
              <w:t>Expression Web 3</w:t>
            </w:r>
          </w:p>
        </w:tc>
        <w:tc>
          <w:tcPr>
            <w:tcW w:w="3690" w:type="dxa"/>
          </w:tcPr>
          <w:p w:rsidR="00A92422" w:rsidRPr="00D87B79" w:rsidRDefault="00A92422" w:rsidP="00EA30FC">
            <w:pPr>
              <w:numPr>
                <w:ilvl w:val="0"/>
                <w:numId w:val="29"/>
              </w:numPr>
              <w:ind w:left="342" w:hanging="270"/>
              <w:jc w:val="both"/>
              <w:rPr>
                <w:rFonts w:cs="Tahoma"/>
                <w:color w:val="000000"/>
                <w:szCs w:val="18"/>
              </w:rPr>
            </w:pPr>
            <w:r w:rsidRPr="00D87B79">
              <w:rPr>
                <w:rFonts w:cs="Tahoma"/>
                <w:color w:val="000000"/>
                <w:szCs w:val="18"/>
                <w:lang w:val="it-IT"/>
              </w:rPr>
              <w:t>Expression Studio Web Professional 4</w:t>
            </w:r>
          </w:p>
        </w:tc>
      </w:tr>
      <w:tr w:rsidR="00A92422" w:rsidRPr="00D87B79" w:rsidTr="00EA30FC">
        <w:tc>
          <w:tcPr>
            <w:tcW w:w="3690" w:type="dxa"/>
          </w:tcPr>
          <w:p w:rsidR="00A92422" w:rsidRPr="00D87B79" w:rsidRDefault="00A92422" w:rsidP="00EA30FC">
            <w:pPr>
              <w:numPr>
                <w:ilvl w:val="0"/>
                <w:numId w:val="28"/>
              </w:numPr>
              <w:ind w:left="522"/>
              <w:rPr>
                <w:rFonts w:cs="Tahoma"/>
                <w:color w:val="000000"/>
                <w:szCs w:val="18"/>
              </w:rPr>
            </w:pPr>
            <w:r w:rsidRPr="00D87B79">
              <w:rPr>
                <w:rFonts w:cs="Tahoma"/>
                <w:color w:val="000000"/>
                <w:szCs w:val="18"/>
                <w:lang w:val="it-IT"/>
              </w:rPr>
              <w:t>Expression Encoder 3</w:t>
            </w:r>
          </w:p>
        </w:tc>
        <w:tc>
          <w:tcPr>
            <w:tcW w:w="3690" w:type="dxa"/>
          </w:tcPr>
          <w:p w:rsidR="00A92422" w:rsidRPr="00D87B79" w:rsidRDefault="00A92422" w:rsidP="00EA30FC">
            <w:pPr>
              <w:numPr>
                <w:ilvl w:val="0"/>
                <w:numId w:val="29"/>
              </w:numPr>
              <w:ind w:left="342" w:hanging="270"/>
              <w:rPr>
                <w:rFonts w:cs="Tahoma"/>
                <w:color w:val="000000"/>
                <w:szCs w:val="18"/>
              </w:rPr>
            </w:pPr>
            <w:r w:rsidRPr="00D87B79">
              <w:rPr>
                <w:rFonts w:cs="Tahoma"/>
                <w:color w:val="000000"/>
                <w:szCs w:val="18"/>
                <w:lang w:val="it-IT"/>
              </w:rPr>
              <w:t>Expression Encoder Pro 4</w:t>
            </w:r>
          </w:p>
        </w:tc>
      </w:tr>
    </w:tbl>
    <w:p w:rsidR="00A92422" w:rsidRPr="00D87B79" w:rsidRDefault="00A92422" w:rsidP="00A92422">
      <w:pPr>
        <w:rPr>
          <w:rFonts w:cs="Tahoma"/>
        </w:rPr>
      </w:pPr>
    </w:p>
    <w:p w:rsidR="00A92422" w:rsidRPr="00D87B79" w:rsidRDefault="00A92422" w:rsidP="00A92422">
      <w:pPr>
        <w:spacing w:after="60"/>
        <w:ind w:left="720"/>
        <w:rPr>
          <w:rFonts w:cs="Tahoma"/>
        </w:rPr>
      </w:pPr>
      <w:r w:rsidRPr="00D87B79">
        <w:rPr>
          <w:rFonts w:cs="Tahoma"/>
          <w:b/>
          <w:lang w:val="it-IT"/>
        </w:rPr>
        <w:t>Expression Studio Ultimate 4</w:t>
      </w:r>
    </w:p>
    <w:p w:rsidR="00A92422" w:rsidRPr="00D87B79" w:rsidRDefault="00A92422" w:rsidP="00A92422">
      <w:pPr>
        <w:ind w:left="720"/>
        <w:rPr>
          <w:rFonts w:cs="Tahoma"/>
        </w:rPr>
      </w:pPr>
      <w:r w:rsidRPr="00D87B79">
        <w:rPr>
          <w:rFonts w:cs="Tahoma"/>
          <w:color w:val="000000"/>
          <w:szCs w:val="18"/>
          <w:lang w:val="it-IT"/>
        </w:rPr>
        <w:t>È stato applicato un nuovo marchio alla linea di prodotti Expression.</w:t>
      </w:r>
      <w:r w:rsidRPr="00D87B79">
        <w:rPr>
          <w:rFonts w:cs="Tahoma"/>
          <w:color w:val="000000"/>
          <w:szCs w:val="18"/>
        </w:rPr>
        <w:t xml:space="preserve"> </w:t>
      </w:r>
      <w:r w:rsidRPr="00D87B79">
        <w:rPr>
          <w:rFonts w:cs="Tahoma"/>
          <w:color w:val="000000"/>
          <w:szCs w:val="18"/>
          <w:lang w:val="it-IT"/>
        </w:rPr>
        <w:t>È stato modificato solo il marchio del</w:t>
      </w:r>
      <w:r>
        <w:rPr>
          <w:rFonts w:cs="Tahoma"/>
          <w:color w:val="000000"/>
          <w:szCs w:val="18"/>
          <w:lang w:val="it-IT"/>
        </w:rPr>
        <w:t> </w:t>
      </w:r>
      <w:r w:rsidRPr="00D87B79">
        <w:rPr>
          <w:rFonts w:cs="Tahoma"/>
          <w:color w:val="000000"/>
          <w:szCs w:val="18"/>
          <w:lang w:val="it-IT"/>
        </w:rPr>
        <w:t>prodotto. La versione 3 e la versione 4 del software sono uguali.</w:t>
      </w:r>
      <w:r w:rsidRPr="00D87B79">
        <w:rPr>
          <w:rFonts w:cs="Tahoma"/>
          <w:color w:val="000000"/>
          <w:szCs w:val="18"/>
        </w:rPr>
        <w:t xml:space="preserve"> </w:t>
      </w:r>
      <w:r w:rsidRPr="00D87B79">
        <w:rPr>
          <w:rFonts w:cs="Tahoma"/>
          <w:color w:val="000000"/>
          <w:szCs w:val="18"/>
          <w:lang w:val="it-IT"/>
        </w:rPr>
        <w:t>Di conseguenza, le società che dispongono della licenza per i prodotti con versione 3 saranno considerate titolari della licenza per i prodotti con versione 4 corrispondenti (come illustrato di seguito) e potranno utilizzare il software con il marchio associato alla versione 4 al posto del software con il marchio associato alla versione 3. Il diritto di utilizzo del</w:t>
      </w:r>
      <w:r>
        <w:rPr>
          <w:rFonts w:cs="Tahoma"/>
          <w:color w:val="000000"/>
          <w:szCs w:val="18"/>
          <w:lang w:val="it-IT"/>
        </w:rPr>
        <w:t> </w:t>
      </w:r>
      <w:r w:rsidRPr="00D87B79">
        <w:rPr>
          <w:rFonts w:cs="Tahoma"/>
          <w:color w:val="000000"/>
          <w:szCs w:val="18"/>
          <w:lang w:val="it-IT"/>
        </w:rPr>
        <w:t>software continuerà a essere disciplinato dalle condizioni del Contratto Multilicenza (Volume Licensing) della società e dai diritti di utilizzo del prodotto per il software integrati dalla presente nota relativa alle condizioni del prodotto.</w:t>
      </w:r>
      <w:r w:rsidRPr="00D87B79">
        <w:rPr>
          <w:rFonts w:cs="Tahoma"/>
        </w:rPr>
        <w:t xml:space="preserve"> </w:t>
      </w:r>
      <w:r w:rsidRPr="00D87B79">
        <w:rPr>
          <w:rFonts w:cs="Tahoma"/>
          <w:color w:val="000000"/>
          <w:lang w:val="it-IT"/>
        </w:rPr>
        <w:t>La modifica del marchio non estende la garanzia né le obbligazioni correlate al</w:t>
      </w:r>
      <w:r>
        <w:rPr>
          <w:rFonts w:cs="Tahoma"/>
          <w:color w:val="000000"/>
          <w:lang w:val="it-IT"/>
        </w:rPr>
        <w:t> </w:t>
      </w:r>
      <w:r w:rsidRPr="00D87B79">
        <w:rPr>
          <w:rFonts w:cs="Tahoma"/>
          <w:color w:val="000000"/>
          <w:lang w:val="it-IT"/>
        </w:rPr>
        <w:t>supporto tecnico di Microsoft in relazione alla copertura Software Assurance per il prodotto.</w:t>
      </w:r>
    </w:p>
    <w:p w:rsidR="00A92422" w:rsidRDefault="00A92422" w:rsidP="00A92422">
      <w:pPr>
        <w:ind w:left="720"/>
        <w:rPr>
          <w:rFonts w:cs="Tahoma"/>
        </w:rPr>
      </w:pPr>
    </w:p>
    <w:p w:rsidR="00A92422" w:rsidRDefault="00A92422" w:rsidP="00A92422">
      <w:pPr>
        <w:ind w:left="720"/>
        <w:rPr>
          <w:rFonts w:cs="Tahoma"/>
        </w:rPr>
      </w:pPr>
    </w:p>
    <w:p w:rsidR="00A92422" w:rsidRDefault="00A92422" w:rsidP="00A92422">
      <w:pPr>
        <w:ind w:left="720"/>
        <w:rPr>
          <w:rFonts w:cs="Tahoma"/>
        </w:rPr>
      </w:pPr>
    </w:p>
    <w:p w:rsidR="00A92422" w:rsidRDefault="00A92422" w:rsidP="00A92422">
      <w:pPr>
        <w:ind w:left="720"/>
        <w:rPr>
          <w:rFonts w:cs="Tahoma"/>
        </w:rPr>
      </w:pPr>
    </w:p>
    <w:p w:rsidR="00A92422" w:rsidRDefault="00A92422" w:rsidP="00A92422">
      <w:pPr>
        <w:ind w:left="720"/>
        <w:rPr>
          <w:rFonts w:cs="Tahoma"/>
        </w:rPr>
      </w:pPr>
    </w:p>
    <w:p w:rsidR="00A92422" w:rsidRDefault="00A92422" w:rsidP="00A92422">
      <w:pPr>
        <w:ind w:left="720"/>
        <w:rPr>
          <w:rFonts w:cs="Tahoma"/>
        </w:rPr>
      </w:pPr>
    </w:p>
    <w:p w:rsidR="00A92422" w:rsidRDefault="00A92422" w:rsidP="00A92422">
      <w:pPr>
        <w:ind w:left="720"/>
        <w:rPr>
          <w:rFonts w:cs="Tahoma"/>
        </w:rPr>
      </w:pPr>
    </w:p>
    <w:p w:rsidR="00A92422" w:rsidRDefault="00A92422" w:rsidP="00A92422">
      <w:pPr>
        <w:ind w:left="720"/>
        <w:rPr>
          <w:rFonts w:cs="Tahoma"/>
        </w:rPr>
      </w:pPr>
    </w:p>
    <w:p w:rsidR="00A92422" w:rsidRDefault="00A92422" w:rsidP="00A92422">
      <w:pPr>
        <w:ind w:left="720"/>
        <w:rPr>
          <w:rFonts w:cs="Tahoma"/>
        </w:rPr>
      </w:pPr>
    </w:p>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lang w:val="it-IT"/>
        </w:rPr>
        <w:lastRenderedPageBreak/>
        <w:t>Expression Encoder Pro 4</w:t>
      </w:r>
    </w:p>
    <w:p w:rsidR="00A92422" w:rsidRPr="00D87B79" w:rsidRDefault="00A92422" w:rsidP="00A92422">
      <w:pPr>
        <w:ind w:left="720"/>
        <w:rPr>
          <w:rFonts w:cs="Tahoma"/>
        </w:rPr>
      </w:pPr>
      <w:r w:rsidRPr="00D87B79">
        <w:rPr>
          <w:rFonts w:cs="Tahoma"/>
          <w:color w:val="000000"/>
          <w:szCs w:val="18"/>
          <w:lang w:val="it-IT"/>
        </w:rPr>
        <w:t>È stato applicato un nuovo marchio alla linea di prodotti Expression.</w:t>
      </w:r>
      <w:r w:rsidRPr="00D87B79">
        <w:rPr>
          <w:rFonts w:cs="Tahoma"/>
          <w:color w:val="000000"/>
          <w:szCs w:val="18"/>
        </w:rPr>
        <w:t xml:space="preserve"> </w:t>
      </w:r>
      <w:r w:rsidRPr="00D87B79">
        <w:rPr>
          <w:rFonts w:cs="Tahoma"/>
          <w:color w:val="000000"/>
          <w:szCs w:val="18"/>
          <w:lang w:val="it-IT"/>
        </w:rPr>
        <w:t>È stato modificato solo il marchio del</w:t>
      </w:r>
      <w:r>
        <w:rPr>
          <w:rFonts w:cs="Tahoma"/>
          <w:color w:val="000000"/>
          <w:szCs w:val="18"/>
          <w:lang w:val="it-IT"/>
        </w:rPr>
        <w:t> </w:t>
      </w:r>
      <w:r w:rsidRPr="00D87B79">
        <w:rPr>
          <w:rFonts w:cs="Tahoma"/>
          <w:color w:val="000000"/>
          <w:szCs w:val="18"/>
          <w:lang w:val="it-IT"/>
        </w:rPr>
        <w:t>prodotto. La versione 3 e la versione 4 del software sono uguali.</w:t>
      </w:r>
      <w:r w:rsidRPr="00D87B79">
        <w:rPr>
          <w:rFonts w:cs="Tahoma"/>
          <w:color w:val="000000"/>
          <w:szCs w:val="18"/>
        </w:rPr>
        <w:t xml:space="preserve"> </w:t>
      </w:r>
      <w:r w:rsidRPr="00D87B79">
        <w:rPr>
          <w:rFonts w:cs="Tahoma"/>
          <w:color w:val="000000"/>
          <w:szCs w:val="18"/>
          <w:lang w:val="it-IT"/>
        </w:rPr>
        <w:t>Di conseguenza, le società che dispongono della licenza per i prodotti con versione 3 saranno considerate titolari della licenza per i prodotti con versione 4 corrispondenti (come illustrato di seguito) e potranno utilizzare il software con il marchio associato alla versione 4 al posto del software con il marchio associato alla versione 3. Il diritto di utilizzo del software continuerà a essere disciplinato dalle condizioni del Contratto Multilicenza (Volume Licensing) della società e dai diritti di utilizzo del prodotto per il software integrati dalla presente nota relativa alle condizioni del prodotto.</w:t>
      </w:r>
      <w:r w:rsidRPr="00D87B79">
        <w:rPr>
          <w:rFonts w:cs="Tahoma"/>
        </w:rPr>
        <w:t xml:space="preserve"> </w:t>
      </w:r>
      <w:r w:rsidRPr="00D87B79">
        <w:rPr>
          <w:rFonts w:cs="Tahoma"/>
          <w:color w:val="000000"/>
          <w:lang w:val="it-IT"/>
        </w:rPr>
        <w:t>La modifica del marchio non estende la garanzia né le obbligazioni correlate al supporto tecnico di Microsoft in relazione alla copertura Software Assurance per il prodotto.</w:t>
      </w:r>
    </w:p>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lang w:val="it-IT"/>
        </w:rPr>
        <w:t>Diritto di Migrazione per Expression Blend 3</w:t>
      </w:r>
    </w:p>
    <w:p w:rsidR="00A92422" w:rsidRPr="00D87B79" w:rsidRDefault="00A92422" w:rsidP="00A92422">
      <w:pPr>
        <w:ind w:left="720"/>
        <w:rPr>
          <w:rFonts w:cs="Tahoma"/>
        </w:rPr>
      </w:pPr>
      <w:r w:rsidRPr="00D87B79">
        <w:rPr>
          <w:rFonts w:cs="Tahoma"/>
          <w:color w:val="000000"/>
          <w:szCs w:val="18"/>
          <w:lang w:val="it-IT"/>
        </w:rPr>
        <w:t>Inoltre, la distribuzione di Expression Blend 3 verrà interrotta da Microsoft. Le società con Contratto Multilicenza (Volume Licensing) con copertura Software Assurance attiva per Expression Blend 3 potranno utilizzare il software Expression Studio Ultimate 4 e qualunque versione successiva del software Expression Ultimate resa disponibile durante il periodo di validità della copertura al posto delle copie concesse in licenza di Expression Blend 3. Il diritto di utilizzo del software Expression Ultimate ai sensi di tale offerta cesserà alla</w:t>
      </w:r>
      <w:r>
        <w:rPr>
          <w:rFonts w:cs="Tahoma"/>
          <w:color w:val="000000"/>
          <w:szCs w:val="18"/>
          <w:lang w:val="it-IT"/>
        </w:rPr>
        <w:t> </w:t>
      </w:r>
      <w:r w:rsidRPr="00D87B79">
        <w:rPr>
          <w:rFonts w:cs="Tahoma"/>
          <w:color w:val="000000"/>
          <w:szCs w:val="18"/>
          <w:lang w:val="it-IT"/>
        </w:rPr>
        <w:t>cessazione del diritto di utilizzo di Expression Blend 3.</w:t>
      </w:r>
      <w:r w:rsidRPr="00D87B79">
        <w:rPr>
          <w:rFonts w:cs="Tahoma"/>
          <w:color w:val="000000"/>
          <w:szCs w:val="18"/>
        </w:rPr>
        <w:t xml:space="preserve"> </w:t>
      </w:r>
      <w:r w:rsidRPr="00D87B79">
        <w:rPr>
          <w:rFonts w:cs="Tahoma"/>
          <w:color w:val="000000"/>
          <w:szCs w:val="18"/>
          <w:lang w:val="it-IT"/>
        </w:rPr>
        <w:t>L’utilizzo del software da parte della società è disciplinato dalle condizioni del Contratto Multilicenza (Volume Licensing) della società, dalla presente nota relativa alle condizioni del prodotto e dai diritti di utilizzo del prodotto per Expression Ultimate.</w:t>
      </w:r>
      <w:r w:rsidRPr="00D87B79">
        <w:rPr>
          <w:rFonts w:cs="Tahoma"/>
        </w:rPr>
        <w:t xml:space="preserve"> </w:t>
      </w:r>
      <w:bookmarkStart w:id="1059" w:name="_Toc254806117"/>
      <w:r w:rsidRPr="00D87B79">
        <w:rPr>
          <w:rFonts w:cs="Tahoma"/>
          <w:color w:val="000000"/>
          <w:lang w:val="it-IT"/>
        </w:rPr>
        <w:t>Tale diritto è</w:t>
      </w:r>
      <w:r>
        <w:rPr>
          <w:rFonts w:cs="Tahoma"/>
          <w:color w:val="000000"/>
          <w:lang w:val="it-IT"/>
        </w:rPr>
        <w:t> </w:t>
      </w:r>
      <w:r w:rsidRPr="00D87B79">
        <w:rPr>
          <w:rFonts w:cs="Tahoma"/>
          <w:color w:val="000000"/>
          <w:lang w:val="it-IT"/>
        </w:rPr>
        <w:t>attestato dalla presente nota relativa alle condizioni del prodotto, dalla prova delle licenze per Expression Blend 3 e dai contratti delle società.</w:t>
      </w:r>
    </w:p>
    <w:p w:rsidR="00A92422" w:rsidRPr="00D87B79" w:rsidRDefault="00A92422" w:rsidP="00A92422">
      <w:pPr>
        <w:rPr>
          <w:rFonts w:cs="Tahoma"/>
        </w:rPr>
      </w:pPr>
    </w:p>
    <w:p w:rsidR="00A92422" w:rsidRPr="00D87B79" w:rsidRDefault="00A92422" w:rsidP="00A92422">
      <w:pPr>
        <w:rPr>
          <w:rFonts w:cs="Tahoma"/>
        </w:rPr>
      </w:pPr>
    </w:p>
    <w:p w:rsidR="00A92422" w:rsidRPr="00D87B79" w:rsidRDefault="00A92422" w:rsidP="00A92422">
      <w:pPr>
        <w:pStyle w:val="Heading3"/>
        <w:rPr>
          <w:rFonts w:ascii="Tahoma" w:hAnsi="Tahoma" w:cs="Tahoma"/>
        </w:rPr>
      </w:pPr>
      <w:bookmarkStart w:id="1060" w:name="_Toc336338259"/>
      <w:bookmarkStart w:id="1061" w:name="Aps_4LyncforMac2011"/>
      <w:bookmarkStart w:id="1062" w:name="_Toc342900311"/>
      <w:bookmarkStart w:id="1063" w:name="Aps_3Lync2010"/>
      <w:bookmarkEnd w:id="1060"/>
      <w:bookmarkEnd w:id="1061"/>
      <w:r w:rsidRPr="00D87B79">
        <w:rPr>
          <w:rFonts w:ascii="Tahoma" w:hAnsi="Tahoma" w:cs="Tahoma"/>
          <w:caps/>
          <w:color w:val="F66400"/>
          <w:sz w:val="22"/>
          <w:vertAlign w:val="superscript"/>
          <w:lang w:val="it-IT"/>
        </w:rPr>
        <w:t>3</w:t>
      </w:r>
      <w:r w:rsidRPr="002015B0">
        <w:rPr>
          <w:rFonts w:ascii="Tahoma" w:hAnsi="Tahoma" w:cs="Tahoma"/>
          <w:caps/>
          <w:color w:val="F66400"/>
          <w:sz w:val="22"/>
          <w:lang w:val="it-IT"/>
        </w:rPr>
        <w:t xml:space="preserve"> </w:t>
      </w:r>
      <w:r w:rsidRPr="00D87B79">
        <w:rPr>
          <w:rFonts w:ascii="Tahoma" w:hAnsi="Tahoma" w:cs="Tahoma"/>
          <w:color w:val="F66400"/>
          <w:sz w:val="22"/>
          <w:lang w:val="it-IT"/>
        </w:rPr>
        <w:t>Lync per Mac 2011</w:t>
      </w:r>
      <w:bookmarkEnd w:id="1062"/>
    </w:p>
    <w:p w:rsidR="00A92422" w:rsidRPr="00D87B79" w:rsidRDefault="00A92422" w:rsidP="00A92422">
      <w:pPr>
        <w:rPr>
          <w:rFonts w:cs="Tahoma"/>
        </w:rPr>
      </w:pPr>
    </w:p>
    <w:p w:rsidR="00A92422" w:rsidRPr="00D87B79" w:rsidRDefault="00A92422" w:rsidP="00A92422">
      <w:pPr>
        <w:spacing w:after="60"/>
        <w:ind w:left="720"/>
        <w:rPr>
          <w:rFonts w:cs="Tahoma"/>
        </w:rPr>
      </w:pPr>
      <w:bookmarkStart w:id="1064" w:name="Aps_MSDNOPSystems"/>
      <w:bookmarkStart w:id="1065" w:name="Aps_3MSDNOPSystems"/>
      <w:bookmarkStart w:id="1066" w:name="Aps_5OffCommunicator07"/>
      <w:bookmarkEnd w:id="1063"/>
      <w:bookmarkEnd w:id="1064"/>
      <w:bookmarkEnd w:id="1065"/>
      <w:bookmarkEnd w:id="1066"/>
      <w:r w:rsidRPr="00D87B79">
        <w:rPr>
          <w:rFonts w:cs="Tahoma"/>
          <w:b/>
          <w:lang w:val="it-IT"/>
        </w:rPr>
        <w:t>Percorso di Migrazione a Software Assurance per Communicator per Mac 2011</w:t>
      </w:r>
      <w:r w:rsidRPr="00D87B79">
        <w:rPr>
          <w:rFonts w:cs="Tahoma"/>
        </w:rPr>
        <w:t xml:space="preserve"> </w:t>
      </w:r>
    </w:p>
    <w:p w:rsidR="00A92422" w:rsidRPr="00D87B79" w:rsidRDefault="00A92422" w:rsidP="00A92422">
      <w:pPr>
        <w:adjustRightInd w:val="0"/>
        <w:ind w:left="720"/>
        <w:textAlignment w:val="baseline"/>
        <w:rPr>
          <w:rFonts w:cs="Tahoma"/>
        </w:rPr>
      </w:pPr>
      <w:r w:rsidRPr="00D87B79">
        <w:rPr>
          <w:rFonts w:cs="Tahoma"/>
          <w:lang w:val="it-IT"/>
        </w:rPr>
        <w:t>La versione sostitutiva di Communicator per Mac 2011 è Lync per Mac 2011.</w:t>
      </w:r>
    </w:p>
    <w:p w:rsidR="00A92422" w:rsidRPr="00D87B79" w:rsidRDefault="00A92422" w:rsidP="00A92422">
      <w:pPr>
        <w:adjustRightInd w:val="0"/>
        <w:textAlignment w:val="baseline"/>
        <w:rPr>
          <w:rFonts w:cs="Tahoma"/>
        </w:rPr>
      </w:pPr>
    </w:p>
    <w:p w:rsidR="00A92422" w:rsidRPr="00D87B79" w:rsidRDefault="00A92422" w:rsidP="00A92422">
      <w:pPr>
        <w:adjustRightInd w:val="0"/>
        <w:textAlignment w:val="baseline"/>
        <w:rPr>
          <w:rFonts w:cs="Tahoma"/>
        </w:rPr>
      </w:pPr>
    </w:p>
    <w:p w:rsidR="00A92422" w:rsidRPr="00D87B79" w:rsidRDefault="00A92422" w:rsidP="00A92422">
      <w:pPr>
        <w:pStyle w:val="Heading3"/>
        <w:rPr>
          <w:rFonts w:ascii="Tahoma" w:hAnsi="Tahoma" w:cs="Tahoma"/>
        </w:rPr>
      </w:pPr>
      <w:bookmarkStart w:id="1067" w:name="_Toc336338261"/>
      <w:bookmarkStart w:id="1068" w:name="_4_Sistemi_Operativi"/>
      <w:bookmarkStart w:id="1069" w:name="_Toc342900312"/>
      <w:bookmarkEnd w:id="1059"/>
      <w:bookmarkEnd w:id="1067"/>
      <w:bookmarkEnd w:id="1068"/>
      <w:r w:rsidRPr="00D87B79">
        <w:rPr>
          <w:rFonts w:ascii="Tahoma" w:hAnsi="Tahoma" w:cs="Tahoma"/>
          <w:caps/>
          <w:color w:val="F66400"/>
          <w:sz w:val="22"/>
          <w:vertAlign w:val="superscript"/>
          <w:lang w:val="it-IT"/>
        </w:rPr>
        <w:t>4</w:t>
      </w:r>
      <w:r w:rsidRPr="00D87B79">
        <w:rPr>
          <w:rFonts w:ascii="Tahoma" w:hAnsi="Tahoma" w:cs="Tahoma"/>
          <w:color w:val="F66400"/>
          <w:sz w:val="22"/>
          <w:lang w:val="it-IT"/>
        </w:rPr>
        <w:t xml:space="preserve"> Sistemi Operativi MSDN</w:t>
      </w:r>
      <w:bookmarkEnd w:id="1069"/>
    </w:p>
    <w:p w:rsidR="00A92422" w:rsidRPr="00F219B1" w:rsidRDefault="00A92422" w:rsidP="00A92422">
      <w:pPr>
        <w:pStyle w:val="FootnoteBulletLevel1"/>
        <w:tabs>
          <w:tab w:val="clear" w:pos="900"/>
        </w:tabs>
        <w:spacing w:before="0" w:after="0"/>
        <w:ind w:left="720" w:firstLine="0"/>
        <w:rPr>
          <w:rFonts w:ascii="Tahoma" w:hAnsi="Tahoma" w:cs="Tahoma"/>
          <w:sz w:val="18"/>
          <w:szCs w:val="18"/>
        </w:rPr>
      </w:pPr>
    </w:p>
    <w:p w:rsidR="00A92422" w:rsidRPr="00D87B79" w:rsidRDefault="00A92422" w:rsidP="00A92422">
      <w:pPr>
        <w:spacing w:after="60"/>
        <w:ind w:left="720"/>
        <w:rPr>
          <w:rFonts w:cs="Tahoma"/>
        </w:rPr>
      </w:pPr>
      <w:r w:rsidRPr="00D87B79">
        <w:rPr>
          <w:rFonts w:cs="Tahoma"/>
          <w:b/>
          <w:lang w:val="it-IT"/>
        </w:rPr>
        <w:t>Requisiti di Idoneità per Software Assurance</w:t>
      </w:r>
    </w:p>
    <w:p w:rsidR="00A92422" w:rsidRPr="00D87B79" w:rsidRDefault="00A92422" w:rsidP="00A92422">
      <w:pPr>
        <w:pStyle w:val="EndnoteText"/>
        <w:ind w:left="720"/>
        <w:rPr>
          <w:rFonts w:ascii="Tahoma" w:hAnsi="Tahoma" w:cs="Tahoma"/>
        </w:rPr>
      </w:pPr>
      <w:r w:rsidRPr="00D87B79">
        <w:rPr>
          <w:rFonts w:ascii="Tahoma" w:hAnsi="Tahoma" w:cs="Tahoma"/>
          <w:sz w:val="18"/>
          <w:lang w:val="it-IT"/>
        </w:rPr>
        <w:t>Le società con copertura Software Assurance in scadenza sulle licenze relative ai seguenti prodotti soddisfano i requisiti di idoneità per il rinnovo della copertura Software Assurance per i Sistemi Operativi</w:t>
      </w:r>
      <w:r>
        <w:rPr>
          <w:rFonts w:ascii="Tahoma" w:hAnsi="Tahoma" w:cs="Tahoma"/>
          <w:sz w:val="18"/>
          <w:lang w:val="it-IT"/>
        </w:rPr>
        <w:t> </w:t>
      </w:r>
      <w:r w:rsidRPr="00D87B79">
        <w:rPr>
          <w:rFonts w:ascii="Tahoma" w:hAnsi="Tahoma" w:cs="Tahoma"/>
          <w:sz w:val="18"/>
          <w:lang w:val="it-IT"/>
        </w:rPr>
        <w:t>MSDN.</w:t>
      </w:r>
    </w:p>
    <w:p w:rsidR="00A92422" w:rsidRPr="00F219B1" w:rsidRDefault="00A92422" w:rsidP="00A92422">
      <w:pPr>
        <w:pStyle w:val="EndnoteText"/>
        <w:tabs>
          <w:tab w:val="num" w:pos="1080"/>
        </w:tabs>
        <w:ind w:left="720"/>
        <w:rPr>
          <w:rFonts w:ascii="Tahoma" w:hAnsi="Tahoma" w:cs="Tahoma"/>
          <w:sz w:val="18"/>
          <w:szCs w:val="18"/>
        </w:rPr>
      </w:pPr>
    </w:p>
    <w:p w:rsidR="00A92422" w:rsidRPr="00D87B79" w:rsidRDefault="00A92422" w:rsidP="00A92422">
      <w:pPr>
        <w:pStyle w:val="FootnoteBulletLevel2"/>
        <w:numPr>
          <w:ilvl w:val="0"/>
          <w:numId w:val="13"/>
        </w:numPr>
        <w:spacing w:before="0" w:after="60"/>
        <w:ind w:left="1440"/>
        <w:rPr>
          <w:rFonts w:ascii="Tahoma" w:hAnsi="Tahoma" w:cs="Tahoma"/>
        </w:rPr>
      </w:pPr>
      <w:r w:rsidRPr="00D87B79">
        <w:rPr>
          <w:rFonts w:ascii="Tahoma" w:hAnsi="Tahoma" w:cs="Tahoma"/>
          <w:sz w:val="18"/>
          <w:lang w:val="it-IT"/>
        </w:rPr>
        <w:t>Visual Studio Ultimate con MSDN</w:t>
      </w:r>
    </w:p>
    <w:p w:rsidR="00A92422" w:rsidRPr="00D87B79" w:rsidRDefault="00A92422" w:rsidP="00A92422">
      <w:pPr>
        <w:pStyle w:val="FootnoteBulletLevel2"/>
        <w:numPr>
          <w:ilvl w:val="0"/>
          <w:numId w:val="13"/>
        </w:numPr>
        <w:spacing w:before="0" w:after="60"/>
        <w:ind w:left="1440"/>
        <w:rPr>
          <w:rFonts w:ascii="Tahoma" w:hAnsi="Tahoma" w:cs="Tahoma"/>
        </w:rPr>
      </w:pPr>
      <w:r w:rsidRPr="00D87B79">
        <w:rPr>
          <w:rFonts w:ascii="Tahoma" w:hAnsi="Tahoma" w:cs="Tahoma"/>
          <w:sz w:val="18"/>
          <w:lang w:val="it-IT"/>
        </w:rPr>
        <w:t>Visual Studio Premium con MSDN</w:t>
      </w:r>
    </w:p>
    <w:p w:rsidR="00A92422" w:rsidRPr="00D87B79" w:rsidRDefault="00A92422" w:rsidP="00A92422">
      <w:pPr>
        <w:pStyle w:val="FootnoteBulletLevel2"/>
        <w:numPr>
          <w:ilvl w:val="0"/>
          <w:numId w:val="13"/>
        </w:numPr>
        <w:spacing w:before="0" w:after="60"/>
        <w:ind w:left="1440"/>
        <w:rPr>
          <w:rFonts w:ascii="Tahoma" w:hAnsi="Tahoma" w:cs="Tahoma"/>
        </w:rPr>
      </w:pPr>
      <w:r w:rsidRPr="00D87B79">
        <w:rPr>
          <w:rFonts w:ascii="Tahoma" w:hAnsi="Tahoma" w:cs="Tahoma"/>
          <w:sz w:val="18"/>
          <w:lang w:val="it-IT"/>
        </w:rPr>
        <w:t>Visual Studio Professional con MSDN</w:t>
      </w:r>
    </w:p>
    <w:p w:rsidR="00A92422" w:rsidRPr="00D87B79" w:rsidRDefault="00A92422" w:rsidP="00A92422">
      <w:pPr>
        <w:pStyle w:val="FootnoteBulletLevel2"/>
        <w:numPr>
          <w:ilvl w:val="0"/>
          <w:numId w:val="13"/>
        </w:numPr>
        <w:spacing w:before="0" w:after="60"/>
        <w:ind w:left="1440"/>
        <w:rPr>
          <w:rFonts w:ascii="Tahoma" w:hAnsi="Tahoma" w:cs="Tahoma"/>
        </w:rPr>
      </w:pPr>
      <w:r w:rsidRPr="00D87B79">
        <w:rPr>
          <w:rFonts w:ascii="Tahoma" w:hAnsi="Tahoma" w:cs="Tahoma"/>
          <w:sz w:val="18"/>
          <w:lang w:val="it-IT"/>
        </w:rPr>
        <w:t>Visual Studio Professional con MSDN Integrato</w:t>
      </w:r>
    </w:p>
    <w:p w:rsidR="00A92422" w:rsidRPr="00D87B79" w:rsidRDefault="00A92422" w:rsidP="00A92422">
      <w:pPr>
        <w:pStyle w:val="FootnoteBulletLevel2"/>
        <w:numPr>
          <w:ilvl w:val="0"/>
          <w:numId w:val="13"/>
        </w:numPr>
        <w:spacing w:before="0" w:after="60"/>
        <w:ind w:left="1440"/>
        <w:rPr>
          <w:rFonts w:ascii="Tahoma" w:hAnsi="Tahoma" w:cs="Tahoma"/>
        </w:rPr>
      </w:pPr>
      <w:r w:rsidRPr="00D87B79">
        <w:rPr>
          <w:rFonts w:ascii="Tahoma" w:hAnsi="Tahoma" w:cs="Tahoma"/>
          <w:sz w:val="18"/>
          <w:lang w:val="it-IT"/>
        </w:rPr>
        <w:t>Visual Studio Test Professional con MSDN</w:t>
      </w:r>
    </w:p>
    <w:p w:rsidR="00A92422" w:rsidRPr="00D87B79" w:rsidRDefault="00A92422" w:rsidP="00A92422">
      <w:pPr>
        <w:pStyle w:val="FootnoteBulletLevel2"/>
        <w:numPr>
          <w:ilvl w:val="0"/>
          <w:numId w:val="13"/>
        </w:numPr>
        <w:spacing w:before="0" w:after="60"/>
        <w:ind w:left="1440"/>
        <w:rPr>
          <w:rFonts w:ascii="Tahoma" w:hAnsi="Tahoma" w:cs="Tahoma"/>
        </w:rPr>
      </w:pPr>
      <w:r w:rsidRPr="00D87B79">
        <w:rPr>
          <w:rFonts w:ascii="Tahoma" w:hAnsi="Tahoma" w:cs="Tahoma"/>
          <w:sz w:val="18"/>
          <w:lang w:val="it-IT"/>
        </w:rPr>
        <w:t>Visual Studio Professional con MSDN Professional</w:t>
      </w:r>
    </w:p>
    <w:p w:rsidR="00A92422" w:rsidRPr="00D87B79" w:rsidRDefault="00A92422" w:rsidP="00A92422">
      <w:pPr>
        <w:pStyle w:val="FootnoteBulletLevel2"/>
        <w:numPr>
          <w:ilvl w:val="0"/>
          <w:numId w:val="13"/>
        </w:numPr>
        <w:spacing w:before="0" w:after="60"/>
        <w:ind w:left="1440"/>
        <w:rPr>
          <w:rFonts w:ascii="Tahoma" w:hAnsi="Tahoma" w:cs="Tahoma"/>
        </w:rPr>
      </w:pPr>
      <w:r w:rsidRPr="00D87B79">
        <w:rPr>
          <w:rFonts w:ascii="Tahoma" w:hAnsi="Tahoma" w:cs="Tahoma"/>
          <w:sz w:val="18"/>
          <w:lang w:val="it-IT"/>
        </w:rPr>
        <w:t>Visual Studio Professional con MSDN Premium</w:t>
      </w:r>
    </w:p>
    <w:p w:rsidR="00A92422" w:rsidRPr="00D87B79" w:rsidRDefault="00A92422" w:rsidP="00A92422">
      <w:pPr>
        <w:pStyle w:val="FootnoteBulletLevel2"/>
        <w:numPr>
          <w:ilvl w:val="0"/>
          <w:numId w:val="13"/>
        </w:numPr>
        <w:spacing w:before="0" w:after="60"/>
        <w:ind w:left="1440"/>
        <w:rPr>
          <w:rFonts w:ascii="Tahoma" w:hAnsi="Tahoma" w:cs="Tahoma"/>
        </w:rPr>
      </w:pPr>
      <w:r w:rsidRPr="00D87B79">
        <w:rPr>
          <w:rFonts w:ascii="Tahoma" w:hAnsi="Tahoma" w:cs="Tahoma"/>
          <w:sz w:val="18"/>
          <w:lang w:val="it-IT"/>
        </w:rPr>
        <w:t>Visual Studio Team System Team Suite con MSDN Premium</w:t>
      </w:r>
    </w:p>
    <w:p w:rsidR="00A92422" w:rsidRPr="00D87B79" w:rsidRDefault="00A92422" w:rsidP="00A92422">
      <w:pPr>
        <w:pStyle w:val="FootnoteBulletLevel2"/>
        <w:numPr>
          <w:ilvl w:val="0"/>
          <w:numId w:val="13"/>
        </w:numPr>
        <w:spacing w:before="0" w:after="60"/>
        <w:ind w:left="1440"/>
        <w:rPr>
          <w:rFonts w:ascii="Tahoma" w:hAnsi="Tahoma" w:cs="Tahoma"/>
        </w:rPr>
      </w:pPr>
      <w:r w:rsidRPr="00D87B79">
        <w:rPr>
          <w:rFonts w:ascii="Tahoma" w:hAnsi="Tahoma" w:cs="Tahoma"/>
          <w:sz w:val="18"/>
          <w:lang w:val="it-IT"/>
        </w:rPr>
        <w:t>Visual Studio Team System Test Edition con MSDN Premium</w:t>
      </w:r>
    </w:p>
    <w:p w:rsidR="00A92422" w:rsidRPr="00D87B79" w:rsidRDefault="00A92422" w:rsidP="00A92422">
      <w:pPr>
        <w:pStyle w:val="FootnoteBulletLevel2"/>
        <w:numPr>
          <w:ilvl w:val="0"/>
          <w:numId w:val="13"/>
        </w:numPr>
        <w:spacing w:before="0" w:after="60"/>
        <w:ind w:left="1440"/>
        <w:rPr>
          <w:rFonts w:ascii="Tahoma" w:hAnsi="Tahoma" w:cs="Tahoma"/>
        </w:rPr>
      </w:pPr>
      <w:r w:rsidRPr="00D87B79">
        <w:rPr>
          <w:rFonts w:ascii="Tahoma" w:hAnsi="Tahoma" w:cs="Tahoma"/>
          <w:sz w:val="18"/>
          <w:lang w:val="it-IT"/>
        </w:rPr>
        <w:t>Visual Studio Team System Development Edition con MSDN Premium</w:t>
      </w:r>
    </w:p>
    <w:p w:rsidR="00A92422" w:rsidRPr="00D87B79" w:rsidRDefault="00A92422" w:rsidP="00A92422">
      <w:pPr>
        <w:pStyle w:val="FootnoteBulletLevel2"/>
        <w:numPr>
          <w:ilvl w:val="0"/>
          <w:numId w:val="13"/>
        </w:numPr>
        <w:spacing w:before="0" w:after="60"/>
        <w:ind w:left="1440"/>
        <w:rPr>
          <w:rFonts w:ascii="Tahoma" w:hAnsi="Tahoma" w:cs="Tahoma"/>
        </w:rPr>
      </w:pPr>
      <w:r w:rsidRPr="00D87B79">
        <w:rPr>
          <w:rFonts w:ascii="Tahoma" w:hAnsi="Tahoma" w:cs="Tahoma"/>
          <w:sz w:val="18"/>
          <w:lang w:val="it-IT"/>
        </w:rPr>
        <w:t>Visual Studio Team System Architecture Edition con MSDN Premium</w:t>
      </w:r>
      <w:r w:rsidRPr="00D87B79">
        <w:rPr>
          <w:rFonts w:ascii="Tahoma" w:hAnsi="Tahoma" w:cs="Tahoma"/>
        </w:rPr>
        <w:t xml:space="preserve"> </w:t>
      </w:r>
    </w:p>
    <w:p w:rsidR="00A92422" w:rsidRPr="00D87B79" w:rsidRDefault="00A92422" w:rsidP="00A92422">
      <w:pPr>
        <w:pStyle w:val="FootnoteBulletLevel2"/>
        <w:numPr>
          <w:ilvl w:val="0"/>
          <w:numId w:val="13"/>
        </w:numPr>
        <w:spacing w:before="0" w:after="60"/>
        <w:ind w:left="1440"/>
        <w:rPr>
          <w:rFonts w:ascii="Tahoma" w:hAnsi="Tahoma" w:cs="Tahoma"/>
        </w:rPr>
      </w:pPr>
      <w:r w:rsidRPr="00D87B79">
        <w:rPr>
          <w:rFonts w:ascii="Tahoma" w:hAnsi="Tahoma" w:cs="Tahoma"/>
          <w:sz w:val="18"/>
          <w:lang w:val="it-IT"/>
        </w:rPr>
        <w:t>Visual Studio Team System Database Edition con MSDN Premium</w:t>
      </w:r>
    </w:p>
    <w:p w:rsidR="00A92422" w:rsidRPr="00D87B79" w:rsidRDefault="00A92422" w:rsidP="00A92422">
      <w:pPr>
        <w:pStyle w:val="FootnoteBulletLevel2"/>
        <w:numPr>
          <w:ilvl w:val="0"/>
          <w:numId w:val="13"/>
        </w:numPr>
        <w:spacing w:before="0" w:after="60"/>
        <w:ind w:left="1440"/>
        <w:rPr>
          <w:rFonts w:ascii="Tahoma" w:hAnsi="Tahoma" w:cs="Tahoma"/>
        </w:rPr>
      </w:pPr>
      <w:r w:rsidRPr="00D87B79">
        <w:rPr>
          <w:rFonts w:ascii="Tahoma" w:hAnsi="Tahoma" w:cs="Tahoma"/>
          <w:sz w:val="18"/>
          <w:lang w:val="it-IT"/>
        </w:rPr>
        <w:t>Sistemi Operativi MSDN</w:t>
      </w:r>
    </w:p>
    <w:p w:rsidR="00A92422" w:rsidRPr="00D87B79" w:rsidRDefault="00A92422" w:rsidP="00A92422">
      <w:pPr>
        <w:pStyle w:val="FootnoteBulletLevel2"/>
        <w:numPr>
          <w:ilvl w:val="0"/>
          <w:numId w:val="13"/>
        </w:numPr>
        <w:spacing w:before="0" w:after="60"/>
        <w:ind w:left="1440"/>
        <w:rPr>
          <w:rFonts w:ascii="Tahoma" w:hAnsi="Tahoma" w:cs="Tahoma"/>
        </w:rPr>
      </w:pPr>
      <w:r w:rsidRPr="00D87B79">
        <w:rPr>
          <w:rFonts w:ascii="Tahoma" w:hAnsi="Tahoma" w:cs="Tahoma"/>
          <w:sz w:val="18"/>
          <w:lang w:val="it-IT"/>
        </w:rPr>
        <w:t>Società titolari di un abbonamento retail attivo per qualsiasi prodotto software indicato nel</w:t>
      </w:r>
      <w:r>
        <w:rPr>
          <w:rFonts w:ascii="Tahoma" w:hAnsi="Tahoma" w:cs="Tahoma"/>
          <w:sz w:val="18"/>
          <w:lang w:val="it-IT"/>
        </w:rPr>
        <w:t> </w:t>
      </w:r>
      <w:r w:rsidRPr="00D87B79">
        <w:rPr>
          <w:rFonts w:ascii="Tahoma" w:hAnsi="Tahoma" w:cs="Tahoma"/>
          <w:sz w:val="18"/>
          <w:lang w:val="it-IT"/>
        </w:rPr>
        <w:t>precedente elenco.</w:t>
      </w:r>
    </w:p>
    <w:p w:rsidR="00A92422" w:rsidRPr="00D87B79" w:rsidRDefault="00A92422" w:rsidP="00A92422">
      <w:pPr>
        <w:pStyle w:val="FootnoteBulletLevel2"/>
        <w:tabs>
          <w:tab w:val="clear" w:pos="1260"/>
        </w:tabs>
        <w:spacing w:before="0"/>
        <w:ind w:left="0" w:firstLine="0"/>
        <w:rPr>
          <w:rFonts w:ascii="Tahoma" w:hAnsi="Tahoma" w:cs="Tahoma"/>
        </w:rPr>
      </w:pPr>
    </w:p>
    <w:p w:rsidR="00A92422" w:rsidRPr="00D87B79" w:rsidRDefault="00A92422" w:rsidP="00A92422">
      <w:pPr>
        <w:spacing w:after="60"/>
        <w:ind w:left="720"/>
        <w:rPr>
          <w:rFonts w:cs="Tahoma"/>
        </w:rPr>
      </w:pPr>
      <w:r w:rsidRPr="00D87B79">
        <w:rPr>
          <w:rFonts w:cs="Tahoma"/>
          <w:b/>
          <w:lang w:val="it-IT"/>
        </w:rPr>
        <w:lastRenderedPageBreak/>
        <w:t>Servizi “Subscription”</w:t>
      </w:r>
    </w:p>
    <w:p w:rsidR="00A92422" w:rsidRPr="00966D18" w:rsidRDefault="00A92422" w:rsidP="00A92422">
      <w:pPr>
        <w:pStyle w:val="FootnoteBulletLevel2"/>
        <w:tabs>
          <w:tab w:val="clear" w:pos="1260"/>
        </w:tabs>
        <w:spacing w:before="0"/>
        <w:ind w:left="720" w:firstLine="0"/>
        <w:rPr>
          <w:rFonts w:ascii="Tahoma" w:hAnsi="Tahoma" w:cs="Tahoma"/>
          <w:sz w:val="18"/>
          <w:szCs w:val="18"/>
        </w:rPr>
      </w:pPr>
      <w:r w:rsidRPr="00D87B79">
        <w:rPr>
          <w:rFonts w:ascii="Tahoma" w:hAnsi="Tahoma" w:cs="Tahoma"/>
          <w:sz w:val="18"/>
          <w:lang w:val="it-IT"/>
        </w:rPr>
        <w:t>I servizi MSDN in abbonamento, che potranno includere download, codici “Product Key”, vantaggi di Windows Azure, e-learning, supporto tecnico, vantaggi di Windows Store e altri servizi, sono disponibili solo</w:t>
      </w:r>
      <w:r>
        <w:rPr>
          <w:rFonts w:ascii="Tahoma" w:hAnsi="Tahoma" w:cs="Tahoma"/>
          <w:sz w:val="18"/>
          <w:lang w:val="it-IT"/>
        </w:rPr>
        <w:t> </w:t>
      </w:r>
      <w:r w:rsidRPr="00D87B79">
        <w:rPr>
          <w:rFonts w:ascii="Tahoma" w:hAnsi="Tahoma" w:cs="Tahoma"/>
          <w:sz w:val="18"/>
          <w:lang w:val="it-IT"/>
        </w:rPr>
        <w:t>durante il periodo di validità dell’abbonamento.</w:t>
      </w:r>
    </w:p>
    <w:p w:rsidR="00A92422" w:rsidRPr="00966D18" w:rsidRDefault="00A92422" w:rsidP="00A92422">
      <w:pPr>
        <w:pStyle w:val="FootnoteBulletLevel2"/>
        <w:tabs>
          <w:tab w:val="clear" w:pos="1260"/>
        </w:tabs>
        <w:spacing w:before="0"/>
        <w:ind w:left="0" w:firstLine="0"/>
        <w:rPr>
          <w:rFonts w:ascii="Tahoma" w:hAnsi="Tahoma" w:cs="Tahoma"/>
          <w:sz w:val="18"/>
          <w:szCs w:val="18"/>
        </w:rPr>
      </w:pPr>
    </w:p>
    <w:p w:rsidR="00A92422" w:rsidRPr="00D87B79" w:rsidRDefault="00A92422" w:rsidP="00A92422">
      <w:pPr>
        <w:pStyle w:val="Heading2"/>
        <w:ind w:left="0"/>
        <w:rPr>
          <w:rFonts w:ascii="Tahoma" w:hAnsi="Tahoma" w:cs="Tahoma"/>
        </w:rPr>
      </w:pPr>
      <w:bookmarkStart w:id="1070" w:name="_6_Office_365"/>
      <w:bookmarkStart w:id="1071" w:name="_Toc336338262"/>
      <w:bookmarkStart w:id="1072" w:name="_5_Office_365"/>
      <w:bookmarkStart w:id="1073" w:name="_Toc342900313"/>
      <w:bookmarkEnd w:id="1070"/>
      <w:bookmarkEnd w:id="1071"/>
      <w:bookmarkEnd w:id="1072"/>
      <w:r w:rsidRPr="00D87B79">
        <w:rPr>
          <w:rFonts w:ascii="Tahoma" w:hAnsi="Tahoma" w:cs="Tahoma"/>
          <w:caps/>
          <w:color w:val="F66400"/>
          <w:sz w:val="22"/>
          <w:vertAlign w:val="superscript"/>
          <w:lang w:val="it-IT"/>
        </w:rPr>
        <w:t>5</w:t>
      </w:r>
      <w:r w:rsidRPr="00D87B79">
        <w:rPr>
          <w:rFonts w:ascii="Tahoma" w:hAnsi="Tahoma" w:cs="Tahoma"/>
          <w:color w:val="F66400"/>
          <w:sz w:val="22"/>
          <w:lang w:val="it-IT"/>
        </w:rPr>
        <w:t xml:space="preserve"> </w:t>
      </w:r>
      <w:r w:rsidRPr="00D87B79">
        <w:rPr>
          <w:rFonts w:ascii="Tahoma" w:hAnsi="Tahoma" w:cs="Tahoma"/>
          <w:color w:val="FF6600"/>
          <w:sz w:val="22"/>
          <w:lang w:val="it-IT"/>
        </w:rPr>
        <w:t>Office 365 Piani A2-A4 (SL per Utente)</w:t>
      </w:r>
      <w:bookmarkEnd w:id="1073"/>
    </w:p>
    <w:p w:rsidR="00A92422" w:rsidRPr="00D87B79" w:rsidRDefault="00A92422" w:rsidP="00A92422">
      <w:pPr>
        <w:rPr>
          <w:rFonts w:cs="Tahoma"/>
        </w:rPr>
      </w:pPr>
    </w:p>
    <w:p w:rsidR="00A92422" w:rsidRPr="00D87B79" w:rsidRDefault="00A92422" w:rsidP="00A92422">
      <w:pPr>
        <w:ind w:left="720"/>
        <w:rPr>
          <w:rFonts w:cs="Tahoma"/>
        </w:rPr>
      </w:pPr>
      <w:r w:rsidRPr="00D87B79">
        <w:rPr>
          <w:rFonts w:eastAsia="Times New Roman" w:cs="Tahoma"/>
          <w:color w:val="000000"/>
          <w:szCs w:val="18"/>
          <w:lang w:val="it-IT"/>
        </w:rPr>
        <w:t>I Piani A2-A4 di Office 365 consistono di versioni specifiche Academic degli stessi servizi online che costituiscono i Piani E2-E4.</w:t>
      </w:r>
      <w:r w:rsidRPr="00D87B79">
        <w:rPr>
          <w:rFonts w:eastAsia="Times New Roman" w:cs="Tahoma"/>
          <w:color w:val="000000"/>
          <w:szCs w:val="18"/>
        </w:rPr>
        <w:t xml:space="preserve"> </w:t>
      </w:r>
      <w:r w:rsidRPr="00D87B79">
        <w:rPr>
          <w:rFonts w:eastAsia="Times New Roman" w:cs="Tahoma"/>
          <w:color w:val="000000"/>
          <w:szCs w:val="18"/>
          <w:lang w:val="it-IT"/>
        </w:rPr>
        <w:t>I diritti sull’utilizzo dei Piani A2-A4 e dei relativi componenti sono equivalenti alle</w:t>
      </w:r>
      <w:r>
        <w:rPr>
          <w:rFonts w:eastAsia="Times New Roman" w:cs="Tahoma"/>
          <w:color w:val="000000"/>
          <w:szCs w:val="18"/>
          <w:lang w:val="it-IT"/>
        </w:rPr>
        <w:t> </w:t>
      </w:r>
      <w:r w:rsidRPr="00D87B79">
        <w:rPr>
          <w:rFonts w:eastAsia="Times New Roman" w:cs="Tahoma"/>
          <w:color w:val="000000"/>
          <w:szCs w:val="18"/>
          <w:lang w:val="it-IT"/>
        </w:rPr>
        <w:t>loro controparti commerciali.</w:t>
      </w:r>
      <w:r w:rsidRPr="00D87B79">
        <w:rPr>
          <w:rFonts w:cs="Tahoma"/>
        </w:rPr>
        <w:t xml:space="preserve"> </w:t>
      </w:r>
      <w:r w:rsidRPr="00D87B79">
        <w:rPr>
          <w:rFonts w:cs="Tahoma"/>
          <w:color w:val="000000"/>
          <w:lang w:val="it-IT"/>
        </w:rPr>
        <w:t>Tuttavia, gli utenti in possesso di USL per Office 365 Piano A2 non sono autorizzati ad accedere ai propri server locali.</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color w:val="000000"/>
          <w:lang w:val="it-IT"/>
        </w:rPr>
        <w:t>Ai sensi del Contratto School le licenze “Subscription” per i Piani di Office 365 dovranno essere acquistate in</w:t>
      </w:r>
      <w:r>
        <w:rPr>
          <w:rFonts w:cs="Tahoma"/>
          <w:color w:val="000000"/>
          <w:lang w:val="it-IT"/>
        </w:rPr>
        <w:t> </w:t>
      </w:r>
      <w:r w:rsidRPr="00D87B79">
        <w:rPr>
          <w:rFonts w:cs="Tahoma"/>
          <w:color w:val="000000"/>
          <w:lang w:val="it-IT"/>
        </w:rPr>
        <w:t>modalità per utente per l’intero istituto oppure non per l’intero istituto.</w:t>
      </w:r>
      <w:r w:rsidRPr="00D87B79">
        <w:rPr>
          <w:rFonts w:cs="Tahoma"/>
        </w:rPr>
        <w:t xml:space="preserve"> </w:t>
      </w:r>
      <w:r w:rsidRPr="00D87B79">
        <w:rPr>
          <w:rFonts w:cs="Tahoma"/>
          <w:color w:val="000000"/>
          <w:lang w:val="it-IT"/>
        </w:rPr>
        <w:t>Qualora occorressero Licenze “Subscription” per Utente per accedere a un Piano a medio termine di Office 365, l’Istituto dovrà ordinare tali Licenze.</w:t>
      </w:r>
      <w:r w:rsidRPr="00D87B79">
        <w:rPr>
          <w:rFonts w:cs="Tahoma"/>
        </w:rPr>
        <w:t xml:space="preserve"> </w:t>
      </w:r>
      <w:r w:rsidRPr="00D87B79">
        <w:rPr>
          <w:rFonts w:cs="Tahoma"/>
          <w:color w:val="000000"/>
          <w:lang w:val="it-IT"/>
        </w:rPr>
        <w:t>L’Istituto può utilizzare un qualsiasi Piano di Office 365 per soddisfare i requisiti minimi del programma.</w:t>
      </w:r>
      <w:r w:rsidRPr="00D87B79">
        <w:rPr>
          <w:rFonts w:cs="Tahoma"/>
        </w:rPr>
        <w:t xml:space="preserve"> </w:t>
      </w:r>
      <w:r w:rsidRPr="00D87B79">
        <w:rPr>
          <w:rFonts w:cs="Tahoma"/>
          <w:color w:val="000000"/>
          <w:lang w:val="it-IT"/>
        </w:rPr>
        <w:t>Quando si ottiene una licenza Add-on per Office 365, anche la licenza per il prodotto qualificante corrispondente dovrà essere acquistata ai sensi della stessa iscrizione.</w:t>
      </w:r>
      <w:r w:rsidRPr="00D87B79">
        <w:rPr>
          <w:rFonts w:cs="Tahoma"/>
        </w:rPr>
        <w:t xml:space="preserve"> </w:t>
      </w:r>
      <w:r w:rsidRPr="00D87B79">
        <w:rPr>
          <w:rFonts w:cs="Tahoma"/>
          <w:color w:val="000000"/>
          <w:lang w:val="it-IT"/>
        </w:rPr>
        <w:t>In occasione della ricorrenza annuale l’Istituto potrà ordinare un numero di licenze per i Servizi Online inferiore rispetto alla</w:t>
      </w:r>
      <w:r>
        <w:rPr>
          <w:rFonts w:cs="Tahoma"/>
          <w:color w:val="000000"/>
          <w:lang w:val="it-IT"/>
        </w:rPr>
        <w:t> </w:t>
      </w:r>
      <w:r w:rsidRPr="00D87B79">
        <w:rPr>
          <w:rFonts w:cs="Tahoma"/>
          <w:color w:val="000000"/>
          <w:lang w:val="it-IT"/>
        </w:rPr>
        <w:t>quantità dell’ordine iniziale purché l’ordine soddisfi i requisiti minimi per i Servizi Online Piattaforma.</w:t>
      </w:r>
    </w:p>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lang w:val="it-IT"/>
        </w:rPr>
        <w:t>USL Add-On</w:t>
      </w:r>
    </w:p>
    <w:p w:rsidR="00A92422" w:rsidRPr="00D87B79" w:rsidRDefault="00A92422" w:rsidP="00A92422">
      <w:pPr>
        <w:ind w:left="720"/>
        <w:rPr>
          <w:rFonts w:cs="Tahoma"/>
        </w:rPr>
      </w:pPr>
      <w:r w:rsidRPr="00D87B79">
        <w:rPr>
          <w:rFonts w:eastAsia="Times New Roman" w:cs="Tahoma"/>
          <w:color w:val="000000"/>
          <w:szCs w:val="18"/>
          <w:lang w:val="it-IT"/>
        </w:rPr>
        <w:t>gli Istituti che dispongono di una copertura per i prodotti qualificanti potranno acquistare la Licenza “Subscription” per Utente corrispondente per il Piano Add-on di Office 365, come descritto in dettaglio nella</w:t>
      </w:r>
      <w:r>
        <w:rPr>
          <w:rFonts w:eastAsia="Times New Roman" w:cs="Tahoma"/>
          <w:color w:val="000000"/>
          <w:szCs w:val="18"/>
          <w:lang w:val="it-IT"/>
        </w:rPr>
        <w:t> </w:t>
      </w:r>
      <w:r w:rsidRPr="00D87B79">
        <w:rPr>
          <w:rFonts w:eastAsia="Times New Roman" w:cs="Tahoma"/>
          <w:color w:val="000000"/>
          <w:szCs w:val="18"/>
          <w:lang w:val="it-IT"/>
        </w:rPr>
        <w:t>tabella che segue. Istituti che hanno stipulato un Contratto School:</w:t>
      </w:r>
      <w:r w:rsidRPr="00D87B79">
        <w:rPr>
          <w:rFonts w:eastAsia="Times New Roman" w:cs="Tahoma"/>
          <w:color w:val="000000"/>
          <w:szCs w:val="18"/>
        </w:rPr>
        <w:t xml:space="preserve"> </w:t>
      </w:r>
      <w:r w:rsidRPr="00D87B79">
        <w:rPr>
          <w:rFonts w:cs="Tahoma"/>
          <w:color w:val="000000"/>
          <w:lang w:val="it-IT"/>
        </w:rPr>
        <w:t>gli Istituti potranno acquistare la</w:t>
      </w:r>
      <w:r>
        <w:rPr>
          <w:rFonts w:cs="Tahoma"/>
          <w:color w:val="000000"/>
          <w:lang w:val="it-IT"/>
        </w:rPr>
        <w:t> </w:t>
      </w:r>
      <w:r w:rsidRPr="00D87B79">
        <w:rPr>
          <w:rFonts w:cs="Tahoma"/>
          <w:color w:val="000000"/>
          <w:lang w:val="it-IT"/>
        </w:rPr>
        <w:t>corrispondente Licenza “Subscription” per Utente per il Piano Add-on di Office 365 per i loro Utenti, fino al</w:t>
      </w:r>
      <w:r>
        <w:rPr>
          <w:rFonts w:cs="Tahoma"/>
          <w:color w:val="000000"/>
          <w:lang w:val="it-IT"/>
        </w:rPr>
        <w:t> </w:t>
      </w:r>
      <w:r w:rsidRPr="00D87B79">
        <w:rPr>
          <w:rFonts w:cs="Tahoma"/>
          <w:color w:val="000000"/>
          <w:lang w:val="it-IT"/>
        </w:rPr>
        <w:t>raggiungimento della quantità indicata nel conteggio dei PC Idonei, purché siano in possesso della copertura per i prodotti qualificanti.</w:t>
      </w:r>
      <w:r w:rsidRPr="00D87B79">
        <w:rPr>
          <w:rFonts w:cs="Tahoma"/>
        </w:rPr>
        <w:t xml:space="preserve"> </w:t>
      </w:r>
    </w:p>
    <w:p w:rsidR="00A92422" w:rsidRPr="00D87B79" w:rsidRDefault="00A92422" w:rsidP="00A92422">
      <w:pPr>
        <w:rPr>
          <w:rFonts w:cs="Tahoma"/>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A92422" w:rsidRPr="00D87B79" w:rsidTr="00EA30FC">
        <w:tc>
          <w:tcPr>
            <w:tcW w:w="4320" w:type="dxa"/>
            <w:shd w:val="clear" w:color="auto" w:fill="FABF8F"/>
          </w:tcPr>
          <w:p w:rsidR="00A92422" w:rsidRPr="00D87B79" w:rsidRDefault="00A92422" w:rsidP="00EA30FC">
            <w:pPr>
              <w:rPr>
                <w:rFonts w:eastAsia="Times New Roman" w:cs="Tahoma"/>
                <w:b/>
                <w:color w:val="000000"/>
                <w:szCs w:val="18"/>
              </w:rPr>
            </w:pPr>
            <w:r w:rsidRPr="00D87B79">
              <w:rPr>
                <w:rFonts w:eastAsia="Times New Roman" w:cs="Tahoma"/>
                <w:b/>
                <w:color w:val="000000"/>
                <w:szCs w:val="18"/>
                <w:lang w:val="it-IT"/>
              </w:rPr>
              <w:t>Licenza Qualificante</w:t>
            </w:r>
          </w:p>
        </w:tc>
        <w:tc>
          <w:tcPr>
            <w:tcW w:w="4320" w:type="dxa"/>
            <w:shd w:val="clear" w:color="auto" w:fill="FABF8F"/>
          </w:tcPr>
          <w:p w:rsidR="00A92422" w:rsidRPr="00D87B79" w:rsidRDefault="00A92422" w:rsidP="00EA30FC">
            <w:pPr>
              <w:rPr>
                <w:rFonts w:eastAsia="Times New Roman" w:cs="Tahoma"/>
                <w:b/>
                <w:color w:val="000000"/>
                <w:szCs w:val="18"/>
              </w:rPr>
            </w:pPr>
            <w:r w:rsidRPr="00D87B79">
              <w:rPr>
                <w:rFonts w:eastAsia="Times New Roman" w:cs="Tahoma"/>
                <w:b/>
                <w:color w:val="000000"/>
                <w:szCs w:val="18"/>
                <w:lang w:val="it-IT"/>
              </w:rPr>
              <w:t>USL Add-On</w:t>
            </w:r>
          </w:p>
        </w:tc>
      </w:tr>
      <w:tr w:rsidR="00A92422" w:rsidRPr="00D87B79" w:rsidTr="00EA30FC">
        <w:tc>
          <w:tcPr>
            <w:tcW w:w="4320" w:type="dxa"/>
          </w:tcPr>
          <w:p w:rsidR="00A92422" w:rsidRPr="00D87B79" w:rsidRDefault="00A92422" w:rsidP="00EA30FC">
            <w:pPr>
              <w:rPr>
                <w:rFonts w:eastAsia="Times New Roman" w:cs="Tahoma"/>
                <w:color w:val="000000"/>
                <w:szCs w:val="18"/>
              </w:rPr>
            </w:pPr>
            <w:r w:rsidRPr="00D87B79">
              <w:rPr>
                <w:rFonts w:cs="Tahoma"/>
                <w:color w:val="000000"/>
                <w:lang w:val="it-IT"/>
              </w:rPr>
              <w:t>Core CAL Suite1 o ECAL Suite</w:t>
            </w:r>
            <w:r w:rsidRPr="00D87B79">
              <w:rPr>
                <w:rFonts w:cs="Tahoma"/>
                <w:color w:val="000000"/>
                <w:vertAlign w:val="superscript"/>
                <w:lang w:val="it-IT"/>
              </w:rPr>
              <w:t>1</w:t>
            </w:r>
          </w:p>
        </w:tc>
        <w:tc>
          <w:tcPr>
            <w:tcW w:w="4320" w:type="dxa"/>
          </w:tcPr>
          <w:p w:rsidR="00A92422" w:rsidRPr="00D87B79" w:rsidRDefault="00A92422" w:rsidP="00EA30FC">
            <w:pPr>
              <w:rPr>
                <w:rFonts w:eastAsia="Times New Roman" w:cs="Tahoma"/>
                <w:color w:val="000000"/>
                <w:szCs w:val="18"/>
              </w:rPr>
            </w:pPr>
            <w:r w:rsidRPr="00D87B79">
              <w:rPr>
                <w:rFonts w:eastAsia="Times New Roman" w:cs="Tahoma"/>
                <w:color w:val="000000"/>
                <w:szCs w:val="18"/>
                <w:lang w:val="it-IT"/>
              </w:rPr>
              <w:t>USL Add-On per Office 365 Piano A3 per Core CAL o ECAL</w:t>
            </w:r>
          </w:p>
        </w:tc>
      </w:tr>
      <w:tr w:rsidR="00A92422" w:rsidRPr="00D87B79" w:rsidTr="00EA30FC">
        <w:tc>
          <w:tcPr>
            <w:tcW w:w="4320" w:type="dxa"/>
          </w:tcPr>
          <w:p w:rsidR="00A92422" w:rsidRPr="00D87B79" w:rsidRDefault="00A92422" w:rsidP="00EA30FC">
            <w:pPr>
              <w:rPr>
                <w:rFonts w:eastAsia="Times New Roman" w:cs="Tahoma"/>
                <w:color w:val="000000"/>
                <w:szCs w:val="18"/>
              </w:rPr>
            </w:pPr>
            <w:r w:rsidRPr="00D87B79">
              <w:rPr>
                <w:rFonts w:cs="Tahoma"/>
                <w:color w:val="000000"/>
                <w:lang w:val="it-IT"/>
              </w:rPr>
              <w:t>Office Pro Plus</w:t>
            </w:r>
            <w:r w:rsidRPr="00D87B79">
              <w:rPr>
                <w:rFonts w:cs="Tahoma"/>
                <w:color w:val="000000"/>
                <w:vertAlign w:val="superscript"/>
                <w:lang w:val="it-IT"/>
              </w:rPr>
              <w:t>1</w:t>
            </w:r>
          </w:p>
        </w:tc>
        <w:tc>
          <w:tcPr>
            <w:tcW w:w="4320" w:type="dxa"/>
          </w:tcPr>
          <w:p w:rsidR="00A92422" w:rsidRPr="00D87B79" w:rsidRDefault="00A92422" w:rsidP="00EA30FC">
            <w:pPr>
              <w:rPr>
                <w:rFonts w:eastAsia="Times New Roman" w:cs="Tahoma"/>
                <w:color w:val="000000"/>
                <w:szCs w:val="18"/>
              </w:rPr>
            </w:pPr>
            <w:r w:rsidRPr="00D87B79">
              <w:rPr>
                <w:rFonts w:eastAsia="Times New Roman" w:cs="Tahoma"/>
                <w:color w:val="000000"/>
                <w:szCs w:val="18"/>
                <w:lang w:val="it-IT"/>
              </w:rPr>
              <w:t>USL Add-On per Office 365 Piano A3 per Office Pro Plus</w:t>
            </w:r>
          </w:p>
        </w:tc>
      </w:tr>
      <w:tr w:rsidR="00A92422" w:rsidRPr="00D87B79" w:rsidTr="00EA30FC">
        <w:tc>
          <w:tcPr>
            <w:tcW w:w="4320" w:type="dxa"/>
          </w:tcPr>
          <w:p w:rsidR="00A92422" w:rsidRPr="00D87B79" w:rsidRDefault="00A92422" w:rsidP="00EA30FC">
            <w:pPr>
              <w:rPr>
                <w:rFonts w:eastAsia="Times New Roman" w:cs="Tahoma"/>
                <w:color w:val="000000"/>
                <w:szCs w:val="18"/>
              </w:rPr>
            </w:pPr>
            <w:r w:rsidRPr="00D87B79">
              <w:rPr>
                <w:rFonts w:cs="Tahoma"/>
                <w:color w:val="000000"/>
                <w:lang w:val="it-IT"/>
              </w:rPr>
              <w:t>Core CAL Suite1 o ECAL Suite</w:t>
            </w:r>
            <w:r w:rsidRPr="00D87B79">
              <w:rPr>
                <w:rFonts w:cs="Tahoma"/>
                <w:color w:val="000000"/>
                <w:vertAlign w:val="superscript"/>
                <w:lang w:val="it-IT"/>
              </w:rPr>
              <w:t xml:space="preserve">1 </w:t>
            </w:r>
            <w:r w:rsidRPr="00D87B79">
              <w:rPr>
                <w:rFonts w:cs="Tahoma"/>
                <w:color w:val="000000"/>
                <w:lang w:val="it-IT"/>
              </w:rPr>
              <w:t>+ Office Pro Plus</w:t>
            </w:r>
            <w:r w:rsidRPr="00D87B79">
              <w:rPr>
                <w:rFonts w:cs="Tahoma"/>
                <w:color w:val="000000"/>
                <w:vertAlign w:val="superscript"/>
                <w:lang w:val="it-IT"/>
              </w:rPr>
              <w:t>1</w:t>
            </w:r>
          </w:p>
        </w:tc>
        <w:tc>
          <w:tcPr>
            <w:tcW w:w="4320" w:type="dxa"/>
          </w:tcPr>
          <w:p w:rsidR="00A92422" w:rsidRPr="00D87B79" w:rsidRDefault="00A92422" w:rsidP="00EA30FC">
            <w:pPr>
              <w:rPr>
                <w:rFonts w:eastAsia="Times New Roman" w:cs="Tahoma"/>
                <w:color w:val="000000"/>
                <w:szCs w:val="18"/>
              </w:rPr>
            </w:pPr>
            <w:r w:rsidRPr="00D87B79">
              <w:rPr>
                <w:rFonts w:eastAsia="Times New Roman" w:cs="Tahoma"/>
                <w:color w:val="000000"/>
                <w:szCs w:val="18"/>
                <w:lang w:val="it-IT"/>
              </w:rPr>
              <w:t>USL Add-On per Office 365 Piano A3 per Core CAL o ECAL + Office Pro Plus</w:t>
            </w:r>
          </w:p>
        </w:tc>
      </w:tr>
      <w:tr w:rsidR="00A92422" w:rsidRPr="00D87B79" w:rsidTr="00EA30FC">
        <w:tc>
          <w:tcPr>
            <w:tcW w:w="4320" w:type="dxa"/>
          </w:tcPr>
          <w:p w:rsidR="00A92422" w:rsidRPr="00D87B79" w:rsidRDefault="00A92422" w:rsidP="00EA30FC">
            <w:pPr>
              <w:rPr>
                <w:rFonts w:eastAsia="Times New Roman" w:cs="Tahoma"/>
                <w:color w:val="000000"/>
                <w:szCs w:val="18"/>
              </w:rPr>
            </w:pPr>
            <w:r w:rsidRPr="00D87B79">
              <w:rPr>
                <w:rFonts w:cs="Tahoma"/>
                <w:color w:val="000000"/>
                <w:lang w:val="it-IT"/>
              </w:rPr>
              <w:t>Core CAL Suite1 o ECAL Suite</w:t>
            </w:r>
            <w:r w:rsidRPr="00D87B79">
              <w:rPr>
                <w:rFonts w:cs="Tahoma"/>
                <w:color w:val="000000"/>
                <w:vertAlign w:val="superscript"/>
                <w:lang w:val="it-IT"/>
              </w:rPr>
              <w:t>1</w:t>
            </w:r>
          </w:p>
        </w:tc>
        <w:tc>
          <w:tcPr>
            <w:tcW w:w="4320" w:type="dxa"/>
          </w:tcPr>
          <w:p w:rsidR="00A92422" w:rsidRPr="00D87B79" w:rsidRDefault="00A92422" w:rsidP="00EA30FC">
            <w:pPr>
              <w:rPr>
                <w:rFonts w:eastAsia="Times New Roman" w:cs="Tahoma"/>
                <w:color w:val="000000"/>
                <w:szCs w:val="18"/>
              </w:rPr>
            </w:pPr>
            <w:r w:rsidRPr="00D87B79">
              <w:rPr>
                <w:rFonts w:eastAsia="Times New Roman" w:cs="Tahoma"/>
                <w:color w:val="000000"/>
                <w:szCs w:val="18"/>
                <w:lang w:val="it-IT"/>
              </w:rPr>
              <w:t>USL Add-On per Office 365 Piano A4 per Core CAL o ECAL</w:t>
            </w:r>
          </w:p>
        </w:tc>
      </w:tr>
      <w:tr w:rsidR="00A92422" w:rsidRPr="00D87B79" w:rsidTr="00EA30FC">
        <w:tc>
          <w:tcPr>
            <w:tcW w:w="4320" w:type="dxa"/>
          </w:tcPr>
          <w:p w:rsidR="00A92422" w:rsidRPr="00D87B79" w:rsidRDefault="00A92422" w:rsidP="00EA30FC">
            <w:pPr>
              <w:rPr>
                <w:rFonts w:eastAsia="Times New Roman" w:cs="Tahoma"/>
                <w:color w:val="000000"/>
                <w:szCs w:val="18"/>
              </w:rPr>
            </w:pPr>
            <w:r w:rsidRPr="00D87B79">
              <w:rPr>
                <w:rFonts w:cs="Tahoma"/>
                <w:color w:val="000000"/>
                <w:lang w:val="it-IT"/>
              </w:rPr>
              <w:t>Office Pro Plus</w:t>
            </w:r>
            <w:r w:rsidRPr="00D87B79">
              <w:rPr>
                <w:rFonts w:cs="Tahoma"/>
                <w:color w:val="000000"/>
                <w:vertAlign w:val="superscript"/>
                <w:lang w:val="it-IT"/>
              </w:rPr>
              <w:t>1</w:t>
            </w:r>
          </w:p>
        </w:tc>
        <w:tc>
          <w:tcPr>
            <w:tcW w:w="4320" w:type="dxa"/>
          </w:tcPr>
          <w:p w:rsidR="00A92422" w:rsidRPr="00D87B79" w:rsidRDefault="00A92422" w:rsidP="00EA30FC">
            <w:pPr>
              <w:rPr>
                <w:rFonts w:eastAsia="Times New Roman" w:cs="Tahoma"/>
                <w:color w:val="000000"/>
                <w:szCs w:val="18"/>
              </w:rPr>
            </w:pPr>
            <w:r w:rsidRPr="00D87B79">
              <w:rPr>
                <w:rFonts w:eastAsia="Times New Roman" w:cs="Tahoma"/>
                <w:color w:val="000000"/>
                <w:szCs w:val="18"/>
                <w:lang w:val="it-IT"/>
              </w:rPr>
              <w:t>USL Add-On per Office 365 Piano A4 per Office Pro</w:t>
            </w:r>
            <w:r>
              <w:rPr>
                <w:rFonts w:eastAsia="Times New Roman" w:cs="Tahoma"/>
                <w:color w:val="000000"/>
                <w:szCs w:val="18"/>
                <w:lang w:val="it-IT"/>
              </w:rPr>
              <w:t> </w:t>
            </w:r>
            <w:r w:rsidRPr="00D87B79">
              <w:rPr>
                <w:rFonts w:eastAsia="Times New Roman" w:cs="Tahoma"/>
                <w:color w:val="000000"/>
                <w:szCs w:val="18"/>
                <w:lang w:val="it-IT"/>
              </w:rPr>
              <w:t>Plus</w:t>
            </w:r>
          </w:p>
        </w:tc>
      </w:tr>
      <w:tr w:rsidR="00A92422" w:rsidRPr="00D87B79" w:rsidTr="00EA30FC">
        <w:tc>
          <w:tcPr>
            <w:tcW w:w="4320" w:type="dxa"/>
          </w:tcPr>
          <w:p w:rsidR="00A92422" w:rsidRPr="00D87B79" w:rsidRDefault="00A92422" w:rsidP="00EA30FC">
            <w:pPr>
              <w:rPr>
                <w:rFonts w:eastAsia="Times New Roman" w:cs="Tahoma"/>
                <w:color w:val="000000"/>
                <w:szCs w:val="18"/>
              </w:rPr>
            </w:pPr>
            <w:r w:rsidRPr="00D87B79">
              <w:rPr>
                <w:rFonts w:cs="Tahoma"/>
                <w:color w:val="000000"/>
                <w:lang w:val="it-IT"/>
              </w:rPr>
              <w:t>Core CAL Suite o ECAL Suite</w:t>
            </w:r>
            <w:r w:rsidRPr="00D87B79">
              <w:rPr>
                <w:rFonts w:cs="Tahoma"/>
                <w:color w:val="000000"/>
                <w:vertAlign w:val="superscript"/>
                <w:lang w:val="it-IT"/>
              </w:rPr>
              <w:t xml:space="preserve">1 </w:t>
            </w:r>
            <w:r w:rsidRPr="00D87B79">
              <w:rPr>
                <w:rFonts w:cs="Tahoma"/>
                <w:color w:val="000000"/>
                <w:lang w:val="it-IT"/>
              </w:rPr>
              <w:t>+ Office Pro Plus</w:t>
            </w:r>
            <w:r w:rsidRPr="00D87B79">
              <w:rPr>
                <w:rFonts w:cs="Tahoma"/>
                <w:color w:val="000000"/>
                <w:vertAlign w:val="superscript"/>
                <w:lang w:val="it-IT"/>
              </w:rPr>
              <w:t>1</w:t>
            </w:r>
          </w:p>
        </w:tc>
        <w:tc>
          <w:tcPr>
            <w:tcW w:w="4320" w:type="dxa"/>
          </w:tcPr>
          <w:p w:rsidR="00A92422" w:rsidRPr="00D87B79" w:rsidRDefault="00A92422" w:rsidP="00EA30FC">
            <w:pPr>
              <w:rPr>
                <w:rFonts w:eastAsia="Times New Roman" w:cs="Tahoma"/>
                <w:color w:val="000000"/>
                <w:szCs w:val="18"/>
              </w:rPr>
            </w:pPr>
            <w:r w:rsidRPr="00D87B79">
              <w:rPr>
                <w:rFonts w:eastAsia="Times New Roman" w:cs="Tahoma"/>
                <w:color w:val="000000"/>
                <w:szCs w:val="18"/>
                <w:lang w:val="it-IT"/>
              </w:rPr>
              <w:t>USL Add-On per Office 365 Piano A4 per Core CAL</w:t>
            </w:r>
            <w:r>
              <w:rPr>
                <w:rFonts w:eastAsia="Times New Roman" w:cs="Tahoma"/>
                <w:color w:val="000000"/>
                <w:szCs w:val="18"/>
                <w:lang w:val="it-IT"/>
              </w:rPr>
              <w:t> </w:t>
            </w:r>
            <w:r w:rsidRPr="00D87B79">
              <w:rPr>
                <w:rFonts w:eastAsia="Times New Roman" w:cs="Tahoma"/>
                <w:color w:val="000000"/>
                <w:szCs w:val="18"/>
                <w:lang w:val="it-IT"/>
              </w:rPr>
              <w:t>o ECAL + Office Pro Plus</w:t>
            </w:r>
          </w:p>
        </w:tc>
      </w:tr>
    </w:tbl>
    <w:p w:rsidR="00A92422" w:rsidRPr="00D87B79" w:rsidRDefault="00A92422" w:rsidP="00A92422">
      <w:pPr>
        <w:ind w:left="900"/>
        <w:rPr>
          <w:rFonts w:cs="Tahoma"/>
        </w:rPr>
      </w:pPr>
      <w:r w:rsidRPr="00D87B79">
        <w:rPr>
          <w:rFonts w:cs="Tahoma"/>
          <w:i/>
          <w:color w:val="000000"/>
          <w:sz w:val="16"/>
          <w:vertAlign w:val="superscript"/>
          <w:lang w:val="it-IT"/>
        </w:rPr>
        <w:t>1</w:t>
      </w:r>
      <w:r w:rsidRPr="00D87B79">
        <w:rPr>
          <w:rFonts w:cs="Tahoma"/>
          <w:i/>
          <w:color w:val="000000"/>
          <w:sz w:val="16"/>
          <w:lang w:val="it-IT"/>
        </w:rPr>
        <w:t>Con Software Assurance attiva</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eastAsia="Times New Roman" w:cs="Tahoma"/>
          <w:iCs/>
          <w:color w:val="000000"/>
          <w:szCs w:val="18"/>
          <w:lang w:val="it-IT"/>
        </w:rPr>
        <w:t>Gli Istituti in possesso di USL per Office 365 Piano A3 o Office 365 Plan A4 cedute a tutto il personale docente e non docente potranno installare il software Office Professional Plus 2010 in qualsiasi laboratorio o</w:t>
      </w:r>
      <w:r>
        <w:rPr>
          <w:rFonts w:eastAsia="Times New Roman" w:cs="Tahoma"/>
          <w:iCs/>
          <w:color w:val="000000"/>
          <w:szCs w:val="18"/>
          <w:lang w:val="it-IT"/>
        </w:rPr>
        <w:t> </w:t>
      </w:r>
      <w:r w:rsidRPr="00D87B79">
        <w:rPr>
          <w:rFonts w:eastAsia="Times New Roman" w:cs="Tahoma"/>
          <w:iCs/>
          <w:color w:val="000000"/>
          <w:szCs w:val="18"/>
          <w:lang w:val="it-IT"/>
        </w:rPr>
        <w:t>biblioteca ad accesso libero all’interno dell’Organizzazione dell’Istituto.</w:t>
      </w:r>
      <w:r w:rsidRPr="00D87B79">
        <w:rPr>
          <w:rFonts w:cs="Tahoma"/>
        </w:rPr>
        <w:t xml:space="preserve"> </w:t>
      </w:r>
      <w:r w:rsidRPr="00D87B79">
        <w:rPr>
          <w:rFonts w:cs="Tahoma"/>
          <w:color w:val="000000"/>
          <w:lang w:val="it-IT"/>
        </w:rPr>
        <w:t>L’utilizzo del software è soggetto alle condizioni di licenza di Office Pro Plus 2010.</w:t>
      </w:r>
      <w:r w:rsidRPr="00D87B79">
        <w:rPr>
          <w:rFonts w:cs="Tahoma"/>
        </w:rPr>
        <w:t xml:space="preserve"> </w:t>
      </w:r>
    </w:p>
    <w:p w:rsidR="00A92422" w:rsidRDefault="00A92422" w:rsidP="00A92422">
      <w:pPr>
        <w:ind w:left="720"/>
        <w:rPr>
          <w:rFonts w:cs="Tahoma"/>
        </w:rPr>
      </w:pPr>
    </w:p>
    <w:p w:rsidR="00A92422" w:rsidRPr="00BE6B78" w:rsidRDefault="00A92422" w:rsidP="00A92422">
      <w:pPr>
        <w:pStyle w:val="FootnoteBulletLevel2"/>
        <w:tabs>
          <w:tab w:val="clear" w:pos="1260"/>
        </w:tabs>
        <w:spacing w:before="0"/>
        <w:ind w:left="720" w:firstLine="0"/>
        <w:rPr>
          <w:rFonts w:ascii="Tahoma" w:hAnsi="Tahoma" w:cs="Tahoma"/>
          <w:sz w:val="18"/>
          <w:szCs w:val="18"/>
        </w:rPr>
      </w:pPr>
      <w:r w:rsidRPr="00D87B79">
        <w:rPr>
          <w:rFonts w:ascii="Tahoma" w:hAnsi="Tahoma" w:cs="Tahoma"/>
          <w:color w:val="000000"/>
          <w:sz w:val="18"/>
          <w:szCs w:val="18"/>
          <w:lang w:val="it-IT"/>
        </w:rPr>
        <w:t>Lync Online Piano 1A e Piano 2A richiedono l’acquisto e l’installazione separati di Microsoft Lync 2010 (o</w:t>
      </w:r>
      <w:r>
        <w:rPr>
          <w:rFonts w:ascii="Tahoma" w:hAnsi="Tahoma" w:cs="Tahoma"/>
          <w:color w:val="000000"/>
          <w:sz w:val="18"/>
          <w:szCs w:val="18"/>
          <w:lang w:val="it-IT"/>
        </w:rPr>
        <w:t> </w:t>
      </w:r>
      <w:r w:rsidRPr="00D87B79">
        <w:rPr>
          <w:rFonts w:ascii="Tahoma" w:hAnsi="Tahoma" w:cs="Tahoma"/>
          <w:color w:val="000000"/>
          <w:sz w:val="18"/>
          <w:szCs w:val="18"/>
          <w:lang w:val="it-IT"/>
        </w:rPr>
        <w:t>Lync per Mac 2011).</w:t>
      </w:r>
      <w:r w:rsidRPr="00D87B79">
        <w:rPr>
          <w:rFonts w:ascii="Tahoma" w:hAnsi="Tahoma" w:cs="Tahoma"/>
          <w:color w:val="000000"/>
          <w:sz w:val="18"/>
          <w:szCs w:val="18"/>
        </w:rPr>
        <w:t xml:space="preserve"> </w:t>
      </w:r>
      <w:r w:rsidRPr="00D87B79">
        <w:rPr>
          <w:rFonts w:ascii="Tahoma" w:hAnsi="Tahoma" w:cs="Tahoma"/>
          <w:color w:val="000000"/>
          <w:sz w:val="18"/>
          <w:szCs w:val="18"/>
          <w:lang w:val="it-IT"/>
        </w:rPr>
        <w:t>Grazie a un’offerta di durata limitata, le società in possesso della licenza per Lync Online riceveranno gratuitamente in licenza una copia di Lync 2010 (o Lync per Mac 2011) per ogni licenza “Subscription” per Lync Online.</w:t>
      </w:r>
      <w:r w:rsidRPr="00D87B79">
        <w:rPr>
          <w:rFonts w:ascii="Tahoma" w:hAnsi="Tahoma" w:cs="Tahoma"/>
          <w:color w:val="000000"/>
          <w:sz w:val="18"/>
          <w:szCs w:val="18"/>
        </w:rPr>
        <w:t xml:space="preserve"> </w:t>
      </w:r>
      <w:r w:rsidRPr="00D87B79">
        <w:rPr>
          <w:rFonts w:ascii="Tahoma" w:hAnsi="Tahoma" w:cs="Tahoma"/>
          <w:color w:val="000000"/>
          <w:sz w:val="18"/>
          <w:szCs w:val="18"/>
          <w:lang w:val="it-IT"/>
        </w:rPr>
        <w:t>Il software potrà essere utilizzato esclusivamente con Lync Online e tutti i</w:t>
      </w:r>
      <w:r>
        <w:rPr>
          <w:rFonts w:ascii="Tahoma" w:hAnsi="Tahoma" w:cs="Tahoma"/>
          <w:color w:val="000000"/>
          <w:sz w:val="18"/>
          <w:szCs w:val="18"/>
          <w:lang w:val="it-IT"/>
        </w:rPr>
        <w:t> </w:t>
      </w:r>
      <w:r w:rsidRPr="00D87B79">
        <w:rPr>
          <w:rFonts w:ascii="Tahoma" w:hAnsi="Tahoma" w:cs="Tahoma"/>
          <w:color w:val="000000"/>
          <w:sz w:val="18"/>
          <w:szCs w:val="18"/>
          <w:lang w:val="it-IT"/>
        </w:rPr>
        <w:t>diritti di utilizzo del software cesseranno alla scadenza della licenza “Subscription” sottostante oppure in</w:t>
      </w:r>
      <w:r>
        <w:rPr>
          <w:rFonts w:ascii="Tahoma" w:hAnsi="Tahoma" w:cs="Tahoma"/>
          <w:color w:val="000000"/>
          <w:sz w:val="18"/>
          <w:szCs w:val="18"/>
          <w:lang w:val="it-IT"/>
        </w:rPr>
        <w:t> </w:t>
      </w:r>
      <w:r w:rsidRPr="00D87B79">
        <w:rPr>
          <w:rFonts w:ascii="Tahoma" w:hAnsi="Tahoma" w:cs="Tahoma"/>
          <w:color w:val="000000"/>
          <w:sz w:val="18"/>
          <w:szCs w:val="18"/>
          <w:lang w:val="it-IT"/>
        </w:rPr>
        <w:t>occasione della migrazione alla successiva nuova versione principale di Lync Online, a seconda di quale evento si verificherà per primo.</w:t>
      </w:r>
      <w:r w:rsidRPr="00D87B79">
        <w:rPr>
          <w:rFonts w:ascii="Tahoma" w:hAnsi="Tahoma" w:cs="Tahoma"/>
        </w:rPr>
        <w:t xml:space="preserve"> </w:t>
      </w:r>
      <w:r w:rsidRPr="00D87B79">
        <w:rPr>
          <w:rFonts w:ascii="Tahoma" w:hAnsi="Tahoma" w:cs="Tahoma"/>
          <w:color w:val="000000"/>
          <w:sz w:val="18"/>
          <w:lang w:val="it-IT"/>
        </w:rPr>
        <w:t>Le società che non hanno ancora effettuato la migrazione da Office Communications Online potranno utilizzare Office Communicator 2007 R2 al posto di Lync 2010 (o</w:t>
      </w:r>
      <w:r>
        <w:rPr>
          <w:rFonts w:ascii="Tahoma" w:hAnsi="Tahoma" w:cs="Tahoma"/>
          <w:color w:val="000000"/>
          <w:sz w:val="18"/>
          <w:lang w:val="it-IT"/>
        </w:rPr>
        <w:t> </w:t>
      </w:r>
      <w:r w:rsidRPr="00D87B79">
        <w:rPr>
          <w:rFonts w:ascii="Tahoma" w:hAnsi="Tahoma" w:cs="Tahoma"/>
          <w:color w:val="000000"/>
          <w:sz w:val="18"/>
          <w:lang w:val="it-IT"/>
        </w:rPr>
        <w:t>di</w:t>
      </w:r>
      <w:r>
        <w:rPr>
          <w:rFonts w:ascii="Tahoma" w:hAnsi="Tahoma" w:cs="Tahoma"/>
          <w:color w:val="000000"/>
          <w:sz w:val="18"/>
          <w:lang w:val="it-IT"/>
        </w:rPr>
        <w:t> </w:t>
      </w:r>
      <w:r w:rsidRPr="00D87B79">
        <w:rPr>
          <w:rFonts w:ascii="Tahoma" w:hAnsi="Tahoma" w:cs="Tahoma"/>
          <w:color w:val="000000"/>
          <w:sz w:val="18"/>
          <w:lang w:val="it-IT"/>
        </w:rPr>
        <w:t>Lync</w:t>
      </w:r>
      <w:r>
        <w:rPr>
          <w:rFonts w:ascii="Tahoma" w:hAnsi="Tahoma" w:cs="Tahoma"/>
          <w:color w:val="000000"/>
          <w:sz w:val="18"/>
          <w:lang w:val="it-IT"/>
        </w:rPr>
        <w:t> </w:t>
      </w:r>
      <w:r w:rsidRPr="00D87B79">
        <w:rPr>
          <w:rFonts w:ascii="Tahoma" w:hAnsi="Tahoma" w:cs="Tahoma"/>
          <w:color w:val="000000"/>
          <w:sz w:val="18"/>
          <w:lang w:val="it-IT"/>
        </w:rPr>
        <w:t>per Mac 2011) avvalendosi della concessione di licenza in questione.</w:t>
      </w:r>
    </w:p>
    <w:p w:rsidR="00A92422" w:rsidRPr="00D87B79" w:rsidRDefault="00A92422" w:rsidP="00A92422">
      <w:pPr>
        <w:pStyle w:val="Heading2"/>
        <w:ind w:left="0"/>
        <w:rPr>
          <w:rFonts w:ascii="Tahoma" w:hAnsi="Tahoma" w:cs="Tahoma"/>
        </w:rPr>
      </w:pPr>
      <w:bookmarkStart w:id="1074" w:name="_7_Office_365"/>
      <w:bookmarkStart w:id="1075" w:name="_Toc336338263"/>
      <w:bookmarkStart w:id="1076" w:name="_Toc342900314"/>
      <w:bookmarkEnd w:id="1074"/>
      <w:bookmarkEnd w:id="1075"/>
      <w:r w:rsidRPr="00D87B79">
        <w:rPr>
          <w:rFonts w:ascii="Tahoma" w:hAnsi="Tahoma" w:cs="Tahoma"/>
          <w:caps/>
          <w:color w:val="FF6600"/>
          <w:sz w:val="22"/>
          <w:vertAlign w:val="superscript"/>
          <w:lang w:val="it-IT"/>
        </w:rPr>
        <w:lastRenderedPageBreak/>
        <w:t>6</w:t>
      </w:r>
      <w:r w:rsidRPr="00D87B79">
        <w:rPr>
          <w:rFonts w:ascii="Tahoma" w:hAnsi="Tahoma" w:cs="Tahoma"/>
          <w:color w:val="FF6600"/>
          <w:lang w:val="it-IT"/>
        </w:rPr>
        <w:t xml:space="preserve"> </w:t>
      </w:r>
      <w:r w:rsidRPr="00D87B79">
        <w:rPr>
          <w:rFonts w:ascii="Tahoma" w:hAnsi="Tahoma" w:cs="Tahoma"/>
          <w:color w:val="FF6600"/>
          <w:sz w:val="22"/>
          <w:lang w:val="it-IT"/>
        </w:rPr>
        <w:t>Office 365 Piano E2-E4</w:t>
      </w:r>
      <w:bookmarkEnd w:id="1076"/>
    </w:p>
    <w:p w:rsidR="00A92422" w:rsidRPr="00D87B79" w:rsidRDefault="00A92422" w:rsidP="00A92422">
      <w:pPr>
        <w:rPr>
          <w:rFonts w:cs="Tahoma"/>
        </w:rPr>
      </w:pPr>
    </w:p>
    <w:p w:rsidR="00A92422" w:rsidRPr="00D87B79" w:rsidRDefault="00A92422" w:rsidP="00A92422">
      <w:pPr>
        <w:ind w:left="720"/>
        <w:rPr>
          <w:rFonts w:cs="Tahoma"/>
        </w:rPr>
      </w:pPr>
      <w:r w:rsidRPr="00D87B79">
        <w:rPr>
          <w:rFonts w:cs="Tahoma"/>
          <w:color w:val="000000"/>
          <w:lang w:val="it-IT"/>
        </w:rPr>
        <w:t>Office 365 Piani E2-E4 permette l’accesso ai seguenti Servizi Online:</w:t>
      </w:r>
    </w:p>
    <w:p w:rsidR="00A92422" w:rsidRPr="00D87B79" w:rsidRDefault="00A92422" w:rsidP="00A92422">
      <w:pPr>
        <w:rPr>
          <w:rFonts w:cs="Tahoma"/>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0"/>
        <w:gridCol w:w="2880"/>
        <w:gridCol w:w="2898"/>
      </w:tblGrid>
      <w:tr w:rsidR="00A92422" w:rsidRPr="00D87B79" w:rsidTr="00EA30FC">
        <w:tc>
          <w:tcPr>
            <w:tcW w:w="2790" w:type="dxa"/>
            <w:shd w:val="clear" w:color="auto" w:fill="FABF8F"/>
          </w:tcPr>
          <w:p w:rsidR="00A92422" w:rsidRPr="00D87B79" w:rsidRDefault="00A92422" w:rsidP="00EA30FC">
            <w:pPr>
              <w:jc w:val="center"/>
              <w:rPr>
                <w:rFonts w:eastAsia="Times New Roman" w:cs="Tahoma"/>
                <w:b/>
                <w:color w:val="000000"/>
                <w:sz w:val="20"/>
              </w:rPr>
            </w:pPr>
            <w:r w:rsidRPr="00D87B79">
              <w:rPr>
                <w:rFonts w:eastAsia="Times New Roman" w:cs="Tahoma"/>
                <w:b/>
                <w:color w:val="000000"/>
                <w:sz w:val="20"/>
                <w:lang w:val="it-IT"/>
              </w:rPr>
              <w:t>Office 365 Piano E2</w:t>
            </w:r>
          </w:p>
        </w:tc>
        <w:tc>
          <w:tcPr>
            <w:tcW w:w="2880" w:type="dxa"/>
            <w:shd w:val="clear" w:color="auto" w:fill="FABF8F"/>
          </w:tcPr>
          <w:p w:rsidR="00A92422" w:rsidRPr="00D87B79" w:rsidRDefault="00A92422" w:rsidP="00EA30FC">
            <w:pPr>
              <w:jc w:val="center"/>
              <w:rPr>
                <w:rFonts w:eastAsia="Times New Roman" w:cs="Tahoma"/>
                <w:b/>
                <w:color w:val="000000"/>
                <w:sz w:val="20"/>
              </w:rPr>
            </w:pPr>
            <w:r w:rsidRPr="00D87B79">
              <w:rPr>
                <w:rFonts w:eastAsia="Times New Roman" w:cs="Tahoma"/>
                <w:b/>
                <w:color w:val="000000"/>
                <w:sz w:val="20"/>
                <w:lang w:val="it-IT"/>
              </w:rPr>
              <w:t>Office 365 Piano E3</w:t>
            </w:r>
          </w:p>
        </w:tc>
        <w:tc>
          <w:tcPr>
            <w:tcW w:w="2898" w:type="dxa"/>
            <w:shd w:val="clear" w:color="auto" w:fill="FABF8F"/>
          </w:tcPr>
          <w:p w:rsidR="00A92422" w:rsidRPr="00D87B79" w:rsidRDefault="00A92422" w:rsidP="00EA30FC">
            <w:pPr>
              <w:jc w:val="center"/>
              <w:rPr>
                <w:rFonts w:eastAsia="Times New Roman" w:cs="Tahoma"/>
                <w:b/>
                <w:color w:val="000000"/>
                <w:sz w:val="20"/>
              </w:rPr>
            </w:pPr>
            <w:r w:rsidRPr="00D87B79">
              <w:rPr>
                <w:rFonts w:eastAsia="Times New Roman" w:cs="Tahoma"/>
                <w:b/>
                <w:color w:val="000000"/>
                <w:sz w:val="20"/>
                <w:lang w:val="it-IT"/>
              </w:rPr>
              <w:t>Office 365 Piano E4</w:t>
            </w:r>
          </w:p>
        </w:tc>
      </w:tr>
      <w:tr w:rsidR="00A92422" w:rsidRPr="00D87B79" w:rsidTr="00EA30FC">
        <w:tc>
          <w:tcPr>
            <w:tcW w:w="2790" w:type="dxa"/>
          </w:tcPr>
          <w:p w:rsidR="00A92422" w:rsidRPr="00D87B79" w:rsidRDefault="00A92422" w:rsidP="00EA30FC">
            <w:pPr>
              <w:ind w:left="180" w:right="186"/>
              <w:rPr>
                <w:rFonts w:eastAsia="Times New Roman" w:cs="Tahoma"/>
                <w:color w:val="000000"/>
              </w:rPr>
            </w:pPr>
            <w:r w:rsidRPr="00D87B79">
              <w:rPr>
                <w:rFonts w:eastAsia="Times New Roman" w:cs="Tahoma"/>
                <w:color w:val="000000"/>
                <w:lang w:val="it-IT"/>
              </w:rPr>
              <w:t>Exchange Online Piano 1</w:t>
            </w:r>
          </w:p>
        </w:tc>
        <w:tc>
          <w:tcPr>
            <w:tcW w:w="2880" w:type="dxa"/>
          </w:tcPr>
          <w:p w:rsidR="00A92422" w:rsidRPr="00D87B79" w:rsidRDefault="00A92422" w:rsidP="00EA30FC">
            <w:pPr>
              <w:ind w:left="138" w:right="138"/>
              <w:rPr>
                <w:rFonts w:eastAsia="Times New Roman" w:cs="Tahoma"/>
                <w:color w:val="000000"/>
              </w:rPr>
            </w:pPr>
            <w:r w:rsidRPr="00D87B79">
              <w:rPr>
                <w:rFonts w:eastAsia="Times New Roman" w:cs="Tahoma"/>
                <w:color w:val="000000"/>
                <w:lang w:val="it-IT"/>
              </w:rPr>
              <w:t>Exchange Online Piano 2</w:t>
            </w:r>
          </w:p>
        </w:tc>
        <w:tc>
          <w:tcPr>
            <w:tcW w:w="2898" w:type="dxa"/>
          </w:tcPr>
          <w:p w:rsidR="00A92422" w:rsidRPr="00D87B79" w:rsidRDefault="00A92422" w:rsidP="00EA30FC">
            <w:pPr>
              <w:ind w:left="186" w:right="180"/>
              <w:rPr>
                <w:rFonts w:eastAsia="Times New Roman" w:cs="Tahoma"/>
                <w:color w:val="000000"/>
              </w:rPr>
            </w:pPr>
            <w:r w:rsidRPr="00D87B79">
              <w:rPr>
                <w:rFonts w:eastAsia="Times New Roman" w:cs="Tahoma"/>
                <w:color w:val="000000"/>
                <w:lang w:val="it-IT"/>
              </w:rPr>
              <w:t>Exchange Online Piano 2</w:t>
            </w:r>
          </w:p>
        </w:tc>
      </w:tr>
      <w:tr w:rsidR="00A92422" w:rsidRPr="00D87B79" w:rsidTr="00EA30FC">
        <w:tc>
          <w:tcPr>
            <w:tcW w:w="2790" w:type="dxa"/>
          </w:tcPr>
          <w:p w:rsidR="00A92422" w:rsidRPr="00D87B79" w:rsidRDefault="00A92422" w:rsidP="00EA30FC">
            <w:pPr>
              <w:ind w:left="180" w:right="186"/>
              <w:rPr>
                <w:rFonts w:eastAsia="Times New Roman" w:cs="Tahoma"/>
                <w:color w:val="000000"/>
              </w:rPr>
            </w:pPr>
            <w:r w:rsidRPr="00D87B79">
              <w:rPr>
                <w:rFonts w:eastAsia="Times New Roman" w:cs="Tahoma"/>
                <w:color w:val="000000"/>
                <w:lang w:val="it-IT"/>
              </w:rPr>
              <w:t>SharePoint Online Piano 1</w:t>
            </w:r>
          </w:p>
        </w:tc>
        <w:tc>
          <w:tcPr>
            <w:tcW w:w="2880" w:type="dxa"/>
          </w:tcPr>
          <w:p w:rsidR="00A92422" w:rsidRPr="00D87B79" w:rsidRDefault="00A92422" w:rsidP="00EA30FC">
            <w:pPr>
              <w:ind w:left="138" w:right="138"/>
              <w:rPr>
                <w:rFonts w:eastAsia="Times New Roman" w:cs="Tahoma"/>
                <w:color w:val="000000"/>
              </w:rPr>
            </w:pPr>
            <w:r w:rsidRPr="00D87B79">
              <w:rPr>
                <w:rFonts w:eastAsia="Times New Roman" w:cs="Tahoma"/>
                <w:color w:val="000000"/>
                <w:lang w:val="it-IT"/>
              </w:rPr>
              <w:t>SharePoint Online Piano 2</w:t>
            </w:r>
          </w:p>
        </w:tc>
        <w:tc>
          <w:tcPr>
            <w:tcW w:w="2898" w:type="dxa"/>
          </w:tcPr>
          <w:p w:rsidR="00A92422" w:rsidRPr="00D87B79" w:rsidRDefault="00A92422" w:rsidP="00EA30FC">
            <w:pPr>
              <w:ind w:left="186" w:right="180"/>
              <w:rPr>
                <w:rFonts w:eastAsia="Times New Roman" w:cs="Tahoma"/>
                <w:color w:val="000000"/>
              </w:rPr>
            </w:pPr>
            <w:r w:rsidRPr="00D87B79">
              <w:rPr>
                <w:rFonts w:eastAsia="Times New Roman" w:cs="Tahoma"/>
                <w:color w:val="000000"/>
                <w:lang w:val="it-IT"/>
              </w:rPr>
              <w:t>SharePoint Online Piano 2</w:t>
            </w:r>
          </w:p>
        </w:tc>
      </w:tr>
      <w:tr w:rsidR="00A92422" w:rsidRPr="00D87B79" w:rsidTr="00EA30FC">
        <w:tc>
          <w:tcPr>
            <w:tcW w:w="2790" w:type="dxa"/>
          </w:tcPr>
          <w:p w:rsidR="00A92422" w:rsidRPr="00D87B79" w:rsidRDefault="00A92422" w:rsidP="00EA30FC">
            <w:pPr>
              <w:ind w:left="180" w:right="186"/>
              <w:rPr>
                <w:rFonts w:eastAsia="Times New Roman" w:cs="Tahoma"/>
                <w:color w:val="000000"/>
              </w:rPr>
            </w:pPr>
            <w:r w:rsidRPr="00D87B79">
              <w:rPr>
                <w:rFonts w:eastAsia="Times New Roman" w:cs="Tahoma"/>
                <w:color w:val="000000"/>
                <w:lang w:val="it-IT"/>
              </w:rPr>
              <w:t>Lync Online Piano 2</w:t>
            </w:r>
          </w:p>
        </w:tc>
        <w:tc>
          <w:tcPr>
            <w:tcW w:w="2880" w:type="dxa"/>
          </w:tcPr>
          <w:p w:rsidR="00A92422" w:rsidRPr="00D87B79" w:rsidRDefault="00A92422" w:rsidP="00EA30FC">
            <w:pPr>
              <w:ind w:left="138" w:right="138"/>
              <w:rPr>
                <w:rFonts w:eastAsia="Times New Roman" w:cs="Tahoma"/>
                <w:color w:val="000000"/>
              </w:rPr>
            </w:pPr>
            <w:r w:rsidRPr="00D87B79">
              <w:rPr>
                <w:rFonts w:eastAsia="Times New Roman" w:cs="Tahoma"/>
                <w:color w:val="000000"/>
                <w:lang w:val="it-IT"/>
              </w:rPr>
              <w:t>Lync Online Piano 2</w:t>
            </w:r>
          </w:p>
        </w:tc>
        <w:tc>
          <w:tcPr>
            <w:tcW w:w="2898" w:type="dxa"/>
          </w:tcPr>
          <w:p w:rsidR="00A92422" w:rsidRPr="00D87B79" w:rsidRDefault="00A92422" w:rsidP="00EA30FC">
            <w:pPr>
              <w:ind w:left="186" w:right="180"/>
              <w:rPr>
                <w:rFonts w:eastAsia="Times New Roman" w:cs="Tahoma"/>
                <w:color w:val="000000"/>
              </w:rPr>
            </w:pPr>
            <w:r w:rsidRPr="00D87B79">
              <w:rPr>
                <w:rFonts w:eastAsia="Times New Roman" w:cs="Tahoma"/>
                <w:color w:val="000000"/>
                <w:lang w:val="it-IT"/>
              </w:rPr>
              <w:t>Lync Online Piano 2</w:t>
            </w:r>
          </w:p>
        </w:tc>
      </w:tr>
      <w:tr w:rsidR="00A92422" w:rsidRPr="00D87B79" w:rsidTr="00EA30FC">
        <w:tc>
          <w:tcPr>
            <w:tcW w:w="2790" w:type="dxa"/>
          </w:tcPr>
          <w:p w:rsidR="00A92422" w:rsidRPr="00D87B79" w:rsidRDefault="00A92422" w:rsidP="00EA30FC">
            <w:pPr>
              <w:ind w:left="180" w:right="186"/>
              <w:rPr>
                <w:rFonts w:eastAsia="Times New Roman" w:cs="Tahoma"/>
                <w:color w:val="000000"/>
              </w:rPr>
            </w:pPr>
            <w:r w:rsidRPr="00D87B79">
              <w:rPr>
                <w:rFonts w:eastAsia="Times New Roman" w:cs="Tahoma"/>
                <w:color w:val="000000"/>
                <w:lang w:val="it-IT"/>
              </w:rPr>
              <w:t>Office Web Applications (Microsoft Hosted)</w:t>
            </w:r>
          </w:p>
        </w:tc>
        <w:tc>
          <w:tcPr>
            <w:tcW w:w="2880" w:type="dxa"/>
          </w:tcPr>
          <w:p w:rsidR="00A92422" w:rsidRPr="00D87B79" w:rsidRDefault="00A92422" w:rsidP="00EA30FC">
            <w:pPr>
              <w:ind w:left="138" w:right="138"/>
              <w:rPr>
                <w:rFonts w:eastAsia="Times New Roman" w:cs="Tahoma"/>
                <w:color w:val="000000"/>
              </w:rPr>
            </w:pPr>
            <w:r w:rsidRPr="00D87B79">
              <w:rPr>
                <w:rFonts w:eastAsia="Times New Roman" w:cs="Tahoma"/>
                <w:color w:val="000000"/>
                <w:lang w:val="it-IT"/>
              </w:rPr>
              <w:t>Office Web Applications (Microsoft Hosted)</w:t>
            </w:r>
          </w:p>
        </w:tc>
        <w:tc>
          <w:tcPr>
            <w:tcW w:w="2898" w:type="dxa"/>
          </w:tcPr>
          <w:p w:rsidR="00A92422" w:rsidRPr="00D87B79" w:rsidRDefault="00A92422" w:rsidP="00EA30FC">
            <w:pPr>
              <w:ind w:left="186" w:right="180"/>
              <w:rPr>
                <w:rFonts w:eastAsia="Times New Roman" w:cs="Tahoma"/>
                <w:color w:val="000000"/>
              </w:rPr>
            </w:pPr>
            <w:r w:rsidRPr="00D87B79">
              <w:rPr>
                <w:rFonts w:eastAsia="Times New Roman" w:cs="Tahoma"/>
                <w:color w:val="000000"/>
                <w:lang w:val="it-IT"/>
              </w:rPr>
              <w:t>Office Web Applications (Microsoft Hosted)</w:t>
            </w:r>
          </w:p>
        </w:tc>
      </w:tr>
      <w:tr w:rsidR="00A92422" w:rsidRPr="00D87B79" w:rsidTr="00EA30FC">
        <w:tc>
          <w:tcPr>
            <w:tcW w:w="2790" w:type="dxa"/>
          </w:tcPr>
          <w:p w:rsidR="00A92422" w:rsidRPr="00D87B79" w:rsidRDefault="00A92422" w:rsidP="00EA30FC">
            <w:pPr>
              <w:ind w:left="180" w:right="186"/>
              <w:rPr>
                <w:rFonts w:eastAsia="Times New Roman" w:cs="Tahoma"/>
                <w:color w:val="000000"/>
              </w:rPr>
            </w:pPr>
          </w:p>
        </w:tc>
        <w:tc>
          <w:tcPr>
            <w:tcW w:w="2880" w:type="dxa"/>
          </w:tcPr>
          <w:p w:rsidR="00A92422" w:rsidRPr="00D87B79" w:rsidRDefault="00A92422" w:rsidP="00EA30FC">
            <w:pPr>
              <w:ind w:left="138" w:right="138"/>
              <w:rPr>
                <w:rFonts w:eastAsia="Times New Roman" w:cs="Tahoma"/>
                <w:color w:val="000000"/>
              </w:rPr>
            </w:pPr>
            <w:r w:rsidRPr="00D87B79">
              <w:rPr>
                <w:rFonts w:eastAsia="Times New Roman" w:cs="Tahoma"/>
                <w:color w:val="000000"/>
                <w:lang w:val="it-IT"/>
              </w:rPr>
              <w:t>Sottoscrizione a Office Professional Plus</w:t>
            </w:r>
          </w:p>
        </w:tc>
        <w:tc>
          <w:tcPr>
            <w:tcW w:w="2898" w:type="dxa"/>
          </w:tcPr>
          <w:p w:rsidR="00A92422" w:rsidRPr="00D87B79" w:rsidRDefault="00A92422" w:rsidP="00EA30FC">
            <w:pPr>
              <w:ind w:left="186" w:right="180"/>
              <w:rPr>
                <w:rFonts w:eastAsia="Times New Roman" w:cs="Tahoma"/>
                <w:color w:val="000000"/>
              </w:rPr>
            </w:pPr>
            <w:r w:rsidRPr="00D87B79">
              <w:rPr>
                <w:rFonts w:eastAsia="Times New Roman" w:cs="Tahoma"/>
                <w:color w:val="000000"/>
                <w:lang w:val="it-IT"/>
              </w:rPr>
              <w:t>Sottoscrizione a Office Professional Plus</w:t>
            </w:r>
          </w:p>
        </w:tc>
      </w:tr>
    </w:tbl>
    <w:p w:rsidR="00A92422" w:rsidRPr="00D87B79" w:rsidRDefault="00A92422" w:rsidP="00A92422">
      <w:pPr>
        <w:ind w:left="720"/>
        <w:rPr>
          <w:rFonts w:cs="Tahoma"/>
        </w:rPr>
      </w:pPr>
      <w:r w:rsidRPr="00D87B79">
        <w:rPr>
          <w:rFonts w:cs="Tahoma"/>
          <w:color w:val="000000"/>
        </w:rPr>
        <w:br/>
      </w:r>
      <w:r w:rsidRPr="00D87B79">
        <w:rPr>
          <w:rFonts w:cs="Tahoma"/>
          <w:color w:val="000000"/>
          <w:lang w:val="it-IT"/>
        </w:rPr>
        <w:t>Questa lista è soggetta a modifiche. Nell’eventualità di una discrepanza tra le condizioni di licenza per Office 365 Piani E2 – E4 e questa nota, i Diritti di Utilizzo del Prodotto correnti avranno prevalenza. Gli eventuali diritti di accesso aggiuntivi per il software On-Premise concesso in licenza separatamente sono specificati nei</w:t>
      </w:r>
      <w:r>
        <w:rPr>
          <w:rFonts w:cs="Tahoma"/>
          <w:color w:val="000000"/>
          <w:lang w:val="it-IT"/>
        </w:rPr>
        <w:t> </w:t>
      </w:r>
      <w:r w:rsidRPr="00D87B79">
        <w:rPr>
          <w:rFonts w:cs="Tahoma"/>
          <w:color w:val="000000"/>
          <w:lang w:val="it-IT"/>
        </w:rPr>
        <w:t>Diritti di Utilizzo del Prodotto.</w:t>
      </w:r>
      <w:r w:rsidRPr="00D87B79">
        <w:rPr>
          <w:rFonts w:cs="Tahoma"/>
        </w:rPr>
        <w:t xml:space="preserve"> </w:t>
      </w:r>
    </w:p>
    <w:p w:rsidR="00A92422" w:rsidRPr="00D87B79" w:rsidRDefault="00A92422" w:rsidP="00A92422">
      <w:pPr>
        <w:ind w:left="720"/>
        <w:rPr>
          <w:rFonts w:cs="Tahoma"/>
        </w:rPr>
      </w:pPr>
    </w:p>
    <w:p w:rsidR="00A92422" w:rsidRPr="00D87B79" w:rsidRDefault="00A92422" w:rsidP="00A92422">
      <w:pPr>
        <w:pStyle w:val="FootnoteBulletLevel1"/>
        <w:tabs>
          <w:tab w:val="clear" w:pos="900"/>
        </w:tabs>
        <w:spacing w:before="0" w:after="0"/>
        <w:ind w:left="720" w:firstLine="0"/>
        <w:rPr>
          <w:rFonts w:ascii="Tahoma" w:hAnsi="Tahoma" w:cs="Tahoma"/>
        </w:rPr>
      </w:pPr>
      <w:r w:rsidRPr="00D87B79">
        <w:rPr>
          <w:rFonts w:ascii="Tahoma" w:hAnsi="Tahoma" w:cs="Tahoma"/>
          <w:color w:val="000000"/>
          <w:sz w:val="18"/>
          <w:szCs w:val="18"/>
          <w:lang w:val="it-IT"/>
        </w:rPr>
        <w:t>Lync Online Piano 1 e Piano 2 richiedono l’acquisto separato e l’installazione di Microsoft Lync 2010 (o Lync per Mac 2011).</w:t>
      </w:r>
      <w:r w:rsidRPr="00D87B79">
        <w:rPr>
          <w:rFonts w:ascii="Tahoma" w:hAnsi="Tahoma" w:cs="Tahoma"/>
          <w:color w:val="000000"/>
          <w:sz w:val="18"/>
          <w:szCs w:val="18"/>
        </w:rPr>
        <w:t xml:space="preserve"> </w:t>
      </w:r>
      <w:r w:rsidRPr="00D87B79">
        <w:rPr>
          <w:rFonts w:ascii="Tahoma" w:hAnsi="Tahoma" w:cs="Tahoma"/>
          <w:color w:val="000000"/>
          <w:sz w:val="18"/>
          <w:szCs w:val="18"/>
          <w:lang w:val="it-IT"/>
        </w:rPr>
        <w:t>Grazie a un’offerta di durata limitata, le società in possesso della licenza per Lync Online riceveranno gratuitamente in licenza una copia di Lync 2010 (o Lync per Mac 2011) per ogni licenza “Subscription” fornita a scopo di valutazione o a pagamento per Lync Online.</w:t>
      </w:r>
      <w:r w:rsidRPr="00D87B79">
        <w:rPr>
          <w:rFonts w:ascii="Tahoma" w:hAnsi="Tahoma" w:cs="Tahoma"/>
        </w:rPr>
        <w:t xml:space="preserve"> </w:t>
      </w:r>
      <w:r w:rsidRPr="00D87B79">
        <w:rPr>
          <w:rFonts w:ascii="Tahoma" w:hAnsi="Tahoma" w:cs="Tahoma"/>
          <w:color w:val="000000"/>
          <w:sz w:val="18"/>
          <w:lang w:val="it-IT"/>
        </w:rPr>
        <w:t>Il software potrà essere utilizzato esclusivamente con Lync Online e tutti i diritti sull’utilizzo del software cesseranno alla scadenza della licenza “Subscription” sottostante oppure in occasione della migrazione alla successiva nuova versione principale di Lync Online, a seconda di quale evento si verificherà per primo. Le Società che non abbiano ancora effettuato la migrazione da Office Communications Online potranno utilizzare Office Communicator 2007 R2 al posto di Lync 2010 (o Lync per Mac 2011) ai sensi della concessione di licenza in questione.</w:t>
      </w:r>
      <w:r w:rsidRPr="00D87B79">
        <w:rPr>
          <w:rFonts w:ascii="Tahoma" w:hAnsi="Tahoma" w:cs="Tahoma"/>
        </w:rPr>
        <w:t> </w:t>
      </w:r>
    </w:p>
    <w:p w:rsidR="00A92422" w:rsidRPr="00416277" w:rsidRDefault="00A92422" w:rsidP="00A92422">
      <w:pPr>
        <w:pStyle w:val="FootnoteBulletLevel1"/>
        <w:tabs>
          <w:tab w:val="clear" w:pos="900"/>
          <w:tab w:val="num" w:pos="1080"/>
        </w:tabs>
        <w:spacing w:before="0" w:after="0"/>
        <w:ind w:left="0" w:firstLine="0"/>
        <w:rPr>
          <w:rFonts w:ascii="Tahoma" w:hAnsi="Tahoma" w:cs="Tahoma"/>
          <w:sz w:val="18"/>
          <w:szCs w:val="18"/>
        </w:rPr>
      </w:pPr>
    </w:p>
    <w:p w:rsidR="00A92422" w:rsidRPr="00416277" w:rsidRDefault="00A92422" w:rsidP="00A92422">
      <w:pPr>
        <w:pStyle w:val="FootnoteBulletLevel1"/>
        <w:tabs>
          <w:tab w:val="clear" w:pos="900"/>
          <w:tab w:val="num" w:pos="1080"/>
        </w:tabs>
        <w:spacing w:before="0" w:after="0"/>
        <w:ind w:left="0" w:firstLine="0"/>
        <w:rPr>
          <w:rFonts w:ascii="Tahoma" w:hAnsi="Tahoma" w:cs="Tahoma"/>
          <w:sz w:val="18"/>
          <w:szCs w:val="18"/>
        </w:rPr>
      </w:pPr>
    </w:p>
    <w:p w:rsidR="00A92422" w:rsidRPr="00D87B79" w:rsidRDefault="00A92422" w:rsidP="00A92422">
      <w:pPr>
        <w:pStyle w:val="Heading3"/>
        <w:rPr>
          <w:rFonts w:ascii="Tahoma" w:hAnsi="Tahoma" w:cs="Tahoma"/>
        </w:rPr>
      </w:pPr>
      <w:bookmarkStart w:id="1077" w:name="_Toc336338264"/>
      <w:bookmarkStart w:id="1078" w:name="Srv_4OfficeMacStandard2011"/>
      <w:bookmarkStart w:id="1079" w:name="_Toc342900315"/>
      <w:bookmarkEnd w:id="1077"/>
      <w:bookmarkEnd w:id="1078"/>
      <w:r w:rsidRPr="00D87B79">
        <w:rPr>
          <w:rFonts w:ascii="Tahoma" w:hAnsi="Tahoma" w:cs="Tahoma"/>
          <w:caps/>
          <w:color w:val="F66400"/>
          <w:sz w:val="22"/>
          <w:vertAlign w:val="superscript"/>
          <w:lang w:val="it-IT"/>
        </w:rPr>
        <w:t>7</w:t>
      </w:r>
      <w:r w:rsidRPr="002015B0">
        <w:rPr>
          <w:rFonts w:ascii="Tahoma" w:hAnsi="Tahoma" w:cs="Tahoma"/>
          <w:caps/>
          <w:color w:val="F66400"/>
          <w:sz w:val="22"/>
          <w:lang w:val="it-IT"/>
        </w:rPr>
        <w:t xml:space="preserve"> </w:t>
      </w:r>
      <w:r w:rsidRPr="00D87B79">
        <w:rPr>
          <w:rFonts w:ascii="Tahoma" w:hAnsi="Tahoma" w:cs="Tahoma"/>
          <w:color w:val="F66400"/>
          <w:sz w:val="22"/>
          <w:lang w:val="it-IT"/>
        </w:rPr>
        <w:t>Office per Mac Standard 2011</w:t>
      </w:r>
      <w:bookmarkEnd w:id="1079"/>
      <w:r w:rsidRPr="00D87B79">
        <w:rPr>
          <w:rFonts w:ascii="Tahoma" w:hAnsi="Tahoma" w:cs="Tahoma"/>
        </w:rPr>
        <w:t xml:space="preserve"> </w:t>
      </w:r>
    </w:p>
    <w:p w:rsidR="00A92422" w:rsidRPr="00D87B79" w:rsidRDefault="00A92422" w:rsidP="00A92422">
      <w:pPr>
        <w:rPr>
          <w:rFonts w:cs="Tahoma"/>
        </w:rPr>
      </w:pPr>
    </w:p>
    <w:p w:rsidR="00A92422" w:rsidRPr="00D87B79" w:rsidRDefault="00A92422" w:rsidP="00A92422">
      <w:pPr>
        <w:pStyle w:val="EndnoteText"/>
        <w:numPr>
          <w:ilvl w:val="0"/>
          <w:numId w:val="65"/>
        </w:numPr>
        <w:ind w:left="990"/>
        <w:rPr>
          <w:rFonts w:ascii="Tahoma" w:hAnsi="Tahoma" w:cs="Tahoma"/>
        </w:rPr>
      </w:pPr>
      <w:r w:rsidRPr="00D87B79">
        <w:rPr>
          <w:rFonts w:ascii="Tahoma" w:hAnsi="Tahoma" w:cs="Tahoma"/>
          <w:sz w:val="18"/>
          <w:lang w:val="it-IT"/>
        </w:rPr>
        <w:t>Licenza Work at Home (WAH) disponibile per le società con Contratto Select e Select Plus</w:t>
      </w:r>
      <w:r w:rsidRPr="00D87B79">
        <w:rPr>
          <w:rFonts w:ascii="Tahoma" w:hAnsi="Tahoma" w:cs="Tahoma"/>
        </w:rPr>
        <w:t xml:space="preserve"> </w:t>
      </w:r>
    </w:p>
    <w:p w:rsidR="00A92422" w:rsidRPr="00D87B79" w:rsidRDefault="00A92422" w:rsidP="00A92422">
      <w:pPr>
        <w:adjustRightInd w:val="0"/>
        <w:ind w:left="720"/>
        <w:textAlignment w:val="baseline"/>
        <w:rPr>
          <w:rFonts w:cs="Tahoma"/>
        </w:rPr>
      </w:pPr>
    </w:p>
    <w:p w:rsidR="00A92422" w:rsidRPr="00D87B79" w:rsidRDefault="00A92422" w:rsidP="00A92422">
      <w:pPr>
        <w:spacing w:after="60"/>
        <w:ind w:left="720"/>
        <w:rPr>
          <w:rFonts w:cs="Tahoma"/>
        </w:rPr>
      </w:pPr>
      <w:r w:rsidRPr="00D87B79">
        <w:rPr>
          <w:rFonts w:cs="Tahoma"/>
          <w:b/>
          <w:lang w:val="it-IT"/>
        </w:rPr>
        <w:t>Office per Mac Standard 2011</w:t>
      </w:r>
    </w:p>
    <w:p w:rsidR="00A92422" w:rsidRPr="00D87B79" w:rsidRDefault="00A92422" w:rsidP="00A92422">
      <w:pPr>
        <w:spacing w:after="60"/>
        <w:ind w:left="720"/>
        <w:rPr>
          <w:rFonts w:cs="Tahoma"/>
        </w:rPr>
      </w:pPr>
      <w:r w:rsidRPr="00D87B79">
        <w:rPr>
          <w:rFonts w:cs="Tahoma"/>
          <w:lang w:val="it-IT"/>
        </w:rPr>
        <w:t>Una Licenza per Office per Mac Standard 2011 è composta dai seguenti elementi:</w:t>
      </w:r>
      <w:r w:rsidRPr="00D87B79">
        <w:rPr>
          <w:rFonts w:cs="Tahoma"/>
          <w:szCs w:val="20"/>
        </w:rPr>
        <w:t xml:space="preserve"> </w:t>
      </w:r>
      <w:r w:rsidRPr="00D87B79">
        <w:rPr>
          <w:rFonts w:cs="Tahoma"/>
          <w:lang w:val="it-IT"/>
        </w:rPr>
        <w:t>Lync per Mac 2011, Excel</w:t>
      </w:r>
      <w:r>
        <w:rPr>
          <w:rFonts w:cs="Tahoma"/>
          <w:lang w:val="it-IT"/>
        </w:rPr>
        <w:t> </w:t>
      </w:r>
      <w:r w:rsidRPr="00D87B79">
        <w:rPr>
          <w:rFonts w:cs="Tahoma"/>
          <w:lang w:val="it-IT"/>
        </w:rPr>
        <w:t>per Mac 2011, Outlook per Mac 2011, Office Home and Student RT 2013 Commercial Use, Office Web Apps 2010, PowerPoint per Mac 2011 e Word per Mac 2011.</w:t>
      </w:r>
    </w:p>
    <w:p w:rsidR="00A92422" w:rsidRPr="00D87B79" w:rsidRDefault="00A92422" w:rsidP="00A92422">
      <w:pPr>
        <w:adjustRightInd w:val="0"/>
        <w:ind w:left="720"/>
        <w:textAlignment w:val="baseline"/>
        <w:rPr>
          <w:rFonts w:cs="Tahoma"/>
        </w:rPr>
      </w:pPr>
    </w:p>
    <w:p w:rsidR="00A92422" w:rsidRPr="00D87B79" w:rsidRDefault="00A92422" w:rsidP="00A92422">
      <w:pPr>
        <w:spacing w:after="60"/>
        <w:ind w:left="720"/>
        <w:rPr>
          <w:rFonts w:cs="Tahoma"/>
        </w:rPr>
      </w:pPr>
      <w:r w:rsidRPr="00D87B79">
        <w:rPr>
          <w:rFonts w:cs="Tahoma"/>
          <w:b/>
          <w:lang w:val="it-IT"/>
        </w:rPr>
        <w:t>Impossibilità di Separare Microsoft Office per Mac Standard 2011</w:t>
      </w:r>
    </w:p>
    <w:p w:rsidR="00A92422" w:rsidRPr="00D87B79" w:rsidRDefault="00A92422" w:rsidP="00A92422">
      <w:pPr>
        <w:spacing w:after="60"/>
        <w:ind w:left="720"/>
        <w:rPr>
          <w:rFonts w:cs="Tahoma"/>
        </w:rPr>
      </w:pPr>
      <w:r w:rsidRPr="00D87B79">
        <w:rPr>
          <w:rFonts w:cs="Tahoma"/>
          <w:lang w:val="it-IT"/>
        </w:rPr>
        <w:t>Office per Mac Standard 2011 è composto da più di un prodotto offerto ai sensi di un’unica licenza.</w:t>
      </w:r>
      <w:r w:rsidRPr="00D87B79">
        <w:rPr>
          <w:rFonts w:cs="Tahoma"/>
        </w:rPr>
        <w:t xml:space="preserve"> </w:t>
      </w:r>
      <w:r w:rsidRPr="00D87B79">
        <w:rPr>
          <w:rFonts w:cs="Tahoma"/>
          <w:lang w:val="it-IT"/>
        </w:rPr>
        <w:t>Il</w:t>
      </w:r>
      <w:r>
        <w:rPr>
          <w:rFonts w:cs="Tahoma"/>
          <w:lang w:val="it-IT"/>
        </w:rPr>
        <w:t> </w:t>
      </w:r>
      <w:r w:rsidRPr="00D87B79">
        <w:rPr>
          <w:rFonts w:cs="Tahoma"/>
          <w:lang w:val="it-IT"/>
        </w:rPr>
        <w:t>software non può essere separato per l’utilizzo su più di un computer.</w:t>
      </w:r>
    </w:p>
    <w:p w:rsidR="00A92422" w:rsidRDefault="00A92422" w:rsidP="00A92422">
      <w:pPr>
        <w:adjustRightInd w:val="0"/>
        <w:ind w:left="720"/>
        <w:textAlignment w:val="baseline"/>
        <w:rPr>
          <w:rFonts w:cs="Tahoma"/>
        </w:rPr>
      </w:pPr>
    </w:p>
    <w:p w:rsidR="00A92422" w:rsidRPr="00D87B79" w:rsidRDefault="00A92422" w:rsidP="00A92422">
      <w:pPr>
        <w:spacing w:after="60"/>
        <w:ind w:left="720"/>
        <w:rPr>
          <w:rFonts w:cs="Tahoma"/>
        </w:rPr>
      </w:pPr>
      <w:r w:rsidRPr="00D87B79">
        <w:rPr>
          <w:rFonts w:cs="Tahoma"/>
          <w:b/>
          <w:lang w:val="it-IT"/>
        </w:rPr>
        <w:t>Diritti di Utilizzo di Lync per Mac 2011</w:t>
      </w:r>
    </w:p>
    <w:p w:rsidR="00A92422" w:rsidRPr="00D87B79" w:rsidRDefault="00A92422" w:rsidP="00A92422">
      <w:pPr>
        <w:adjustRightInd w:val="0"/>
        <w:ind w:left="720"/>
        <w:textAlignment w:val="baseline"/>
        <w:rPr>
          <w:rFonts w:cs="Tahoma"/>
        </w:rPr>
      </w:pPr>
      <w:r w:rsidRPr="00D87B79">
        <w:rPr>
          <w:rFonts w:cs="Tahoma"/>
          <w:lang w:val="it-IT"/>
        </w:rPr>
        <w:t>Le società che hanno acquistato Office per Mac Standard 2011 alla data del 1 ottobre 2011 riceveranno una famiglia di prodotti Office che include Lync per Mac 2011 anziché Communicator per Mac 2011. Le società con copertura Software Assurance attiva per Office per Mac Standard 2011 alla data del 1 ottobre 2011 possono utilizzare o Communicator per Mac 2011 o fare l’aggiornamento a Lync per Mac 2011.</w:t>
      </w:r>
      <w:r w:rsidRPr="00D87B79">
        <w:rPr>
          <w:rFonts w:cs="Tahoma"/>
        </w:rPr>
        <w:t xml:space="preserve"> </w:t>
      </w:r>
    </w:p>
    <w:p w:rsidR="00A92422" w:rsidRDefault="00A92422" w:rsidP="00A92422">
      <w:pPr>
        <w:rPr>
          <w:rFonts w:cs="Tahoma"/>
        </w:rPr>
      </w:pPr>
      <w:bookmarkStart w:id="1080" w:name="_Toc336338265"/>
    </w:p>
    <w:p w:rsidR="00A92422" w:rsidRPr="00D87B79" w:rsidRDefault="00A92422" w:rsidP="00A92422">
      <w:pPr>
        <w:rPr>
          <w:rFonts w:cs="Tahoma"/>
        </w:rPr>
      </w:pPr>
    </w:p>
    <w:p w:rsidR="00A92422" w:rsidRPr="00D87B79" w:rsidRDefault="00A92422" w:rsidP="00A92422">
      <w:pPr>
        <w:pStyle w:val="Heading3"/>
        <w:rPr>
          <w:rFonts w:ascii="Tahoma" w:hAnsi="Tahoma" w:cs="Tahoma"/>
        </w:rPr>
      </w:pPr>
      <w:bookmarkStart w:id="1081" w:name="_5_Office_Multi-Language"/>
      <w:bookmarkStart w:id="1082" w:name="_7_Office_Multi-Language"/>
      <w:bookmarkStart w:id="1083" w:name="Aps_8OffMultiLangPack07"/>
      <w:bookmarkStart w:id="1084" w:name="Aps_6OfficeMultiLangPack2010"/>
      <w:bookmarkStart w:id="1085" w:name="Aps_5OfficeMultiLangPack2010"/>
      <w:bookmarkStart w:id="1086" w:name="_Toc342900316"/>
      <w:bookmarkEnd w:id="1080"/>
      <w:bookmarkEnd w:id="1081"/>
      <w:bookmarkEnd w:id="1082"/>
      <w:bookmarkEnd w:id="1083"/>
      <w:bookmarkEnd w:id="1084"/>
      <w:bookmarkEnd w:id="1085"/>
      <w:r w:rsidRPr="00D87B79">
        <w:rPr>
          <w:rFonts w:ascii="Tahoma" w:hAnsi="Tahoma" w:cs="Tahoma"/>
          <w:caps/>
          <w:color w:val="F66400"/>
          <w:sz w:val="22"/>
          <w:vertAlign w:val="superscript"/>
          <w:lang w:val="it-IT"/>
        </w:rPr>
        <w:t>8</w:t>
      </w:r>
      <w:r w:rsidRPr="00D87B79">
        <w:rPr>
          <w:rFonts w:ascii="Tahoma" w:hAnsi="Tahoma" w:cs="Tahoma"/>
          <w:color w:val="F66400"/>
          <w:sz w:val="22"/>
          <w:lang w:val="it-IT"/>
        </w:rPr>
        <w:t xml:space="preserve"> Office Multi-Language Pack 2013</w:t>
      </w:r>
      <w:bookmarkEnd w:id="1086"/>
    </w:p>
    <w:p w:rsidR="00A92422" w:rsidRPr="00D87B79" w:rsidRDefault="00A92422" w:rsidP="00A92422">
      <w:pPr>
        <w:rPr>
          <w:rFonts w:cs="Tahoma"/>
        </w:rPr>
      </w:pPr>
    </w:p>
    <w:p w:rsidR="00A92422" w:rsidRPr="00D87B79" w:rsidRDefault="00A92422" w:rsidP="00A92422">
      <w:pPr>
        <w:spacing w:after="60"/>
        <w:ind w:left="720"/>
        <w:rPr>
          <w:rFonts w:cs="Tahoma"/>
        </w:rPr>
      </w:pPr>
      <w:r w:rsidRPr="00D87B79">
        <w:rPr>
          <w:rFonts w:cs="Tahoma"/>
          <w:b/>
          <w:lang w:val="it-IT"/>
        </w:rPr>
        <w:t>Diritti di Downgrade per Office Multi-Language Pack 2013</w:t>
      </w:r>
    </w:p>
    <w:p w:rsidR="00A92422" w:rsidRPr="00D87B79" w:rsidRDefault="00A92422" w:rsidP="00A92422">
      <w:pPr>
        <w:ind w:left="720"/>
        <w:rPr>
          <w:rFonts w:cs="Tahoma"/>
        </w:rPr>
      </w:pPr>
      <w:r w:rsidRPr="00D87B79">
        <w:rPr>
          <w:rFonts w:cs="Tahoma"/>
          <w:lang w:val="it-IT"/>
        </w:rPr>
        <w:t xml:space="preserve">Le società che abbiano stipulato contratti Volume License e che dispongono di una licenza per Office </w:t>
      </w:r>
      <w:r>
        <w:rPr>
          <w:rFonts w:cs="Tahoma"/>
          <w:lang w:val="it-IT"/>
        </w:rPr>
        <w:br/>
      </w:r>
      <w:r w:rsidRPr="00D87B79">
        <w:rPr>
          <w:rFonts w:cs="Tahoma"/>
          <w:lang w:val="it-IT"/>
        </w:rPr>
        <w:t>Multi-Language Pack 2013 e con una licenza per uno qualsiasi dei seguenti prodotti:</w:t>
      </w:r>
    </w:p>
    <w:p w:rsidR="00A92422" w:rsidRPr="00D87B79" w:rsidRDefault="00A92422" w:rsidP="00A92422">
      <w:pPr>
        <w:ind w:left="900"/>
        <w:rPr>
          <w:rFonts w:cs="Tahoma"/>
        </w:rPr>
      </w:pPr>
    </w:p>
    <w:p w:rsidR="00A92422" w:rsidRPr="00D87B79" w:rsidRDefault="00A92422" w:rsidP="00A92422">
      <w:pPr>
        <w:numPr>
          <w:ilvl w:val="0"/>
          <w:numId w:val="16"/>
        </w:numPr>
        <w:spacing w:after="60"/>
        <w:ind w:left="1440"/>
        <w:rPr>
          <w:rFonts w:cs="Tahoma"/>
        </w:rPr>
      </w:pPr>
      <w:r w:rsidRPr="00D87B79">
        <w:rPr>
          <w:rFonts w:cs="Tahoma"/>
          <w:lang w:val="it-IT"/>
        </w:rPr>
        <w:t>Office Standard 2013</w:t>
      </w:r>
    </w:p>
    <w:p w:rsidR="00A92422" w:rsidRPr="00D87B79" w:rsidRDefault="00A92422" w:rsidP="00A92422">
      <w:pPr>
        <w:numPr>
          <w:ilvl w:val="0"/>
          <w:numId w:val="16"/>
        </w:numPr>
        <w:spacing w:after="60"/>
        <w:ind w:left="1440"/>
        <w:rPr>
          <w:rFonts w:cs="Tahoma"/>
        </w:rPr>
      </w:pPr>
      <w:r w:rsidRPr="00D87B79">
        <w:rPr>
          <w:rFonts w:cs="Tahoma"/>
          <w:lang w:val="it-IT"/>
        </w:rPr>
        <w:lastRenderedPageBreak/>
        <w:t>Office Professional Plus 2013</w:t>
      </w:r>
    </w:p>
    <w:p w:rsidR="00A92422" w:rsidRPr="00D87B79" w:rsidRDefault="00A92422" w:rsidP="00A92422">
      <w:pPr>
        <w:numPr>
          <w:ilvl w:val="0"/>
          <w:numId w:val="16"/>
        </w:numPr>
        <w:spacing w:after="60"/>
        <w:ind w:left="1440"/>
        <w:rPr>
          <w:rFonts w:cs="Tahoma"/>
        </w:rPr>
      </w:pPr>
      <w:r w:rsidRPr="00D87B79">
        <w:rPr>
          <w:rFonts w:cs="Tahoma"/>
          <w:lang w:val="it-IT"/>
        </w:rPr>
        <w:t>Project Standard 2013</w:t>
      </w:r>
    </w:p>
    <w:p w:rsidR="00A92422" w:rsidRPr="00D87B79" w:rsidRDefault="00A92422" w:rsidP="00A92422">
      <w:pPr>
        <w:numPr>
          <w:ilvl w:val="0"/>
          <w:numId w:val="16"/>
        </w:numPr>
        <w:spacing w:after="60"/>
        <w:ind w:left="1440"/>
        <w:rPr>
          <w:rFonts w:cs="Tahoma"/>
        </w:rPr>
      </w:pPr>
      <w:r w:rsidRPr="00D87B79">
        <w:rPr>
          <w:rFonts w:cs="Tahoma"/>
          <w:lang w:val="it-IT"/>
        </w:rPr>
        <w:t>Project Professional 2013</w:t>
      </w:r>
    </w:p>
    <w:p w:rsidR="00A92422" w:rsidRPr="00D87B79" w:rsidRDefault="00A92422" w:rsidP="00A92422">
      <w:pPr>
        <w:numPr>
          <w:ilvl w:val="0"/>
          <w:numId w:val="16"/>
        </w:numPr>
        <w:spacing w:after="60"/>
        <w:ind w:left="1440"/>
        <w:rPr>
          <w:rFonts w:cs="Tahoma"/>
        </w:rPr>
      </w:pPr>
      <w:r w:rsidRPr="00D87B79">
        <w:rPr>
          <w:rFonts w:cs="Tahoma"/>
          <w:lang w:val="it-IT"/>
        </w:rPr>
        <w:t>Visio Standard 2013</w:t>
      </w:r>
    </w:p>
    <w:p w:rsidR="00A92422" w:rsidRPr="00D87B79" w:rsidRDefault="00A92422" w:rsidP="00A92422">
      <w:pPr>
        <w:numPr>
          <w:ilvl w:val="0"/>
          <w:numId w:val="16"/>
        </w:numPr>
        <w:spacing w:after="60"/>
        <w:ind w:left="1440"/>
        <w:rPr>
          <w:rFonts w:cs="Tahoma"/>
        </w:rPr>
      </w:pPr>
      <w:r w:rsidRPr="00D87B79">
        <w:rPr>
          <w:rFonts w:cs="Tahoma"/>
          <w:lang w:val="it-IT"/>
        </w:rPr>
        <w:t>Visio Professional 3013</w:t>
      </w:r>
    </w:p>
    <w:p w:rsidR="00A92422" w:rsidRPr="00D87B79" w:rsidRDefault="00A92422" w:rsidP="00A92422">
      <w:pPr>
        <w:ind w:left="1260"/>
        <w:rPr>
          <w:rFonts w:cs="Tahoma"/>
        </w:rPr>
      </w:pPr>
    </w:p>
    <w:p w:rsidR="00A92422" w:rsidRPr="00D87B79" w:rsidRDefault="00A92422" w:rsidP="00A92422">
      <w:pPr>
        <w:ind w:left="720"/>
        <w:rPr>
          <w:rFonts w:cs="Tahoma"/>
        </w:rPr>
      </w:pPr>
      <w:r w:rsidRPr="00D87B79">
        <w:rPr>
          <w:rFonts w:cs="Tahoma"/>
          <w:lang w:val="it-IT"/>
        </w:rPr>
        <w:t>sono idonee a utilizzare la versione Inglese/Multilingua di una versione sottoposta a downgrade del</w:t>
      </w:r>
      <w:r>
        <w:rPr>
          <w:rFonts w:cs="Tahoma"/>
          <w:lang w:val="it-IT"/>
        </w:rPr>
        <w:t> </w:t>
      </w:r>
      <w:r w:rsidRPr="00D87B79">
        <w:rPr>
          <w:rFonts w:cs="Tahoma"/>
          <w:lang w:val="it-IT"/>
        </w:rPr>
        <w:t>prodotto, al posto della versione concessa in licenza.</w:t>
      </w:r>
      <w:r w:rsidRPr="00D87B79">
        <w:rPr>
          <w:rFonts w:cs="Tahoma"/>
        </w:rPr>
        <w:t xml:space="preserve"> </w:t>
      </w:r>
      <w:r w:rsidRPr="00D87B79">
        <w:rPr>
          <w:rFonts w:cs="Tahoma"/>
          <w:lang w:val="it-IT"/>
        </w:rPr>
        <w:t>L’utilizzo della versione sottoposta a downgrade del</w:t>
      </w:r>
      <w:r>
        <w:rPr>
          <w:rFonts w:cs="Tahoma"/>
          <w:lang w:val="it-IT"/>
        </w:rPr>
        <w:t> </w:t>
      </w:r>
      <w:r w:rsidRPr="00D87B79">
        <w:rPr>
          <w:rFonts w:cs="Tahoma"/>
          <w:lang w:val="it-IT"/>
        </w:rPr>
        <w:t>prodotto è soggetta ai diritti di utilizzo della versione 2013 del prodotto.</w:t>
      </w:r>
      <w:r w:rsidRPr="00D87B79">
        <w:rPr>
          <w:rFonts w:cs="Tahoma"/>
        </w:rPr>
        <w:t xml:space="preserve"> </w:t>
      </w:r>
      <w:r w:rsidRPr="00D87B79">
        <w:rPr>
          <w:rFonts w:cs="Tahoma"/>
          <w:lang w:val="it-IT"/>
        </w:rPr>
        <w:t>Tali diritti cesseranno alla scadenza dei diritti della società di utilizzare il prodotto Office Multi-Language Pack 2013 o i prodotti 2013 indicati in precedenza.</w:t>
      </w:r>
    </w:p>
    <w:p w:rsidR="00A92422" w:rsidRPr="00AE271C" w:rsidRDefault="00A92422" w:rsidP="00A92422">
      <w:pPr>
        <w:pStyle w:val="Heading3"/>
        <w:rPr>
          <w:rFonts w:ascii="Tahoma" w:hAnsi="Tahoma" w:cs="Tahoma"/>
          <w:sz w:val="18"/>
          <w:szCs w:val="18"/>
        </w:rPr>
      </w:pPr>
      <w:bookmarkStart w:id="1087" w:name="_Toc336338266"/>
      <w:bookmarkStart w:id="1088" w:name="Aps_9OffProPlus07forWin"/>
      <w:bookmarkStart w:id="1089" w:name="Aps_7OfficeProPlus2010"/>
      <w:bookmarkStart w:id="1090" w:name="Aps_6OfficeProPlus2010"/>
    </w:p>
    <w:p w:rsidR="00A92422" w:rsidRPr="00AE271C" w:rsidRDefault="00A92422" w:rsidP="00A92422">
      <w:pPr>
        <w:pStyle w:val="Heading3"/>
        <w:rPr>
          <w:rFonts w:ascii="Tahoma" w:hAnsi="Tahoma" w:cs="Tahoma"/>
          <w:sz w:val="18"/>
          <w:szCs w:val="18"/>
        </w:rPr>
      </w:pPr>
    </w:p>
    <w:p w:rsidR="00A92422" w:rsidRPr="00D87B79" w:rsidRDefault="00A92422" w:rsidP="00A92422">
      <w:pPr>
        <w:pStyle w:val="Heading3"/>
        <w:rPr>
          <w:rFonts w:ascii="Tahoma" w:hAnsi="Tahoma" w:cs="Tahoma"/>
        </w:rPr>
      </w:pPr>
      <w:bookmarkStart w:id="1091" w:name="_9_Office_Professional"/>
      <w:bookmarkStart w:id="1092" w:name="_Toc342900317"/>
      <w:bookmarkEnd w:id="1087"/>
      <w:bookmarkEnd w:id="1091"/>
      <w:r w:rsidRPr="00D87B79">
        <w:rPr>
          <w:rFonts w:ascii="Tahoma" w:hAnsi="Tahoma" w:cs="Tahoma"/>
          <w:caps/>
          <w:color w:val="F66400"/>
          <w:sz w:val="22"/>
          <w:vertAlign w:val="superscript"/>
          <w:lang w:val="it-IT"/>
        </w:rPr>
        <w:t>9</w:t>
      </w:r>
      <w:r w:rsidRPr="00D87B79">
        <w:rPr>
          <w:rFonts w:ascii="Tahoma" w:hAnsi="Tahoma" w:cs="Tahoma"/>
          <w:color w:val="F66400"/>
          <w:sz w:val="22"/>
          <w:lang w:val="it-IT"/>
        </w:rPr>
        <w:t xml:space="preserve"> Office Professional Plus 2013</w:t>
      </w:r>
      <w:bookmarkEnd w:id="1092"/>
    </w:p>
    <w:bookmarkEnd w:id="1088"/>
    <w:bookmarkEnd w:id="1089"/>
    <w:bookmarkEnd w:id="1090"/>
    <w:p w:rsidR="00A92422" w:rsidRPr="00D87B79" w:rsidRDefault="00A92422" w:rsidP="00A92422">
      <w:pPr>
        <w:rPr>
          <w:rFonts w:cs="Tahoma"/>
        </w:rPr>
      </w:pPr>
    </w:p>
    <w:p w:rsidR="00A92422" w:rsidRPr="00D87B79" w:rsidRDefault="00A92422" w:rsidP="00A92422">
      <w:pPr>
        <w:pStyle w:val="EndnoteText"/>
        <w:numPr>
          <w:ilvl w:val="0"/>
          <w:numId w:val="65"/>
        </w:numPr>
        <w:ind w:left="1080"/>
        <w:rPr>
          <w:rFonts w:ascii="Tahoma" w:hAnsi="Tahoma" w:cs="Tahoma"/>
        </w:rPr>
      </w:pPr>
      <w:r w:rsidRPr="00D87B79">
        <w:rPr>
          <w:rFonts w:ascii="Tahoma" w:hAnsi="Tahoma" w:cs="Tahoma"/>
          <w:sz w:val="18"/>
          <w:lang w:val="it-IT"/>
        </w:rPr>
        <w:t>Licenza Work at Home (WAH) disponibile per le società con Contratto Select e Select Plus</w:t>
      </w:r>
      <w:r w:rsidRPr="00D87B79">
        <w:rPr>
          <w:rFonts w:ascii="Tahoma" w:hAnsi="Tahoma" w:cs="Tahoma"/>
        </w:rPr>
        <w:t xml:space="preserve"> </w:t>
      </w:r>
    </w:p>
    <w:p w:rsidR="00A92422" w:rsidRPr="00D87B79" w:rsidRDefault="00A92422" w:rsidP="00A92422">
      <w:pPr>
        <w:pStyle w:val="EndnoteText"/>
        <w:numPr>
          <w:ilvl w:val="0"/>
          <w:numId w:val="65"/>
        </w:numPr>
        <w:ind w:left="1080"/>
        <w:rPr>
          <w:rFonts w:ascii="Tahoma" w:hAnsi="Tahoma" w:cs="Tahoma"/>
        </w:rPr>
      </w:pPr>
      <w:r w:rsidRPr="00D87B79">
        <w:rPr>
          <w:rFonts w:ascii="Tahoma" w:hAnsi="Tahoma" w:cs="Tahoma"/>
          <w:sz w:val="18"/>
          <w:lang w:val="it-IT"/>
        </w:rPr>
        <w:t>Licenza Work at Home (WAH) disponibile per le società con Contratto Enterprise</w:t>
      </w:r>
    </w:p>
    <w:p w:rsidR="00A92422" w:rsidRPr="00AE271C" w:rsidRDefault="00A92422" w:rsidP="00A92422">
      <w:pPr>
        <w:pStyle w:val="FootnoteBulletLevel1"/>
        <w:tabs>
          <w:tab w:val="clear" w:pos="900"/>
        </w:tabs>
        <w:spacing w:before="0" w:after="0"/>
        <w:ind w:left="720" w:firstLine="0"/>
        <w:rPr>
          <w:rFonts w:ascii="Tahoma" w:hAnsi="Tahoma" w:cs="Tahoma"/>
          <w:sz w:val="18"/>
          <w:szCs w:val="18"/>
        </w:rPr>
      </w:pPr>
    </w:p>
    <w:p w:rsidR="00A92422" w:rsidRPr="00D87B79" w:rsidRDefault="00A92422" w:rsidP="00A92422">
      <w:pPr>
        <w:spacing w:after="60"/>
        <w:ind w:left="720"/>
        <w:rPr>
          <w:rFonts w:cs="Tahoma"/>
        </w:rPr>
      </w:pPr>
      <w:r w:rsidRPr="00D87B79">
        <w:rPr>
          <w:rFonts w:cs="Tahoma"/>
          <w:b/>
          <w:lang w:val="it-IT"/>
        </w:rPr>
        <w:t>Office Professional Plus 2013</w:t>
      </w:r>
    </w:p>
    <w:p w:rsidR="00A92422" w:rsidRPr="00D87B79" w:rsidRDefault="00A92422" w:rsidP="00A92422">
      <w:pPr>
        <w:spacing w:after="60"/>
        <w:ind w:left="720"/>
        <w:rPr>
          <w:rFonts w:cs="Tahoma"/>
        </w:rPr>
      </w:pPr>
      <w:r w:rsidRPr="00D87B79">
        <w:rPr>
          <w:rFonts w:cs="Tahoma"/>
          <w:lang w:val="it-IT"/>
        </w:rPr>
        <w:t>Una Licenza per Office Professional Plus 2013 è composta dai seguenti elementi:</w:t>
      </w:r>
      <w:r w:rsidRPr="00D87B79">
        <w:rPr>
          <w:rFonts w:cs="Tahoma"/>
        </w:rPr>
        <w:t xml:space="preserve"> </w:t>
      </w:r>
      <w:r w:rsidRPr="00D87B79">
        <w:rPr>
          <w:rFonts w:cs="Tahoma"/>
          <w:lang w:val="it-IT"/>
        </w:rPr>
        <w:t>Access 2013, Lync 2013, Excel 2013, InfoPath 2013, OneNote 2013, Outlook 2013, Office Home and Student RT 2013 Commercial Use</w:t>
      </w:r>
      <w:r>
        <w:rPr>
          <w:rFonts w:cs="Tahoma"/>
          <w:lang w:val="it-IT"/>
        </w:rPr>
        <w:t>,</w:t>
      </w:r>
      <w:r w:rsidRPr="00D87B79">
        <w:rPr>
          <w:rFonts w:cs="Tahoma"/>
          <w:lang w:val="it-IT"/>
        </w:rPr>
        <w:t xml:space="preserve"> Office Web Apps, PowerPoint 2013, Publisher 2013 e Word 2013.</w:t>
      </w:r>
    </w:p>
    <w:p w:rsidR="00A92422" w:rsidRPr="00AE271C" w:rsidRDefault="00A92422" w:rsidP="00A92422">
      <w:pPr>
        <w:pStyle w:val="EndnoteText"/>
        <w:ind w:left="720"/>
        <w:rPr>
          <w:rFonts w:ascii="Tahoma" w:hAnsi="Tahoma" w:cs="Tahoma"/>
          <w:sz w:val="18"/>
          <w:szCs w:val="18"/>
        </w:rPr>
      </w:pPr>
    </w:p>
    <w:p w:rsidR="00A92422" w:rsidRPr="00D87B79" w:rsidRDefault="00A92422" w:rsidP="00A92422">
      <w:pPr>
        <w:spacing w:after="60"/>
        <w:ind w:left="720"/>
        <w:rPr>
          <w:rFonts w:cs="Tahoma"/>
        </w:rPr>
      </w:pPr>
      <w:r w:rsidRPr="00D87B79">
        <w:rPr>
          <w:rFonts w:cs="Tahoma"/>
          <w:b/>
          <w:lang w:val="it-IT"/>
        </w:rPr>
        <w:t>Impossibilità di Separare Office Professional Plus 2013</w:t>
      </w:r>
    </w:p>
    <w:p w:rsidR="00A92422" w:rsidRPr="00D87B79" w:rsidRDefault="00A92422" w:rsidP="00A92422">
      <w:pPr>
        <w:pStyle w:val="FootnoteBulletLevel1"/>
        <w:tabs>
          <w:tab w:val="clear" w:pos="900"/>
        </w:tabs>
        <w:spacing w:before="0" w:after="0"/>
        <w:ind w:left="720" w:firstLine="0"/>
        <w:rPr>
          <w:rFonts w:ascii="Tahoma" w:hAnsi="Tahoma" w:cs="Tahoma"/>
        </w:rPr>
      </w:pPr>
      <w:r w:rsidRPr="00D87B79">
        <w:rPr>
          <w:rFonts w:ascii="Tahoma" w:hAnsi="Tahoma" w:cs="Tahoma"/>
          <w:sz w:val="18"/>
          <w:lang w:val="it-IT"/>
        </w:rPr>
        <w:t>Microsoft Office Professional Plus 2013 è composto da più di un prodotto offerto ai sensi di un’unica licenza.</w:t>
      </w:r>
      <w:r>
        <w:rPr>
          <w:rFonts w:ascii="Tahoma" w:hAnsi="Tahoma" w:cs="Tahoma"/>
        </w:rPr>
        <w:t> </w:t>
      </w:r>
      <w:r w:rsidRPr="00D87B79">
        <w:rPr>
          <w:rFonts w:ascii="Tahoma" w:hAnsi="Tahoma" w:cs="Tahoma"/>
          <w:sz w:val="18"/>
          <w:lang w:val="it-IT"/>
        </w:rPr>
        <w:t>Il software non può essere separato per l’utilizzo su più di un computer.</w:t>
      </w:r>
    </w:p>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lang w:val="it-IT"/>
        </w:rPr>
        <w:t>Contratto Campus e School</w:t>
      </w:r>
    </w:p>
    <w:p w:rsidR="00A92422" w:rsidRPr="00D87B79" w:rsidRDefault="00A92422" w:rsidP="00A92422">
      <w:pPr>
        <w:ind w:left="720"/>
        <w:rPr>
          <w:rFonts w:cs="Tahoma"/>
        </w:rPr>
      </w:pPr>
      <w:r w:rsidRPr="00D87B79">
        <w:rPr>
          <w:rFonts w:cs="Tahoma"/>
          <w:color w:val="000000"/>
          <w:lang w:val="it-IT"/>
        </w:rPr>
        <w:t>Gli Istituti in possesso di USL per Office Professional Plus Subscription cedute a tutto il personale docente e</w:t>
      </w:r>
      <w:r>
        <w:rPr>
          <w:rFonts w:cs="Tahoma"/>
          <w:color w:val="000000"/>
          <w:lang w:val="it-IT"/>
        </w:rPr>
        <w:t> </w:t>
      </w:r>
      <w:r w:rsidRPr="00D87B79">
        <w:rPr>
          <w:rFonts w:cs="Tahoma"/>
          <w:color w:val="000000"/>
          <w:lang w:val="it-IT"/>
        </w:rPr>
        <w:t>non docente potranno installare il software Office Professional Plus 2013 in qualsiasi laboratorio o biblioteca ad accesso libero all’interno dell’Organizzazione dell’Istituto.</w:t>
      </w:r>
      <w:r w:rsidRPr="00D87B79">
        <w:rPr>
          <w:rFonts w:cs="Tahoma"/>
        </w:rPr>
        <w:t xml:space="preserve"> </w:t>
      </w:r>
      <w:r w:rsidRPr="00D87B79">
        <w:rPr>
          <w:rFonts w:cs="Tahoma"/>
          <w:color w:val="000000"/>
          <w:lang w:val="it-IT"/>
        </w:rPr>
        <w:t>L’utilizzo del software è soggetto alle</w:t>
      </w:r>
      <w:r>
        <w:rPr>
          <w:rFonts w:cs="Tahoma"/>
          <w:color w:val="000000"/>
          <w:lang w:val="it-IT"/>
        </w:rPr>
        <w:t> </w:t>
      </w:r>
      <w:r w:rsidRPr="00D87B79">
        <w:rPr>
          <w:rFonts w:cs="Tahoma"/>
          <w:color w:val="000000"/>
          <w:lang w:val="it-IT"/>
        </w:rPr>
        <w:t>condizioni di licenza per Office Pro Plus 2013.</w:t>
      </w:r>
    </w:p>
    <w:p w:rsidR="00A92422" w:rsidRPr="00D87B79" w:rsidRDefault="00A92422" w:rsidP="00A92422">
      <w:pPr>
        <w:rPr>
          <w:rFonts w:cs="Tahoma"/>
        </w:rPr>
      </w:pPr>
    </w:p>
    <w:p w:rsidR="00A92422" w:rsidRPr="00D87B79" w:rsidRDefault="00A92422" w:rsidP="00A92422">
      <w:pPr>
        <w:rPr>
          <w:rFonts w:cs="Tahoma"/>
        </w:rPr>
      </w:pPr>
    </w:p>
    <w:p w:rsidR="00A92422" w:rsidRPr="00D87B79" w:rsidRDefault="00A92422" w:rsidP="00A92422">
      <w:pPr>
        <w:pStyle w:val="Heading3"/>
        <w:rPr>
          <w:rFonts w:ascii="Tahoma" w:hAnsi="Tahoma" w:cs="Tahoma"/>
        </w:rPr>
      </w:pPr>
      <w:bookmarkStart w:id="1093" w:name="Aps_OfficeStandard2010"/>
      <w:bookmarkStart w:id="1094" w:name="_Toc254806115"/>
      <w:bookmarkStart w:id="1095" w:name="_Toc328146032"/>
      <w:bookmarkStart w:id="1096" w:name="_Toc342900318"/>
      <w:bookmarkStart w:id="1097" w:name="Aps_7OfficeStandard2010"/>
      <w:bookmarkStart w:id="1098" w:name="_Toc336338268"/>
      <w:bookmarkEnd w:id="1093"/>
      <w:bookmarkEnd w:id="1094"/>
      <w:bookmarkEnd w:id="1095"/>
      <w:r w:rsidRPr="00D87B79">
        <w:rPr>
          <w:rFonts w:ascii="Tahoma" w:hAnsi="Tahoma" w:cs="Tahoma"/>
          <w:caps/>
          <w:color w:val="F66400"/>
          <w:sz w:val="22"/>
          <w:vertAlign w:val="superscript"/>
          <w:lang w:val="it-IT"/>
        </w:rPr>
        <w:t>10</w:t>
      </w:r>
      <w:r w:rsidRPr="00D87B79">
        <w:rPr>
          <w:rFonts w:ascii="Tahoma" w:hAnsi="Tahoma" w:cs="Tahoma"/>
          <w:color w:val="F66400"/>
          <w:sz w:val="22"/>
          <w:lang w:val="it-IT"/>
        </w:rPr>
        <w:t xml:space="preserve"> Office Standard 2013</w:t>
      </w:r>
      <w:bookmarkEnd w:id="1096"/>
    </w:p>
    <w:bookmarkEnd w:id="1097"/>
    <w:p w:rsidR="00A92422" w:rsidRPr="00D87B79" w:rsidRDefault="00A92422" w:rsidP="00A92422">
      <w:pPr>
        <w:rPr>
          <w:rFonts w:cs="Tahoma"/>
        </w:rPr>
      </w:pPr>
    </w:p>
    <w:p w:rsidR="00A92422" w:rsidRPr="006B6E20" w:rsidRDefault="00A92422" w:rsidP="00A92422">
      <w:pPr>
        <w:pStyle w:val="EndnoteText"/>
        <w:numPr>
          <w:ilvl w:val="3"/>
          <w:numId w:val="53"/>
        </w:numPr>
        <w:ind w:left="990"/>
        <w:rPr>
          <w:rFonts w:ascii="Tahoma" w:hAnsi="Tahoma" w:cs="Tahoma"/>
          <w:sz w:val="18"/>
          <w:szCs w:val="18"/>
        </w:rPr>
      </w:pPr>
      <w:r w:rsidRPr="006B6E20">
        <w:rPr>
          <w:rFonts w:ascii="Tahoma" w:hAnsi="Tahoma" w:cs="Tahoma"/>
          <w:sz w:val="18"/>
          <w:szCs w:val="18"/>
          <w:lang w:val="it-IT"/>
        </w:rPr>
        <w:t>Licenza Work at Home (WAH) disponibile per le società con Contratto Select e Select Plus</w:t>
      </w:r>
      <w:r w:rsidRPr="006B6E20">
        <w:rPr>
          <w:rFonts w:ascii="Tahoma" w:hAnsi="Tahoma" w:cs="Tahoma"/>
          <w:sz w:val="18"/>
          <w:szCs w:val="18"/>
        </w:rPr>
        <w:t xml:space="preserve"> </w:t>
      </w:r>
    </w:p>
    <w:p w:rsidR="00A92422" w:rsidRPr="00D87B79" w:rsidRDefault="00A92422" w:rsidP="00A92422">
      <w:pPr>
        <w:pStyle w:val="EndnoteText"/>
        <w:numPr>
          <w:ilvl w:val="3"/>
          <w:numId w:val="53"/>
        </w:numPr>
        <w:ind w:left="990"/>
        <w:rPr>
          <w:rFonts w:ascii="Tahoma" w:hAnsi="Tahoma" w:cs="Tahoma"/>
        </w:rPr>
      </w:pPr>
      <w:r w:rsidRPr="00D87B79">
        <w:rPr>
          <w:rFonts w:ascii="Tahoma" w:hAnsi="Tahoma" w:cs="Tahoma"/>
          <w:sz w:val="18"/>
          <w:lang w:val="it-IT"/>
        </w:rPr>
        <w:t>Licenza Work at Home (WAH) disponibile per le società con Contratto Enterprise</w:t>
      </w:r>
    </w:p>
    <w:p w:rsidR="00A92422" w:rsidRDefault="00A92422" w:rsidP="00A92422">
      <w:pPr>
        <w:pStyle w:val="FootnoteBulletLevel1"/>
        <w:tabs>
          <w:tab w:val="clear" w:pos="900"/>
        </w:tabs>
        <w:spacing w:before="0" w:after="0"/>
        <w:ind w:left="720" w:firstLine="0"/>
        <w:rPr>
          <w:rFonts w:ascii="Tahoma" w:hAnsi="Tahoma" w:cs="Tahoma"/>
        </w:rPr>
      </w:pPr>
    </w:p>
    <w:p w:rsidR="00A92422" w:rsidRPr="00D87B79" w:rsidRDefault="00A92422" w:rsidP="00A92422">
      <w:pPr>
        <w:pStyle w:val="FootnoteBulletLevel1"/>
        <w:tabs>
          <w:tab w:val="clear" w:pos="900"/>
        </w:tabs>
        <w:spacing w:before="0" w:after="0"/>
        <w:ind w:left="720" w:firstLine="0"/>
        <w:rPr>
          <w:rFonts w:ascii="Tahoma" w:hAnsi="Tahoma" w:cs="Tahoma"/>
        </w:rPr>
      </w:pPr>
    </w:p>
    <w:p w:rsidR="00A92422" w:rsidRPr="00D87B79" w:rsidRDefault="00A92422" w:rsidP="00A92422">
      <w:pPr>
        <w:spacing w:after="60"/>
        <w:ind w:left="720"/>
        <w:rPr>
          <w:rFonts w:cs="Tahoma"/>
        </w:rPr>
      </w:pPr>
      <w:r w:rsidRPr="00D87B79">
        <w:rPr>
          <w:rFonts w:cs="Tahoma"/>
          <w:b/>
          <w:lang w:val="it-IT"/>
        </w:rPr>
        <w:t>Office Standard 2013</w:t>
      </w:r>
    </w:p>
    <w:p w:rsidR="00A92422" w:rsidRPr="00D87B79" w:rsidRDefault="00A92422" w:rsidP="00A92422">
      <w:pPr>
        <w:pStyle w:val="FootnoteBulletLevel1"/>
        <w:tabs>
          <w:tab w:val="clear" w:pos="900"/>
        </w:tabs>
        <w:spacing w:before="0" w:after="0"/>
        <w:ind w:left="720" w:firstLine="0"/>
        <w:rPr>
          <w:rFonts w:ascii="Tahoma" w:hAnsi="Tahoma" w:cs="Tahoma"/>
        </w:rPr>
      </w:pPr>
      <w:r w:rsidRPr="00D87B79">
        <w:rPr>
          <w:rFonts w:ascii="Tahoma" w:hAnsi="Tahoma" w:cs="Tahoma"/>
          <w:sz w:val="18"/>
          <w:lang w:val="it-IT"/>
        </w:rPr>
        <w:t>Una Licenza per Office Standard 2013 è composta dai seguenti elementi:</w:t>
      </w:r>
      <w:r w:rsidRPr="00D87B79">
        <w:rPr>
          <w:rFonts w:ascii="Tahoma" w:hAnsi="Tahoma" w:cs="Tahoma"/>
          <w:sz w:val="18"/>
        </w:rPr>
        <w:t xml:space="preserve"> </w:t>
      </w:r>
      <w:r w:rsidRPr="00D87B79">
        <w:rPr>
          <w:rFonts w:ascii="Tahoma" w:hAnsi="Tahoma" w:cs="Tahoma"/>
          <w:sz w:val="18"/>
          <w:lang w:val="it-IT"/>
        </w:rPr>
        <w:t>Excel 2013, OneNote 2013, Outlook 2013,</w:t>
      </w:r>
      <w:r w:rsidRPr="003B5B2B">
        <w:rPr>
          <w:rFonts w:cs="Tahoma"/>
          <w:lang w:val="it-IT"/>
        </w:rPr>
        <w:t xml:space="preserve"> </w:t>
      </w:r>
      <w:r w:rsidRPr="00D87B79">
        <w:rPr>
          <w:rFonts w:cs="Tahoma"/>
          <w:lang w:val="it-IT"/>
        </w:rPr>
        <w:t>Office Home and Student RT 2013 Commercial Use</w:t>
      </w:r>
      <w:r>
        <w:rPr>
          <w:rFonts w:cs="Tahoma"/>
          <w:lang w:val="it-IT"/>
        </w:rPr>
        <w:t>,</w:t>
      </w:r>
      <w:r w:rsidRPr="00D87B79">
        <w:rPr>
          <w:rFonts w:ascii="Tahoma" w:hAnsi="Tahoma" w:cs="Tahoma"/>
          <w:sz w:val="18"/>
          <w:lang w:val="it-IT"/>
        </w:rPr>
        <w:t xml:space="preserve"> Office Web Apps, PowerPoint 2013, Publisher 2013 e Word 2013.</w:t>
      </w:r>
    </w:p>
    <w:p w:rsidR="00A92422" w:rsidRPr="00D87B79" w:rsidRDefault="00A92422" w:rsidP="00A92422">
      <w:pPr>
        <w:pStyle w:val="FootnoteBulletLevel1"/>
        <w:tabs>
          <w:tab w:val="clear" w:pos="900"/>
        </w:tabs>
        <w:spacing w:before="0" w:after="0"/>
        <w:ind w:left="720" w:firstLine="0"/>
        <w:rPr>
          <w:rFonts w:ascii="Tahoma" w:hAnsi="Tahoma" w:cs="Tahoma"/>
        </w:rPr>
      </w:pPr>
    </w:p>
    <w:p w:rsidR="00A92422" w:rsidRPr="00D87B79" w:rsidRDefault="00A92422" w:rsidP="00A92422">
      <w:pPr>
        <w:spacing w:after="60"/>
        <w:ind w:left="720"/>
        <w:rPr>
          <w:rFonts w:cs="Tahoma"/>
        </w:rPr>
      </w:pPr>
      <w:r w:rsidRPr="00D87B79">
        <w:rPr>
          <w:rFonts w:cs="Tahoma"/>
          <w:b/>
          <w:lang w:val="it-IT"/>
        </w:rPr>
        <w:t>Impossibilità di Separare Microsoft Office Standard 2013</w:t>
      </w:r>
    </w:p>
    <w:p w:rsidR="00A92422" w:rsidRPr="00D87B79" w:rsidRDefault="00A92422" w:rsidP="00A92422">
      <w:pPr>
        <w:spacing w:after="60"/>
        <w:ind w:left="720"/>
        <w:rPr>
          <w:rFonts w:cs="Tahoma"/>
        </w:rPr>
      </w:pPr>
      <w:r w:rsidRPr="00D87B79">
        <w:rPr>
          <w:rFonts w:cs="Tahoma"/>
          <w:lang w:val="it-IT"/>
        </w:rPr>
        <w:t>Office Standard 2013 è composto da più di un prodotto offerto ai sensi di un’unica licenza.</w:t>
      </w:r>
      <w:r w:rsidRPr="00D87B79">
        <w:rPr>
          <w:rFonts w:cs="Tahoma"/>
        </w:rPr>
        <w:t xml:space="preserve"> </w:t>
      </w:r>
      <w:r w:rsidRPr="00D87B79">
        <w:rPr>
          <w:rFonts w:cs="Tahoma"/>
          <w:lang w:val="it-IT"/>
        </w:rPr>
        <w:t>Il software non</w:t>
      </w:r>
      <w:r>
        <w:rPr>
          <w:rFonts w:cs="Tahoma"/>
          <w:lang w:val="it-IT"/>
        </w:rPr>
        <w:t> </w:t>
      </w:r>
      <w:r w:rsidRPr="00D87B79">
        <w:rPr>
          <w:rFonts w:cs="Tahoma"/>
          <w:lang w:val="it-IT"/>
        </w:rPr>
        <w:t>può essere separato per l’utilizzo su più di un computer.</w:t>
      </w:r>
    </w:p>
    <w:p w:rsidR="00A92422" w:rsidRPr="00D87B79" w:rsidRDefault="00A92422" w:rsidP="00A92422">
      <w:pPr>
        <w:pStyle w:val="Heading3"/>
        <w:rPr>
          <w:rFonts w:ascii="Tahoma" w:hAnsi="Tahoma" w:cs="Tahoma"/>
        </w:rPr>
      </w:pPr>
      <w:bookmarkStart w:id="1099" w:name="_Toc342900319"/>
      <w:bookmarkStart w:id="1100" w:name="Aps_9OfficeProPlusSubUserSL"/>
      <w:bookmarkEnd w:id="1098"/>
      <w:r w:rsidRPr="00D87B79">
        <w:rPr>
          <w:rFonts w:ascii="Tahoma" w:hAnsi="Tahoma" w:cs="Tahoma"/>
          <w:caps/>
          <w:color w:val="F26200"/>
          <w:sz w:val="22"/>
          <w:vertAlign w:val="superscript"/>
          <w:lang w:val="it-IT"/>
        </w:rPr>
        <w:t>11</w:t>
      </w:r>
      <w:r w:rsidRPr="00916984">
        <w:rPr>
          <w:rFonts w:ascii="Tahoma" w:hAnsi="Tahoma" w:cs="Tahoma"/>
          <w:caps/>
          <w:color w:val="F26200"/>
          <w:sz w:val="22"/>
          <w:lang w:val="it-IT"/>
        </w:rPr>
        <w:t xml:space="preserve"> </w:t>
      </w:r>
      <w:r w:rsidRPr="00D87B79">
        <w:rPr>
          <w:rFonts w:ascii="Tahoma" w:hAnsi="Tahoma" w:cs="Tahoma"/>
          <w:color w:val="F26200"/>
          <w:sz w:val="22"/>
          <w:lang w:val="it-IT"/>
        </w:rPr>
        <w:t>Sottoscrizioni a Office Professional Plus (SL per Utente)</w:t>
      </w:r>
      <w:bookmarkEnd w:id="1099"/>
    </w:p>
    <w:bookmarkEnd w:id="1100"/>
    <w:p w:rsidR="00A92422" w:rsidRPr="00D87B79" w:rsidRDefault="00A92422" w:rsidP="00A92422">
      <w:pPr>
        <w:rPr>
          <w:rFonts w:cs="Tahoma"/>
        </w:rPr>
      </w:pPr>
    </w:p>
    <w:p w:rsidR="00A92422" w:rsidRPr="00D87B79" w:rsidRDefault="00A92422" w:rsidP="00A92422">
      <w:pPr>
        <w:spacing w:after="60"/>
        <w:ind w:left="720"/>
        <w:rPr>
          <w:rFonts w:cs="Tahoma"/>
        </w:rPr>
      </w:pPr>
      <w:r w:rsidRPr="00D87B79">
        <w:rPr>
          <w:rFonts w:cs="Tahoma"/>
          <w:b/>
          <w:lang w:val="it-IT"/>
        </w:rPr>
        <w:t>Campus e School</w:t>
      </w:r>
    </w:p>
    <w:p w:rsidR="00A92422" w:rsidRPr="00D87B79" w:rsidRDefault="00A92422" w:rsidP="00A92422">
      <w:pPr>
        <w:ind w:left="720"/>
        <w:rPr>
          <w:rFonts w:cs="Tahoma"/>
        </w:rPr>
      </w:pPr>
      <w:r w:rsidRPr="00D87B79">
        <w:rPr>
          <w:rFonts w:cs="Tahoma"/>
          <w:color w:val="000000"/>
          <w:lang w:val="it-IT"/>
        </w:rPr>
        <w:t>Qualora un Istituto disponga di una Sottoscrizione di Office Professional Plus, dovrà acquistare una licenza per ogni Utente Qualificato dell’organizzazione dell’Istituto.</w:t>
      </w:r>
      <w:r w:rsidRPr="00D87B79">
        <w:rPr>
          <w:rFonts w:cs="Tahoma"/>
        </w:rPr>
        <w:t xml:space="preserve"> </w:t>
      </w:r>
      <w:r w:rsidRPr="00D87B79">
        <w:rPr>
          <w:rFonts w:cs="Tahoma"/>
          <w:color w:val="000000"/>
          <w:lang w:val="it-IT"/>
        </w:rPr>
        <w:t xml:space="preserve">Qualora un Istituto aderisca all’Opzione Studente </w:t>
      </w:r>
      <w:r w:rsidRPr="00D87B79">
        <w:rPr>
          <w:rFonts w:cs="Tahoma"/>
          <w:color w:val="000000"/>
          <w:lang w:val="it-IT"/>
        </w:rPr>
        <w:lastRenderedPageBreak/>
        <w:t>per la Sottoscrizione di Office Professional Plus, dovrà acquistare una licenza per ogni Studente dell’Organizzazione.</w:t>
      </w:r>
    </w:p>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lang w:val="it-IT"/>
        </w:rPr>
        <w:t>Requisiti di Idoneità per i Supporti di Memorizzazione</w:t>
      </w:r>
    </w:p>
    <w:p w:rsidR="00A92422" w:rsidRPr="00D87B79" w:rsidRDefault="00A92422" w:rsidP="00A92422">
      <w:pPr>
        <w:ind w:left="720"/>
        <w:rPr>
          <w:rFonts w:cs="Tahoma"/>
        </w:rPr>
      </w:pPr>
      <w:r w:rsidRPr="00D87B79">
        <w:rPr>
          <w:rFonts w:cs="Tahoma"/>
          <w:bCs/>
          <w:szCs w:val="18"/>
          <w:lang w:val="it-IT"/>
        </w:rPr>
        <w:t>Le società in possesso di Enterprise ed Enterprise Subscription con Sottoscrizioni a Office Professional Plus (SL per Utente) attive che hanno distribuito Office Professional Plus 2010 in base a un contratto Enterprise o</w:t>
      </w:r>
      <w:r>
        <w:rPr>
          <w:rFonts w:cs="Tahoma"/>
          <w:bCs/>
          <w:szCs w:val="18"/>
          <w:lang w:val="it-IT"/>
        </w:rPr>
        <w:t> </w:t>
      </w:r>
      <w:r w:rsidRPr="00D87B79">
        <w:rPr>
          <w:rFonts w:cs="Tahoma"/>
          <w:bCs/>
          <w:szCs w:val="18"/>
          <w:lang w:val="it-IT"/>
        </w:rPr>
        <w:t>Enterprise Subscription potranno installare il software Office Professional Plus 2010 al posto di Office Professional Plus Subscription sui rispettivi desktop qualificati.</w:t>
      </w:r>
      <w:r w:rsidRPr="00D87B79">
        <w:rPr>
          <w:rFonts w:cs="Tahoma"/>
          <w:bCs/>
          <w:szCs w:val="18"/>
        </w:rPr>
        <w:t xml:space="preserve"> </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bCs/>
          <w:color w:val="000000"/>
          <w:szCs w:val="18"/>
          <w:lang w:val="it-IT"/>
        </w:rPr>
        <w:t>Le società in possesso di Enterprise ed Enterprise Subscription con Sottoscrizioni a Office Professional Plus</w:t>
      </w:r>
      <w:r>
        <w:rPr>
          <w:rFonts w:cs="Tahoma"/>
          <w:bCs/>
          <w:color w:val="000000"/>
          <w:szCs w:val="18"/>
          <w:lang w:val="it-IT"/>
        </w:rPr>
        <w:t> </w:t>
      </w:r>
      <w:r w:rsidRPr="00D87B79">
        <w:rPr>
          <w:rFonts w:cs="Tahoma"/>
          <w:bCs/>
          <w:color w:val="000000"/>
          <w:szCs w:val="18"/>
          <w:lang w:val="it-IT"/>
        </w:rPr>
        <w:t>(SL per Utente) attive che hanno distribuito Office per Mac Standard in base a un contratto Enterprise o</w:t>
      </w:r>
      <w:r>
        <w:rPr>
          <w:rFonts w:cs="Tahoma"/>
          <w:bCs/>
          <w:color w:val="000000"/>
          <w:szCs w:val="18"/>
          <w:lang w:val="it-IT"/>
        </w:rPr>
        <w:t> </w:t>
      </w:r>
      <w:r w:rsidRPr="00D87B79">
        <w:rPr>
          <w:rFonts w:cs="Tahoma"/>
          <w:bCs/>
          <w:color w:val="000000"/>
          <w:szCs w:val="18"/>
          <w:lang w:val="it-IT"/>
        </w:rPr>
        <w:t>Enterprise Subscription potranno installare il software Office per Mac Standard 2011 al posto di Office Professional Plus Subscription sui rispettivi desktop qualificati.</w:t>
      </w:r>
      <w:r w:rsidRPr="00D87B79">
        <w:rPr>
          <w:rFonts w:cs="Tahoma"/>
          <w:bCs/>
          <w:color w:val="000000"/>
          <w:szCs w:val="18"/>
        </w:rPr>
        <w:t xml:space="preserve"> </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color w:val="000000"/>
          <w:lang w:val="it-IT"/>
        </w:rPr>
        <w:t>In qualsiasi altro caso, le società dovranno utilizzare il supporto Office Professional Plus Subscription per distribuire il software in base alle rispettive Sottoscrizioni Office Professional Plus per Utente (SL per Utente).</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bCs/>
          <w:szCs w:val="18"/>
          <w:lang w:val="it-IT"/>
        </w:rPr>
        <w:t>Si tratta di un’eccezione riservata alla fase introduttiva dei Servizi Online della Sottoscrizione a Office Professional Plus.</w:t>
      </w:r>
      <w:r w:rsidRPr="00D87B79">
        <w:rPr>
          <w:rFonts w:cs="Tahoma"/>
          <w:bCs/>
          <w:szCs w:val="18"/>
        </w:rPr>
        <w:t xml:space="preserve"> </w:t>
      </w:r>
      <w:r w:rsidRPr="00D87B79">
        <w:rPr>
          <w:rFonts w:cs="Tahoma"/>
          <w:bCs/>
          <w:szCs w:val="18"/>
          <w:lang w:val="it-IT"/>
        </w:rPr>
        <w:t>Le società dovranno essere in possesso dei requisiti per l’aggiornamento dei Servizi Online</w:t>
      </w:r>
      <w:r>
        <w:rPr>
          <w:rFonts w:cs="Tahoma"/>
          <w:bCs/>
          <w:szCs w:val="18"/>
          <w:lang w:val="it-IT"/>
        </w:rPr>
        <w:t> </w:t>
      </w:r>
      <w:r w:rsidRPr="00D87B79">
        <w:rPr>
          <w:rFonts w:cs="Tahoma"/>
          <w:bCs/>
          <w:szCs w:val="18"/>
          <w:lang w:val="it-IT"/>
        </w:rPr>
        <w:t>previsti per il rilascio successivo.</w:t>
      </w:r>
      <w:r w:rsidRPr="00D87B79">
        <w:rPr>
          <w:rFonts w:cs="Tahoma"/>
        </w:rPr>
        <w:t xml:space="preserve"> </w:t>
      </w:r>
      <w:r w:rsidRPr="00D87B79">
        <w:rPr>
          <w:rFonts w:cs="Tahoma"/>
          <w:lang w:val="it-IT"/>
        </w:rPr>
        <w:t>Per ulteriori informazioni in merito ai requisiti per l’aggiornamento dei Servizi Online, consultare il documento Diritti di Utilizzo del Prodotto (Product Use Rights o PUR) alla pagina http://www.microsoftvolumelicensing.com/userights/PUR.aspx</w:t>
      </w:r>
    </w:p>
    <w:p w:rsidR="00A92422"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lang w:val="it-IT"/>
        </w:rPr>
        <w:t>Idoneità dei Supporti di Memorizzazione con Windows To Go Rights</w:t>
      </w:r>
    </w:p>
    <w:p w:rsidR="00A92422" w:rsidRPr="00D87B79" w:rsidRDefault="00A92422" w:rsidP="00A92422">
      <w:pPr>
        <w:ind w:left="720"/>
        <w:rPr>
          <w:rFonts w:cs="Tahoma"/>
        </w:rPr>
      </w:pPr>
      <w:r w:rsidRPr="00D87B79">
        <w:rPr>
          <w:rFonts w:cs="Tahoma"/>
          <w:lang w:val="it-IT"/>
        </w:rPr>
        <w:t>Nell’ambito della presentazione di Windows To Go Rights, qualora l’utente al quale è stata ceduta una licenza “Subscription” per Office Professional Plus richieda il diritto di utilizzare il software ai sensi di Windows to Go Rights, anziché installare una copia del software fornito con una licenza “Subscription” per Office Professional Plus su uno dei cinque dispositivi autorizzati in conformità ai Diritti di Utilizzo del Prodotto per la licenza “Subscription” per Office Professional Plus, tale utente potrà installare una copia del software Office Professional Plus sull’unità USB utilizzata per Windows to Go Rights e usare il software Office Professional Plus su tale unità USB su qualsiasi dispositivo con licenza.</w:t>
      </w:r>
      <w:r w:rsidRPr="00D87B79">
        <w:rPr>
          <w:rFonts w:cs="Tahoma"/>
        </w:rPr>
        <w:t xml:space="preserve"> </w:t>
      </w:r>
      <w:r w:rsidRPr="00D87B79">
        <w:rPr>
          <w:rFonts w:cs="Tahoma"/>
          <w:lang w:val="it-IT"/>
        </w:rPr>
        <w:t>Tale diritto scade alla risoluzione della licenza “Subscription” per Office Professional Plus.</w:t>
      </w:r>
    </w:p>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lang w:val="it-IT"/>
        </w:rPr>
        <w:t>Diritti di Downgrade</w:t>
      </w:r>
    </w:p>
    <w:p w:rsidR="00A92422" w:rsidRDefault="00A92422" w:rsidP="00A92422">
      <w:pPr>
        <w:ind w:left="720"/>
        <w:rPr>
          <w:rFonts w:cs="Tahoma"/>
        </w:rPr>
      </w:pPr>
      <w:bookmarkStart w:id="1101" w:name="Srv_9OutlookMac2011"/>
      <w:r w:rsidRPr="00D87B79">
        <w:rPr>
          <w:rFonts w:cs="Tahoma"/>
          <w:lang w:val="it-IT"/>
        </w:rPr>
        <w:t>Dal momento che non esiste una versione precedente dei Servizi Online della Sottoscrizione a Office Professional Plus, non sono previsti diritti di downgrade.</w:t>
      </w:r>
    </w:p>
    <w:p w:rsidR="00A92422" w:rsidRDefault="00A92422" w:rsidP="00A92422">
      <w:pPr>
        <w:rPr>
          <w:rFonts w:cs="Tahoma"/>
        </w:rPr>
      </w:pPr>
    </w:p>
    <w:p w:rsidR="00A92422" w:rsidRPr="00D87B79" w:rsidRDefault="00A92422" w:rsidP="00A92422">
      <w:pPr>
        <w:rPr>
          <w:rFonts w:cs="Tahoma"/>
        </w:rPr>
      </w:pPr>
    </w:p>
    <w:p w:rsidR="00A92422" w:rsidRPr="00D87B79" w:rsidRDefault="00A92422" w:rsidP="00A92422">
      <w:pPr>
        <w:pStyle w:val="Heading3"/>
        <w:rPr>
          <w:rFonts w:ascii="Tahoma" w:hAnsi="Tahoma" w:cs="Tahoma"/>
        </w:rPr>
      </w:pPr>
      <w:bookmarkStart w:id="1102" w:name="_Toc336338270"/>
      <w:bookmarkStart w:id="1103" w:name="_12_Outlook_per"/>
      <w:bookmarkStart w:id="1104" w:name="_Toc342900320"/>
      <w:bookmarkEnd w:id="1102"/>
      <w:bookmarkEnd w:id="1103"/>
      <w:r w:rsidRPr="00D87B79">
        <w:rPr>
          <w:rFonts w:ascii="Tahoma" w:hAnsi="Tahoma" w:cs="Tahoma"/>
          <w:caps/>
          <w:color w:val="F66400"/>
          <w:sz w:val="22"/>
          <w:vertAlign w:val="superscript"/>
          <w:lang w:val="it-IT"/>
        </w:rPr>
        <w:t>12</w:t>
      </w:r>
      <w:r w:rsidRPr="00D87B79">
        <w:rPr>
          <w:rFonts w:ascii="Tahoma" w:hAnsi="Tahoma" w:cs="Tahoma"/>
          <w:color w:val="F66400"/>
          <w:sz w:val="22"/>
          <w:lang w:val="it-IT"/>
        </w:rPr>
        <w:t xml:space="preserve"> Outlook per Mac 2011</w:t>
      </w:r>
      <w:bookmarkEnd w:id="1104"/>
      <w:r w:rsidRPr="00D87B79">
        <w:rPr>
          <w:rFonts w:ascii="Tahoma" w:hAnsi="Tahoma" w:cs="Tahoma"/>
        </w:rPr>
        <w:t xml:space="preserve"> </w:t>
      </w:r>
    </w:p>
    <w:bookmarkEnd w:id="1101"/>
    <w:p w:rsidR="00A92422" w:rsidRPr="00D87B79" w:rsidRDefault="00A92422" w:rsidP="00A92422">
      <w:pPr>
        <w:rPr>
          <w:rFonts w:cs="Tahoma"/>
        </w:rPr>
      </w:pPr>
    </w:p>
    <w:p w:rsidR="00A92422" w:rsidRPr="00D87B79" w:rsidRDefault="00A92422" w:rsidP="00A92422">
      <w:pPr>
        <w:spacing w:after="60"/>
        <w:ind w:left="720"/>
        <w:rPr>
          <w:rFonts w:cs="Tahoma"/>
        </w:rPr>
      </w:pPr>
      <w:r w:rsidRPr="00D87B79">
        <w:rPr>
          <w:rFonts w:cs="Tahoma"/>
          <w:b/>
          <w:lang w:val="it-IT"/>
        </w:rPr>
        <w:t>Percorso di Migrazione a Software Assurance per Entourage per Mac 2008</w:t>
      </w:r>
    </w:p>
    <w:p w:rsidR="00A92422" w:rsidRPr="00D87B79" w:rsidRDefault="00A92422" w:rsidP="00A92422">
      <w:pPr>
        <w:adjustRightInd w:val="0"/>
        <w:ind w:left="720"/>
        <w:textAlignment w:val="baseline"/>
        <w:rPr>
          <w:rFonts w:cs="Tahoma"/>
        </w:rPr>
      </w:pPr>
      <w:bookmarkStart w:id="1105" w:name="Srv_8Project2010Pro"/>
      <w:r w:rsidRPr="00D87B79">
        <w:rPr>
          <w:rFonts w:cs="Tahoma"/>
          <w:lang w:val="it-IT"/>
        </w:rPr>
        <w:t>La versione sostitutiva di Entourage per Mac 2008 è Outlook per Mac 2011.</w:t>
      </w:r>
    </w:p>
    <w:p w:rsidR="00A92422" w:rsidRPr="00D87B79" w:rsidRDefault="00A92422" w:rsidP="00A92422">
      <w:pPr>
        <w:adjustRightInd w:val="0"/>
        <w:textAlignment w:val="baseline"/>
        <w:rPr>
          <w:rFonts w:cs="Tahoma"/>
        </w:rPr>
      </w:pPr>
    </w:p>
    <w:p w:rsidR="00A92422" w:rsidRPr="00D87B79" w:rsidRDefault="00A92422" w:rsidP="00A92422">
      <w:pPr>
        <w:adjustRightInd w:val="0"/>
        <w:textAlignment w:val="baseline"/>
        <w:rPr>
          <w:rFonts w:cs="Tahoma"/>
        </w:rPr>
      </w:pPr>
    </w:p>
    <w:p w:rsidR="00A92422" w:rsidRPr="00D87B79" w:rsidRDefault="00A92422" w:rsidP="00A92422">
      <w:pPr>
        <w:pStyle w:val="Heading3"/>
        <w:rPr>
          <w:rFonts w:ascii="Tahoma" w:hAnsi="Tahoma" w:cs="Tahoma"/>
        </w:rPr>
      </w:pPr>
      <w:bookmarkStart w:id="1106" w:name="_Toc336338271"/>
      <w:bookmarkStart w:id="1107" w:name="_Toc254806116"/>
      <w:bookmarkStart w:id="1108" w:name="_13_Project_Professional"/>
      <w:bookmarkStart w:id="1109" w:name="_Toc342900321"/>
      <w:bookmarkStart w:id="1110" w:name="Srv_Project2010Pro"/>
      <w:bookmarkStart w:id="1111" w:name="Aps_8Project2010Pro"/>
      <w:bookmarkEnd w:id="1106"/>
      <w:bookmarkEnd w:id="1107"/>
      <w:bookmarkEnd w:id="1108"/>
      <w:r w:rsidRPr="00D87B79">
        <w:rPr>
          <w:rFonts w:ascii="Tahoma" w:hAnsi="Tahoma" w:cs="Tahoma"/>
          <w:caps/>
          <w:color w:val="F66400"/>
          <w:sz w:val="22"/>
          <w:vertAlign w:val="superscript"/>
          <w:lang w:val="it-IT"/>
        </w:rPr>
        <w:t>13</w:t>
      </w:r>
      <w:r w:rsidRPr="00D87B79">
        <w:rPr>
          <w:rFonts w:ascii="Tahoma" w:hAnsi="Tahoma" w:cs="Tahoma"/>
          <w:color w:val="F66400"/>
          <w:sz w:val="22"/>
          <w:lang w:val="it-IT"/>
        </w:rPr>
        <w:t xml:space="preserve"> Project Professional 2013</w:t>
      </w:r>
      <w:bookmarkEnd w:id="1109"/>
      <w:r w:rsidRPr="00D87B79">
        <w:rPr>
          <w:rFonts w:ascii="Tahoma" w:hAnsi="Tahoma" w:cs="Tahoma"/>
        </w:rPr>
        <w:t xml:space="preserve"> </w:t>
      </w:r>
    </w:p>
    <w:bookmarkEnd w:id="1105"/>
    <w:bookmarkEnd w:id="1110"/>
    <w:bookmarkEnd w:id="1111"/>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lang w:val="it-IT"/>
        </w:rPr>
        <w:t>CAL gratuita per Project Server</w:t>
      </w:r>
    </w:p>
    <w:p w:rsidR="00A92422" w:rsidRPr="00D87B79" w:rsidRDefault="00A92422" w:rsidP="00A92422">
      <w:pPr>
        <w:pStyle w:val="EndnoteText"/>
        <w:ind w:left="720"/>
        <w:rPr>
          <w:rFonts w:ascii="Tahoma" w:hAnsi="Tahoma" w:cs="Tahoma"/>
        </w:rPr>
      </w:pPr>
      <w:r w:rsidRPr="00D87B79">
        <w:rPr>
          <w:rStyle w:val="EndnoteReference"/>
          <w:rFonts w:ascii="Tahoma" w:hAnsi="Tahoma" w:cs="Tahoma"/>
          <w:lang w:val="it-IT"/>
        </w:rPr>
        <w:t>Le società che acquistano una licenza per Project Professional 2013 saranno considerate titolari di una CAL</w:t>
      </w:r>
      <w:r>
        <w:rPr>
          <w:rStyle w:val="EndnoteReference"/>
          <w:rFonts w:ascii="Tahoma" w:hAnsi="Tahoma" w:cs="Tahoma"/>
          <w:lang w:val="it-IT"/>
        </w:rPr>
        <w:t> </w:t>
      </w:r>
      <w:r w:rsidRPr="00D87B79">
        <w:rPr>
          <w:rStyle w:val="EndnoteReference"/>
          <w:rFonts w:ascii="Tahoma" w:hAnsi="Tahoma" w:cs="Tahoma"/>
          <w:lang w:val="it-IT"/>
        </w:rPr>
        <w:t>per Dispositivo per Project Server 2013.</w:t>
      </w:r>
      <w:r w:rsidRPr="00D87B79">
        <w:rPr>
          <w:rFonts w:ascii="Tahoma" w:hAnsi="Tahoma" w:cs="Tahoma"/>
        </w:rPr>
        <w:t xml:space="preserve"> </w:t>
      </w:r>
      <w:r w:rsidRPr="00D87B79">
        <w:rPr>
          <w:rStyle w:val="EndnoteReference"/>
          <w:rFonts w:ascii="Tahoma" w:hAnsi="Tahoma" w:cs="Tahoma"/>
          <w:lang w:val="it-IT"/>
        </w:rPr>
        <w:t>Il diritto di accedere a Project Server 2013 ai sensi della licenza</w:t>
      </w:r>
      <w:r>
        <w:rPr>
          <w:rStyle w:val="EndnoteReference"/>
          <w:rFonts w:ascii="Tahoma" w:hAnsi="Tahoma" w:cs="Tahoma"/>
          <w:lang w:val="it-IT"/>
        </w:rPr>
        <w:t> </w:t>
      </w:r>
      <w:r w:rsidRPr="00D87B79">
        <w:rPr>
          <w:rStyle w:val="EndnoteReference"/>
          <w:rFonts w:ascii="Tahoma" w:hAnsi="Tahoma" w:cs="Tahoma"/>
          <w:lang w:val="it-IT"/>
        </w:rPr>
        <w:t>CAL cesserà alla scadenza della corrispondente Licenza per Project Professional.</w:t>
      </w:r>
    </w:p>
    <w:p w:rsidR="00A92422" w:rsidRPr="00E04335" w:rsidRDefault="00A92422" w:rsidP="00A92422">
      <w:pPr>
        <w:pStyle w:val="EndnoteText"/>
        <w:ind w:left="720"/>
        <w:rPr>
          <w:rFonts w:ascii="Tahoma" w:hAnsi="Tahoma" w:cs="Tahoma"/>
          <w:sz w:val="18"/>
          <w:szCs w:val="18"/>
        </w:rPr>
      </w:pPr>
    </w:p>
    <w:p w:rsidR="00A92422" w:rsidRPr="00D87B79" w:rsidRDefault="00A92422" w:rsidP="00A92422">
      <w:pPr>
        <w:pStyle w:val="EndnoteText"/>
        <w:ind w:left="720"/>
        <w:rPr>
          <w:rFonts w:ascii="Tahoma" w:hAnsi="Tahoma" w:cs="Tahoma"/>
        </w:rPr>
      </w:pPr>
      <w:r w:rsidRPr="00D87B79">
        <w:rPr>
          <w:rStyle w:val="EndnoteReference"/>
          <w:rFonts w:ascii="Tahoma" w:hAnsi="Tahoma" w:cs="Tahoma"/>
          <w:lang w:val="it-IT"/>
        </w:rPr>
        <w:t>Le società con copertura Software Assurance attiva sulla rispettiva licenza per Project Professional saranno considerate titolari di una copertura Software Assurance relativa alle Licenze CAL gratuite per Project Server.</w:t>
      </w:r>
      <w:r w:rsidRPr="00D87B79">
        <w:rPr>
          <w:rFonts w:ascii="Tahoma" w:hAnsi="Tahoma" w:cs="Tahoma"/>
        </w:rPr>
        <w:t xml:space="preserve"> </w:t>
      </w:r>
      <w:r w:rsidRPr="00D87B79">
        <w:rPr>
          <w:rStyle w:val="EndnoteReference"/>
          <w:rFonts w:ascii="Tahoma" w:hAnsi="Tahoma" w:cs="Tahoma"/>
          <w:lang w:val="it-IT"/>
        </w:rPr>
        <w:t>Tale copertura cesserà alla scadenza della copertura Project Professional corrispondente.</w:t>
      </w:r>
    </w:p>
    <w:p w:rsidR="00A92422" w:rsidRPr="00E04335" w:rsidRDefault="00A92422" w:rsidP="00A92422">
      <w:pPr>
        <w:pStyle w:val="EndnoteText"/>
        <w:ind w:left="720"/>
        <w:rPr>
          <w:rFonts w:ascii="Tahoma" w:hAnsi="Tahoma" w:cs="Tahoma"/>
          <w:sz w:val="18"/>
          <w:szCs w:val="18"/>
        </w:rPr>
      </w:pPr>
    </w:p>
    <w:p w:rsidR="00A92422" w:rsidRPr="00D87B79" w:rsidRDefault="00A92422" w:rsidP="00A92422">
      <w:pPr>
        <w:pStyle w:val="EndnoteText"/>
        <w:ind w:left="720"/>
        <w:rPr>
          <w:rFonts w:ascii="Tahoma" w:hAnsi="Tahoma" w:cs="Tahoma"/>
        </w:rPr>
      </w:pPr>
      <w:r w:rsidRPr="00D87B79">
        <w:rPr>
          <w:rStyle w:val="EndnoteReference"/>
          <w:rFonts w:ascii="Tahoma" w:hAnsi="Tahoma" w:cs="Tahoma"/>
          <w:lang w:val="it-IT"/>
        </w:rPr>
        <w:t>Per ulteriori dettagli sui diritti aggiuntivi che si applicano a tali CAL, fare riferimento alle note relative alle</w:t>
      </w:r>
      <w:r>
        <w:rPr>
          <w:rStyle w:val="EndnoteReference"/>
          <w:rFonts w:ascii="Tahoma" w:hAnsi="Tahoma" w:cs="Tahoma"/>
          <w:lang w:val="it-IT"/>
        </w:rPr>
        <w:t> </w:t>
      </w:r>
      <w:r w:rsidRPr="00D87B79">
        <w:rPr>
          <w:rStyle w:val="EndnoteReference"/>
          <w:rFonts w:ascii="Tahoma" w:hAnsi="Tahoma" w:cs="Tahoma"/>
          <w:lang w:val="it-IT"/>
        </w:rPr>
        <w:t>condizioni del prodotto Project Server.</w:t>
      </w:r>
    </w:p>
    <w:p w:rsidR="00A92422" w:rsidRPr="00D87B79" w:rsidRDefault="00A92422" w:rsidP="00A92422">
      <w:pPr>
        <w:rPr>
          <w:rFonts w:cs="Tahoma"/>
        </w:rPr>
      </w:pPr>
    </w:p>
    <w:p w:rsidR="00A92422" w:rsidRPr="00D87B79" w:rsidRDefault="00A92422" w:rsidP="00A92422">
      <w:pPr>
        <w:rPr>
          <w:rFonts w:cs="Tahoma"/>
        </w:rPr>
      </w:pPr>
    </w:p>
    <w:p w:rsidR="00A92422" w:rsidRPr="00D87B79" w:rsidRDefault="00A92422" w:rsidP="00A92422">
      <w:pPr>
        <w:pStyle w:val="Heading3"/>
        <w:rPr>
          <w:rFonts w:ascii="Tahoma" w:hAnsi="Tahoma" w:cs="Tahoma"/>
        </w:rPr>
      </w:pPr>
      <w:bookmarkStart w:id="1112" w:name="_Toc336338272"/>
      <w:bookmarkStart w:id="1113" w:name="_14_Diritti_di"/>
      <w:bookmarkStart w:id="1114" w:name="_Toc342900322"/>
      <w:bookmarkStart w:id="1115" w:name="Aps_9RentalRightsOffice"/>
      <w:bookmarkStart w:id="1116" w:name="Srv_RentalRightsOffice"/>
      <w:bookmarkStart w:id="1117" w:name="Srv_9RentalRightsOffice"/>
      <w:bookmarkEnd w:id="1112"/>
      <w:bookmarkEnd w:id="1113"/>
      <w:r w:rsidRPr="00D87B79">
        <w:rPr>
          <w:rFonts w:ascii="Tahoma" w:hAnsi="Tahoma" w:cs="Tahoma"/>
          <w:caps/>
          <w:color w:val="E65D08"/>
          <w:sz w:val="22"/>
          <w:vertAlign w:val="superscript"/>
          <w:lang w:val="it-IT"/>
        </w:rPr>
        <w:t>14</w:t>
      </w:r>
      <w:r w:rsidRPr="00D87B79">
        <w:rPr>
          <w:rFonts w:ascii="Tahoma" w:hAnsi="Tahoma" w:cs="Tahoma"/>
          <w:color w:val="E65D08"/>
          <w:sz w:val="22"/>
          <w:lang w:val="it-IT"/>
        </w:rPr>
        <w:t xml:space="preserve"> Diritti di Noleggio per Office</w:t>
      </w:r>
      <w:bookmarkEnd w:id="1114"/>
    </w:p>
    <w:bookmarkEnd w:id="1115"/>
    <w:p w:rsidR="00A92422" w:rsidRPr="00D87B79" w:rsidRDefault="00A92422" w:rsidP="00A92422">
      <w:pPr>
        <w:rPr>
          <w:rFonts w:cs="Tahoma"/>
        </w:rPr>
      </w:pPr>
    </w:p>
    <w:bookmarkEnd w:id="1116"/>
    <w:bookmarkEnd w:id="1117"/>
    <w:p w:rsidR="00A92422" w:rsidRPr="00D87B79" w:rsidRDefault="00A92422" w:rsidP="00A92422">
      <w:pPr>
        <w:pStyle w:val="FootnoteBulletLevel1"/>
        <w:tabs>
          <w:tab w:val="clear" w:pos="900"/>
        </w:tabs>
        <w:spacing w:before="0" w:after="0"/>
        <w:ind w:left="720" w:firstLine="0"/>
        <w:rPr>
          <w:rFonts w:ascii="Tahoma" w:hAnsi="Tahoma" w:cs="Tahoma"/>
        </w:rPr>
      </w:pPr>
      <w:r w:rsidRPr="00D87B79">
        <w:rPr>
          <w:rFonts w:ascii="Tahoma" w:hAnsi="Tahoma" w:cs="Tahoma"/>
          <w:color w:val="000000"/>
          <w:sz w:val="18"/>
          <w:szCs w:val="18"/>
          <w:lang w:val="it-IT"/>
        </w:rPr>
        <w:t>Le licenze per i diritti di noleggio fornite in base ai presenti programmi sono unicamente licenze aggiuntive.</w:t>
      </w:r>
      <w:r w:rsidRPr="00D87B79">
        <w:rPr>
          <w:rFonts w:ascii="Tahoma" w:hAnsi="Tahoma" w:cs="Tahoma"/>
          <w:color w:val="000000"/>
          <w:sz w:val="18"/>
          <w:szCs w:val="18"/>
        </w:rPr>
        <w:t xml:space="preserve"> </w:t>
      </w:r>
      <w:r w:rsidRPr="00D87B79">
        <w:rPr>
          <w:rFonts w:ascii="Tahoma" w:hAnsi="Tahoma" w:cs="Tahoma"/>
          <w:color w:val="000000"/>
          <w:sz w:val="18"/>
          <w:szCs w:val="18"/>
          <w:lang w:val="it-IT"/>
        </w:rPr>
        <w:t>Tali licenze non sono licenze complete per i prodotti.</w:t>
      </w:r>
      <w:r w:rsidRPr="00D87B79">
        <w:rPr>
          <w:rFonts w:ascii="Tahoma" w:hAnsi="Tahoma" w:cs="Tahoma"/>
        </w:rPr>
        <w:t xml:space="preserve"> </w:t>
      </w:r>
      <w:r w:rsidRPr="00D87B79">
        <w:rPr>
          <w:rFonts w:ascii="Tahoma" w:hAnsi="Tahoma" w:cs="Tahoma"/>
          <w:color w:val="000000"/>
          <w:sz w:val="18"/>
          <w:lang w:val="it-IT"/>
        </w:rPr>
        <w:t>Pertanto, ogni desktop a cui la società assegni una licenza per i diritti di noleggio dovrà avere la licenza per eseguire una delle applicazioni qualificanti indicate di seguito.</w:t>
      </w:r>
    </w:p>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lang w:val="it-IT"/>
        </w:rPr>
        <w:t>Regole per le Applicazioni Qualificanti</w:t>
      </w:r>
    </w:p>
    <w:p w:rsidR="00A92422" w:rsidRPr="00D87B79" w:rsidRDefault="00A92422" w:rsidP="00A92422">
      <w:pPr>
        <w:ind w:left="720"/>
        <w:rPr>
          <w:rFonts w:cs="Tahoma"/>
        </w:rPr>
      </w:pPr>
      <w:r w:rsidRPr="00D87B79">
        <w:rPr>
          <w:rFonts w:cs="Tahoma"/>
          <w:color w:val="000000"/>
          <w:lang w:val="it-IT"/>
        </w:rPr>
        <w:t>(ciascuna di queste condizioni deve essere soddisfatta affinché la Licenza di base qualifichi la società per ottenere la licenza relativa ai Diritti di Noleggio):</w:t>
      </w:r>
    </w:p>
    <w:p w:rsidR="00A92422" w:rsidRPr="00D87B79" w:rsidRDefault="00A92422" w:rsidP="00A92422">
      <w:pPr>
        <w:ind w:left="900"/>
        <w:rPr>
          <w:rFonts w:cs="Tahoma"/>
        </w:rPr>
      </w:pPr>
    </w:p>
    <w:p w:rsidR="00A92422" w:rsidRPr="00D87B79" w:rsidRDefault="00A92422" w:rsidP="00A92422">
      <w:pPr>
        <w:numPr>
          <w:ilvl w:val="0"/>
          <w:numId w:val="22"/>
        </w:numPr>
        <w:spacing w:after="60"/>
        <w:ind w:left="1440"/>
        <w:rPr>
          <w:rFonts w:cs="Tahoma"/>
        </w:rPr>
      </w:pPr>
      <w:r w:rsidRPr="00D87B79">
        <w:rPr>
          <w:rFonts w:cs="Tahoma"/>
          <w:color w:val="000000"/>
          <w:lang w:val="it-IT"/>
        </w:rPr>
        <w:t>La licenza per l’applicazione qualificante deve essere assegnata allo stesso dispositivo a cui deve essere assegnata la licenza per i Diritti di Noleggio VL.</w:t>
      </w:r>
    </w:p>
    <w:p w:rsidR="00A92422" w:rsidRPr="00D87B79" w:rsidRDefault="00A92422" w:rsidP="00A92422">
      <w:pPr>
        <w:numPr>
          <w:ilvl w:val="0"/>
          <w:numId w:val="22"/>
        </w:numPr>
        <w:tabs>
          <w:tab w:val="left" w:pos="1440"/>
        </w:tabs>
        <w:spacing w:after="60"/>
        <w:ind w:left="1440"/>
        <w:rPr>
          <w:rFonts w:cs="Tahoma"/>
        </w:rPr>
      </w:pPr>
      <w:r w:rsidRPr="00D87B79">
        <w:rPr>
          <w:rFonts w:cs="Tahoma"/>
          <w:color w:val="000000"/>
          <w:lang w:val="it-IT"/>
        </w:rPr>
        <w:t>L’applicazione qualificante deve essere installata su tale dispositivo.</w:t>
      </w:r>
    </w:p>
    <w:p w:rsidR="00A92422" w:rsidRPr="00CA36B6" w:rsidRDefault="00A92422" w:rsidP="00A92422">
      <w:pPr>
        <w:pStyle w:val="EndnoteText"/>
        <w:rPr>
          <w:rFonts w:ascii="Tahoma" w:hAnsi="Tahoma" w:cs="Tahoma"/>
          <w:sz w:val="18"/>
          <w:szCs w:val="18"/>
        </w:rPr>
      </w:pPr>
    </w:p>
    <w:p w:rsidR="00A92422" w:rsidRPr="00D87B79" w:rsidRDefault="00A92422" w:rsidP="00A92422">
      <w:pPr>
        <w:pStyle w:val="EndnoteText"/>
        <w:ind w:left="720"/>
        <w:rPr>
          <w:rFonts w:ascii="Tahoma" w:hAnsi="Tahoma" w:cs="Tahoma"/>
        </w:rPr>
      </w:pPr>
      <w:r w:rsidRPr="00D87B79">
        <w:rPr>
          <w:rFonts w:ascii="Tahoma" w:hAnsi="Tahoma" w:cs="Tahoma"/>
          <w:color w:val="000000"/>
          <w:sz w:val="18"/>
          <w:lang w:val="it-IT"/>
        </w:rPr>
        <w:t>Le applicazioni qualificanti in base al tipo di Programma sono:</w:t>
      </w:r>
    </w:p>
    <w:p w:rsidR="00A92422" w:rsidRDefault="00A92422" w:rsidP="00A92422">
      <w:pPr>
        <w:rPr>
          <w:rFonts w:cs="Tahoma"/>
        </w:rPr>
      </w:pPr>
    </w:p>
    <w:p w:rsidR="00A92422" w:rsidRPr="00D87B79" w:rsidRDefault="00A92422" w:rsidP="00A92422">
      <w:pPr>
        <w:rPr>
          <w:rFonts w:cs="Tahoma"/>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A92422" w:rsidRPr="00D87B79" w:rsidTr="00EA30FC">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A92422" w:rsidRPr="00D87B79" w:rsidRDefault="00A92422" w:rsidP="00EA30FC">
            <w:pPr>
              <w:jc w:val="center"/>
              <w:rPr>
                <w:rFonts w:eastAsia="MS PGothic" w:cs="Tahoma"/>
                <w:b/>
                <w:bCs/>
                <w:color w:val="000000"/>
                <w:szCs w:val="18"/>
              </w:rPr>
            </w:pPr>
            <w:r w:rsidRPr="00D87B79">
              <w:rPr>
                <w:rFonts w:cs="Tahoma"/>
                <w:b/>
                <w:color w:val="000000"/>
                <w:lang w:val="it-IT"/>
              </w:rPr>
              <w:t>Applicazioni Qualificanti per l’Acquisto dei Diritti di Noleggio per Office Standard</w:t>
            </w:r>
          </w:p>
        </w:tc>
        <w:tc>
          <w:tcPr>
            <w:tcW w:w="1333" w:type="dxa"/>
            <w:gridSpan w:val="2"/>
            <w:tcBorders>
              <w:top w:val="nil"/>
              <w:left w:val="nil"/>
              <w:bottom w:val="single" w:sz="8" w:space="0" w:color="auto"/>
              <w:right w:val="nil"/>
            </w:tcBorders>
          </w:tcPr>
          <w:p w:rsidR="00A92422" w:rsidRPr="00D87B79" w:rsidRDefault="00A92422" w:rsidP="00EA30FC">
            <w:pPr>
              <w:jc w:val="both"/>
              <w:rPr>
                <w:rFonts w:eastAsia="MS PGothic" w:cs="Tahoma"/>
                <w:color w:val="000000"/>
                <w:sz w:val="21"/>
                <w:szCs w:val="21"/>
              </w:rPr>
            </w:pPr>
          </w:p>
        </w:tc>
      </w:tr>
      <w:tr w:rsidR="00A92422" w:rsidRPr="00D87B79" w:rsidTr="00EA30FC">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tcPr>
          <w:p w:rsidR="00A92422" w:rsidRPr="00D87B79" w:rsidRDefault="00A92422" w:rsidP="00EA30FC">
            <w:pPr>
              <w:rPr>
                <w:rFonts w:eastAsia="MS PGothic" w:cs="Tahoma"/>
                <w:b/>
                <w:bCs/>
                <w:color w:val="000000"/>
                <w:szCs w:val="18"/>
              </w:rPr>
            </w:pPr>
          </w:p>
        </w:tc>
        <w:tc>
          <w:tcPr>
            <w:tcW w:w="1242" w:type="dxa"/>
            <w:tcBorders>
              <w:top w:val="single" w:sz="4" w:space="0" w:color="auto"/>
              <w:left w:val="single" w:sz="4" w:space="0" w:color="auto"/>
              <w:bottom w:val="single" w:sz="4" w:space="0" w:color="auto"/>
              <w:right w:val="single" w:sz="4" w:space="0" w:color="auto"/>
            </w:tcBorders>
            <w:shd w:val="clear" w:color="auto" w:fill="FABF8F"/>
            <w:vAlign w:val="bottom"/>
          </w:tcPr>
          <w:p w:rsidR="00A92422" w:rsidRPr="00D87B79" w:rsidRDefault="00A92422" w:rsidP="00EA30FC">
            <w:pPr>
              <w:jc w:val="center"/>
              <w:rPr>
                <w:rFonts w:cs="Tahoma"/>
                <w:b/>
                <w:bCs/>
                <w:color w:val="000000"/>
                <w:szCs w:val="18"/>
              </w:rPr>
            </w:pPr>
            <w:r w:rsidRPr="00D87B79">
              <w:rPr>
                <w:rFonts w:cs="Tahoma"/>
                <w:b/>
                <w:bCs/>
                <w:color w:val="000000"/>
                <w:szCs w:val="18"/>
                <w:lang w:val="it-IT"/>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92422" w:rsidRPr="00D87B79" w:rsidRDefault="00A92422" w:rsidP="00EA30FC">
            <w:pPr>
              <w:jc w:val="center"/>
              <w:rPr>
                <w:rFonts w:cs="Tahoma"/>
              </w:rPr>
            </w:pPr>
            <w:r w:rsidRPr="00D87B79">
              <w:rPr>
                <w:rFonts w:cs="Tahoma"/>
                <w:b/>
                <w:color w:val="000000"/>
                <w:lang w:val="it-IT"/>
              </w:rPr>
              <w:t>PIPC</w:t>
            </w:r>
          </w:p>
          <w:p w:rsidR="00A92422" w:rsidRPr="00D87B79" w:rsidRDefault="00A92422" w:rsidP="00EA30FC">
            <w:pPr>
              <w:jc w:val="center"/>
              <w:rPr>
                <w:rFonts w:cs="Tahoma"/>
                <w:b/>
                <w:bCs/>
                <w:color w:val="000000"/>
                <w:szCs w:val="18"/>
              </w:rPr>
            </w:pPr>
            <w:r w:rsidRPr="00D87B79">
              <w:rPr>
                <w:rFonts w:cs="Tahoma"/>
                <w:b/>
                <w:color w:val="000000"/>
                <w:lang w:val="it-IT"/>
              </w:rPr>
              <w:t>(solo Giappone)</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A92422" w:rsidRPr="00D87B79" w:rsidRDefault="00A92422" w:rsidP="00EA30FC">
            <w:pPr>
              <w:jc w:val="center"/>
              <w:rPr>
                <w:rFonts w:cs="Tahoma"/>
                <w:b/>
                <w:bCs/>
                <w:color w:val="000000"/>
                <w:szCs w:val="18"/>
              </w:rPr>
            </w:pPr>
            <w:r w:rsidRPr="00D87B79">
              <w:rPr>
                <w:rFonts w:cs="Tahoma"/>
                <w:b/>
                <w:bCs/>
                <w:color w:val="000000"/>
                <w:szCs w:val="18"/>
                <w:lang w:val="it-IT"/>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A92422" w:rsidRPr="00D87B79" w:rsidRDefault="00A92422" w:rsidP="00EA30FC">
            <w:pPr>
              <w:jc w:val="center"/>
              <w:rPr>
                <w:rFonts w:cs="Tahoma"/>
                <w:b/>
                <w:bCs/>
                <w:color w:val="000000"/>
                <w:szCs w:val="18"/>
              </w:rPr>
            </w:pPr>
            <w:r w:rsidRPr="00D87B79">
              <w:rPr>
                <w:rFonts w:cs="Tahoma"/>
                <w:b/>
                <w:bCs/>
                <w:color w:val="000000"/>
                <w:szCs w:val="18"/>
                <w:lang w:val="it-IT"/>
              </w:rPr>
              <w:t>Licenza Open</w:t>
            </w:r>
          </w:p>
        </w:tc>
      </w:tr>
      <w:tr w:rsidR="00A92422" w:rsidRPr="00D87B79" w:rsidTr="00EA30FC">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A92422" w:rsidRPr="00D87B79" w:rsidRDefault="00A92422" w:rsidP="00EA30FC">
            <w:pPr>
              <w:ind w:left="135"/>
              <w:rPr>
                <w:rFonts w:cs="Tahoma"/>
                <w:b/>
                <w:bCs/>
                <w:color w:val="000000"/>
                <w:szCs w:val="18"/>
              </w:rPr>
            </w:pPr>
            <w:r w:rsidRPr="00D87B79">
              <w:rPr>
                <w:rFonts w:cs="Tahoma"/>
                <w:b/>
                <w:color w:val="000000"/>
                <w:lang w:val="it-IT"/>
              </w:rPr>
              <w:t>Office Standard 2013</w:t>
            </w:r>
            <w:r w:rsidRPr="00D87B79">
              <w:rPr>
                <w:rFonts w:cs="Tahoma"/>
              </w:rPr>
              <w:t xml:space="preserve"> </w:t>
            </w:r>
          </w:p>
        </w:tc>
        <w:tc>
          <w:tcPr>
            <w:tcW w:w="1242" w:type="dxa"/>
            <w:tcBorders>
              <w:top w:val="single" w:sz="4" w:space="0" w:color="auto"/>
              <w:left w:val="single" w:sz="4" w:space="0" w:color="auto"/>
              <w:bottom w:val="single" w:sz="8" w:space="0" w:color="auto"/>
              <w:right w:val="single" w:sz="8" w:space="0" w:color="auto"/>
            </w:tcBorders>
            <w:noWrap/>
            <w:vAlign w:val="bottom"/>
          </w:tcPr>
          <w:p w:rsidR="00A92422" w:rsidRPr="00D87B79" w:rsidRDefault="00A92422" w:rsidP="00EA30FC">
            <w:pPr>
              <w:jc w:val="center"/>
              <w:rPr>
                <w:rFonts w:eastAsia="MS PGothic" w:cs="Tahoma"/>
                <w:color w:val="000000"/>
                <w:sz w:val="21"/>
                <w:szCs w:val="21"/>
              </w:rPr>
            </w:pPr>
          </w:p>
        </w:tc>
        <w:tc>
          <w:tcPr>
            <w:tcW w:w="1185" w:type="dxa"/>
            <w:gridSpan w:val="2"/>
            <w:tcBorders>
              <w:top w:val="single" w:sz="4" w:space="0" w:color="auto"/>
              <w:left w:val="nil"/>
              <w:bottom w:val="single" w:sz="8" w:space="0" w:color="auto"/>
              <w:right w:val="single" w:sz="8" w:space="0" w:color="auto"/>
            </w:tcBorders>
          </w:tcPr>
          <w:p w:rsidR="00A92422" w:rsidRPr="00D87B79" w:rsidRDefault="00A92422" w:rsidP="00EA30FC">
            <w:pPr>
              <w:jc w:val="center"/>
              <w:rPr>
                <w:rFonts w:eastAsia="MS PGothic" w:cs="Tahoma"/>
                <w:color w:val="000000"/>
                <w:sz w:val="21"/>
                <w:szCs w:val="21"/>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MS PGothic" w:cs="Tahoma"/>
                <w:color w:val="000000"/>
                <w:sz w:val="21"/>
                <w:szCs w:val="21"/>
              </w:rPr>
            </w:pPr>
            <w:r w:rsidRPr="00D87B79">
              <w:rPr>
                <w:rFonts w:cs="Tahoma"/>
                <w:color w:val="000000"/>
                <w:lang w:val="it-IT"/>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MS PGothic" w:cs="Tahoma"/>
                <w:color w:val="000000"/>
                <w:sz w:val="21"/>
                <w:szCs w:val="21"/>
              </w:rPr>
            </w:pPr>
            <w:r w:rsidRPr="00D87B79">
              <w:rPr>
                <w:rFonts w:cs="Tahoma"/>
                <w:color w:val="000000"/>
                <w:lang w:val="it-IT"/>
              </w:rPr>
              <w:t>x</w:t>
            </w:r>
          </w:p>
        </w:tc>
      </w:tr>
      <w:tr w:rsidR="00A92422" w:rsidRPr="00D87B79" w:rsidTr="00EA30FC">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A92422" w:rsidRPr="00D87B79" w:rsidRDefault="00A92422" w:rsidP="00EA30FC">
            <w:pPr>
              <w:ind w:left="135"/>
              <w:rPr>
                <w:rFonts w:cs="Tahoma"/>
                <w:b/>
                <w:bCs/>
                <w:color w:val="000000"/>
                <w:szCs w:val="18"/>
              </w:rPr>
            </w:pPr>
            <w:r w:rsidRPr="00D87B79">
              <w:rPr>
                <w:rFonts w:cs="Tahoma"/>
                <w:b/>
                <w:color w:val="000000"/>
                <w:lang w:val="it-IT"/>
              </w:rPr>
              <w:t>Office Standard 2010</w:t>
            </w:r>
          </w:p>
        </w:tc>
        <w:tc>
          <w:tcPr>
            <w:tcW w:w="1242" w:type="dxa"/>
            <w:tcBorders>
              <w:top w:val="nil"/>
              <w:left w:val="single" w:sz="4" w:space="0" w:color="auto"/>
              <w:bottom w:val="single" w:sz="8" w:space="0" w:color="auto"/>
              <w:right w:val="single" w:sz="8" w:space="0" w:color="auto"/>
            </w:tcBorders>
            <w:noWrap/>
            <w:vAlign w:val="bottom"/>
          </w:tcPr>
          <w:p w:rsidR="00A92422" w:rsidRPr="00D87B79" w:rsidRDefault="00A92422" w:rsidP="00EA30FC">
            <w:pPr>
              <w:jc w:val="center"/>
              <w:rPr>
                <w:rFonts w:eastAsia="MS PGothic" w:cs="Tahoma"/>
                <w:color w:val="000000"/>
                <w:sz w:val="21"/>
                <w:szCs w:val="21"/>
              </w:rPr>
            </w:pPr>
            <w:r w:rsidRPr="00D87B79">
              <w:rPr>
                <w:rFonts w:cs="Tahoma"/>
                <w:color w:val="000000"/>
                <w:lang w:val="it-IT"/>
              </w:rPr>
              <w:t>x</w:t>
            </w:r>
          </w:p>
        </w:tc>
        <w:tc>
          <w:tcPr>
            <w:tcW w:w="1185" w:type="dxa"/>
            <w:gridSpan w:val="2"/>
            <w:tcBorders>
              <w:top w:val="nil"/>
              <w:left w:val="nil"/>
              <w:bottom w:val="single" w:sz="8" w:space="0" w:color="auto"/>
              <w:right w:val="single" w:sz="8" w:space="0" w:color="auto"/>
            </w:tcBorders>
          </w:tcPr>
          <w:p w:rsidR="00A92422" w:rsidRPr="00D87B79" w:rsidRDefault="00A92422" w:rsidP="00EA30FC">
            <w:pPr>
              <w:jc w:val="center"/>
              <w:rPr>
                <w:rFonts w:eastAsia="MS PGothic" w:cs="Tahoma"/>
                <w:color w:val="000000"/>
                <w:sz w:val="21"/>
                <w:szCs w:val="21"/>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MS PGothic" w:cs="Tahoma"/>
                <w:color w:val="000000"/>
                <w:sz w:val="21"/>
                <w:szCs w:val="21"/>
              </w:rPr>
            </w:pPr>
            <w:r w:rsidRPr="00D87B79">
              <w:rPr>
                <w:rFonts w:cs="Tahoma"/>
                <w:color w:val="000000"/>
                <w:lang w:val="it-IT"/>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MS PGothic" w:cs="Tahoma"/>
                <w:color w:val="000000"/>
                <w:sz w:val="21"/>
                <w:szCs w:val="21"/>
              </w:rPr>
            </w:pPr>
            <w:r w:rsidRPr="00D87B79">
              <w:rPr>
                <w:rFonts w:cs="Tahoma"/>
                <w:color w:val="000000"/>
                <w:lang w:val="it-IT"/>
              </w:rPr>
              <w:t>x</w:t>
            </w:r>
          </w:p>
        </w:tc>
      </w:tr>
    </w:tbl>
    <w:p w:rsidR="00A92422" w:rsidRPr="00D87B79" w:rsidRDefault="00A92422" w:rsidP="00A92422">
      <w:pPr>
        <w:rPr>
          <w:rFonts w:cs="Tahoma"/>
        </w:rPr>
      </w:pPr>
    </w:p>
    <w:p w:rsidR="00A92422" w:rsidRPr="00D87B79" w:rsidRDefault="00A92422" w:rsidP="00A92422">
      <w:pPr>
        <w:rPr>
          <w:rFonts w:cs="Tahoma"/>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A92422" w:rsidRPr="00D87B79" w:rsidTr="00EA30FC">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A92422" w:rsidRPr="00D87B79" w:rsidRDefault="00A92422" w:rsidP="00EA30FC">
            <w:pPr>
              <w:jc w:val="center"/>
              <w:rPr>
                <w:rFonts w:eastAsia="MS PGothic" w:cs="Tahoma"/>
                <w:b/>
                <w:bCs/>
                <w:szCs w:val="18"/>
              </w:rPr>
            </w:pPr>
            <w:r w:rsidRPr="00D87B79">
              <w:rPr>
                <w:rFonts w:cs="Tahoma"/>
                <w:b/>
                <w:lang w:val="it-IT"/>
              </w:rPr>
              <w:t>Applicazioni Qualificanti per l’Acquisto dei Diritti di Noleggio per Office Professional Plus</w:t>
            </w:r>
          </w:p>
        </w:tc>
        <w:tc>
          <w:tcPr>
            <w:tcW w:w="1333" w:type="dxa"/>
            <w:gridSpan w:val="2"/>
            <w:tcBorders>
              <w:top w:val="nil"/>
              <w:left w:val="nil"/>
              <w:bottom w:val="single" w:sz="8" w:space="0" w:color="auto"/>
              <w:right w:val="nil"/>
            </w:tcBorders>
          </w:tcPr>
          <w:p w:rsidR="00A92422" w:rsidRPr="00D87B79" w:rsidRDefault="00A92422" w:rsidP="00EA30FC">
            <w:pPr>
              <w:jc w:val="both"/>
              <w:rPr>
                <w:rFonts w:eastAsia="MS PGothic" w:cs="Tahoma"/>
                <w:szCs w:val="21"/>
              </w:rPr>
            </w:pPr>
          </w:p>
        </w:tc>
      </w:tr>
      <w:tr w:rsidR="00A92422" w:rsidRPr="00D87B79" w:rsidTr="00EA30FC">
        <w:trPr>
          <w:cantSplit/>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tcPr>
          <w:p w:rsidR="00A92422" w:rsidRPr="00D87B79" w:rsidRDefault="00A92422" w:rsidP="00EA30FC">
            <w:pPr>
              <w:rPr>
                <w:rFonts w:eastAsia="MS PGothic" w:cs="Tahoma"/>
                <w:b/>
                <w:bCs/>
                <w:szCs w:val="18"/>
              </w:rPr>
            </w:pPr>
          </w:p>
        </w:tc>
        <w:tc>
          <w:tcPr>
            <w:tcW w:w="1242" w:type="dxa"/>
            <w:tcBorders>
              <w:top w:val="nil"/>
              <w:left w:val="nil"/>
              <w:bottom w:val="single" w:sz="8" w:space="0" w:color="auto"/>
              <w:right w:val="single" w:sz="4" w:space="0" w:color="auto"/>
            </w:tcBorders>
            <w:shd w:val="clear" w:color="auto" w:fill="FABF8F"/>
            <w:vAlign w:val="bottom"/>
          </w:tcPr>
          <w:p w:rsidR="00A92422" w:rsidRPr="00D87B79" w:rsidRDefault="00A92422" w:rsidP="00EA30FC">
            <w:pPr>
              <w:jc w:val="center"/>
              <w:rPr>
                <w:rFonts w:cs="Tahoma"/>
                <w:b/>
                <w:bCs/>
                <w:szCs w:val="18"/>
              </w:rPr>
            </w:pPr>
            <w:r w:rsidRPr="00D87B79">
              <w:rPr>
                <w:rFonts w:cs="Tahoma"/>
                <w:b/>
                <w:bCs/>
                <w:szCs w:val="18"/>
                <w:lang w:val="it-IT"/>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rsidR="00A92422" w:rsidRPr="00D87B79" w:rsidRDefault="00A92422" w:rsidP="00EA30FC">
            <w:pPr>
              <w:jc w:val="center"/>
              <w:rPr>
                <w:rFonts w:cs="Tahoma"/>
              </w:rPr>
            </w:pPr>
            <w:r w:rsidRPr="00D87B79">
              <w:rPr>
                <w:rFonts w:cs="Tahoma"/>
                <w:b/>
                <w:lang w:val="it-IT"/>
              </w:rPr>
              <w:t>PIPC</w:t>
            </w:r>
          </w:p>
          <w:p w:rsidR="00A92422" w:rsidRPr="00D87B79" w:rsidRDefault="00A92422" w:rsidP="00EA30FC">
            <w:pPr>
              <w:jc w:val="center"/>
              <w:rPr>
                <w:rFonts w:cs="Tahoma"/>
                <w:b/>
                <w:bCs/>
                <w:szCs w:val="16"/>
                <w:lang w:eastAsia="ja-JP"/>
              </w:rPr>
            </w:pPr>
            <w:r w:rsidRPr="00D87B79">
              <w:rPr>
                <w:rFonts w:cs="Tahoma"/>
                <w:b/>
                <w:lang w:val="it-IT"/>
              </w:rPr>
              <w:t>(solo Giappone)</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A92422" w:rsidRPr="00D87B79" w:rsidRDefault="00A92422" w:rsidP="00EA30FC">
            <w:pPr>
              <w:jc w:val="center"/>
              <w:rPr>
                <w:rFonts w:cs="Tahoma"/>
                <w:b/>
                <w:bCs/>
                <w:szCs w:val="18"/>
              </w:rPr>
            </w:pPr>
            <w:r w:rsidRPr="00D87B79">
              <w:rPr>
                <w:rFonts w:cs="Tahoma"/>
                <w:b/>
                <w:bCs/>
                <w:szCs w:val="18"/>
                <w:lang w:val="it-IT"/>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A92422" w:rsidRPr="00D87B79" w:rsidRDefault="00A92422" w:rsidP="00EA30FC">
            <w:pPr>
              <w:jc w:val="center"/>
              <w:rPr>
                <w:rFonts w:cs="Tahoma"/>
                <w:b/>
                <w:bCs/>
                <w:szCs w:val="18"/>
              </w:rPr>
            </w:pPr>
            <w:r w:rsidRPr="00D87B79">
              <w:rPr>
                <w:rFonts w:cs="Tahoma"/>
                <w:b/>
                <w:bCs/>
                <w:szCs w:val="18"/>
                <w:lang w:val="it-IT"/>
              </w:rPr>
              <w:t>Licenza Open</w:t>
            </w:r>
          </w:p>
        </w:tc>
      </w:tr>
      <w:tr w:rsidR="00A92422" w:rsidRPr="00D87B79" w:rsidTr="00EA30FC">
        <w:trPr>
          <w:trHeight w:val="255"/>
        </w:trPr>
        <w:tc>
          <w:tcPr>
            <w:tcW w:w="2910" w:type="dxa"/>
            <w:tcBorders>
              <w:top w:val="nil"/>
              <w:left w:val="single" w:sz="8" w:space="0" w:color="auto"/>
              <w:bottom w:val="single" w:sz="4" w:space="0" w:color="auto"/>
              <w:right w:val="single" w:sz="8" w:space="0" w:color="auto"/>
            </w:tcBorders>
            <w:noWrap/>
            <w:vAlign w:val="bottom"/>
          </w:tcPr>
          <w:p w:rsidR="00A92422" w:rsidRPr="00D87B79" w:rsidRDefault="00A92422" w:rsidP="00EA30FC">
            <w:pPr>
              <w:ind w:left="135"/>
              <w:rPr>
                <w:rFonts w:cs="Tahoma"/>
                <w:b/>
                <w:bCs/>
                <w:szCs w:val="18"/>
                <w:lang w:eastAsia="ja-JP"/>
              </w:rPr>
            </w:pPr>
            <w:r w:rsidRPr="00D87B79">
              <w:rPr>
                <w:rFonts w:cs="Tahoma"/>
                <w:b/>
                <w:lang w:val="it-IT"/>
              </w:rPr>
              <w:t>Office Professional Plus 2013</w:t>
            </w:r>
          </w:p>
        </w:tc>
        <w:tc>
          <w:tcPr>
            <w:tcW w:w="1242" w:type="dxa"/>
            <w:tcBorders>
              <w:top w:val="nil"/>
              <w:left w:val="nil"/>
              <w:bottom w:val="single" w:sz="8" w:space="0" w:color="auto"/>
              <w:right w:val="single" w:sz="8" w:space="0" w:color="auto"/>
            </w:tcBorders>
            <w:noWrap/>
            <w:vAlign w:val="bottom"/>
          </w:tcPr>
          <w:p w:rsidR="00A92422" w:rsidRPr="00D87B79" w:rsidRDefault="00A92422" w:rsidP="00EA30FC">
            <w:pPr>
              <w:jc w:val="center"/>
              <w:rPr>
                <w:rFonts w:eastAsia="MS PGothic" w:cs="Tahoma"/>
                <w:szCs w:val="18"/>
              </w:rPr>
            </w:pPr>
            <w:r w:rsidRPr="00D87B79">
              <w:rPr>
                <w:rFonts w:cs="Tahoma"/>
                <w:szCs w:val="18"/>
              </w:rPr>
              <w:t> </w:t>
            </w:r>
          </w:p>
        </w:tc>
        <w:tc>
          <w:tcPr>
            <w:tcW w:w="1185" w:type="dxa"/>
            <w:gridSpan w:val="2"/>
            <w:tcBorders>
              <w:top w:val="nil"/>
              <w:left w:val="nil"/>
              <w:bottom w:val="single" w:sz="8" w:space="0" w:color="auto"/>
              <w:right w:val="single" w:sz="8" w:space="0" w:color="auto"/>
            </w:tcBorders>
          </w:tcPr>
          <w:p w:rsidR="00A92422" w:rsidRPr="00D87B79" w:rsidRDefault="00A92422" w:rsidP="00EA30FC">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MS PGothic" w:cs="Tahoma"/>
                <w:szCs w:val="18"/>
              </w:rPr>
            </w:pPr>
            <w:r w:rsidRPr="00D87B79">
              <w:rPr>
                <w:rFonts w:cs="Tahoma"/>
                <w:lang w:val="it-IT"/>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MS PGothic" w:cs="Tahoma"/>
                <w:szCs w:val="18"/>
              </w:rPr>
            </w:pPr>
            <w:r w:rsidRPr="00D87B79">
              <w:rPr>
                <w:rFonts w:cs="Tahoma"/>
                <w:lang w:val="it-IT"/>
              </w:rPr>
              <w:t>x</w:t>
            </w:r>
          </w:p>
        </w:tc>
      </w:tr>
      <w:tr w:rsidR="00A92422" w:rsidRPr="00D87B79" w:rsidTr="00EA30FC">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A92422" w:rsidRPr="00D87B79" w:rsidRDefault="00A92422" w:rsidP="00EA30FC">
            <w:pPr>
              <w:ind w:left="135"/>
              <w:rPr>
                <w:rFonts w:cs="Tahoma"/>
                <w:b/>
                <w:bCs/>
                <w:szCs w:val="18"/>
                <w:lang w:eastAsia="ja-JP"/>
              </w:rPr>
            </w:pPr>
            <w:r w:rsidRPr="00D87B79">
              <w:rPr>
                <w:rFonts w:cs="Tahoma"/>
                <w:b/>
                <w:lang w:val="it-IT"/>
              </w:rPr>
              <w:t>Office Professional Plus 2010</w:t>
            </w:r>
          </w:p>
        </w:tc>
        <w:tc>
          <w:tcPr>
            <w:tcW w:w="1242" w:type="dxa"/>
            <w:tcBorders>
              <w:top w:val="nil"/>
              <w:left w:val="single" w:sz="4" w:space="0" w:color="auto"/>
              <w:bottom w:val="single" w:sz="8" w:space="0" w:color="auto"/>
              <w:right w:val="single" w:sz="8" w:space="0" w:color="auto"/>
            </w:tcBorders>
            <w:noWrap/>
            <w:vAlign w:val="bottom"/>
          </w:tcPr>
          <w:p w:rsidR="00A92422" w:rsidRPr="00D87B79" w:rsidRDefault="00A92422" w:rsidP="00EA30FC">
            <w:pPr>
              <w:jc w:val="center"/>
              <w:rPr>
                <w:rFonts w:eastAsia="MS PGothic" w:cs="Tahoma"/>
                <w:szCs w:val="18"/>
              </w:rPr>
            </w:pPr>
            <w:r w:rsidRPr="00D87B79">
              <w:rPr>
                <w:rFonts w:cs="Tahoma"/>
                <w:szCs w:val="18"/>
              </w:rPr>
              <w:t> </w:t>
            </w:r>
          </w:p>
        </w:tc>
        <w:tc>
          <w:tcPr>
            <w:tcW w:w="1185" w:type="dxa"/>
            <w:gridSpan w:val="2"/>
            <w:tcBorders>
              <w:top w:val="nil"/>
              <w:left w:val="nil"/>
              <w:bottom w:val="single" w:sz="8" w:space="0" w:color="auto"/>
              <w:right w:val="single" w:sz="8" w:space="0" w:color="auto"/>
            </w:tcBorders>
          </w:tcPr>
          <w:p w:rsidR="00A92422" w:rsidRPr="00D87B79" w:rsidRDefault="00A92422" w:rsidP="00EA30FC">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MS PGothic" w:cs="Tahoma"/>
                <w:szCs w:val="18"/>
              </w:rPr>
            </w:pPr>
            <w:r w:rsidRPr="00D87B79">
              <w:rPr>
                <w:rFonts w:cs="Tahoma"/>
                <w:lang w:val="it-IT"/>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MS PGothic" w:cs="Tahoma"/>
                <w:szCs w:val="18"/>
              </w:rPr>
            </w:pPr>
            <w:r w:rsidRPr="00D87B79">
              <w:rPr>
                <w:rFonts w:cs="Tahoma"/>
                <w:lang w:val="it-IT"/>
              </w:rPr>
              <w:t>x</w:t>
            </w:r>
          </w:p>
        </w:tc>
      </w:tr>
      <w:tr w:rsidR="00A92422" w:rsidRPr="00D87B79" w:rsidTr="00EA30FC">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A92422" w:rsidRPr="00D87B79" w:rsidRDefault="00A92422" w:rsidP="00EA30FC">
            <w:pPr>
              <w:ind w:left="135"/>
              <w:rPr>
                <w:rFonts w:cs="Tahoma"/>
                <w:b/>
                <w:bCs/>
                <w:szCs w:val="18"/>
              </w:rPr>
            </w:pPr>
            <w:r w:rsidRPr="00D87B79">
              <w:rPr>
                <w:rFonts w:cs="Tahoma"/>
                <w:b/>
                <w:lang w:val="it-IT"/>
              </w:rPr>
              <w:t>Office Personal 2013</w:t>
            </w:r>
          </w:p>
        </w:tc>
        <w:tc>
          <w:tcPr>
            <w:tcW w:w="1242" w:type="dxa"/>
            <w:tcBorders>
              <w:top w:val="nil"/>
              <w:left w:val="single" w:sz="4" w:space="0" w:color="auto"/>
              <w:bottom w:val="single" w:sz="8" w:space="0" w:color="auto"/>
              <w:right w:val="single" w:sz="8" w:space="0" w:color="auto"/>
            </w:tcBorders>
            <w:noWrap/>
            <w:vAlign w:val="bottom"/>
          </w:tcPr>
          <w:p w:rsidR="00A92422" w:rsidRPr="00D87B79" w:rsidRDefault="00A92422" w:rsidP="00EA30FC">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tcPr>
          <w:p w:rsidR="00A92422" w:rsidRPr="00D87B79" w:rsidRDefault="00A92422" w:rsidP="00EA30FC">
            <w:pPr>
              <w:jc w:val="center"/>
              <w:rPr>
                <w:rFonts w:eastAsia="MS PGothic" w:cs="Tahoma"/>
                <w:color w:val="000000"/>
                <w:szCs w:val="18"/>
              </w:rPr>
            </w:pPr>
            <w:r w:rsidRPr="00D87B79">
              <w:rPr>
                <w:rFonts w:cs="Tahoma"/>
                <w:lang w:val="it-IT"/>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rPr>
                <w:rFonts w:eastAsia="Times New Roman" w:cs="Tahoma"/>
                <w:szCs w:val="18"/>
              </w:rPr>
            </w:pPr>
          </w:p>
        </w:tc>
      </w:tr>
      <w:tr w:rsidR="00A92422" w:rsidRPr="00D87B79" w:rsidTr="00EA30FC">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A92422" w:rsidRPr="00D87B79" w:rsidRDefault="00A92422" w:rsidP="00EA30FC">
            <w:pPr>
              <w:ind w:left="135"/>
              <w:rPr>
                <w:rFonts w:cs="Tahoma"/>
                <w:b/>
                <w:bCs/>
                <w:szCs w:val="18"/>
              </w:rPr>
            </w:pPr>
            <w:r w:rsidRPr="00D87B79">
              <w:rPr>
                <w:rFonts w:cs="Tahoma"/>
                <w:b/>
                <w:lang w:val="it-IT"/>
              </w:rPr>
              <w:t>Office Home &amp; Business 2013</w:t>
            </w:r>
          </w:p>
        </w:tc>
        <w:tc>
          <w:tcPr>
            <w:tcW w:w="1242" w:type="dxa"/>
            <w:tcBorders>
              <w:top w:val="nil"/>
              <w:left w:val="single" w:sz="4" w:space="0" w:color="auto"/>
              <w:bottom w:val="single" w:sz="8" w:space="0" w:color="auto"/>
              <w:right w:val="single" w:sz="8" w:space="0" w:color="auto"/>
            </w:tcBorders>
            <w:noWrap/>
            <w:vAlign w:val="bottom"/>
          </w:tcPr>
          <w:p w:rsidR="00A92422" w:rsidRPr="00D87B79" w:rsidRDefault="00A92422" w:rsidP="00EA30FC">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tcPr>
          <w:p w:rsidR="00A92422" w:rsidRPr="00D87B79" w:rsidRDefault="00A92422" w:rsidP="00EA30FC">
            <w:pPr>
              <w:jc w:val="center"/>
              <w:rPr>
                <w:rFonts w:eastAsia="MS PGothic" w:cs="Tahoma"/>
                <w:color w:val="000000"/>
                <w:szCs w:val="18"/>
              </w:rPr>
            </w:pPr>
            <w:r w:rsidRPr="00D87B79">
              <w:rPr>
                <w:rFonts w:cs="Tahoma"/>
                <w:lang w:val="it-IT"/>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rPr>
                <w:rFonts w:eastAsia="Times New Roman" w:cs="Tahoma"/>
                <w:szCs w:val="18"/>
              </w:rPr>
            </w:pPr>
          </w:p>
        </w:tc>
      </w:tr>
      <w:tr w:rsidR="00A92422" w:rsidRPr="00D87B79" w:rsidTr="00EA30FC">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A92422" w:rsidRPr="00D87B79" w:rsidRDefault="00A92422" w:rsidP="00EA30FC">
            <w:pPr>
              <w:ind w:left="135"/>
              <w:rPr>
                <w:rFonts w:cs="Tahoma"/>
                <w:b/>
                <w:bCs/>
                <w:szCs w:val="18"/>
              </w:rPr>
            </w:pPr>
            <w:r w:rsidRPr="00D87B79">
              <w:rPr>
                <w:rFonts w:cs="Tahoma"/>
                <w:b/>
                <w:lang w:val="it-IT"/>
              </w:rPr>
              <w:t>Office Professional 2013</w:t>
            </w:r>
          </w:p>
        </w:tc>
        <w:tc>
          <w:tcPr>
            <w:tcW w:w="1242" w:type="dxa"/>
            <w:tcBorders>
              <w:top w:val="nil"/>
              <w:left w:val="single" w:sz="4" w:space="0" w:color="auto"/>
              <w:bottom w:val="single" w:sz="8" w:space="0" w:color="auto"/>
              <w:right w:val="single" w:sz="8" w:space="0" w:color="auto"/>
            </w:tcBorders>
            <w:noWrap/>
            <w:vAlign w:val="bottom"/>
          </w:tcPr>
          <w:p w:rsidR="00A92422" w:rsidRPr="00D87B79" w:rsidRDefault="00A92422" w:rsidP="00EA30FC">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tcPr>
          <w:p w:rsidR="00A92422" w:rsidRPr="00D87B79" w:rsidRDefault="00A92422" w:rsidP="00EA30FC">
            <w:pPr>
              <w:jc w:val="center"/>
              <w:rPr>
                <w:rFonts w:eastAsia="MS PGothic" w:cs="Tahoma"/>
                <w:color w:val="FF0000"/>
                <w:szCs w:val="18"/>
              </w:rPr>
            </w:pPr>
            <w:r w:rsidRPr="00D87B79">
              <w:rPr>
                <w:rFonts w:cs="Tahoma"/>
                <w:lang w:val="it-IT"/>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rPr>
                <w:rFonts w:eastAsia="Times New Roman" w:cs="Tahoma"/>
                <w:szCs w:val="18"/>
              </w:rPr>
            </w:pPr>
          </w:p>
        </w:tc>
      </w:tr>
    </w:tbl>
    <w:p w:rsidR="00A92422" w:rsidRPr="00D87B79" w:rsidRDefault="00A92422" w:rsidP="00A92422">
      <w:pPr>
        <w:rPr>
          <w:rFonts w:cs="Tahoma"/>
        </w:rPr>
      </w:pPr>
    </w:p>
    <w:p w:rsidR="00A92422" w:rsidRPr="00D87B79" w:rsidRDefault="00A92422" w:rsidP="00A92422">
      <w:pPr>
        <w:ind w:left="720"/>
        <w:rPr>
          <w:rFonts w:cs="Tahoma"/>
        </w:rPr>
      </w:pPr>
      <w:r w:rsidRPr="00D87B79">
        <w:rPr>
          <w:rFonts w:cs="Tahoma"/>
          <w:color w:val="000000"/>
          <w:szCs w:val="18"/>
          <w:lang w:val="it-IT"/>
        </w:rPr>
        <w:t>Le società che acquistano la licenza relativa ai diritti di noleggio in aggiunta alla licenza per l’applicazione qualificante beneficeranno di un’estensione dei diritti contemplati dalla licenza dell’applicazione qualificante per consentire l’utilizzo da parte di terzi dello stesso software.</w:t>
      </w:r>
      <w:r w:rsidRPr="00D87B79">
        <w:rPr>
          <w:rFonts w:cs="Tahoma"/>
        </w:rPr>
        <w:t xml:space="preserve"> </w:t>
      </w:r>
      <w:r w:rsidRPr="00D87B79">
        <w:rPr>
          <w:rFonts w:cs="Tahoma"/>
          <w:color w:val="000000"/>
          <w:lang w:val="it-IT"/>
        </w:rPr>
        <w:t xml:space="preserve">La licenza di noleggio non è una licenza </w:t>
      </w:r>
      <w:r>
        <w:rPr>
          <w:rFonts w:cs="Tahoma"/>
          <w:color w:val="000000"/>
          <w:lang w:val="it-IT"/>
        </w:rPr>
        <w:br/>
      </w:r>
      <w:r w:rsidRPr="00D87B79">
        <w:rPr>
          <w:rFonts w:cs="Tahoma"/>
          <w:color w:val="000000"/>
          <w:lang w:val="it-IT"/>
        </w:rPr>
        <w:t>step-up per una versione superiore del prodotto.</w:t>
      </w:r>
    </w:p>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lang w:val="it-IT"/>
        </w:rPr>
        <w:t>Eccezione per Software Assurance</w:t>
      </w:r>
    </w:p>
    <w:p w:rsidR="00A92422" w:rsidRPr="00D87B79" w:rsidRDefault="00A92422" w:rsidP="00A92422">
      <w:pPr>
        <w:ind w:left="720"/>
        <w:rPr>
          <w:rFonts w:cs="Tahoma"/>
        </w:rPr>
      </w:pPr>
      <w:r w:rsidRPr="00D87B79">
        <w:rPr>
          <w:rFonts w:cs="Tahoma"/>
          <w:color w:val="000000"/>
          <w:lang w:val="it-IT"/>
        </w:rPr>
        <w:t>Le società che acquistano licenze per i diritti di noleggio non sono idonee a ricevere Software Assurance per</w:t>
      </w:r>
      <w:r>
        <w:rPr>
          <w:rFonts w:cs="Tahoma"/>
          <w:color w:val="000000"/>
          <w:lang w:val="it-IT"/>
        </w:rPr>
        <w:t> </w:t>
      </w:r>
      <w:r w:rsidRPr="00D87B79">
        <w:rPr>
          <w:rFonts w:cs="Tahoma"/>
          <w:color w:val="000000"/>
          <w:lang w:val="it-IT"/>
        </w:rPr>
        <w:t>le licenze per i diritti di noleggio, né per le licenze software qualificanti sottostanti.</w:t>
      </w:r>
    </w:p>
    <w:p w:rsidR="00A92422" w:rsidRPr="00D87B79" w:rsidRDefault="00A92422" w:rsidP="00A92422">
      <w:pPr>
        <w:rPr>
          <w:rFonts w:cs="Tahoma"/>
        </w:rPr>
      </w:pPr>
    </w:p>
    <w:p w:rsidR="00A92422" w:rsidRPr="00D87B79" w:rsidRDefault="00A92422" w:rsidP="00A92422">
      <w:pPr>
        <w:pStyle w:val="Heading3"/>
        <w:rPr>
          <w:rFonts w:ascii="Tahoma" w:hAnsi="Tahoma" w:cs="Tahoma"/>
        </w:rPr>
      </w:pPr>
      <w:bookmarkStart w:id="1118" w:name="_15_Visio_Professional"/>
      <w:bookmarkStart w:id="1119" w:name="_Toc342900323"/>
      <w:bookmarkEnd w:id="1118"/>
      <w:r w:rsidRPr="00D87B79">
        <w:rPr>
          <w:rFonts w:ascii="Tahoma" w:hAnsi="Tahoma" w:cs="Tahoma"/>
          <w:caps/>
          <w:color w:val="F66400"/>
          <w:sz w:val="22"/>
          <w:vertAlign w:val="superscript"/>
          <w:lang w:val="it-IT"/>
        </w:rPr>
        <w:t>15</w:t>
      </w:r>
      <w:r w:rsidRPr="00D87B79">
        <w:rPr>
          <w:rFonts w:ascii="Tahoma" w:hAnsi="Tahoma" w:cs="Tahoma"/>
          <w:color w:val="F66400"/>
          <w:sz w:val="22"/>
          <w:lang w:val="it-IT"/>
        </w:rPr>
        <w:t xml:space="preserve"> Visio Professional 2013</w:t>
      </w:r>
      <w:bookmarkEnd w:id="1119"/>
    </w:p>
    <w:p w:rsidR="00A92422" w:rsidRPr="00D87B79" w:rsidRDefault="00A92422" w:rsidP="00A92422">
      <w:pPr>
        <w:rPr>
          <w:rFonts w:cs="Tahoma"/>
        </w:rPr>
      </w:pPr>
    </w:p>
    <w:p w:rsidR="00A92422" w:rsidRPr="00D87B79" w:rsidRDefault="00A92422" w:rsidP="00A92422">
      <w:pPr>
        <w:spacing w:after="60"/>
        <w:ind w:left="720"/>
        <w:rPr>
          <w:rFonts w:cs="Tahoma"/>
        </w:rPr>
      </w:pPr>
      <w:bookmarkStart w:id="1120" w:name="_Toc336338274"/>
      <w:bookmarkStart w:id="1121" w:name="Srv_11VisioPremium2010"/>
      <w:bookmarkStart w:id="1122" w:name="Aps_11VisioPremium2010"/>
      <w:bookmarkStart w:id="1123" w:name="Srv_VisioPremium2010"/>
      <w:bookmarkEnd w:id="1120"/>
      <w:bookmarkEnd w:id="1121"/>
      <w:bookmarkEnd w:id="1122"/>
      <w:bookmarkEnd w:id="1123"/>
      <w:r w:rsidRPr="00D87B79">
        <w:rPr>
          <w:rFonts w:cs="Tahoma"/>
          <w:b/>
          <w:lang w:val="it-IT"/>
        </w:rPr>
        <w:t>Percorso di Migrazione di Software Assurance per Visio Premium 2010</w:t>
      </w:r>
    </w:p>
    <w:p w:rsidR="00A92422" w:rsidRPr="00D87B79" w:rsidRDefault="00A92422" w:rsidP="00A92422">
      <w:pPr>
        <w:pStyle w:val="FootnoteBulletLevel1"/>
        <w:tabs>
          <w:tab w:val="clear" w:pos="900"/>
        </w:tabs>
        <w:spacing w:before="0" w:after="0"/>
        <w:ind w:left="720" w:firstLine="0"/>
        <w:rPr>
          <w:rFonts w:ascii="Tahoma" w:hAnsi="Tahoma" w:cs="Tahoma"/>
        </w:rPr>
      </w:pPr>
      <w:r w:rsidRPr="00D87B79">
        <w:rPr>
          <w:rFonts w:ascii="Tahoma" w:hAnsi="Tahoma" w:cs="Tahoma"/>
          <w:sz w:val="18"/>
          <w:lang w:val="it-IT"/>
        </w:rPr>
        <w:t>Le società con una copertura Software Assurance attiva per Visio Premium 2010 alla data di disponibilità del</w:t>
      </w:r>
      <w:r>
        <w:rPr>
          <w:rFonts w:ascii="Tahoma" w:hAnsi="Tahoma" w:cs="Tahoma"/>
          <w:sz w:val="18"/>
          <w:lang w:val="it-IT"/>
        </w:rPr>
        <w:t> </w:t>
      </w:r>
      <w:r w:rsidRPr="00D87B79">
        <w:rPr>
          <w:rFonts w:ascii="Tahoma" w:hAnsi="Tahoma" w:cs="Tahoma"/>
          <w:sz w:val="18"/>
          <w:lang w:val="it-IT"/>
        </w:rPr>
        <w:t xml:space="preserve">download di Visio Professional 2013 potranno utilizzare Visio Professional 2013 anziché Visio Premium 2010. Il diritto di utilizzo di Visio Professional 2013 ai sensi di tale offerta cesserà alla cessazione dei diritti </w:t>
      </w:r>
      <w:r w:rsidRPr="00D87B79">
        <w:rPr>
          <w:rFonts w:ascii="Tahoma" w:hAnsi="Tahoma" w:cs="Tahoma"/>
          <w:sz w:val="18"/>
          <w:lang w:val="it-IT"/>
        </w:rPr>
        <w:lastRenderedPageBreak/>
        <w:t>di</w:t>
      </w:r>
      <w:r>
        <w:rPr>
          <w:rFonts w:ascii="Tahoma" w:hAnsi="Tahoma" w:cs="Tahoma"/>
          <w:sz w:val="18"/>
          <w:lang w:val="it-IT"/>
        </w:rPr>
        <w:t> </w:t>
      </w:r>
      <w:r w:rsidRPr="00D87B79">
        <w:rPr>
          <w:rFonts w:ascii="Tahoma" w:hAnsi="Tahoma" w:cs="Tahoma"/>
          <w:sz w:val="18"/>
          <w:lang w:val="it-IT"/>
        </w:rPr>
        <w:t>utilizzo di Outlook 2010 con Business Contact Manager ai sensi della relativa licenza qualificante.</w:t>
      </w:r>
      <w:r w:rsidRPr="00D87B79">
        <w:rPr>
          <w:rFonts w:ascii="Tahoma" w:hAnsi="Tahoma" w:cs="Tahoma"/>
        </w:rPr>
        <w:t xml:space="preserve"> </w:t>
      </w:r>
      <w:r w:rsidRPr="00D87B79">
        <w:rPr>
          <w:rFonts w:ascii="Tahoma" w:hAnsi="Tahoma" w:cs="Tahoma"/>
          <w:sz w:val="18"/>
          <w:lang w:val="it-IT"/>
        </w:rPr>
        <w:t>L’utilizzo di Visio Professional 2013 è disciplinato dai diritti sull’utilizzo di Visio Professional 2013 e dalle condizioni del Contratto Multilicenza della società.</w:t>
      </w:r>
      <w:r w:rsidRPr="00D87B79">
        <w:rPr>
          <w:rFonts w:ascii="Tahoma" w:hAnsi="Tahoma" w:cs="Tahoma"/>
        </w:rPr>
        <w:t xml:space="preserve"> </w:t>
      </w:r>
      <w:r w:rsidRPr="00D87B79">
        <w:rPr>
          <w:rFonts w:ascii="Tahoma" w:hAnsi="Tahoma" w:cs="Tahoma"/>
          <w:sz w:val="18"/>
          <w:lang w:val="it-IT"/>
        </w:rPr>
        <w:t>La presente nota relativa alle condizioni del prodotto e la prova da parte della società della corrispondente licenza qualificante costituiscono insieme la prova del diritto di utilizzo di Visio Professional 2013 ai sensi della presente offerta.</w:t>
      </w:r>
      <w:r w:rsidRPr="00D87B79">
        <w:rPr>
          <w:rFonts w:ascii="Tahoma" w:hAnsi="Tahoma" w:cs="Tahoma"/>
        </w:rPr>
        <w:t xml:space="preserve"> </w:t>
      </w:r>
      <w:r w:rsidRPr="00D87B79">
        <w:rPr>
          <w:rFonts w:ascii="Tahoma" w:hAnsi="Tahoma" w:cs="Tahoma"/>
          <w:sz w:val="18"/>
          <w:lang w:val="it-IT"/>
        </w:rPr>
        <w:t>Alla scadenza della copertura Software Assurance per Visio Premium 2010, la società potrà acquistare Software Assurance per Visio Professional 2013 senza dover acquistare separatamente una nuova licenza.</w:t>
      </w:r>
    </w:p>
    <w:p w:rsidR="00A92422" w:rsidRPr="00044D11" w:rsidRDefault="00A92422" w:rsidP="00A92422">
      <w:pPr>
        <w:pStyle w:val="FootnoteBulletLevel1"/>
        <w:spacing w:before="0" w:after="0"/>
        <w:ind w:left="720" w:firstLine="0"/>
        <w:rPr>
          <w:rFonts w:ascii="Tahoma" w:hAnsi="Tahoma" w:cs="Tahoma"/>
          <w:sz w:val="18"/>
          <w:szCs w:val="18"/>
        </w:rPr>
      </w:pPr>
    </w:p>
    <w:p w:rsidR="00A92422" w:rsidRPr="00D87B79" w:rsidRDefault="00A92422" w:rsidP="00A92422">
      <w:pPr>
        <w:spacing w:after="60"/>
        <w:ind w:left="720"/>
        <w:rPr>
          <w:rFonts w:cs="Tahoma"/>
        </w:rPr>
      </w:pPr>
      <w:r w:rsidRPr="00D87B79">
        <w:rPr>
          <w:rFonts w:cs="Tahoma"/>
          <w:b/>
          <w:lang w:val="it-IT"/>
        </w:rPr>
        <w:t>Diritti di Downgrade per Visio Professional 2013</w:t>
      </w:r>
    </w:p>
    <w:p w:rsidR="00A92422" w:rsidRPr="00D87B79" w:rsidRDefault="00A92422" w:rsidP="00A92422">
      <w:pPr>
        <w:pStyle w:val="FootnoteBulletLevel1"/>
        <w:spacing w:before="0" w:after="0"/>
        <w:ind w:left="720" w:firstLine="0"/>
        <w:rPr>
          <w:rFonts w:ascii="Tahoma" w:hAnsi="Tahoma" w:cs="Tahoma"/>
        </w:rPr>
      </w:pPr>
      <w:r w:rsidRPr="00D87B79">
        <w:rPr>
          <w:rFonts w:ascii="Tahoma" w:hAnsi="Tahoma" w:cs="Tahoma"/>
          <w:sz w:val="18"/>
          <w:lang w:val="it-IT"/>
        </w:rPr>
        <w:t>Le società con Software Assurance che hanno distribuito solo Visio Premium 2010 (cioè quelle che non utilizzano altre edizioni di Visio nella loro organizzazione) e necessitano di ulteriori postazioni di Visio Premium 2010 potranno acquistare licenze per Visio Professional 2013 ed effettuare il downgrade a Visio Premium 2010. Non sono consentiti altri downgrade da Visio Professional 2013 a Visio Premium 2010.</w:t>
      </w:r>
    </w:p>
    <w:p w:rsidR="00A92422" w:rsidRPr="00D87B79" w:rsidRDefault="00A92422" w:rsidP="00A92422">
      <w:pPr>
        <w:rPr>
          <w:rFonts w:cs="Tahoma"/>
        </w:rPr>
      </w:pPr>
    </w:p>
    <w:p w:rsidR="00A92422" w:rsidRPr="00D87B79" w:rsidRDefault="00A92422" w:rsidP="00A92422">
      <w:pPr>
        <w:rPr>
          <w:rFonts w:cs="Tahoma"/>
        </w:rPr>
      </w:pPr>
    </w:p>
    <w:p w:rsidR="00A92422" w:rsidRPr="00D87B79" w:rsidRDefault="00A92422" w:rsidP="00A92422">
      <w:pPr>
        <w:pStyle w:val="Heading3"/>
        <w:rPr>
          <w:rFonts w:ascii="Tahoma" w:hAnsi="Tahoma" w:cs="Tahoma"/>
        </w:rPr>
      </w:pPr>
      <w:bookmarkStart w:id="1124" w:name="_Toc336338275"/>
      <w:bookmarkStart w:id="1125" w:name="_Toc342900324"/>
      <w:bookmarkStart w:id="1126" w:name="Aps_12VS2010Professional"/>
      <w:bookmarkStart w:id="1127" w:name="_Toc252341836"/>
      <w:bookmarkEnd w:id="1124"/>
      <w:r w:rsidRPr="00D87B79">
        <w:rPr>
          <w:rFonts w:ascii="Tahoma" w:hAnsi="Tahoma" w:cs="Tahoma"/>
          <w:caps/>
          <w:color w:val="F66400"/>
          <w:sz w:val="22"/>
          <w:vertAlign w:val="superscript"/>
          <w:lang w:val="it-IT"/>
        </w:rPr>
        <w:t>16</w:t>
      </w:r>
      <w:r w:rsidRPr="00D87B79">
        <w:rPr>
          <w:rFonts w:ascii="Tahoma" w:hAnsi="Tahoma" w:cs="Tahoma"/>
          <w:color w:val="F66400"/>
          <w:sz w:val="22"/>
          <w:lang w:val="it-IT"/>
        </w:rPr>
        <w:t xml:space="preserve"> Visual Studio Professional 2012</w:t>
      </w:r>
      <w:bookmarkEnd w:id="1125"/>
    </w:p>
    <w:bookmarkEnd w:id="1126"/>
    <w:p w:rsidR="00A92422" w:rsidRPr="00D87B79" w:rsidRDefault="00A92422" w:rsidP="00A92422">
      <w:pPr>
        <w:pStyle w:val="FootnoteBulletLevel1"/>
        <w:tabs>
          <w:tab w:val="clear" w:pos="900"/>
        </w:tabs>
        <w:spacing w:before="0" w:after="0"/>
        <w:ind w:left="0" w:firstLine="0"/>
        <w:rPr>
          <w:rFonts w:ascii="Tahoma" w:hAnsi="Tahoma" w:cs="Tahoma"/>
        </w:rPr>
      </w:pPr>
    </w:p>
    <w:p w:rsidR="00A92422" w:rsidRPr="00D87B79" w:rsidRDefault="00A92422" w:rsidP="00A92422">
      <w:pPr>
        <w:spacing w:after="60"/>
        <w:ind w:left="720"/>
        <w:rPr>
          <w:rFonts w:cs="Tahoma"/>
        </w:rPr>
      </w:pPr>
      <w:r w:rsidRPr="00D87B79">
        <w:rPr>
          <w:rFonts w:cs="Tahoma"/>
          <w:b/>
          <w:lang w:val="it-IT"/>
        </w:rPr>
        <w:t>Percorso di Migrazione di Software Assurance per Visual Studio LightSwitch 2011</w:t>
      </w:r>
    </w:p>
    <w:p w:rsidR="00A92422" w:rsidRPr="00D87B79" w:rsidRDefault="00A92422" w:rsidP="00A92422">
      <w:pPr>
        <w:pStyle w:val="FootnoteBulletLevel1"/>
        <w:tabs>
          <w:tab w:val="clear" w:pos="900"/>
        </w:tabs>
        <w:spacing w:before="0" w:after="0"/>
        <w:ind w:left="720" w:firstLine="0"/>
        <w:rPr>
          <w:rFonts w:ascii="Tahoma" w:hAnsi="Tahoma" w:cs="Tahoma"/>
        </w:rPr>
      </w:pPr>
      <w:r w:rsidRPr="00D87B79">
        <w:rPr>
          <w:rFonts w:ascii="Tahoma" w:hAnsi="Tahoma" w:cs="Tahoma"/>
          <w:sz w:val="18"/>
          <w:lang w:val="it-IT"/>
        </w:rPr>
        <w:t>Le società con una copertura Software Assurance attiva per Visual Studio LightSwitch 2011 alla data di disponibilità del download di Visual Studio Professional 2012 potranno utilizzare Visual Studio Professional 2012. Il diritto di utilizzo di Visual Studio Professional 2012 ai sensi di tale offerta cesserà alla cessazione del diritto di utilizzo di Visual Studio LightSwitch 2011 in virtù delle relative licenze qualificanti.</w:t>
      </w:r>
      <w:r w:rsidRPr="00D87B79">
        <w:rPr>
          <w:rFonts w:ascii="Tahoma" w:hAnsi="Tahoma" w:cs="Tahoma"/>
        </w:rPr>
        <w:t xml:space="preserve"> </w:t>
      </w:r>
      <w:r w:rsidRPr="00D87B79">
        <w:rPr>
          <w:rFonts w:ascii="Tahoma" w:hAnsi="Tahoma" w:cs="Tahoma"/>
          <w:sz w:val="18"/>
          <w:lang w:val="it-IT"/>
        </w:rPr>
        <w:t>L’utilizzo di Visual Studio Professional 2012 è regolato dai diritti di utilizzo di Visual Studio Professional 2012 e dalle condizioni del contratto multilicenza della società.</w:t>
      </w:r>
      <w:r w:rsidRPr="00D87B79">
        <w:rPr>
          <w:rFonts w:ascii="Tahoma" w:hAnsi="Tahoma" w:cs="Tahoma"/>
        </w:rPr>
        <w:t xml:space="preserve"> </w:t>
      </w:r>
      <w:r w:rsidRPr="00D87B79">
        <w:rPr>
          <w:rFonts w:ascii="Tahoma" w:hAnsi="Tahoma" w:cs="Tahoma"/>
          <w:sz w:val="18"/>
          <w:lang w:val="it-IT"/>
        </w:rPr>
        <w:t>La presente nota relativa alle condizioni del prodotto e la prova da</w:t>
      </w:r>
      <w:r>
        <w:rPr>
          <w:rFonts w:ascii="Tahoma" w:hAnsi="Tahoma" w:cs="Tahoma"/>
          <w:sz w:val="18"/>
          <w:lang w:val="it-IT"/>
        </w:rPr>
        <w:t> </w:t>
      </w:r>
      <w:r w:rsidRPr="00D87B79">
        <w:rPr>
          <w:rFonts w:ascii="Tahoma" w:hAnsi="Tahoma" w:cs="Tahoma"/>
          <w:sz w:val="18"/>
          <w:lang w:val="it-IT"/>
        </w:rPr>
        <w:t>parte della società della corrispondente licenza qualificante costituiscono insieme la prova del diritto di</w:t>
      </w:r>
      <w:r>
        <w:rPr>
          <w:rFonts w:ascii="Tahoma" w:hAnsi="Tahoma" w:cs="Tahoma"/>
          <w:sz w:val="18"/>
          <w:lang w:val="it-IT"/>
        </w:rPr>
        <w:t> </w:t>
      </w:r>
      <w:r w:rsidRPr="00D87B79">
        <w:rPr>
          <w:rFonts w:ascii="Tahoma" w:hAnsi="Tahoma" w:cs="Tahoma"/>
          <w:sz w:val="18"/>
          <w:lang w:val="it-IT"/>
        </w:rPr>
        <w:t>utilizzo di Visual Studio Professional 2012 ai sensi della presente offerta.</w:t>
      </w:r>
      <w:r w:rsidRPr="00D87B79">
        <w:rPr>
          <w:rFonts w:ascii="Tahoma" w:hAnsi="Tahoma" w:cs="Tahoma"/>
        </w:rPr>
        <w:t xml:space="preserve"> </w:t>
      </w:r>
    </w:p>
    <w:p w:rsidR="00A92422" w:rsidRPr="00D87B79" w:rsidRDefault="00A92422" w:rsidP="00A92422">
      <w:pPr>
        <w:rPr>
          <w:rFonts w:cs="Tahoma"/>
        </w:rPr>
      </w:pPr>
    </w:p>
    <w:p w:rsidR="00A92422" w:rsidRPr="00D87B79" w:rsidRDefault="00A92422" w:rsidP="00A92422">
      <w:pPr>
        <w:rPr>
          <w:rFonts w:cs="Tahoma"/>
        </w:rPr>
      </w:pPr>
    </w:p>
    <w:p w:rsidR="00A92422" w:rsidRPr="00D87B79" w:rsidRDefault="00A92422" w:rsidP="00A92422">
      <w:pPr>
        <w:pStyle w:val="Heading3"/>
        <w:rPr>
          <w:rFonts w:ascii="Tahoma" w:hAnsi="Tahoma" w:cs="Tahoma"/>
        </w:rPr>
      </w:pPr>
      <w:bookmarkStart w:id="1128" w:name="_Toc342900325"/>
      <w:bookmarkStart w:id="1129" w:name="Aps_13VS2010ProfessionalMSDN"/>
      <w:bookmarkEnd w:id="1127"/>
      <w:r w:rsidRPr="00D87B79">
        <w:rPr>
          <w:rFonts w:ascii="Tahoma" w:hAnsi="Tahoma" w:cs="Tahoma"/>
          <w:caps/>
          <w:color w:val="F66400"/>
          <w:sz w:val="22"/>
          <w:vertAlign w:val="superscript"/>
          <w:lang w:val="it-IT"/>
        </w:rPr>
        <w:t>17</w:t>
      </w:r>
      <w:r w:rsidRPr="00D87B79">
        <w:rPr>
          <w:rFonts w:ascii="Tahoma" w:hAnsi="Tahoma" w:cs="Tahoma"/>
          <w:color w:val="F66400"/>
          <w:sz w:val="22"/>
          <w:lang w:val="it-IT"/>
        </w:rPr>
        <w:t xml:space="preserve"> Visual Studio Professional 2012 con MSDN</w:t>
      </w:r>
      <w:bookmarkEnd w:id="1128"/>
      <w:r w:rsidRPr="00D87B79">
        <w:rPr>
          <w:rFonts w:ascii="Tahoma" w:hAnsi="Tahoma" w:cs="Tahoma"/>
        </w:rPr>
        <w:t xml:space="preserve"> </w:t>
      </w:r>
    </w:p>
    <w:p w:rsidR="00A92422" w:rsidRPr="00D87B79" w:rsidRDefault="00A92422" w:rsidP="00A92422">
      <w:pPr>
        <w:ind w:left="720"/>
        <w:rPr>
          <w:rFonts w:cs="Tahoma"/>
        </w:rPr>
      </w:pPr>
    </w:p>
    <w:bookmarkEnd w:id="1129"/>
    <w:p w:rsidR="00A92422" w:rsidRPr="00D87B79" w:rsidRDefault="00A92422" w:rsidP="00A92422">
      <w:pPr>
        <w:spacing w:after="60"/>
        <w:ind w:left="720"/>
        <w:rPr>
          <w:rFonts w:cs="Tahoma"/>
        </w:rPr>
      </w:pPr>
      <w:r w:rsidRPr="00D87B79">
        <w:rPr>
          <w:rFonts w:cs="Tahoma"/>
          <w:b/>
          <w:lang w:val="it-IT"/>
        </w:rPr>
        <w:t>Visual Studio Team Foundation Server 2012</w:t>
      </w:r>
    </w:p>
    <w:p w:rsidR="00A92422" w:rsidRPr="006B6E20" w:rsidRDefault="00A92422" w:rsidP="00A92422">
      <w:pPr>
        <w:pStyle w:val="EndnoteText"/>
        <w:tabs>
          <w:tab w:val="num" w:pos="1350"/>
        </w:tabs>
        <w:ind w:left="720"/>
        <w:rPr>
          <w:rFonts w:ascii="Tahoma" w:hAnsi="Tahoma" w:cs="Tahoma"/>
          <w:sz w:val="18"/>
          <w:szCs w:val="18"/>
        </w:rPr>
      </w:pPr>
      <w:r w:rsidRPr="006B6E20">
        <w:rPr>
          <w:rFonts w:ascii="Tahoma" w:hAnsi="Tahoma" w:cs="Tahoma"/>
          <w:sz w:val="18"/>
          <w:szCs w:val="18"/>
          <w:lang w:val="it-IT"/>
        </w:rPr>
        <w:t>Il sottoscrittore è idoneo a ricevere una licenza server per Visual Studio Team Foundation Server 2012 e una User CAL per Team Foundation Server. La licenza CAL è riservata esclusivamente per l'utilizzo da parte del sottoscrittore.</w:t>
      </w:r>
    </w:p>
    <w:p w:rsidR="00A92422" w:rsidRPr="001A5468" w:rsidRDefault="00A92422" w:rsidP="00A92422">
      <w:pPr>
        <w:pStyle w:val="EndnoteText"/>
        <w:tabs>
          <w:tab w:val="num" w:pos="1350"/>
        </w:tabs>
        <w:ind w:left="720"/>
        <w:rPr>
          <w:rFonts w:ascii="Tahoma" w:hAnsi="Tahoma" w:cs="Tahoma"/>
          <w:sz w:val="18"/>
          <w:szCs w:val="18"/>
        </w:rPr>
      </w:pPr>
    </w:p>
    <w:p w:rsidR="00A92422" w:rsidRPr="00D87B79" w:rsidRDefault="00A92422" w:rsidP="00A92422">
      <w:pPr>
        <w:spacing w:after="60"/>
        <w:ind w:left="720"/>
        <w:rPr>
          <w:rFonts w:cs="Tahoma"/>
        </w:rPr>
      </w:pPr>
      <w:r w:rsidRPr="00D87B79">
        <w:rPr>
          <w:rFonts w:cs="Tahoma"/>
          <w:b/>
          <w:lang w:val="it-IT"/>
        </w:rPr>
        <w:t>SQL Server Parallel Data Warehouse Developer</w:t>
      </w:r>
    </w:p>
    <w:p w:rsidR="00A92422" w:rsidRPr="006B6E20" w:rsidRDefault="00A92422" w:rsidP="00A92422">
      <w:pPr>
        <w:pStyle w:val="EndnoteText"/>
        <w:tabs>
          <w:tab w:val="num" w:pos="1350"/>
        </w:tabs>
        <w:ind w:left="720"/>
        <w:rPr>
          <w:rFonts w:ascii="Tahoma" w:hAnsi="Tahoma" w:cs="Tahoma"/>
          <w:sz w:val="18"/>
          <w:szCs w:val="18"/>
        </w:rPr>
      </w:pPr>
      <w:r w:rsidRPr="006B6E20">
        <w:rPr>
          <w:rFonts w:ascii="Tahoma" w:hAnsi="Tahoma" w:cs="Tahoma"/>
          <w:sz w:val="18"/>
          <w:szCs w:val="18"/>
          <w:lang w:val="it-IT"/>
        </w:rPr>
        <w:t>Il sottoscrittore è idoneo a ricevere una licenza per SQL Server 2008 R2 Parallel Data Warehouse Developer.</w:t>
      </w:r>
    </w:p>
    <w:p w:rsidR="00A92422" w:rsidRPr="001A5468" w:rsidRDefault="00A92422" w:rsidP="00A92422">
      <w:pPr>
        <w:pStyle w:val="FootnoteBulletLevel1"/>
        <w:tabs>
          <w:tab w:val="clear" w:pos="900"/>
          <w:tab w:val="num" w:pos="1350"/>
        </w:tabs>
        <w:spacing w:before="0" w:after="0"/>
        <w:ind w:left="720" w:firstLine="0"/>
        <w:rPr>
          <w:rFonts w:ascii="Tahoma" w:hAnsi="Tahoma" w:cs="Tahoma"/>
          <w:sz w:val="18"/>
          <w:szCs w:val="18"/>
        </w:rPr>
      </w:pPr>
    </w:p>
    <w:p w:rsidR="00A92422" w:rsidRPr="00D87B79" w:rsidRDefault="00A92422" w:rsidP="00A92422">
      <w:pPr>
        <w:spacing w:after="60"/>
        <w:ind w:left="720"/>
        <w:rPr>
          <w:rFonts w:cs="Tahoma"/>
        </w:rPr>
      </w:pPr>
      <w:r w:rsidRPr="00D87B79">
        <w:rPr>
          <w:rFonts w:cs="Tahoma"/>
          <w:b/>
          <w:lang w:val="it-IT"/>
        </w:rPr>
        <w:t>Percorso di Migrazione di Software Assurance per Visual Studio 2010 Professional con MSDN Integrato</w:t>
      </w:r>
    </w:p>
    <w:p w:rsidR="00A92422" w:rsidRPr="006B6E20" w:rsidRDefault="00A92422" w:rsidP="00A92422">
      <w:pPr>
        <w:pStyle w:val="FootnoteBulletLevel1"/>
        <w:tabs>
          <w:tab w:val="clear" w:pos="900"/>
          <w:tab w:val="num" w:pos="1350"/>
        </w:tabs>
        <w:spacing w:before="0" w:after="0"/>
        <w:ind w:left="720" w:firstLine="0"/>
        <w:rPr>
          <w:rFonts w:ascii="Tahoma" w:hAnsi="Tahoma" w:cs="Tahoma"/>
          <w:sz w:val="18"/>
          <w:szCs w:val="18"/>
        </w:rPr>
      </w:pPr>
      <w:r w:rsidRPr="006B6E20">
        <w:rPr>
          <w:rFonts w:ascii="Tahoma" w:hAnsi="Tahoma" w:cs="Tahoma"/>
          <w:sz w:val="18"/>
          <w:szCs w:val="18"/>
          <w:lang w:val="it-IT"/>
        </w:rPr>
        <w:t>La versione sostitutiva di Visual Studio 2010 Professional con MSDN Integrato è Visual Studio Professional</w:t>
      </w:r>
      <w:r>
        <w:rPr>
          <w:rFonts w:ascii="Tahoma" w:hAnsi="Tahoma" w:cs="Tahoma"/>
          <w:sz w:val="18"/>
          <w:szCs w:val="18"/>
          <w:lang w:val="it-IT"/>
        </w:rPr>
        <w:t> </w:t>
      </w:r>
      <w:r w:rsidRPr="006B6E20">
        <w:rPr>
          <w:rFonts w:ascii="Tahoma" w:hAnsi="Tahoma" w:cs="Tahoma"/>
          <w:sz w:val="18"/>
          <w:szCs w:val="18"/>
          <w:lang w:val="it-IT"/>
        </w:rPr>
        <w:t>2012 con MSDN.</w:t>
      </w:r>
      <w:r w:rsidRPr="006B6E20">
        <w:rPr>
          <w:rFonts w:ascii="Tahoma" w:hAnsi="Tahoma" w:cs="Tahoma"/>
          <w:sz w:val="18"/>
          <w:szCs w:val="18"/>
        </w:rPr>
        <w:t xml:space="preserve"> </w:t>
      </w:r>
    </w:p>
    <w:p w:rsidR="00A92422" w:rsidRPr="001A5468" w:rsidRDefault="00A92422" w:rsidP="00A92422">
      <w:pPr>
        <w:pStyle w:val="FootnoteBulletLevel1"/>
        <w:tabs>
          <w:tab w:val="clear" w:pos="900"/>
          <w:tab w:val="num" w:pos="1350"/>
        </w:tabs>
        <w:spacing w:before="0" w:after="0"/>
        <w:ind w:left="720" w:firstLine="0"/>
        <w:rPr>
          <w:rFonts w:ascii="Tahoma" w:hAnsi="Tahoma" w:cs="Tahoma"/>
          <w:sz w:val="18"/>
          <w:szCs w:val="18"/>
        </w:rPr>
      </w:pPr>
    </w:p>
    <w:p w:rsidR="00A92422" w:rsidRPr="00D87B79" w:rsidRDefault="00A92422" w:rsidP="00A92422">
      <w:pPr>
        <w:spacing w:after="60"/>
        <w:ind w:left="720"/>
        <w:rPr>
          <w:rFonts w:cs="Tahoma"/>
        </w:rPr>
      </w:pPr>
      <w:r w:rsidRPr="00D87B79">
        <w:rPr>
          <w:rFonts w:cs="Tahoma"/>
          <w:b/>
          <w:lang w:val="it-IT"/>
        </w:rPr>
        <w:t>Requisiti di Idoneità per Software Assurance</w:t>
      </w:r>
    </w:p>
    <w:p w:rsidR="00A92422" w:rsidRPr="006B6E20" w:rsidRDefault="00A92422" w:rsidP="00A92422">
      <w:pPr>
        <w:pStyle w:val="EndnoteText"/>
        <w:ind w:left="720"/>
        <w:rPr>
          <w:rFonts w:ascii="Tahoma" w:hAnsi="Tahoma" w:cs="Tahoma"/>
          <w:sz w:val="18"/>
          <w:szCs w:val="18"/>
        </w:rPr>
      </w:pPr>
      <w:r w:rsidRPr="006B6E20">
        <w:rPr>
          <w:rFonts w:ascii="Tahoma" w:hAnsi="Tahoma" w:cs="Tahoma"/>
          <w:sz w:val="18"/>
          <w:szCs w:val="18"/>
          <w:lang w:val="it-IT"/>
        </w:rPr>
        <w:t>Le società con copertura Software Assurance in scadenza per le licenze dei seguenti prodotti sono idonee a rinnovare la copertura come Visual Studio Professional 2012 con MSDN.</w:t>
      </w:r>
    </w:p>
    <w:p w:rsidR="00A92422" w:rsidRPr="001A5468" w:rsidRDefault="00A92422" w:rsidP="00A92422">
      <w:pPr>
        <w:pStyle w:val="EndnoteText"/>
        <w:rPr>
          <w:rFonts w:ascii="Tahoma" w:hAnsi="Tahoma" w:cs="Tahoma"/>
          <w:sz w:val="18"/>
          <w:szCs w:val="18"/>
        </w:rPr>
      </w:pPr>
    </w:p>
    <w:p w:rsidR="00A92422" w:rsidRPr="00D87B79" w:rsidRDefault="00A92422" w:rsidP="00A92422">
      <w:pPr>
        <w:pStyle w:val="FootnoteBulletLevel2"/>
        <w:numPr>
          <w:ilvl w:val="0"/>
          <w:numId w:val="13"/>
        </w:numPr>
        <w:spacing w:before="0" w:after="60"/>
        <w:ind w:left="1440"/>
        <w:rPr>
          <w:rFonts w:ascii="Tahoma" w:hAnsi="Tahoma" w:cs="Tahoma"/>
        </w:rPr>
      </w:pPr>
      <w:r w:rsidRPr="00D87B79">
        <w:rPr>
          <w:rFonts w:ascii="Tahoma" w:hAnsi="Tahoma" w:cs="Tahoma"/>
          <w:sz w:val="18"/>
          <w:lang w:val="it-IT"/>
        </w:rPr>
        <w:t>Visual Studio Ultimate con MSDN</w:t>
      </w:r>
    </w:p>
    <w:p w:rsidR="00A92422" w:rsidRPr="00D87B79" w:rsidRDefault="00A92422" w:rsidP="00A92422">
      <w:pPr>
        <w:pStyle w:val="FootnoteBulletLevel2"/>
        <w:numPr>
          <w:ilvl w:val="0"/>
          <w:numId w:val="13"/>
        </w:numPr>
        <w:spacing w:before="0" w:after="60"/>
        <w:ind w:left="1440"/>
        <w:rPr>
          <w:rFonts w:ascii="Tahoma" w:hAnsi="Tahoma" w:cs="Tahoma"/>
        </w:rPr>
      </w:pPr>
      <w:r w:rsidRPr="00D87B79">
        <w:rPr>
          <w:rFonts w:ascii="Tahoma" w:hAnsi="Tahoma" w:cs="Tahoma"/>
          <w:sz w:val="18"/>
          <w:lang w:val="it-IT"/>
        </w:rPr>
        <w:t>Visual Studio Premium con MSDN</w:t>
      </w:r>
    </w:p>
    <w:p w:rsidR="00A92422" w:rsidRPr="00D87B79" w:rsidRDefault="00A92422" w:rsidP="00A92422">
      <w:pPr>
        <w:pStyle w:val="FootnoteBulletLevel2"/>
        <w:numPr>
          <w:ilvl w:val="0"/>
          <w:numId w:val="13"/>
        </w:numPr>
        <w:spacing w:before="0" w:after="60"/>
        <w:ind w:left="1440"/>
        <w:rPr>
          <w:rFonts w:ascii="Tahoma" w:hAnsi="Tahoma" w:cs="Tahoma"/>
        </w:rPr>
      </w:pPr>
      <w:r w:rsidRPr="00D87B79">
        <w:rPr>
          <w:rFonts w:ascii="Tahoma" w:hAnsi="Tahoma" w:cs="Tahoma"/>
          <w:sz w:val="18"/>
          <w:lang w:val="it-IT"/>
        </w:rPr>
        <w:t>Visual Studio Professional con MSDN</w:t>
      </w:r>
    </w:p>
    <w:p w:rsidR="00A92422" w:rsidRPr="00D87B79" w:rsidRDefault="00A92422" w:rsidP="00A92422">
      <w:pPr>
        <w:pStyle w:val="FootnoteBulletLevel2"/>
        <w:numPr>
          <w:ilvl w:val="0"/>
          <w:numId w:val="13"/>
        </w:numPr>
        <w:spacing w:before="0" w:after="60"/>
        <w:ind w:left="1440"/>
        <w:rPr>
          <w:rFonts w:ascii="Tahoma" w:hAnsi="Tahoma" w:cs="Tahoma"/>
        </w:rPr>
      </w:pPr>
      <w:r w:rsidRPr="00D87B79">
        <w:rPr>
          <w:rFonts w:ascii="Tahoma" w:hAnsi="Tahoma" w:cs="Tahoma"/>
          <w:sz w:val="18"/>
          <w:lang w:val="it-IT"/>
        </w:rPr>
        <w:t>Visual Studio Professional con MSDN Integrato</w:t>
      </w:r>
    </w:p>
    <w:p w:rsidR="00A92422" w:rsidRPr="00D87B79" w:rsidRDefault="00A92422" w:rsidP="00A92422">
      <w:pPr>
        <w:pStyle w:val="FootnoteBulletLevel2"/>
        <w:numPr>
          <w:ilvl w:val="0"/>
          <w:numId w:val="13"/>
        </w:numPr>
        <w:spacing w:before="0" w:after="60"/>
        <w:ind w:left="1440"/>
        <w:rPr>
          <w:rFonts w:ascii="Tahoma" w:hAnsi="Tahoma" w:cs="Tahoma"/>
        </w:rPr>
      </w:pPr>
      <w:r w:rsidRPr="00D87B79">
        <w:rPr>
          <w:rFonts w:ascii="Tahoma" w:hAnsi="Tahoma" w:cs="Tahoma"/>
          <w:sz w:val="18"/>
          <w:lang w:val="it-IT"/>
        </w:rPr>
        <w:t>Visual Studio Professional con MSDN Professional</w:t>
      </w:r>
    </w:p>
    <w:p w:rsidR="00A92422" w:rsidRPr="00D87B79" w:rsidRDefault="00A92422" w:rsidP="00A92422">
      <w:pPr>
        <w:pStyle w:val="FootnoteBulletLevel2"/>
        <w:numPr>
          <w:ilvl w:val="0"/>
          <w:numId w:val="13"/>
        </w:numPr>
        <w:spacing w:before="0" w:after="60"/>
        <w:ind w:left="1440"/>
        <w:rPr>
          <w:rFonts w:ascii="Tahoma" w:hAnsi="Tahoma" w:cs="Tahoma"/>
        </w:rPr>
      </w:pPr>
      <w:r w:rsidRPr="00D87B79">
        <w:rPr>
          <w:rFonts w:ascii="Tahoma" w:hAnsi="Tahoma" w:cs="Tahoma"/>
          <w:sz w:val="18"/>
          <w:lang w:val="it-IT"/>
        </w:rPr>
        <w:t>Visual Studio Professional con MSDN Premium</w:t>
      </w:r>
    </w:p>
    <w:p w:rsidR="00A92422" w:rsidRPr="00D87B79" w:rsidRDefault="00A92422" w:rsidP="00A92422">
      <w:pPr>
        <w:pStyle w:val="FootnoteBulletLevel2"/>
        <w:numPr>
          <w:ilvl w:val="0"/>
          <w:numId w:val="13"/>
        </w:numPr>
        <w:spacing w:before="0" w:after="60"/>
        <w:ind w:left="1440"/>
        <w:rPr>
          <w:rFonts w:ascii="Tahoma" w:hAnsi="Tahoma" w:cs="Tahoma"/>
        </w:rPr>
      </w:pPr>
      <w:r w:rsidRPr="00D87B79">
        <w:rPr>
          <w:rFonts w:ascii="Tahoma" w:hAnsi="Tahoma" w:cs="Tahoma"/>
          <w:sz w:val="18"/>
          <w:lang w:val="it-IT"/>
        </w:rPr>
        <w:t>Visual Studio Team System Team Suite con MSDN Premium</w:t>
      </w:r>
    </w:p>
    <w:p w:rsidR="00A92422" w:rsidRPr="00D87B79" w:rsidRDefault="00A92422" w:rsidP="00A92422">
      <w:pPr>
        <w:pStyle w:val="FootnoteBulletLevel2"/>
        <w:numPr>
          <w:ilvl w:val="0"/>
          <w:numId w:val="13"/>
        </w:numPr>
        <w:spacing w:before="0" w:after="60"/>
        <w:ind w:left="1440"/>
        <w:rPr>
          <w:rFonts w:ascii="Tahoma" w:hAnsi="Tahoma" w:cs="Tahoma"/>
        </w:rPr>
      </w:pPr>
      <w:r w:rsidRPr="00D87B79">
        <w:rPr>
          <w:rFonts w:ascii="Tahoma" w:hAnsi="Tahoma" w:cs="Tahoma"/>
          <w:sz w:val="18"/>
          <w:lang w:val="it-IT"/>
        </w:rPr>
        <w:lastRenderedPageBreak/>
        <w:t>Visual Studio Team System Test Edition con MSDN Premium</w:t>
      </w:r>
    </w:p>
    <w:p w:rsidR="00A92422" w:rsidRPr="00D87B79" w:rsidRDefault="00A92422" w:rsidP="00A92422">
      <w:pPr>
        <w:pStyle w:val="FootnoteBulletLevel2"/>
        <w:numPr>
          <w:ilvl w:val="0"/>
          <w:numId w:val="13"/>
        </w:numPr>
        <w:spacing w:before="0" w:after="60"/>
        <w:ind w:left="1440"/>
        <w:rPr>
          <w:rFonts w:ascii="Tahoma" w:hAnsi="Tahoma" w:cs="Tahoma"/>
        </w:rPr>
      </w:pPr>
      <w:r w:rsidRPr="00D87B79">
        <w:rPr>
          <w:rFonts w:ascii="Tahoma" w:hAnsi="Tahoma" w:cs="Tahoma"/>
          <w:sz w:val="18"/>
          <w:lang w:val="it-IT"/>
        </w:rPr>
        <w:t>Visual Studio Team System Development Edition con MSDN Premium</w:t>
      </w:r>
    </w:p>
    <w:p w:rsidR="00A92422" w:rsidRPr="00D87B79" w:rsidRDefault="00A92422" w:rsidP="00A92422">
      <w:pPr>
        <w:pStyle w:val="FootnoteBulletLevel2"/>
        <w:numPr>
          <w:ilvl w:val="0"/>
          <w:numId w:val="13"/>
        </w:numPr>
        <w:spacing w:before="0" w:after="60"/>
        <w:ind w:left="1440"/>
        <w:rPr>
          <w:rFonts w:ascii="Tahoma" w:hAnsi="Tahoma" w:cs="Tahoma"/>
        </w:rPr>
      </w:pPr>
      <w:r w:rsidRPr="00D87B79">
        <w:rPr>
          <w:rFonts w:ascii="Tahoma" w:hAnsi="Tahoma" w:cs="Tahoma"/>
          <w:sz w:val="18"/>
          <w:lang w:val="it-IT"/>
        </w:rPr>
        <w:t>Visual Studio Team System Architecture Edition con MSDN Premium</w:t>
      </w:r>
      <w:r w:rsidRPr="00D87B79">
        <w:rPr>
          <w:rFonts w:ascii="Tahoma" w:hAnsi="Tahoma" w:cs="Tahoma"/>
        </w:rPr>
        <w:t xml:space="preserve"> </w:t>
      </w:r>
    </w:p>
    <w:p w:rsidR="00A92422" w:rsidRPr="00D87B79" w:rsidRDefault="00A92422" w:rsidP="00A92422">
      <w:pPr>
        <w:pStyle w:val="FootnoteBulletLevel2"/>
        <w:numPr>
          <w:ilvl w:val="0"/>
          <w:numId w:val="13"/>
        </w:numPr>
        <w:spacing w:before="0" w:after="60"/>
        <w:ind w:left="1440"/>
        <w:rPr>
          <w:rFonts w:ascii="Tahoma" w:hAnsi="Tahoma" w:cs="Tahoma"/>
        </w:rPr>
      </w:pPr>
      <w:r w:rsidRPr="00D87B79">
        <w:rPr>
          <w:rFonts w:ascii="Tahoma" w:hAnsi="Tahoma" w:cs="Tahoma"/>
          <w:sz w:val="18"/>
          <w:lang w:val="it-IT"/>
        </w:rPr>
        <w:t>Visual Studio Team System Database Edition con MSDN Premium</w:t>
      </w:r>
    </w:p>
    <w:p w:rsidR="00A92422" w:rsidRPr="00D87B79" w:rsidRDefault="00A92422" w:rsidP="00A92422">
      <w:pPr>
        <w:pStyle w:val="FootnoteBulletLevel2"/>
        <w:numPr>
          <w:ilvl w:val="0"/>
          <w:numId w:val="13"/>
        </w:numPr>
        <w:spacing w:before="0" w:after="60"/>
        <w:ind w:left="1440"/>
        <w:rPr>
          <w:rFonts w:ascii="Tahoma" w:hAnsi="Tahoma" w:cs="Tahoma"/>
        </w:rPr>
      </w:pPr>
      <w:r w:rsidRPr="00D87B79">
        <w:rPr>
          <w:rFonts w:ascii="Tahoma" w:hAnsi="Tahoma" w:cs="Tahoma"/>
          <w:sz w:val="18"/>
          <w:lang w:val="it-IT"/>
        </w:rPr>
        <w:t>Società titolari di un abbonamento retail attivo per qualsiasi prodotto software indicato nel</w:t>
      </w:r>
      <w:r>
        <w:rPr>
          <w:rFonts w:ascii="Tahoma" w:hAnsi="Tahoma" w:cs="Tahoma"/>
          <w:sz w:val="18"/>
          <w:lang w:val="it-IT"/>
        </w:rPr>
        <w:t> </w:t>
      </w:r>
      <w:r w:rsidRPr="00D87B79">
        <w:rPr>
          <w:rFonts w:ascii="Tahoma" w:hAnsi="Tahoma" w:cs="Tahoma"/>
          <w:sz w:val="18"/>
          <w:lang w:val="it-IT"/>
        </w:rPr>
        <w:t>precedente elenco.</w:t>
      </w:r>
    </w:p>
    <w:p w:rsidR="00A92422" w:rsidRPr="00D87B79" w:rsidRDefault="00A92422" w:rsidP="00A92422">
      <w:pPr>
        <w:pStyle w:val="FootnoteBulletLevel2"/>
        <w:numPr>
          <w:ilvl w:val="0"/>
          <w:numId w:val="13"/>
        </w:numPr>
        <w:spacing w:before="0" w:after="60"/>
        <w:ind w:left="1440"/>
        <w:rPr>
          <w:rFonts w:ascii="Tahoma" w:hAnsi="Tahoma" w:cs="Tahoma"/>
        </w:rPr>
      </w:pPr>
      <w:r w:rsidRPr="00D87B79">
        <w:rPr>
          <w:rFonts w:ascii="Tahoma" w:hAnsi="Tahoma" w:cs="Tahoma"/>
          <w:sz w:val="18"/>
          <w:lang w:val="it-IT"/>
        </w:rPr>
        <w:t>MSDN Essentials (acquisto con la licenza retail di Visual Studio 2010 Professional)</w:t>
      </w:r>
    </w:p>
    <w:p w:rsidR="00A92422" w:rsidRPr="0077337A" w:rsidRDefault="00A92422" w:rsidP="00A92422">
      <w:pPr>
        <w:pStyle w:val="FootnoteBulletLevel1"/>
        <w:spacing w:before="0" w:after="0"/>
        <w:ind w:left="0" w:firstLine="0"/>
        <w:rPr>
          <w:rFonts w:ascii="Tahoma" w:hAnsi="Tahoma" w:cs="Tahoma"/>
          <w:sz w:val="18"/>
          <w:szCs w:val="18"/>
        </w:rPr>
      </w:pPr>
    </w:p>
    <w:p w:rsidR="00A92422" w:rsidRPr="00E45EFE" w:rsidRDefault="00A92422" w:rsidP="00A92422">
      <w:pPr>
        <w:pStyle w:val="FootnoteBulletLevel1"/>
        <w:tabs>
          <w:tab w:val="clear" w:pos="900"/>
        </w:tabs>
        <w:spacing w:before="0" w:after="0"/>
        <w:ind w:left="720" w:firstLine="0"/>
        <w:rPr>
          <w:rFonts w:ascii="Tahoma" w:hAnsi="Tahoma" w:cs="Tahoma"/>
          <w:sz w:val="18"/>
          <w:szCs w:val="18"/>
        </w:rPr>
      </w:pPr>
      <w:r w:rsidRPr="00E45EFE">
        <w:rPr>
          <w:rFonts w:ascii="Tahoma" w:hAnsi="Tahoma" w:cs="Tahoma"/>
          <w:sz w:val="18"/>
          <w:szCs w:val="18"/>
          <w:lang w:val="it-IT"/>
        </w:rPr>
        <w:t xml:space="preserve">Le società che hanno stipulato contratti Enterprise, Select o Open Value con copertura Software Assurance attiva per Visual Studio Professional 2012 con MSDN potranno anch’esse effettuare lo step-up a Visual Studio Premium 2012 con MSDN o a Visual Studio Ultimate 2012 con MSDN dopo aver acquistato gli </w:t>
      </w:r>
      <w:hyperlink w:anchor="Step_Up" w:history="1">
        <w:r w:rsidRPr="00E45EFE">
          <w:rPr>
            <w:rFonts w:ascii="Tahoma" w:hAnsi="Tahoma" w:cs="Tahoma"/>
            <w:sz w:val="18"/>
            <w:szCs w:val="18"/>
            <w:lang w:val="it-IT"/>
          </w:rPr>
          <w:t>SKU di</w:t>
        </w:r>
        <w:r>
          <w:rPr>
            <w:rFonts w:ascii="Tahoma" w:hAnsi="Tahoma" w:cs="Tahoma"/>
            <w:sz w:val="18"/>
            <w:szCs w:val="18"/>
            <w:lang w:val="it-IT"/>
          </w:rPr>
          <w:t> </w:t>
        </w:r>
        <w:r w:rsidRPr="00E45EFE">
          <w:rPr>
            <w:rFonts w:ascii="Tahoma" w:hAnsi="Tahoma" w:cs="Tahoma"/>
            <w:sz w:val="18"/>
            <w:szCs w:val="18"/>
            <w:lang w:val="it-IT"/>
          </w:rPr>
          <w:t>Step-Up</w:t>
        </w:r>
      </w:hyperlink>
      <w:r w:rsidRPr="00E45EFE">
        <w:rPr>
          <w:rFonts w:ascii="Tahoma" w:hAnsi="Tahoma" w:cs="Tahoma"/>
          <w:sz w:val="18"/>
          <w:szCs w:val="18"/>
          <w:lang w:val="it-IT"/>
        </w:rPr>
        <w:t xml:space="preserve"> idonei.</w:t>
      </w:r>
    </w:p>
    <w:p w:rsidR="00A92422" w:rsidRPr="0077337A" w:rsidRDefault="00A92422" w:rsidP="00A92422">
      <w:pPr>
        <w:pStyle w:val="FootnoteBulletLevel2"/>
        <w:tabs>
          <w:tab w:val="clear" w:pos="1260"/>
        </w:tabs>
        <w:spacing w:before="0"/>
        <w:ind w:left="720" w:firstLine="0"/>
        <w:rPr>
          <w:rFonts w:ascii="Tahoma" w:hAnsi="Tahoma" w:cs="Tahoma"/>
          <w:sz w:val="18"/>
          <w:szCs w:val="18"/>
        </w:rPr>
      </w:pPr>
    </w:p>
    <w:p w:rsidR="00A92422" w:rsidRPr="00D87B79" w:rsidRDefault="00A92422" w:rsidP="00A92422">
      <w:pPr>
        <w:spacing w:after="60"/>
        <w:ind w:left="720"/>
        <w:rPr>
          <w:rFonts w:cs="Tahoma"/>
        </w:rPr>
      </w:pPr>
      <w:r w:rsidRPr="00D87B79">
        <w:rPr>
          <w:rFonts w:cs="Tahoma"/>
          <w:b/>
          <w:lang w:val="it-IT"/>
        </w:rPr>
        <w:t>Servizi “Subscription”</w:t>
      </w:r>
    </w:p>
    <w:p w:rsidR="00A92422" w:rsidRPr="00D87B79" w:rsidRDefault="00A92422" w:rsidP="00A92422">
      <w:pPr>
        <w:pStyle w:val="FootnoteBulletLevel2"/>
        <w:tabs>
          <w:tab w:val="clear" w:pos="1260"/>
        </w:tabs>
        <w:spacing w:before="0"/>
        <w:ind w:left="720" w:firstLine="0"/>
        <w:rPr>
          <w:rFonts w:ascii="Tahoma" w:hAnsi="Tahoma" w:cs="Tahoma"/>
        </w:rPr>
      </w:pPr>
      <w:r w:rsidRPr="00D87B79">
        <w:rPr>
          <w:rFonts w:ascii="Tahoma" w:hAnsi="Tahoma" w:cs="Tahoma"/>
          <w:sz w:val="18"/>
          <w:lang w:val="it-IT"/>
        </w:rPr>
        <w:t>I servizi MSDN in abbonamento, che potranno includere download, codici “Product Key”, vantaggi di</w:t>
      </w:r>
      <w:r>
        <w:rPr>
          <w:rFonts w:ascii="Tahoma" w:hAnsi="Tahoma" w:cs="Tahoma"/>
          <w:sz w:val="18"/>
          <w:lang w:val="it-IT"/>
        </w:rPr>
        <w:t> </w:t>
      </w:r>
      <w:r w:rsidRPr="00D87B79">
        <w:rPr>
          <w:rFonts w:ascii="Tahoma" w:hAnsi="Tahoma" w:cs="Tahoma"/>
          <w:sz w:val="18"/>
          <w:lang w:val="it-IT"/>
        </w:rPr>
        <w:t>Windows Azure, e-learning, supporto tecnico, vantaggi di Windows Store e altri servizi, sono disponibili solo durante il periodo di validità dell’abbonamento.</w:t>
      </w:r>
    </w:p>
    <w:p w:rsidR="00A92422" w:rsidRPr="0077337A" w:rsidRDefault="00A92422" w:rsidP="00A92422">
      <w:pPr>
        <w:pStyle w:val="FootnoteBulletLevel1"/>
        <w:tabs>
          <w:tab w:val="clear" w:pos="900"/>
        </w:tabs>
        <w:spacing w:before="0" w:after="0"/>
        <w:ind w:left="720" w:firstLine="0"/>
        <w:rPr>
          <w:rFonts w:ascii="Tahoma" w:hAnsi="Tahoma" w:cs="Tahoma"/>
          <w:sz w:val="18"/>
          <w:szCs w:val="18"/>
        </w:rPr>
      </w:pPr>
    </w:p>
    <w:p w:rsidR="00A92422" w:rsidRPr="00D87B79" w:rsidRDefault="00A92422" w:rsidP="00A92422">
      <w:pPr>
        <w:spacing w:after="60"/>
        <w:ind w:left="720"/>
        <w:rPr>
          <w:rFonts w:cs="Tahoma"/>
        </w:rPr>
      </w:pPr>
      <w:r w:rsidRPr="00D87B79">
        <w:rPr>
          <w:rFonts w:cs="Tahoma"/>
          <w:b/>
          <w:lang w:val="it-IT"/>
        </w:rPr>
        <w:t>Servizi della Piattaforma Windows Azure</w:t>
      </w:r>
    </w:p>
    <w:p w:rsidR="00A92422" w:rsidRDefault="00A92422" w:rsidP="00A92422">
      <w:pPr>
        <w:pStyle w:val="FootnoteBulletLevel2"/>
        <w:tabs>
          <w:tab w:val="clear" w:pos="1260"/>
        </w:tabs>
        <w:spacing w:before="0"/>
        <w:ind w:left="720" w:firstLine="0"/>
        <w:rPr>
          <w:rFonts w:ascii="Tahoma" w:hAnsi="Tahoma" w:cs="Tahoma"/>
          <w:sz w:val="18"/>
          <w:lang w:val="it-IT"/>
        </w:rPr>
      </w:pPr>
      <w:r w:rsidRPr="00D87B79">
        <w:rPr>
          <w:rFonts w:ascii="Tahoma" w:hAnsi="Tahoma" w:cs="Tahoma"/>
          <w:sz w:val="18"/>
          <w:lang w:val="it-IT"/>
        </w:rPr>
        <w:t>I vantaggi di Windows Azure non possono essere una combinazione di più abbonamenti a MSDN su un singolo account di Windows Azure.</w:t>
      </w:r>
      <w:r w:rsidRPr="00D87B79">
        <w:rPr>
          <w:rFonts w:ascii="Tahoma" w:hAnsi="Tahoma" w:cs="Tahoma"/>
        </w:rPr>
        <w:t xml:space="preserve"> </w:t>
      </w:r>
      <w:r w:rsidRPr="00D87B79">
        <w:rPr>
          <w:rFonts w:ascii="Tahoma" w:hAnsi="Tahoma" w:cs="Tahoma"/>
          <w:sz w:val="18"/>
          <w:lang w:val="it-IT"/>
        </w:rPr>
        <w:t>L’uso di Windows Azure è soggetto alle relative condizioni per l’utilizzo.</w:t>
      </w:r>
    </w:p>
    <w:p w:rsidR="00A92422" w:rsidRDefault="00A92422" w:rsidP="00A92422">
      <w:pPr>
        <w:pStyle w:val="FootnoteBulletLevel2"/>
        <w:tabs>
          <w:tab w:val="clear" w:pos="1260"/>
        </w:tabs>
        <w:spacing w:before="0"/>
        <w:ind w:left="720" w:firstLine="0"/>
        <w:rPr>
          <w:rFonts w:ascii="Tahoma" w:hAnsi="Tahoma" w:cs="Tahoma"/>
          <w:sz w:val="18"/>
          <w:szCs w:val="18"/>
        </w:rPr>
      </w:pPr>
    </w:p>
    <w:p w:rsidR="00A92422" w:rsidRPr="00514CC2" w:rsidRDefault="00A92422" w:rsidP="00A92422">
      <w:pPr>
        <w:pStyle w:val="FootnoteBulletLevel2"/>
        <w:tabs>
          <w:tab w:val="clear" w:pos="1260"/>
        </w:tabs>
        <w:spacing w:before="0"/>
        <w:ind w:left="0" w:firstLine="0"/>
        <w:rPr>
          <w:rFonts w:ascii="Tahoma" w:hAnsi="Tahoma" w:cs="Tahoma"/>
          <w:sz w:val="18"/>
          <w:szCs w:val="18"/>
        </w:rPr>
      </w:pPr>
    </w:p>
    <w:p w:rsidR="00A92422" w:rsidRPr="00D87B79" w:rsidRDefault="00A92422" w:rsidP="00A92422">
      <w:pPr>
        <w:pStyle w:val="Heading3"/>
        <w:rPr>
          <w:rFonts w:ascii="Tahoma" w:hAnsi="Tahoma" w:cs="Tahoma"/>
        </w:rPr>
      </w:pPr>
      <w:bookmarkStart w:id="1130" w:name="_Toc336338277"/>
      <w:bookmarkStart w:id="1131" w:name="_Toc252341837"/>
      <w:bookmarkStart w:id="1132" w:name="_Toc342900326"/>
      <w:bookmarkStart w:id="1133" w:name="Aps_16VS2010PremiumMSDN"/>
      <w:bookmarkEnd w:id="1130"/>
      <w:bookmarkEnd w:id="1131"/>
      <w:r w:rsidRPr="00D87B79">
        <w:rPr>
          <w:rFonts w:ascii="Tahoma" w:hAnsi="Tahoma" w:cs="Tahoma"/>
          <w:caps/>
          <w:color w:val="F66400"/>
          <w:sz w:val="22"/>
          <w:vertAlign w:val="superscript"/>
          <w:lang w:val="it-IT"/>
        </w:rPr>
        <w:t>18</w:t>
      </w:r>
      <w:r w:rsidRPr="00D87B79">
        <w:rPr>
          <w:rFonts w:ascii="Tahoma" w:hAnsi="Tahoma" w:cs="Tahoma"/>
          <w:color w:val="F66400"/>
          <w:sz w:val="22"/>
          <w:lang w:val="it-IT"/>
        </w:rPr>
        <w:t xml:space="preserve"> Visual Studio Premium 2012 con MSDN</w:t>
      </w:r>
      <w:bookmarkEnd w:id="1132"/>
      <w:r w:rsidRPr="00D87B79">
        <w:rPr>
          <w:rFonts w:ascii="Tahoma" w:hAnsi="Tahoma" w:cs="Tahoma"/>
        </w:rPr>
        <w:t xml:space="preserve"> </w:t>
      </w:r>
    </w:p>
    <w:bookmarkEnd w:id="1133"/>
    <w:p w:rsidR="00A92422" w:rsidRPr="0077337A" w:rsidRDefault="00A92422" w:rsidP="00A92422">
      <w:pPr>
        <w:pStyle w:val="FootnoteBulletLevel1"/>
        <w:tabs>
          <w:tab w:val="clear" w:pos="900"/>
        </w:tabs>
        <w:spacing w:before="0" w:after="0"/>
        <w:ind w:left="720" w:firstLine="0"/>
        <w:rPr>
          <w:rFonts w:ascii="Tahoma" w:hAnsi="Tahoma" w:cs="Tahoma"/>
          <w:sz w:val="18"/>
          <w:szCs w:val="18"/>
        </w:rPr>
      </w:pPr>
    </w:p>
    <w:p w:rsidR="00A92422" w:rsidRPr="00D87B79" w:rsidRDefault="00A92422" w:rsidP="00A92422">
      <w:pPr>
        <w:spacing w:after="60"/>
        <w:ind w:left="720"/>
        <w:rPr>
          <w:rFonts w:cs="Tahoma"/>
        </w:rPr>
      </w:pPr>
      <w:r w:rsidRPr="00D87B79">
        <w:rPr>
          <w:rFonts w:cs="Tahoma"/>
          <w:b/>
          <w:lang w:val="it-IT"/>
        </w:rPr>
        <w:t>Visual Studio Team Foundation Server 2012</w:t>
      </w:r>
    </w:p>
    <w:p w:rsidR="00A92422" w:rsidRPr="00D87B79" w:rsidRDefault="00A92422" w:rsidP="00A92422">
      <w:pPr>
        <w:pStyle w:val="EndnoteText"/>
        <w:ind w:left="720"/>
        <w:rPr>
          <w:rFonts w:ascii="Tahoma" w:hAnsi="Tahoma" w:cs="Tahoma"/>
        </w:rPr>
      </w:pPr>
      <w:r w:rsidRPr="00D87B79">
        <w:rPr>
          <w:rFonts w:ascii="Tahoma" w:hAnsi="Tahoma" w:cs="Tahoma"/>
          <w:sz w:val="18"/>
          <w:lang w:val="it-IT"/>
        </w:rPr>
        <w:t>Il sottoscrittore è idoneo a ricevere una licenza server per Visual Studio Team Foundation Server 2012 e una User CAL per Team Foundation Server. La licenza CAL è riservata esclusivamente per l'utilizzo da parte del sottoscrittore.</w:t>
      </w:r>
    </w:p>
    <w:p w:rsidR="00A92422" w:rsidRPr="0077337A" w:rsidRDefault="00A92422" w:rsidP="00A92422">
      <w:pPr>
        <w:pStyle w:val="EndnoteText"/>
        <w:ind w:left="720"/>
        <w:rPr>
          <w:rFonts w:ascii="Tahoma" w:hAnsi="Tahoma" w:cs="Tahoma"/>
          <w:sz w:val="18"/>
          <w:szCs w:val="18"/>
        </w:rPr>
      </w:pPr>
    </w:p>
    <w:p w:rsidR="00A92422" w:rsidRPr="00D87B79" w:rsidRDefault="00A92422" w:rsidP="00A92422">
      <w:pPr>
        <w:spacing w:after="60"/>
        <w:ind w:left="720"/>
        <w:rPr>
          <w:rFonts w:cs="Tahoma"/>
        </w:rPr>
      </w:pPr>
      <w:r w:rsidRPr="00D87B79">
        <w:rPr>
          <w:rFonts w:cs="Tahoma"/>
          <w:b/>
          <w:lang w:val="it-IT"/>
        </w:rPr>
        <w:t>SQL Server Parallel Data Warehouse Developer</w:t>
      </w:r>
    </w:p>
    <w:p w:rsidR="00A92422" w:rsidRPr="0077337A" w:rsidRDefault="00A92422" w:rsidP="00A92422">
      <w:pPr>
        <w:pStyle w:val="EndnoteText"/>
        <w:ind w:left="720"/>
        <w:rPr>
          <w:rFonts w:ascii="Tahoma" w:hAnsi="Tahoma" w:cs="Tahoma"/>
          <w:sz w:val="18"/>
          <w:szCs w:val="18"/>
        </w:rPr>
      </w:pPr>
      <w:r w:rsidRPr="0077337A">
        <w:rPr>
          <w:rFonts w:ascii="Tahoma" w:hAnsi="Tahoma" w:cs="Tahoma"/>
          <w:sz w:val="18"/>
          <w:szCs w:val="18"/>
          <w:lang w:val="it-IT"/>
        </w:rPr>
        <w:t>Il sottoscrittore è idoneo a ricevere una licenza per SQL Server 2008 R2 Parallel Data Warehouse Developer.</w:t>
      </w:r>
    </w:p>
    <w:p w:rsidR="00A92422" w:rsidRPr="0077337A" w:rsidRDefault="00A92422" w:rsidP="00A92422">
      <w:pPr>
        <w:pStyle w:val="FootnoteBulletLevel1"/>
        <w:tabs>
          <w:tab w:val="clear" w:pos="900"/>
        </w:tabs>
        <w:spacing w:before="0" w:after="0"/>
        <w:ind w:left="720" w:firstLine="0"/>
        <w:rPr>
          <w:rFonts w:ascii="Tahoma" w:hAnsi="Tahoma" w:cs="Tahoma"/>
          <w:sz w:val="18"/>
          <w:szCs w:val="18"/>
        </w:rPr>
      </w:pPr>
    </w:p>
    <w:p w:rsidR="00A92422" w:rsidRPr="00D87B79" w:rsidRDefault="00A92422" w:rsidP="00A92422">
      <w:pPr>
        <w:spacing w:after="60"/>
        <w:ind w:left="720"/>
        <w:rPr>
          <w:rFonts w:cs="Tahoma"/>
        </w:rPr>
      </w:pPr>
      <w:r w:rsidRPr="00D87B79">
        <w:rPr>
          <w:rFonts w:cs="Tahoma"/>
          <w:b/>
          <w:lang w:val="it-IT"/>
        </w:rPr>
        <w:t>Requisiti di Idoneità per Software Assurance</w:t>
      </w:r>
    </w:p>
    <w:p w:rsidR="00A92422" w:rsidRPr="0077337A" w:rsidRDefault="00A92422" w:rsidP="00A92422">
      <w:pPr>
        <w:pStyle w:val="EndnoteText"/>
        <w:ind w:left="720"/>
        <w:rPr>
          <w:rFonts w:ascii="Tahoma" w:hAnsi="Tahoma" w:cs="Tahoma"/>
          <w:sz w:val="18"/>
          <w:szCs w:val="18"/>
        </w:rPr>
      </w:pPr>
      <w:r w:rsidRPr="0077337A">
        <w:rPr>
          <w:rFonts w:ascii="Tahoma" w:hAnsi="Tahoma" w:cs="Tahoma"/>
          <w:sz w:val="18"/>
          <w:szCs w:val="18"/>
          <w:lang w:val="it-IT"/>
        </w:rPr>
        <w:t>Le società con copertura Software Assurance in scadenza per i seguenti prodotti sono idonee a rinnovare la copertura come Visual Studio Premium 2012 con MSDN.</w:t>
      </w:r>
    </w:p>
    <w:p w:rsidR="00A92422" w:rsidRPr="005061AB" w:rsidRDefault="00A92422" w:rsidP="00A92422">
      <w:pPr>
        <w:pStyle w:val="EndnoteText"/>
        <w:spacing w:after="60"/>
        <w:rPr>
          <w:rFonts w:ascii="Tahoma" w:hAnsi="Tahoma" w:cs="Tahoma"/>
          <w:sz w:val="18"/>
          <w:szCs w:val="18"/>
        </w:rPr>
      </w:pPr>
    </w:p>
    <w:p w:rsidR="00A92422" w:rsidRPr="00D87B79" w:rsidRDefault="00A92422" w:rsidP="00A92422">
      <w:pPr>
        <w:pStyle w:val="FootnoteBulletLevel2"/>
        <w:numPr>
          <w:ilvl w:val="0"/>
          <w:numId w:val="15"/>
        </w:numPr>
        <w:spacing w:before="0" w:after="60"/>
        <w:ind w:left="1440"/>
        <w:rPr>
          <w:rFonts w:ascii="Tahoma" w:hAnsi="Tahoma" w:cs="Tahoma"/>
        </w:rPr>
      </w:pPr>
      <w:r w:rsidRPr="00D87B79">
        <w:rPr>
          <w:rFonts w:ascii="Tahoma" w:hAnsi="Tahoma" w:cs="Tahoma"/>
          <w:sz w:val="18"/>
          <w:lang w:val="it-IT"/>
        </w:rPr>
        <w:t>Visual Studio Ultimate con MSDN</w:t>
      </w:r>
    </w:p>
    <w:p w:rsidR="00A92422" w:rsidRPr="00D87B79" w:rsidRDefault="00A92422" w:rsidP="00A92422">
      <w:pPr>
        <w:pStyle w:val="FootnoteBulletLevel2"/>
        <w:numPr>
          <w:ilvl w:val="0"/>
          <w:numId w:val="15"/>
        </w:numPr>
        <w:spacing w:before="0" w:after="60"/>
        <w:ind w:left="1440"/>
        <w:rPr>
          <w:rFonts w:ascii="Tahoma" w:hAnsi="Tahoma" w:cs="Tahoma"/>
        </w:rPr>
      </w:pPr>
      <w:r w:rsidRPr="00D87B79">
        <w:rPr>
          <w:rFonts w:ascii="Tahoma" w:hAnsi="Tahoma" w:cs="Tahoma"/>
          <w:sz w:val="18"/>
          <w:lang w:val="it-IT"/>
        </w:rPr>
        <w:t>Visual Studio Premium con MSDN</w:t>
      </w:r>
    </w:p>
    <w:p w:rsidR="00A92422" w:rsidRPr="00D87B79" w:rsidRDefault="00A92422" w:rsidP="00A92422">
      <w:pPr>
        <w:pStyle w:val="FootnoteBulletLevel2"/>
        <w:numPr>
          <w:ilvl w:val="0"/>
          <w:numId w:val="15"/>
        </w:numPr>
        <w:spacing w:before="0" w:after="60"/>
        <w:ind w:left="1440"/>
        <w:rPr>
          <w:rFonts w:ascii="Tahoma" w:hAnsi="Tahoma" w:cs="Tahoma"/>
        </w:rPr>
      </w:pPr>
      <w:r w:rsidRPr="00D87B79">
        <w:rPr>
          <w:rFonts w:ascii="Tahoma" w:hAnsi="Tahoma" w:cs="Tahoma"/>
          <w:sz w:val="18"/>
          <w:lang w:val="it-IT"/>
        </w:rPr>
        <w:t>Visual Studio Professional con MSDN Premium</w:t>
      </w:r>
    </w:p>
    <w:p w:rsidR="00A92422" w:rsidRPr="00D87B79" w:rsidRDefault="00A92422" w:rsidP="00A92422">
      <w:pPr>
        <w:pStyle w:val="FootnoteBulletLevel2"/>
        <w:numPr>
          <w:ilvl w:val="0"/>
          <w:numId w:val="15"/>
        </w:numPr>
        <w:spacing w:before="0" w:after="60"/>
        <w:ind w:left="1440"/>
        <w:rPr>
          <w:rFonts w:ascii="Tahoma" w:hAnsi="Tahoma" w:cs="Tahoma"/>
        </w:rPr>
      </w:pPr>
      <w:r w:rsidRPr="00D87B79">
        <w:rPr>
          <w:rFonts w:ascii="Tahoma" w:hAnsi="Tahoma" w:cs="Tahoma"/>
          <w:sz w:val="18"/>
          <w:lang w:val="it-IT"/>
        </w:rPr>
        <w:t>Visual Studio Team System Team Suite con MSDN Premium</w:t>
      </w:r>
    </w:p>
    <w:p w:rsidR="00A92422" w:rsidRPr="00D87B79" w:rsidRDefault="00A92422" w:rsidP="00A92422">
      <w:pPr>
        <w:pStyle w:val="FootnoteBulletLevel2"/>
        <w:numPr>
          <w:ilvl w:val="0"/>
          <w:numId w:val="15"/>
        </w:numPr>
        <w:spacing w:before="0" w:after="60"/>
        <w:ind w:left="1440"/>
        <w:rPr>
          <w:rFonts w:ascii="Tahoma" w:hAnsi="Tahoma" w:cs="Tahoma"/>
        </w:rPr>
      </w:pPr>
      <w:r w:rsidRPr="00D87B79">
        <w:rPr>
          <w:rFonts w:ascii="Tahoma" w:hAnsi="Tahoma" w:cs="Tahoma"/>
          <w:sz w:val="18"/>
          <w:lang w:val="it-IT"/>
        </w:rPr>
        <w:t>Visual Studio Team System Test Edition con MSDN Premium</w:t>
      </w:r>
    </w:p>
    <w:p w:rsidR="00A92422" w:rsidRPr="00D87B79" w:rsidRDefault="00A92422" w:rsidP="00A92422">
      <w:pPr>
        <w:pStyle w:val="FootnoteBulletLevel2"/>
        <w:numPr>
          <w:ilvl w:val="0"/>
          <w:numId w:val="15"/>
        </w:numPr>
        <w:spacing w:before="0" w:after="60"/>
        <w:ind w:left="1440"/>
        <w:rPr>
          <w:rFonts w:ascii="Tahoma" w:hAnsi="Tahoma" w:cs="Tahoma"/>
        </w:rPr>
      </w:pPr>
      <w:r w:rsidRPr="00D87B79">
        <w:rPr>
          <w:rFonts w:ascii="Tahoma" w:hAnsi="Tahoma" w:cs="Tahoma"/>
          <w:sz w:val="18"/>
          <w:lang w:val="it-IT"/>
        </w:rPr>
        <w:t>Visual Studio Team System Development Edition con MSDN Premium</w:t>
      </w:r>
    </w:p>
    <w:p w:rsidR="00A92422" w:rsidRPr="00D87B79" w:rsidRDefault="00A92422" w:rsidP="00A92422">
      <w:pPr>
        <w:pStyle w:val="FootnoteBulletLevel2"/>
        <w:numPr>
          <w:ilvl w:val="0"/>
          <w:numId w:val="15"/>
        </w:numPr>
        <w:spacing w:before="0" w:after="60"/>
        <w:ind w:left="1440"/>
        <w:rPr>
          <w:rFonts w:ascii="Tahoma" w:hAnsi="Tahoma" w:cs="Tahoma"/>
        </w:rPr>
      </w:pPr>
      <w:r w:rsidRPr="00D87B79">
        <w:rPr>
          <w:rFonts w:ascii="Tahoma" w:hAnsi="Tahoma" w:cs="Tahoma"/>
          <w:sz w:val="18"/>
          <w:lang w:val="it-IT"/>
        </w:rPr>
        <w:t>Visual Studio Team System Architecture Edition con MSDN Premium</w:t>
      </w:r>
      <w:r w:rsidRPr="00D87B79">
        <w:rPr>
          <w:rFonts w:ascii="Tahoma" w:hAnsi="Tahoma" w:cs="Tahoma"/>
        </w:rPr>
        <w:t xml:space="preserve"> </w:t>
      </w:r>
    </w:p>
    <w:p w:rsidR="00A92422" w:rsidRPr="00D87B79" w:rsidRDefault="00A92422" w:rsidP="00A92422">
      <w:pPr>
        <w:pStyle w:val="FootnoteBulletLevel2"/>
        <w:numPr>
          <w:ilvl w:val="0"/>
          <w:numId w:val="15"/>
        </w:numPr>
        <w:spacing w:before="0" w:after="60"/>
        <w:ind w:left="1440"/>
        <w:rPr>
          <w:rFonts w:ascii="Tahoma" w:hAnsi="Tahoma" w:cs="Tahoma"/>
        </w:rPr>
      </w:pPr>
      <w:r w:rsidRPr="00D87B79">
        <w:rPr>
          <w:rFonts w:ascii="Tahoma" w:hAnsi="Tahoma" w:cs="Tahoma"/>
          <w:sz w:val="18"/>
          <w:lang w:val="it-IT"/>
        </w:rPr>
        <w:t>Visual Studio Team System Database Edition con MSDN Premium</w:t>
      </w:r>
    </w:p>
    <w:p w:rsidR="00A92422" w:rsidRPr="00D87B79" w:rsidRDefault="00A92422" w:rsidP="00A92422">
      <w:pPr>
        <w:pStyle w:val="FootnoteBulletLevel2"/>
        <w:numPr>
          <w:ilvl w:val="0"/>
          <w:numId w:val="15"/>
        </w:numPr>
        <w:spacing w:before="0" w:after="60"/>
        <w:ind w:left="1440"/>
        <w:rPr>
          <w:rFonts w:ascii="Tahoma" w:hAnsi="Tahoma" w:cs="Tahoma"/>
        </w:rPr>
      </w:pPr>
      <w:r w:rsidRPr="00D87B79">
        <w:rPr>
          <w:rFonts w:ascii="Tahoma" w:hAnsi="Tahoma" w:cs="Tahoma"/>
          <w:sz w:val="18"/>
          <w:lang w:val="it-IT"/>
        </w:rPr>
        <w:t>Società titolari di un abbonamento retail attivo per qualsiasi prodotto software indicato nel</w:t>
      </w:r>
      <w:r>
        <w:rPr>
          <w:rFonts w:ascii="Tahoma" w:hAnsi="Tahoma" w:cs="Tahoma"/>
          <w:sz w:val="18"/>
          <w:lang w:val="it-IT"/>
        </w:rPr>
        <w:t> </w:t>
      </w:r>
      <w:r w:rsidRPr="00D87B79">
        <w:rPr>
          <w:rFonts w:ascii="Tahoma" w:hAnsi="Tahoma" w:cs="Tahoma"/>
          <w:sz w:val="18"/>
          <w:lang w:val="it-IT"/>
        </w:rPr>
        <w:t>precedente elenco.</w:t>
      </w:r>
    </w:p>
    <w:p w:rsidR="00A92422" w:rsidRPr="00D87B79" w:rsidRDefault="00A92422" w:rsidP="00A92422">
      <w:pPr>
        <w:pStyle w:val="FootnoteBulletLevel1"/>
        <w:tabs>
          <w:tab w:val="clear" w:pos="900"/>
        </w:tabs>
        <w:spacing w:before="0" w:after="0"/>
        <w:ind w:left="720" w:firstLine="0"/>
        <w:rPr>
          <w:rFonts w:ascii="Tahoma" w:hAnsi="Tahoma" w:cs="Tahoma"/>
        </w:rPr>
      </w:pPr>
      <w:r w:rsidRPr="00D87B79">
        <w:rPr>
          <w:rFonts w:ascii="Tahoma" w:hAnsi="Tahoma" w:cs="Tahoma"/>
          <w:sz w:val="18"/>
          <w:lang w:val="it-IT"/>
        </w:rPr>
        <w:t>Le società con copertura Software Assurance in scadenza per Visual Studio Premium 2012 con MSDN sono idonee a rinnovare la copertura come:</w:t>
      </w:r>
      <w:r w:rsidRPr="00D87B79">
        <w:rPr>
          <w:rFonts w:ascii="Tahoma" w:hAnsi="Tahoma" w:cs="Tahoma"/>
          <w:sz w:val="18"/>
        </w:rPr>
        <w:t xml:space="preserve"> </w:t>
      </w:r>
    </w:p>
    <w:p w:rsidR="00A92422" w:rsidRPr="005061AB" w:rsidRDefault="00A92422" w:rsidP="00A92422">
      <w:pPr>
        <w:pStyle w:val="FootnoteBulletLevel1"/>
        <w:spacing w:before="0" w:after="0"/>
        <w:ind w:left="907" w:firstLine="0"/>
        <w:rPr>
          <w:rFonts w:ascii="Tahoma" w:hAnsi="Tahoma" w:cs="Tahoma"/>
          <w:sz w:val="18"/>
          <w:szCs w:val="18"/>
        </w:rPr>
      </w:pPr>
    </w:p>
    <w:p w:rsidR="00A92422" w:rsidRPr="00D87B79" w:rsidRDefault="00A92422" w:rsidP="00A92422">
      <w:pPr>
        <w:pStyle w:val="FootnoteBulletLevel2"/>
        <w:numPr>
          <w:ilvl w:val="0"/>
          <w:numId w:val="15"/>
        </w:numPr>
        <w:spacing w:before="0" w:after="60"/>
        <w:ind w:left="1440"/>
        <w:rPr>
          <w:rFonts w:ascii="Tahoma" w:hAnsi="Tahoma" w:cs="Tahoma"/>
        </w:rPr>
      </w:pPr>
      <w:r w:rsidRPr="00D87B79">
        <w:rPr>
          <w:rFonts w:ascii="Tahoma" w:hAnsi="Tahoma" w:cs="Tahoma"/>
          <w:sz w:val="18"/>
          <w:lang w:val="it-IT"/>
        </w:rPr>
        <w:t>Visual Studio Professional con MSDN</w:t>
      </w:r>
    </w:p>
    <w:p w:rsidR="00A92422" w:rsidRPr="00D87B79" w:rsidRDefault="00A92422" w:rsidP="00A92422">
      <w:pPr>
        <w:pStyle w:val="FootnoteBulletLevel2"/>
        <w:numPr>
          <w:ilvl w:val="0"/>
          <w:numId w:val="15"/>
        </w:numPr>
        <w:spacing w:before="0" w:after="60"/>
        <w:ind w:left="1440"/>
        <w:rPr>
          <w:rFonts w:ascii="Tahoma" w:hAnsi="Tahoma" w:cs="Tahoma"/>
        </w:rPr>
      </w:pPr>
      <w:r w:rsidRPr="00D87B79">
        <w:rPr>
          <w:rFonts w:ascii="Tahoma" w:hAnsi="Tahoma" w:cs="Tahoma"/>
          <w:sz w:val="18"/>
          <w:lang w:val="it-IT"/>
        </w:rPr>
        <w:t>Visual Studio Test Professional con MSDN</w:t>
      </w:r>
    </w:p>
    <w:p w:rsidR="00A92422" w:rsidRPr="00D87B79" w:rsidRDefault="00A92422" w:rsidP="00A92422">
      <w:pPr>
        <w:pStyle w:val="FootnoteBulletLevel2"/>
        <w:numPr>
          <w:ilvl w:val="0"/>
          <w:numId w:val="15"/>
        </w:numPr>
        <w:spacing w:before="0" w:after="60"/>
        <w:ind w:left="1440"/>
        <w:rPr>
          <w:rFonts w:ascii="Tahoma" w:hAnsi="Tahoma" w:cs="Tahoma"/>
        </w:rPr>
      </w:pPr>
      <w:r w:rsidRPr="00D87B79">
        <w:rPr>
          <w:rFonts w:ascii="Tahoma" w:hAnsi="Tahoma" w:cs="Tahoma"/>
          <w:sz w:val="18"/>
          <w:lang w:val="it-IT"/>
        </w:rPr>
        <w:lastRenderedPageBreak/>
        <w:t>Sistemi Operativi MSDN</w:t>
      </w:r>
    </w:p>
    <w:p w:rsidR="00A92422" w:rsidRPr="005061AB" w:rsidRDefault="00A92422" w:rsidP="00A92422">
      <w:pPr>
        <w:pStyle w:val="FootnoteBulletLevel1"/>
        <w:spacing w:before="0" w:after="0"/>
        <w:ind w:left="907" w:firstLine="0"/>
        <w:rPr>
          <w:rFonts w:ascii="Tahoma" w:hAnsi="Tahoma" w:cs="Tahoma"/>
          <w:sz w:val="18"/>
          <w:szCs w:val="18"/>
        </w:rPr>
      </w:pPr>
    </w:p>
    <w:p w:rsidR="00A92422" w:rsidRPr="00D87B79" w:rsidRDefault="00A92422" w:rsidP="00A92422">
      <w:pPr>
        <w:pStyle w:val="FootnoteBulletLevel1"/>
        <w:tabs>
          <w:tab w:val="clear" w:pos="900"/>
        </w:tabs>
        <w:spacing w:before="0" w:after="0"/>
        <w:ind w:left="720" w:firstLine="0"/>
        <w:rPr>
          <w:rFonts w:ascii="Tahoma" w:hAnsi="Tahoma" w:cs="Tahoma"/>
        </w:rPr>
      </w:pPr>
      <w:r w:rsidRPr="00D87B79">
        <w:rPr>
          <w:rFonts w:ascii="Tahoma" w:hAnsi="Tahoma" w:cs="Tahoma"/>
          <w:sz w:val="18"/>
          <w:lang w:val="it-IT"/>
        </w:rPr>
        <w:t xml:space="preserve">Le società che hanno stipulato contratti Enterprise, Select o Open Value con copertura Software Assurance attiva per Visual Studio Premium 2012 con MSDN potranno anch’esse effettuare lo step-up a Visual Studio Ultimate 2012 con MSDN acquistando lo </w:t>
      </w:r>
      <w:hyperlink w:anchor="Step_Up" w:history="1">
        <w:r w:rsidRPr="00D87B79">
          <w:rPr>
            <w:rFonts w:ascii="Tahoma" w:hAnsi="Tahoma" w:cs="Tahoma"/>
            <w:sz w:val="18"/>
            <w:lang w:val="it-IT"/>
          </w:rPr>
          <w:t>SKU di Step-Up</w:t>
        </w:r>
      </w:hyperlink>
      <w:r w:rsidRPr="00D87B79">
        <w:rPr>
          <w:rFonts w:ascii="Tahoma" w:hAnsi="Tahoma" w:cs="Tahoma"/>
          <w:sz w:val="18"/>
          <w:lang w:val="it-IT"/>
        </w:rPr>
        <w:t xml:space="preserve"> idoneo.</w:t>
      </w:r>
    </w:p>
    <w:p w:rsidR="00A92422" w:rsidRPr="00884169" w:rsidRDefault="00A92422" w:rsidP="00A92422">
      <w:pPr>
        <w:pStyle w:val="FootnoteBulletLevel2"/>
        <w:tabs>
          <w:tab w:val="clear" w:pos="1260"/>
        </w:tabs>
        <w:spacing w:before="0"/>
        <w:ind w:left="720" w:firstLine="0"/>
        <w:rPr>
          <w:rFonts w:ascii="Tahoma" w:hAnsi="Tahoma" w:cs="Tahoma"/>
          <w:sz w:val="18"/>
          <w:szCs w:val="18"/>
        </w:rPr>
      </w:pPr>
    </w:p>
    <w:p w:rsidR="00A92422" w:rsidRPr="00D87B79" w:rsidRDefault="00A92422" w:rsidP="00A92422">
      <w:pPr>
        <w:spacing w:after="60"/>
        <w:ind w:left="720"/>
        <w:rPr>
          <w:rFonts w:cs="Tahoma"/>
        </w:rPr>
      </w:pPr>
      <w:r w:rsidRPr="00D87B79">
        <w:rPr>
          <w:rFonts w:cs="Tahoma"/>
          <w:b/>
          <w:lang w:val="it-IT"/>
        </w:rPr>
        <w:t>Servizi “Subscription”</w:t>
      </w:r>
    </w:p>
    <w:p w:rsidR="00A92422" w:rsidRPr="00D87B79" w:rsidRDefault="00A92422" w:rsidP="00A92422">
      <w:pPr>
        <w:pStyle w:val="FootnoteBulletLevel2"/>
        <w:tabs>
          <w:tab w:val="clear" w:pos="1260"/>
        </w:tabs>
        <w:spacing w:before="0"/>
        <w:ind w:left="720" w:firstLine="0"/>
        <w:rPr>
          <w:rFonts w:ascii="Tahoma" w:hAnsi="Tahoma" w:cs="Tahoma"/>
        </w:rPr>
      </w:pPr>
      <w:r w:rsidRPr="00D87B79">
        <w:rPr>
          <w:rFonts w:ascii="Tahoma" w:hAnsi="Tahoma" w:cs="Tahoma"/>
          <w:sz w:val="18"/>
          <w:lang w:val="it-IT"/>
        </w:rPr>
        <w:t>I servizi MSDN in abbonamento, che potranno includere download, codici “Product Key”, vantaggi di Windows Azure, e-learning, supporto tecnico, vantaggi di Windows Store e altri servizi, sono disponibili solo durante il periodo di validità dell’abbonamento.</w:t>
      </w:r>
    </w:p>
    <w:p w:rsidR="00A92422" w:rsidRPr="00884169" w:rsidRDefault="00A92422" w:rsidP="00A92422">
      <w:pPr>
        <w:pStyle w:val="FootnoteBulletLevel1"/>
        <w:tabs>
          <w:tab w:val="clear" w:pos="900"/>
        </w:tabs>
        <w:spacing w:before="0" w:after="0"/>
        <w:ind w:left="720" w:firstLine="0"/>
        <w:rPr>
          <w:rFonts w:ascii="Tahoma" w:hAnsi="Tahoma" w:cs="Tahoma"/>
          <w:sz w:val="18"/>
          <w:szCs w:val="18"/>
        </w:rPr>
      </w:pPr>
    </w:p>
    <w:p w:rsidR="00A92422" w:rsidRPr="00D87B79" w:rsidRDefault="00A92422" w:rsidP="00A92422">
      <w:pPr>
        <w:spacing w:after="60"/>
        <w:ind w:left="720"/>
        <w:rPr>
          <w:rFonts w:cs="Tahoma"/>
        </w:rPr>
      </w:pPr>
      <w:r w:rsidRPr="00D87B79">
        <w:rPr>
          <w:rFonts w:cs="Tahoma"/>
          <w:b/>
          <w:lang w:val="it-IT"/>
        </w:rPr>
        <w:t>Servizi della Piattaforma Windows Azure</w:t>
      </w:r>
    </w:p>
    <w:p w:rsidR="00A92422" w:rsidRDefault="00A92422" w:rsidP="00A92422">
      <w:pPr>
        <w:pStyle w:val="FootnoteBulletLevel2"/>
        <w:tabs>
          <w:tab w:val="clear" w:pos="1260"/>
        </w:tabs>
        <w:spacing w:before="0"/>
        <w:ind w:left="720" w:firstLine="0"/>
        <w:rPr>
          <w:rFonts w:ascii="Tahoma" w:hAnsi="Tahoma" w:cs="Tahoma"/>
          <w:sz w:val="18"/>
          <w:szCs w:val="18"/>
        </w:rPr>
      </w:pPr>
      <w:r w:rsidRPr="00D87B79">
        <w:rPr>
          <w:rFonts w:ascii="Tahoma" w:hAnsi="Tahoma" w:cs="Tahoma"/>
          <w:sz w:val="18"/>
          <w:lang w:val="it-IT"/>
        </w:rPr>
        <w:t>I vantaggi di Windows Azure non possono essere una combinazione di più abbonamenti a MSDN su un singolo account di Windows Azure.</w:t>
      </w:r>
      <w:r w:rsidRPr="00D87B79">
        <w:rPr>
          <w:rFonts w:ascii="Tahoma" w:hAnsi="Tahoma" w:cs="Tahoma"/>
        </w:rPr>
        <w:t xml:space="preserve"> </w:t>
      </w:r>
      <w:r w:rsidRPr="00D87B79">
        <w:rPr>
          <w:rFonts w:ascii="Tahoma" w:hAnsi="Tahoma" w:cs="Tahoma"/>
          <w:sz w:val="18"/>
          <w:lang w:val="it-IT"/>
        </w:rPr>
        <w:t>L’uso di Windows Azure è soggetto alle relative condizioni per l’utilizzo.</w:t>
      </w:r>
    </w:p>
    <w:p w:rsidR="00A92422" w:rsidRDefault="00A92422" w:rsidP="00A92422">
      <w:pPr>
        <w:pStyle w:val="FootnoteBulletLevel2"/>
        <w:tabs>
          <w:tab w:val="clear" w:pos="1260"/>
        </w:tabs>
        <w:spacing w:before="0"/>
        <w:ind w:left="0" w:firstLine="0"/>
        <w:rPr>
          <w:rFonts w:ascii="Tahoma" w:hAnsi="Tahoma" w:cs="Tahoma"/>
          <w:sz w:val="18"/>
          <w:szCs w:val="18"/>
        </w:rPr>
      </w:pPr>
    </w:p>
    <w:p w:rsidR="00A92422" w:rsidRPr="00884169" w:rsidRDefault="00A92422" w:rsidP="00A92422">
      <w:pPr>
        <w:pStyle w:val="FootnoteBulletLevel2"/>
        <w:tabs>
          <w:tab w:val="clear" w:pos="1260"/>
        </w:tabs>
        <w:spacing w:before="0"/>
        <w:ind w:left="0" w:firstLine="0"/>
        <w:rPr>
          <w:rFonts w:ascii="Tahoma" w:hAnsi="Tahoma" w:cs="Tahoma"/>
          <w:sz w:val="18"/>
          <w:szCs w:val="18"/>
        </w:rPr>
      </w:pPr>
    </w:p>
    <w:p w:rsidR="00A92422" w:rsidRPr="00D87B79" w:rsidRDefault="00A92422" w:rsidP="00A92422">
      <w:pPr>
        <w:pStyle w:val="Heading3"/>
        <w:rPr>
          <w:rFonts w:ascii="Tahoma" w:hAnsi="Tahoma" w:cs="Tahoma"/>
        </w:rPr>
      </w:pPr>
      <w:bookmarkStart w:id="1134" w:name="_Toc336338278"/>
      <w:bookmarkStart w:id="1135" w:name="_Toc342900327"/>
      <w:bookmarkStart w:id="1136" w:name="Aps_18VS2010UltimateMSDN"/>
      <w:bookmarkEnd w:id="1134"/>
      <w:r w:rsidRPr="00D87B79">
        <w:rPr>
          <w:rFonts w:ascii="Tahoma" w:hAnsi="Tahoma" w:cs="Tahoma"/>
          <w:caps/>
          <w:color w:val="F66400"/>
          <w:sz w:val="22"/>
          <w:vertAlign w:val="superscript"/>
          <w:lang w:val="it-IT"/>
        </w:rPr>
        <w:t>19</w:t>
      </w:r>
      <w:r w:rsidRPr="00D87B79">
        <w:rPr>
          <w:rFonts w:ascii="Tahoma" w:hAnsi="Tahoma" w:cs="Tahoma"/>
          <w:color w:val="F66400"/>
          <w:sz w:val="22"/>
          <w:lang w:val="it-IT"/>
        </w:rPr>
        <w:t xml:space="preserve"> Visual Studio Ultimate 2012 con MSDN</w:t>
      </w:r>
      <w:bookmarkEnd w:id="1135"/>
      <w:r w:rsidRPr="00D87B79">
        <w:rPr>
          <w:rFonts w:ascii="Tahoma" w:hAnsi="Tahoma" w:cs="Tahoma"/>
        </w:rPr>
        <w:t xml:space="preserve"> </w:t>
      </w:r>
    </w:p>
    <w:bookmarkEnd w:id="1136"/>
    <w:p w:rsidR="00A92422" w:rsidRPr="00D87B79" w:rsidRDefault="00A92422" w:rsidP="00A92422">
      <w:pPr>
        <w:adjustRightInd w:val="0"/>
        <w:ind w:left="540"/>
        <w:textAlignment w:val="baseline"/>
        <w:rPr>
          <w:rFonts w:cs="Tahoma"/>
        </w:rPr>
      </w:pPr>
    </w:p>
    <w:p w:rsidR="00A92422" w:rsidRPr="00D87B79" w:rsidRDefault="00A92422" w:rsidP="00A92422">
      <w:pPr>
        <w:spacing w:after="60"/>
        <w:ind w:left="720"/>
        <w:rPr>
          <w:rFonts w:cs="Tahoma"/>
        </w:rPr>
      </w:pPr>
      <w:r w:rsidRPr="00D87B79">
        <w:rPr>
          <w:rFonts w:cs="Tahoma"/>
          <w:b/>
          <w:lang w:val="it-IT"/>
        </w:rPr>
        <w:t>Visual Studio Team Foundation Server 2012</w:t>
      </w:r>
    </w:p>
    <w:p w:rsidR="00A92422" w:rsidRPr="0057501B" w:rsidRDefault="00A92422" w:rsidP="00A92422">
      <w:pPr>
        <w:pStyle w:val="EndnoteText"/>
        <w:ind w:left="720"/>
        <w:rPr>
          <w:rFonts w:ascii="Tahoma" w:hAnsi="Tahoma" w:cs="Tahoma"/>
          <w:sz w:val="18"/>
          <w:szCs w:val="18"/>
        </w:rPr>
      </w:pPr>
      <w:r w:rsidRPr="0057501B">
        <w:rPr>
          <w:rFonts w:ascii="Tahoma" w:hAnsi="Tahoma" w:cs="Tahoma"/>
          <w:sz w:val="18"/>
          <w:szCs w:val="18"/>
          <w:lang w:val="it-IT"/>
        </w:rPr>
        <w:t>Il sottoscrittore è idoneo a ricevere una licenza server per Visual Studio Team Foundation Server 2012 e</w:t>
      </w:r>
      <w:r>
        <w:rPr>
          <w:rFonts w:ascii="Tahoma" w:hAnsi="Tahoma" w:cs="Tahoma"/>
          <w:sz w:val="18"/>
          <w:szCs w:val="18"/>
          <w:lang w:val="it-IT"/>
        </w:rPr>
        <w:t> </w:t>
      </w:r>
      <w:r w:rsidRPr="0057501B">
        <w:rPr>
          <w:rFonts w:ascii="Tahoma" w:hAnsi="Tahoma" w:cs="Tahoma"/>
          <w:sz w:val="18"/>
          <w:szCs w:val="18"/>
          <w:lang w:val="it-IT"/>
        </w:rPr>
        <w:t>una</w:t>
      </w:r>
      <w:r>
        <w:rPr>
          <w:rFonts w:ascii="Tahoma" w:hAnsi="Tahoma" w:cs="Tahoma"/>
          <w:sz w:val="18"/>
          <w:szCs w:val="18"/>
          <w:lang w:val="it-IT"/>
        </w:rPr>
        <w:t> </w:t>
      </w:r>
      <w:r w:rsidRPr="0057501B">
        <w:rPr>
          <w:rFonts w:ascii="Tahoma" w:hAnsi="Tahoma" w:cs="Tahoma"/>
          <w:sz w:val="18"/>
          <w:szCs w:val="18"/>
          <w:lang w:val="it-IT"/>
        </w:rPr>
        <w:t>User CAL per Team Foundation Server. La licenza CAL è riservata esclusivamente per l'utilizzo da</w:t>
      </w:r>
      <w:r>
        <w:rPr>
          <w:rFonts w:ascii="Tahoma" w:hAnsi="Tahoma" w:cs="Tahoma"/>
          <w:sz w:val="18"/>
          <w:szCs w:val="18"/>
          <w:lang w:val="it-IT"/>
        </w:rPr>
        <w:t> </w:t>
      </w:r>
      <w:r w:rsidRPr="0057501B">
        <w:rPr>
          <w:rFonts w:ascii="Tahoma" w:hAnsi="Tahoma" w:cs="Tahoma"/>
          <w:sz w:val="18"/>
          <w:szCs w:val="18"/>
          <w:lang w:val="it-IT"/>
        </w:rPr>
        <w:t>parte del sottoscrittore.</w:t>
      </w:r>
    </w:p>
    <w:p w:rsidR="00A92422" w:rsidRPr="00533305" w:rsidRDefault="00A92422" w:rsidP="00A92422">
      <w:pPr>
        <w:pStyle w:val="EndnoteText"/>
        <w:ind w:left="720"/>
        <w:rPr>
          <w:rFonts w:ascii="Tahoma" w:hAnsi="Tahoma" w:cs="Tahoma"/>
          <w:sz w:val="18"/>
          <w:szCs w:val="18"/>
        </w:rPr>
      </w:pPr>
    </w:p>
    <w:p w:rsidR="00A92422" w:rsidRPr="00D87B79" w:rsidRDefault="00A92422" w:rsidP="00A92422">
      <w:pPr>
        <w:spacing w:after="60"/>
        <w:ind w:left="720"/>
        <w:rPr>
          <w:rFonts w:cs="Tahoma"/>
        </w:rPr>
      </w:pPr>
      <w:r w:rsidRPr="00D87B79">
        <w:rPr>
          <w:rFonts w:cs="Tahoma"/>
          <w:b/>
          <w:lang w:val="it-IT"/>
        </w:rPr>
        <w:t>SQL Server Parallel Data Warehouse Developer</w:t>
      </w:r>
    </w:p>
    <w:p w:rsidR="00A92422" w:rsidRPr="00D87B79" w:rsidRDefault="00A92422" w:rsidP="00A92422">
      <w:pPr>
        <w:pStyle w:val="EndnoteText"/>
        <w:ind w:left="720"/>
        <w:rPr>
          <w:rFonts w:ascii="Tahoma" w:hAnsi="Tahoma" w:cs="Tahoma"/>
        </w:rPr>
      </w:pPr>
      <w:r w:rsidRPr="00D87B79">
        <w:rPr>
          <w:rFonts w:ascii="Tahoma" w:hAnsi="Tahoma" w:cs="Tahoma"/>
          <w:sz w:val="18"/>
          <w:lang w:val="it-IT"/>
        </w:rPr>
        <w:t>Il sottoscrittore è idoneo a ricevere una licenza per SQL Server 2008 R2 Parallel Data Warehouse Developer.</w:t>
      </w:r>
    </w:p>
    <w:p w:rsidR="00A92422" w:rsidRPr="00D87B79" w:rsidRDefault="00A92422" w:rsidP="00A92422">
      <w:pPr>
        <w:adjustRightInd w:val="0"/>
        <w:ind w:left="720"/>
        <w:textAlignment w:val="baseline"/>
        <w:rPr>
          <w:rFonts w:cs="Tahoma"/>
        </w:rPr>
      </w:pPr>
    </w:p>
    <w:p w:rsidR="00A92422" w:rsidRPr="00D87B79" w:rsidRDefault="00A92422" w:rsidP="00A92422">
      <w:pPr>
        <w:spacing w:after="60"/>
        <w:ind w:left="720"/>
        <w:rPr>
          <w:rFonts w:cs="Tahoma"/>
        </w:rPr>
      </w:pPr>
      <w:r w:rsidRPr="00D87B79">
        <w:rPr>
          <w:rFonts w:cs="Tahoma"/>
          <w:b/>
          <w:lang w:val="it-IT"/>
        </w:rPr>
        <w:t>Requisiti di Idoneità per Software Assurance</w:t>
      </w:r>
    </w:p>
    <w:p w:rsidR="00A92422" w:rsidRPr="00D87B79" w:rsidRDefault="00A92422" w:rsidP="00A92422">
      <w:pPr>
        <w:ind w:left="720"/>
        <w:rPr>
          <w:rFonts w:cs="Tahoma"/>
        </w:rPr>
      </w:pPr>
      <w:r w:rsidRPr="00D87B79">
        <w:rPr>
          <w:rFonts w:cs="Tahoma"/>
          <w:lang w:val="it-IT"/>
        </w:rPr>
        <w:t>Le società con copertura Software Assurance in scadenza per i seguenti prodotti sono idonee a rinnovare la</w:t>
      </w:r>
      <w:r>
        <w:rPr>
          <w:rFonts w:cs="Tahoma"/>
          <w:lang w:val="it-IT"/>
        </w:rPr>
        <w:t> </w:t>
      </w:r>
      <w:r w:rsidRPr="00D87B79">
        <w:rPr>
          <w:rFonts w:cs="Tahoma"/>
          <w:lang w:val="it-IT"/>
        </w:rPr>
        <w:t>copertura come Visual Studio Ultimate 2012 con MSDN.</w:t>
      </w:r>
    </w:p>
    <w:p w:rsidR="00A92422" w:rsidRPr="00D87B79" w:rsidRDefault="00A92422" w:rsidP="00A92422">
      <w:pPr>
        <w:ind w:left="900"/>
        <w:rPr>
          <w:rFonts w:cs="Tahoma"/>
        </w:rPr>
      </w:pPr>
    </w:p>
    <w:p w:rsidR="00A92422" w:rsidRPr="00D87B79" w:rsidRDefault="00A92422" w:rsidP="00A92422">
      <w:pPr>
        <w:numPr>
          <w:ilvl w:val="0"/>
          <w:numId w:val="15"/>
        </w:numPr>
        <w:adjustRightInd w:val="0"/>
        <w:snapToGrid w:val="0"/>
        <w:spacing w:after="60"/>
        <w:ind w:left="1440"/>
        <w:textAlignment w:val="baseline"/>
        <w:rPr>
          <w:rFonts w:cs="Tahoma"/>
        </w:rPr>
      </w:pPr>
      <w:r w:rsidRPr="00D87B79">
        <w:rPr>
          <w:rFonts w:cs="Tahoma"/>
          <w:lang w:val="it-IT"/>
        </w:rPr>
        <w:t>Visual Studio Ultimate con MSDN</w:t>
      </w:r>
    </w:p>
    <w:p w:rsidR="00A92422" w:rsidRPr="00D87B79" w:rsidRDefault="00A92422" w:rsidP="00A92422">
      <w:pPr>
        <w:numPr>
          <w:ilvl w:val="0"/>
          <w:numId w:val="15"/>
        </w:numPr>
        <w:adjustRightInd w:val="0"/>
        <w:snapToGrid w:val="0"/>
        <w:spacing w:after="60"/>
        <w:ind w:left="1440"/>
        <w:textAlignment w:val="baseline"/>
        <w:rPr>
          <w:rFonts w:cs="Tahoma"/>
        </w:rPr>
      </w:pPr>
      <w:r w:rsidRPr="00D87B79">
        <w:rPr>
          <w:rFonts w:cs="Tahoma"/>
          <w:lang w:val="it-IT"/>
        </w:rPr>
        <w:t>Visual Studio Team System Team Suite con MSDN Premium</w:t>
      </w:r>
    </w:p>
    <w:p w:rsidR="00A92422" w:rsidRPr="00D87B79" w:rsidRDefault="00A92422" w:rsidP="00A92422">
      <w:pPr>
        <w:numPr>
          <w:ilvl w:val="0"/>
          <w:numId w:val="15"/>
        </w:numPr>
        <w:adjustRightInd w:val="0"/>
        <w:snapToGrid w:val="0"/>
        <w:spacing w:after="60"/>
        <w:ind w:left="1440"/>
        <w:textAlignment w:val="baseline"/>
        <w:rPr>
          <w:rFonts w:cs="Tahoma"/>
        </w:rPr>
      </w:pPr>
      <w:r w:rsidRPr="00D87B79">
        <w:rPr>
          <w:rFonts w:cs="Tahoma"/>
          <w:lang w:val="it-IT"/>
        </w:rPr>
        <w:t>Visual Studio Team System Test Edition con MSDN Premium</w:t>
      </w:r>
    </w:p>
    <w:p w:rsidR="00A92422" w:rsidRPr="00D87B79" w:rsidRDefault="00A92422" w:rsidP="00A92422">
      <w:pPr>
        <w:numPr>
          <w:ilvl w:val="0"/>
          <w:numId w:val="15"/>
        </w:numPr>
        <w:adjustRightInd w:val="0"/>
        <w:snapToGrid w:val="0"/>
        <w:spacing w:after="60"/>
        <w:ind w:left="1440"/>
        <w:textAlignment w:val="baseline"/>
        <w:rPr>
          <w:rFonts w:cs="Tahoma"/>
        </w:rPr>
      </w:pPr>
      <w:r w:rsidRPr="00D87B79">
        <w:rPr>
          <w:rFonts w:cs="Tahoma"/>
          <w:lang w:val="it-IT"/>
        </w:rPr>
        <w:t>Visual Studio Team System Development Edition con MSDN Premium</w:t>
      </w:r>
    </w:p>
    <w:p w:rsidR="00A92422" w:rsidRPr="00D87B79" w:rsidRDefault="00A92422" w:rsidP="00A92422">
      <w:pPr>
        <w:numPr>
          <w:ilvl w:val="0"/>
          <w:numId w:val="15"/>
        </w:numPr>
        <w:adjustRightInd w:val="0"/>
        <w:snapToGrid w:val="0"/>
        <w:spacing w:after="60"/>
        <w:ind w:left="1440"/>
        <w:textAlignment w:val="baseline"/>
        <w:rPr>
          <w:rFonts w:cs="Tahoma"/>
        </w:rPr>
      </w:pPr>
      <w:r w:rsidRPr="00D87B79">
        <w:rPr>
          <w:rFonts w:cs="Tahoma"/>
          <w:lang w:val="it-IT"/>
        </w:rPr>
        <w:t>Visual Studio Team System Architecture Edition con MSDN Premium</w:t>
      </w:r>
      <w:r w:rsidRPr="00D87B79">
        <w:rPr>
          <w:rFonts w:cs="Tahoma"/>
        </w:rPr>
        <w:t xml:space="preserve"> </w:t>
      </w:r>
    </w:p>
    <w:p w:rsidR="00A92422" w:rsidRPr="00D87B79" w:rsidRDefault="00A92422" w:rsidP="00A92422">
      <w:pPr>
        <w:numPr>
          <w:ilvl w:val="0"/>
          <w:numId w:val="15"/>
        </w:numPr>
        <w:adjustRightInd w:val="0"/>
        <w:snapToGrid w:val="0"/>
        <w:spacing w:after="60"/>
        <w:ind w:left="1440"/>
        <w:textAlignment w:val="baseline"/>
        <w:rPr>
          <w:rFonts w:cs="Tahoma"/>
        </w:rPr>
      </w:pPr>
      <w:r w:rsidRPr="00D87B79">
        <w:rPr>
          <w:rFonts w:cs="Tahoma"/>
          <w:lang w:val="it-IT"/>
        </w:rPr>
        <w:t>Visual Studio Team System Database Edition con MSDN Premium</w:t>
      </w:r>
    </w:p>
    <w:p w:rsidR="00A92422" w:rsidRPr="00D87B79" w:rsidRDefault="00A92422" w:rsidP="00A92422">
      <w:pPr>
        <w:numPr>
          <w:ilvl w:val="0"/>
          <w:numId w:val="15"/>
        </w:numPr>
        <w:adjustRightInd w:val="0"/>
        <w:snapToGrid w:val="0"/>
        <w:spacing w:after="60"/>
        <w:ind w:left="1440"/>
        <w:textAlignment w:val="baseline"/>
        <w:rPr>
          <w:rFonts w:cs="Tahoma"/>
        </w:rPr>
      </w:pPr>
      <w:r w:rsidRPr="00D87B79">
        <w:rPr>
          <w:rFonts w:cs="Tahoma"/>
          <w:lang w:val="it-IT"/>
        </w:rPr>
        <w:t>Società titolari di un abbonamento retail attivo per qualsiasi prodotto software indicato nel</w:t>
      </w:r>
      <w:r>
        <w:rPr>
          <w:rFonts w:cs="Tahoma"/>
          <w:lang w:val="it-IT"/>
        </w:rPr>
        <w:t> </w:t>
      </w:r>
      <w:r w:rsidRPr="00D87B79">
        <w:rPr>
          <w:rFonts w:cs="Tahoma"/>
          <w:lang w:val="it-IT"/>
        </w:rPr>
        <w:t>precedente elenco.</w:t>
      </w:r>
    </w:p>
    <w:p w:rsidR="00A92422" w:rsidRPr="00D87B79" w:rsidRDefault="00A92422" w:rsidP="00A92422">
      <w:pPr>
        <w:tabs>
          <w:tab w:val="num" w:pos="900"/>
        </w:tabs>
        <w:adjustRightInd w:val="0"/>
        <w:ind w:left="1440"/>
        <w:textAlignment w:val="baseline"/>
        <w:rPr>
          <w:rFonts w:cs="Tahoma"/>
        </w:rPr>
      </w:pPr>
    </w:p>
    <w:p w:rsidR="00A92422" w:rsidRPr="00D87B79" w:rsidRDefault="00A92422" w:rsidP="00A92422">
      <w:pPr>
        <w:adjustRightInd w:val="0"/>
        <w:ind w:left="720"/>
        <w:textAlignment w:val="baseline"/>
        <w:rPr>
          <w:rFonts w:cs="Tahoma"/>
        </w:rPr>
      </w:pPr>
      <w:r w:rsidRPr="00D87B79">
        <w:rPr>
          <w:rFonts w:cs="Tahoma"/>
          <w:lang w:val="it-IT"/>
        </w:rPr>
        <w:t>Le società con copertura Software Assurance in scadenza per Visual Studio Ultimate 2012 con MSDN sono idonee a rinnovare la copertura come:</w:t>
      </w:r>
      <w:r w:rsidRPr="00D87B79">
        <w:rPr>
          <w:rFonts w:cs="Tahoma"/>
          <w:szCs w:val="20"/>
        </w:rPr>
        <w:t xml:space="preserve"> </w:t>
      </w:r>
    </w:p>
    <w:p w:rsidR="00A92422" w:rsidRPr="00D87B79" w:rsidRDefault="00A92422" w:rsidP="00A92422">
      <w:pPr>
        <w:adjustRightInd w:val="0"/>
        <w:ind w:left="720"/>
        <w:textAlignment w:val="baseline"/>
        <w:rPr>
          <w:rFonts w:cs="Tahoma"/>
        </w:rPr>
      </w:pPr>
    </w:p>
    <w:p w:rsidR="00A92422" w:rsidRPr="00D87B79" w:rsidRDefault="00A92422" w:rsidP="00A92422">
      <w:pPr>
        <w:numPr>
          <w:ilvl w:val="0"/>
          <w:numId w:val="15"/>
        </w:numPr>
        <w:adjustRightInd w:val="0"/>
        <w:snapToGrid w:val="0"/>
        <w:spacing w:after="60"/>
        <w:ind w:left="1440"/>
        <w:textAlignment w:val="baseline"/>
        <w:rPr>
          <w:rFonts w:cs="Tahoma"/>
        </w:rPr>
      </w:pPr>
      <w:r w:rsidRPr="00D87B79">
        <w:rPr>
          <w:rFonts w:cs="Tahoma"/>
          <w:lang w:val="it-IT"/>
        </w:rPr>
        <w:t>Visual Studio Premium con MSDN</w:t>
      </w:r>
    </w:p>
    <w:p w:rsidR="00A92422" w:rsidRPr="00D87B79" w:rsidRDefault="00A92422" w:rsidP="00A92422">
      <w:pPr>
        <w:numPr>
          <w:ilvl w:val="0"/>
          <w:numId w:val="15"/>
        </w:numPr>
        <w:adjustRightInd w:val="0"/>
        <w:snapToGrid w:val="0"/>
        <w:spacing w:after="60"/>
        <w:ind w:left="1440"/>
        <w:textAlignment w:val="baseline"/>
        <w:rPr>
          <w:rFonts w:cs="Tahoma"/>
        </w:rPr>
      </w:pPr>
      <w:r w:rsidRPr="00D87B79">
        <w:rPr>
          <w:rFonts w:cs="Tahoma"/>
          <w:lang w:val="it-IT"/>
        </w:rPr>
        <w:t>Visual Studio Professional con MSDN</w:t>
      </w:r>
    </w:p>
    <w:p w:rsidR="00A92422" w:rsidRPr="00D87B79" w:rsidRDefault="00A92422" w:rsidP="00A92422">
      <w:pPr>
        <w:numPr>
          <w:ilvl w:val="0"/>
          <w:numId w:val="15"/>
        </w:numPr>
        <w:adjustRightInd w:val="0"/>
        <w:snapToGrid w:val="0"/>
        <w:spacing w:after="60"/>
        <w:ind w:left="1440"/>
        <w:textAlignment w:val="baseline"/>
        <w:rPr>
          <w:rFonts w:cs="Tahoma"/>
        </w:rPr>
      </w:pPr>
      <w:r w:rsidRPr="00D87B79">
        <w:rPr>
          <w:rFonts w:cs="Tahoma"/>
          <w:lang w:val="it-IT"/>
        </w:rPr>
        <w:t>Visual Studio Test Professional con MSDN</w:t>
      </w:r>
    </w:p>
    <w:p w:rsidR="00A92422" w:rsidRPr="00D87B79" w:rsidRDefault="00A92422" w:rsidP="00A92422">
      <w:pPr>
        <w:numPr>
          <w:ilvl w:val="0"/>
          <w:numId w:val="15"/>
        </w:numPr>
        <w:adjustRightInd w:val="0"/>
        <w:snapToGrid w:val="0"/>
        <w:spacing w:after="60"/>
        <w:ind w:left="1440"/>
        <w:textAlignment w:val="baseline"/>
        <w:rPr>
          <w:rFonts w:cs="Tahoma"/>
        </w:rPr>
      </w:pPr>
      <w:r w:rsidRPr="00D87B79">
        <w:rPr>
          <w:rFonts w:cs="Tahoma"/>
          <w:lang w:val="it-IT"/>
        </w:rPr>
        <w:t>Sistemi Operativi MSDN</w:t>
      </w:r>
    </w:p>
    <w:p w:rsidR="00A92422" w:rsidRPr="00D87B79" w:rsidRDefault="00A92422" w:rsidP="00A92422">
      <w:pPr>
        <w:tabs>
          <w:tab w:val="num" w:pos="900"/>
        </w:tabs>
        <w:adjustRightInd w:val="0"/>
        <w:ind w:left="900"/>
        <w:textAlignment w:val="baseline"/>
        <w:rPr>
          <w:rFonts w:cs="Tahoma"/>
        </w:rPr>
      </w:pPr>
    </w:p>
    <w:p w:rsidR="00A92422" w:rsidRPr="00D87B79" w:rsidRDefault="00A92422" w:rsidP="00A92422">
      <w:pPr>
        <w:adjustRightInd w:val="0"/>
        <w:ind w:left="720"/>
        <w:textAlignment w:val="baseline"/>
        <w:rPr>
          <w:rFonts w:cs="Tahoma"/>
        </w:rPr>
      </w:pPr>
      <w:r w:rsidRPr="00D87B79">
        <w:rPr>
          <w:rFonts w:cs="Tahoma"/>
          <w:lang w:val="it-IT"/>
        </w:rPr>
        <w:t>Le società che hanno stipulato contratti Enterprise, Select o Open Value con copertura Software Assurance attiva su qualunque dei seguenti prodotti potranno anch’esse effettuare lo step-up a Visual Studio Ultimate</w:t>
      </w:r>
      <w:r>
        <w:rPr>
          <w:rFonts w:cs="Tahoma"/>
          <w:lang w:val="it-IT"/>
        </w:rPr>
        <w:t> </w:t>
      </w:r>
      <w:r w:rsidRPr="00D87B79">
        <w:rPr>
          <w:rFonts w:cs="Tahoma"/>
          <w:lang w:val="it-IT"/>
        </w:rPr>
        <w:t xml:space="preserve">2012 con MSDN acquistando lo </w:t>
      </w:r>
      <w:hyperlink w:anchor="Step_Up" w:history="1">
        <w:r w:rsidRPr="00D87B79">
          <w:rPr>
            <w:rFonts w:cs="Tahoma"/>
            <w:lang w:val="it-IT"/>
          </w:rPr>
          <w:t>SKU di Step-Up</w:t>
        </w:r>
      </w:hyperlink>
      <w:r w:rsidRPr="00D87B79">
        <w:rPr>
          <w:rFonts w:cs="Tahoma"/>
          <w:lang w:val="it-IT"/>
        </w:rPr>
        <w:t xml:space="preserve"> idoneo.</w:t>
      </w:r>
    </w:p>
    <w:p w:rsidR="00A92422" w:rsidRPr="00D87B79" w:rsidRDefault="00A92422" w:rsidP="00A92422">
      <w:pPr>
        <w:tabs>
          <w:tab w:val="num" w:pos="900"/>
        </w:tabs>
        <w:adjustRightInd w:val="0"/>
        <w:ind w:left="900"/>
        <w:textAlignment w:val="baseline"/>
        <w:rPr>
          <w:rFonts w:cs="Tahoma"/>
        </w:rPr>
      </w:pPr>
    </w:p>
    <w:p w:rsidR="00A92422" w:rsidRPr="00D87B79" w:rsidRDefault="00A92422" w:rsidP="00A92422">
      <w:pPr>
        <w:numPr>
          <w:ilvl w:val="0"/>
          <w:numId w:val="15"/>
        </w:numPr>
        <w:adjustRightInd w:val="0"/>
        <w:snapToGrid w:val="0"/>
        <w:ind w:left="1440"/>
        <w:textAlignment w:val="baseline"/>
        <w:rPr>
          <w:rFonts w:cs="Tahoma"/>
        </w:rPr>
      </w:pPr>
      <w:r w:rsidRPr="00D87B79">
        <w:rPr>
          <w:rFonts w:cs="Tahoma"/>
          <w:lang w:val="it-IT"/>
        </w:rPr>
        <w:t>Visual Studio Premium con MSDN</w:t>
      </w:r>
    </w:p>
    <w:p w:rsidR="00A92422" w:rsidRPr="00D87B79" w:rsidRDefault="00A92422" w:rsidP="00A92422">
      <w:pPr>
        <w:adjustRightInd w:val="0"/>
        <w:snapToGrid w:val="0"/>
        <w:textAlignment w:val="baseline"/>
        <w:rPr>
          <w:rFonts w:cs="Tahoma"/>
        </w:rPr>
      </w:pPr>
    </w:p>
    <w:p w:rsidR="00A92422" w:rsidRPr="00D87B79" w:rsidRDefault="00A92422" w:rsidP="00A92422">
      <w:pPr>
        <w:spacing w:after="60"/>
        <w:ind w:left="720"/>
        <w:rPr>
          <w:rFonts w:cs="Tahoma"/>
        </w:rPr>
      </w:pPr>
      <w:r w:rsidRPr="00D87B79">
        <w:rPr>
          <w:rFonts w:cs="Tahoma"/>
          <w:b/>
          <w:lang w:val="it-IT"/>
        </w:rPr>
        <w:lastRenderedPageBreak/>
        <w:t>Servizi “Subscription”</w:t>
      </w:r>
    </w:p>
    <w:p w:rsidR="00A92422" w:rsidRPr="00D87B79" w:rsidRDefault="00A92422" w:rsidP="00A92422">
      <w:pPr>
        <w:pStyle w:val="FootnoteBulletLevel2"/>
        <w:tabs>
          <w:tab w:val="clear" w:pos="1260"/>
        </w:tabs>
        <w:spacing w:before="0"/>
        <w:ind w:left="720" w:firstLine="0"/>
        <w:rPr>
          <w:rFonts w:ascii="Tahoma" w:hAnsi="Tahoma" w:cs="Tahoma"/>
        </w:rPr>
      </w:pPr>
      <w:r w:rsidRPr="00D87B79">
        <w:rPr>
          <w:rFonts w:ascii="Tahoma" w:hAnsi="Tahoma" w:cs="Tahoma"/>
          <w:sz w:val="18"/>
          <w:lang w:val="it-IT"/>
        </w:rPr>
        <w:t>I servizi MSDN in abbonamento, che potranno includere download, codici “Product Key”, vantaggi di</w:t>
      </w:r>
      <w:r>
        <w:rPr>
          <w:rFonts w:ascii="Tahoma" w:hAnsi="Tahoma" w:cs="Tahoma"/>
          <w:sz w:val="18"/>
          <w:lang w:val="it-IT"/>
        </w:rPr>
        <w:t> </w:t>
      </w:r>
      <w:r w:rsidRPr="00D87B79">
        <w:rPr>
          <w:rFonts w:ascii="Tahoma" w:hAnsi="Tahoma" w:cs="Tahoma"/>
          <w:sz w:val="18"/>
          <w:lang w:val="it-IT"/>
        </w:rPr>
        <w:t>Windows Azure, e-learning, supporto tecnico, vantaggi di Windows Store e altri servizi, sono disponibili solo durante il periodo di validità dell’abbonamento.</w:t>
      </w:r>
    </w:p>
    <w:p w:rsidR="00A92422" w:rsidRPr="00D87B79" w:rsidRDefault="00A92422" w:rsidP="00A92422">
      <w:pPr>
        <w:pStyle w:val="FootnoteBulletLevel1"/>
        <w:spacing w:before="0" w:after="0"/>
        <w:ind w:left="720" w:firstLine="0"/>
        <w:rPr>
          <w:rFonts w:ascii="Tahoma" w:hAnsi="Tahoma" w:cs="Tahoma"/>
        </w:rPr>
      </w:pPr>
    </w:p>
    <w:p w:rsidR="00A92422" w:rsidRPr="00D87B79" w:rsidRDefault="00A92422" w:rsidP="00A92422">
      <w:pPr>
        <w:spacing w:after="60"/>
        <w:ind w:left="720"/>
        <w:rPr>
          <w:rFonts w:cs="Tahoma"/>
        </w:rPr>
      </w:pPr>
      <w:r w:rsidRPr="00D87B79">
        <w:rPr>
          <w:rFonts w:cs="Tahoma"/>
          <w:b/>
          <w:lang w:val="it-IT"/>
        </w:rPr>
        <w:t>Servizi della Piattaforma Windows Azure</w:t>
      </w:r>
    </w:p>
    <w:p w:rsidR="00A92422" w:rsidRDefault="00A92422" w:rsidP="00A92422">
      <w:pPr>
        <w:adjustRightInd w:val="0"/>
        <w:snapToGrid w:val="0"/>
        <w:ind w:left="720"/>
        <w:textAlignment w:val="baseline"/>
        <w:rPr>
          <w:rFonts w:cs="Tahoma"/>
        </w:rPr>
      </w:pPr>
      <w:r w:rsidRPr="00D87B79">
        <w:rPr>
          <w:rFonts w:cs="Tahoma"/>
          <w:lang w:val="it-IT"/>
        </w:rPr>
        <w:t>I vantaggi di Windows Azure non possono essere una combinazione di più abbonamenti a MSDN su un singolo account di Windows Azure.</w:t>
      </w:r>
      <w:r w:rsidRPr="00D87B79">
        <w:rPr>
          <w:rFonts w:cs="Tahoma"/>
        </w:rPr>
        <w:t xml:space="preserve"> </w:t>
      </w:r>
      <w:bookmarkStart w:id="1137" w:name="Aps_19VS2010TestMSDN"/>
      <w:r w:rsidRPr="00D87B79">
        <w:rPr>
          <w:rFonts w:cs="Tahoma"/>
          <w:lang w:val="it-IT"/>
        </w:rPr>
        <w:t>L’uso di Windows Azure è soggetto alle relative condizioni per l’utilizzo.</w:t>
      </w:r>
    </w:p>
    <w:p w:rsidR="00A92422" w:rsidRDefault="00A92422" w:rsidP="00A92422">
      <w:pPr>
        <w:adjustRightInd w:val="0"/>
        <w:snapToGrid w:val="0"/>
        <w:textAlignment w:val="baseline"/>
        <w:rPr>
          <w:rFonts w:cs="Tahoma"/>
        </w:rPr>
      </w:pPr>
    </w:p>
    <w:p w:rsidR="00A92422" w:rsidRPr="00D87B79" w:rsidRDefault="00A92422" w:rsidP="00A92422">
      <w:pPr>
        <w:adjustRightInd w:val="0"/>
        <w:snapToGrid w:val="0"/>
        <w:textAlignment w:val="baseline"/>
        <w:rPr>
          <w:rFonts w:cs="Tahoma"/>
        </w:rPr>
      </w:pPr>
    </w:p>
    <w:p w:rsidR="00A92422" w:rsidRPr="00D87B79" w:rsidRDefault="00A92422" w:rsidP="00A92422">
      <w:pPr>
        <w:pStyle w:val="Heading3"/>
        <w:rPr>
          <w:rFonts w:ascii="Tahoma" w:hAnsi="Tahoma" w:cs="Tahoma"/>
        </w:rPr>
      </w:pPr>
      <w:bookmarkStart w:id="1138" w:name="_Toc336338279"/>
      <w:bookmarkStart w:id="1139" w:name="_Toc342900328"/>
      <w:bookmarkEnd w:id="1137"/>
      <w:bookmarkEnd w:id="1138"/>
      <w:r w:rsidRPr="00D87B79">
        <w:rPr>
          <w:rFonts w:ascii="Tahoma" w:hAnsi="Tahoma" w:cs="Tahoma"/>
          <w:caps/>
          <w:color w:val="F66400"/>
          <w:sz w:val="22"/>
          <w:vertAlign w:val="superscript"/>
          <w:lang w:val="it-IT"/>
        </w:rPr>
        <w:t>20</w:t>
      </w:r>
      <w:r w:rsidRPr="00D87B79">
        <w:rPr>
          <w:rFonts w:ascii="Tahoma" w:hAnsi="Tahoma" w:cs="Tahoma"/>
          <w:color w:val="F66400"/>
          <w:sz w:val="22"/>
          <w:lang w:val="it-IT"/>
        </w:rPr>
        <w:t xml:space="preserve"> Visual Studio Test Professional 2012 con MSDN</w:t>
      </w:r>
      <w:bookmarkEnd w:id="1139"/>
      <w:r w:rsidRPr="00D87B79">
        <w:rPr>
          <w:rFonts w:ascii="Tahoma" w:hAnsi="Tahoma" w:cs="Tahoma"/>
        </w:rPr>
        <w:t xml:space="preserve"> </w:t>
      </w:r>
    </w:p>
    <w:p w:rsidR="00A92422" w:rsidRPr="00E53687" w:rsidRDefault="00A92422" w:rsidP="00A92422">
      <w:pPr>
        <w:pStyle w:val="FootnoteBulletLevel1"/>
        <w:spacing w:before="0" w:after="0"/>
        <w:rPr>
          <w:rFonts w:ascii="Tahoma" w:hAnsi="Tahoma" w:cs="Tahoma"/>
          <w:sz w:val="18"/>
          <w:szCs w:val="18"/>
        </w:rPr>
      </w:pPr>
    </w:p>
    <w:p w:rsidR="00A92422" w:rsidRPr="00D87B79" w:rsidRDefault="00A92422" w:rsidP="00A92422">
      <w:pPr>
        <w:spacing w:after="60"/>
        <w:ind w:left="720"/>
        <w:rPr>
          <w:rFonts w:cs="Tahoma"/>
        </w:rPr>
      </w:pPr>
      <w:r w:rsidRPr="00D87B79">
        <w:rPr>
          <w:rFonts w:cs="Tahoma"/>
          <w:b/>
          <w:lang w:val="it-IT"/>
        </w:rPr>
        <w:t>Visual Studio Team Foundation Server 2012</w:t>
      </w:r>
    </w:p>
    <w:p w:rsidR="00A92422" w:rsidRPr="00E53687" w:rsidRDefault="00A92422" w:rsidP="00A92422">
      <w:pPr>
        <w:pStyle w:val="EndnoteText"/>
        <w:ind w:left="720"/>
        <w:rPr>
          <w:rFonts w:ascii="Tahoma" w:hAnsi="Tahoma" w:cs="Tahoma"/>
          <w:sz w:val="18"/>
          <w:szCs w:val="18"/>
        </w:rPr>
      </w:pPr>
      <w:r w:rsidRPr="00E53687">
        <w:rPr>
          <w:rFonts w:ascii="Tahoma" w:hAnsi="Tahoma" w:cs="Tahoma"/>
          <w:sz w:val="18"/>
          <w:szCs w:val="18"/>
          <w:lang w:val="it-IT"/>
        </w:rPr>
        <w:t>Il sottoscrittore è idoneo a ricevere una licenza server per Visual Studio Team Foundation Server 2012 e una User CAL per Team Foundation Server. La licenza CAL è riservata esclusivamente per l'utilizzo da parte del sottoscrittore.</w:t>
      </w:r>
    </w:p>
    <w:p w:rsidR="00A92422" w:rsidRPr="00E53687" w:rsidRDefault="00A92422" w:rsidP="00A92422">
      <w:pPr>
        <w:pStyle w:val="EndnoteText"/>
        <w:ind w:left="720"/>
        <w:rPr>
          <w:rFonts w:ascii="Tahoma" w:hAnsi="Tahoma" w:cs="Tahoma"/>
          <w:sz w:val="18"/>
          <w:szCs w:val="18"/>
        </w:rPr>
      </w:pPr>
    </w:p>
    <w:p w:rsidR="00A92422" w:rsidRPr="00D87B79" w:rsidRDefault="00A92422" w:rsidP="00A92422">
      <w:pPr>
        <w:spacing w:after="60"/>
        <w:ind w:left="720"/>
        <w:rPr>
          <w:rFonts w:cs="Tahoma"/>
        </w:rPr>
      </w:pPr>
      <w:r w:rsidRPr="00D87B79">
        <w:rPr>
          <w:rFonts w:cs="Tahoma"/>
          <w:b/>
          <w:lang w:val="it-IT"/>
        </w:rPr>
        <w:t>SQL Server Parallel Data Warehouse Developer</w:t>
      </w:r>
    </w:p>
    <w:p w:rsidR="00A92422" w:rsidRPr="00D87B79" w:rsidRDefault="00A92422" w:rsidP="00A92422">
      <w:pPr>
        <w:pStyle w:val="EndnoteText"/>
        <w:ind w:left="720"/>
        <w:rPr>
          <w:rFonts w:ascii="Tahoma" w:hAnsi="Tahoma" w:cs="Tahoma"/>
        </w:rPr>
      </w:pPr>
      <w:r w:rsidRPr="00D87B79">
        <w:rPr>
          <w:rFonts w:ascii="Tahoma" w:hAnsi="Tahoma" w:cs="Tahoma"/>
          <w:sz w:val="18"/>
          <w:lang w:val="it-IT"/>
        </w:rPr>
        <w:t>Il sottoscrittore è idoneo a ricevere una licenza per SQL Server 2008 R2 Parallel Data Warehouse Developer.</w:t>
      </w:r>
    </w:p>
    <w:p w:rsidR="00A92422" w:rsidRPr="00E53687" w:rsidRDefault="00A92422" w:rsidP="00A92422">
      <w:pPr>
        <w:pStyle w:val="FootnoteBulletLevel1"/>
        <w:tabs>
          <w:tab w:val="clear" w:pos="900"/>
        </w:tabs>
        <w:spacing w:before="0" w:after="0"/>
        <w:ind w:left="720" w:firstLine="0"/>
        <w:rPr>
          <w:rFonts w:ascii="Tahoma" w:hAnsi="Tahoma" w:cs="Tahoma"/>
          <w:sz w:val="18"/>
          <w:szCs w:val="18"/>
        </w:rPr>
      </w:pPr>
    </w:p>
    <w:p w:rsidR="00A92422" w:rsidRPr="00D87B79" w:rsidRDefault="00A92422" w:rsidP="00A92422">
      <w:pPr>
        <w:spacing w:after="60"/>
        <w:ind w:left="720"/>
        <w:rPr>
          <w:rFonts w:cs="Tahoma"/>
        </w:rPr>
      </w:pPr>
      <w:r w:rsidRPr="00D87B79">
        <w:rPr>
          <w:rFonts w:cs="Tahoma"/>
          <w:b/>
          <w:lang w:val="it-IT"/>
        </w:rPr>
        <w:t>Requisiti di Idoneità per Software Assurance</w:t>
      </w:r>
    </w:p>
    <w:p w:rsidR="00A92422" w:rsidRPr="00D87B79" w:rsidRDefault="00A92422" w:rsidP="00A92422">
      <w:pPr>
        <w:pStyle w:val="EndnoteText"/>
        <w:ind w:left="720"/>
        <w:rPr>
          <w:rFonts w:ascii="Tahoma" w:hAnsi="Tahoma" w:cs="Tahoma"/>
        </w:rPr>
      </w:pPr>
      <w:r w:rsidRPr="00D87B79">
        <w:rPr>
          <w:rFonts w:ascii="Tahoma" w:hAnsi="Tahoma" w:cs="Tahoma"/>
          <w:sz w:val="18"/>
          <w:lang w:val="it-IT"/>
        </w:rPr>
        <w:t>Le società con copertura Software Assurance in scadenza sui seguenti prodotti sono idonee a rinnovare la</w:t>
      </w:r>
      <w:r>
        <w:rPr>
          <w:rFonts w:ascii="Tahoma" w:hAnsi="Tahoma" w:cs="Tahoma"/>
          <w:sz w:val="18"/>
          <w:lang w:val="it-IT"/>
        </w:rPr>
        <w:t> </w:t>
      </w:r>
      <w:r w:rsidRPr="00D87B79">
        <w:rPr>
          <w:rFonts w:ascii="Tahoma" w:hAnsi="Tahoma" w:cs="Tahoma"/>
          <w:sz w:val="18"/>
          <w:lang w:val="it-IT"/>
        </w:rPr>
        <w:t>copertura come Visual Studio Test Professional 2012 con MSDN:</w:t>
      </w:r>
    </w:p>
    <w:p w:rsidR="00A92422" w:rsidRPr="00E53687" w:rsidRDefault="00A92422" w:rsidP="00A92422">
      <w:pPr>
        <w:pStyle w:val="EndnoteText"/>
        <w:rPr>
          <w:rFonts w:ascii="Tahoma" w:hAnsi="Tahoma" w:cs="Tahoma"/>
          <w:sz w:val="18"/>
          <w:szCs w:val="18"/>
        </w:rPr>
      </w:pPr>
    </w:p>
    <w:p w:rsidR="00A92422" w:rsidRPr="00D87B79" w:rsidRDefault="00A92422" w:rsidP="00A92422">
      <w:pPr>
        <w:pStyle w:val="FootnoteBulletLevel2"/>
        <w:numPr>
          <w:ilvl w:val="0"/>
          <w:numId w:val="14"/>
        </w:numPr>
        <w:spacing w:before="0" w:after="60"/>
        <w:ind w:left="1440"/>
        <w:rPr>
          <w:rFonts w:ascii="Tahoma" w:hAnsi="Tahoma" w:cs="Tahoma"/>
        </w:rPr>
      </w:pPr>
      <w:r w:rsidRPr="00D87B79">
        <w:rPr>
          <w:rFonts w:ascii="Tahoma" w:hAnsi="Tahoma" w:cs="Tahoma"/>
          <w:sz w:val="18"/>
          <w:lang w:val="it-IT"/>
        </w:rPr>
        <w:t>Visual Studio Ultimate con MSDN</w:t>
      </w:r>
    </w:p>
    <w:p w:rsidR="00A92422" w:rsidRPr="00D87B79" w:rsidRDefault="00A92422" w:rsidP="00A92422">
      <w:pPr>
        <w:pStyle w:val="FootnoteBulletLevel2"/>
        <w:numPr>
          <w:ilvl w:val="0"/>
          <w:numId w:val="14"/>
        </w:numPr>
        <w:spacing w:before="0" w:after="60"/>
        <w:ind w:left="1440"/>
        <w:rPr>
          <w:rFonts w:ascii="Tahoma" w:hAnsi="Tahoma" w:cs="Tahoma"/>
        </w:rPr>
      </w:pPr>
      <w:r w:rsidRPr="00D87B79">
        <w:rPr>
          <w:rFonts w:ascii="Tahoma" w:hAnsi="Tahoma" w:cs="Tahoma"/>
          <w:sz w:val="18"/>
          <w:lang w:val="it-IT"/>
        </w:rPr>
        <w:t>Visual Studio Test Professional con MSDN</w:t>
      </w:r>
    </w:p>
    <w:p w:rsidR="00A92422" w:rsidRPr="00D87B79" w:rsidRDefault="00A92422" w:rsidP="00A92422">
      <w:pPr>
        <w:pStyle w:val="FootnoteBulletLevel2"/>
        <w:numPr>
          <w:ilvl w:val="0"/>
          <w:numId w:val="14"/>
        </w:numPr>
        <w:spacing w:before="0" w:after="60"/>
        <w:ind w:left="1440"/>
        <w:rPr>
          <w:rFonts w:ascii="Tahoma" w:hAnsi="Tahoma" w:cs="Tahoma"/>
        </w:rPr>
      </w:pPr>
      <w:r w:rsidRPr="00D87B79">
        <w:rPr>
          <w:rFonts w:ascii="Tahoma" w:hAnsi="Tahoma" w:cs="Tahoma"/>
          <w:sz w:val="18"/>
          <w:lang w:val="it-IT"/>
        </w:rPr>
        <w:t>Società titolari di un abbonamento retail attivo per qualsiasi prodotto software indicato nel</w:t>
      </w:r>
      <w:r>
        <w:rPr>
          <w:rFonts w:ascii="Tahoma" w:hAnsi="Tahoma" w:cs="Tahoma"/>
          <w:sz w:val="18"/>
          <w:lang w:val="it-IT"/>
        </w:rPr>
        <w:t> </w:t>
      </w:r>
      <w:r w:rsidRPr="00D87B79">
        <w:rPr>
          <w:rFonts w:ascii="Tahoma" w:hAnsi="Tahoma" w:cs="Tahoma"/>
          <w:sz w:val="18"/>
          <w:lang w:val="it-IT"/>
        </w:rPr>
        <w:t>precedente elenco.</w:t>
      </w:r>
    </w:p>
    <w:p w:rsidR="00A92422" w:rsidRPr="00E53687" w:rsidRDefault="00A92422" w:rsidP="00A92422">
      <w:pPr>
        <w:pStyle w:val="FootnoteBulletLevel1"/>
        <w:spacing w:before="0" w:after="0"/>
        <w:ind w:firstLine="0"/>
        <w:rPr>
          <w:rFonts w:ascii="Tahoma" w:hAnsi="Tahoma" w:cs="Tahoma"/>
          <w:sz w:val="18"/>
          <w:szCs w:val="18"/>
        </w:rPr>
      </w:pPr>
    </w:p>
    <w:p w:rsidR="00A92422" w:rsidRPr="00D87B79" w:rsidRDefault="00A92422" w:rsidP="00A92422">
      <w:pPr>
        <w:pStyle w:val="FootnoteBulletLevel2"/>
        <w:tabs>
          <w:tab w:val="clear" w:pos="1260"/>
        </w:tabs>
        <w:spacing w:before="0"/>
        <w:ind w:left="720" w:firstLine="0"/>
        <w:rPr>
          <w:rFonts w:ascii="Tahoma" w:hAnsi="Tahoma" w:cs="Tahoma"/>
        </w:rPr>
      </w:pPr>
      <w:r w:rsidRPr="00D87B79">
        <w:rPr>
          <w:rFonts w:ascii="Tahoma" w:hAnsi="Tahoma" w:cs="Tahoma"/>
          <w:sz w:val="18"/>
          <w:lang w:val="it-IT"/>
        </w:rPr>
        <w:t xml:space="preserve">Le società che hanno stipulato contratti Enterprise, Select o Open Value con copertura Software Assurance attiva per Visual Studio Test Professional 2012 con MSDN potranno anch'esse effettuare lo step-up a Visual Studio Premium 2012 con MSDN acquistando lo </w:t>
      </w:r>
      <w:hyperlink w:anchor="Step_Up" w:history="1">
        <w:r w:rsidRPr="00D87B79">
          <w:rPr>
            <w:rFonts w:ascii="Tahoma" w:hAnsi="Tahoma" w:cs="Tahoma"/>
            <w:sz w:val="18"/>
            <w:lang w:val="it-IT"/>
          </w:rPr>
          <w:t>SKU di Step-Up</w:t>
        </w:r>
      </w:hyperlink>
      <w:r w:rsidRPr="00D87B79">
        <w:rPr>
          <w:rFonts w:ascii="Tahoma" w:hAnsi="Tahoma" w:cs="Tahoma"/>
          <w:sz w:val="18"/>
          <w:lang w:val="it-IT"/>
        </w:rPr>
        <w:t xml:space="preserve"> idoneo.</w:t>
      </w:r>
    </w:p>
    <w:p w:rsidR="00A92422" w:rsidRPr="00E53687" w:rsidRDefault="00A92422" w:rsidP="00A92422">
      <w:pPr>
        <w:pStyle w:val="FootnoteBulletLevel2"/>
        <w:tabs>
          <w:tab w:val="clear" w:pos="1260"/>
        </w:tabs>
        <w:spacing w:before="0"/>
        <w:ind w:left="720" w:firstLine="0"/>
        <w:rPr>
          <w:rFonts w:ascii="Tahoma" w:hAnsi="Tahoma" w:cs="Tahoma"/>
          <w:sz w:val="18"/>
          <w:szCs w:val="18"/>
        </w:rPr>
      </w:pPr>
    </w:p>
    <w:p w:rsidR="00A92422" w:rsidRPr="00D87B79" w:rsidRDefault="00A92422" w:rsidP="00A92422">
      <w:pPr>
        <w:spacing w:after="60"/>
        <w:ind w:left="720"/>
        <w:rPr>
          <w:rFonts w:cs="Tahoma"/>
        </w:rPr>
      </w:pPr>
      <w:r w:rsidRPr="00D87B79">
        <w:rPr>
          <w:rFonts w:cs="Tahoma"/>
          <w:b/>
          <w:lang w:val="it-IT"/>
        </w:rPr>
        <w:t>Servizi “Subscription”</w:t>
      </w:r>
    </w:p>
    <w:p w:rsidR="00A92422" w:rsidRPr="00D87B79" w:rsidRDefault="00A92422" w:rsidP="00A92422">
      <w:pPr>
        <w:ind w:left="720"/>
        <w:rPr>
          <w:rFonts w:cs="Tahoma"/>
        </w:rPr>
      </w:pPr>
      <w:bookmarkStart w:id="1140" w:name="_14_Operating_System"/>
      <w:bookmarkEnd w:id="1140"/>
      <w:r w:rsidRPr="00D87B79">
        <w:rPr>
          <w:rFonts w:cs="Tahoma"/>
          <w:lang w:val="it-IT"/>
        </w:rPr>
        <w:t>I servizi MSDN in abbonamento, che potranno includere download, codici “Product Key”, vantaggi di</w:t>
      </w:r>
      <w:r>
        <w:rPr>
          <w:rFonts w:cs="Tahoma"/>
          <w:lang w:val="it-IT"/>
        </w:rPr>
        <w:t> </w:t>
      </w:r>
      <w:r w:rsidRPr="00D87B79">
        <w:rPr>
          <w:rFonts w:cs="Tahoma"/>
          <w:lang w:val="it-IT"/>
        </w:rPr>
        <w:t>Windows Azure, e-learning, supporto tecnico, vantaggi di Windows Store e altri servizi, sono disponibili solo durante il periodo di validità dell’abbonamento.</w:t>
      </w:r>
    </w:p>
    <w:p w:rsidR="00A92422" w:rsidRDefault="00A92422" w:rsidP="00A92422">
      <w:pPr>
        <w:rPr>
          <w:rStyle w:val="LogoportDoNotTranslate"/>
          <w:rFonts w:ascii="Tahoma" w:hAnsi="Tahoma" w:cs="Tahoma"/>
          <w:sz w:val="18"/>
          <w:szCs w:val="76"/>
        </w:rPr>
      </w:pPr>
      <w:r>
        <w:rPr>
          <w:rStyle w:val="LogoportDoNotTranslate"/>
          <w:rFonts w:ascii="Tahoma" w:hAnsi="Tahoma" w:cs="Tahoma"/>
          <w:sz w:val="18"/>
          <w:szCs w:val="76"/>
        </w:rPr>
        <w:br w:type="page"/>
      </w:r>
    </w:p>
    <w:p w:rsidR="00A92422" w:rsidRPr="00D87B79" w:rsidRDefault="00A92422" w:rsidP="00A92422">
      <w:pPr>
        <w:pStyle w:val="Heading2"/>
        <w:ind w:left="0"/>
        <w:rPr>
          <w:rFonts w:ascii="Tahoma" w:hAnsi="Tahoma" w:cs="Tahoma"/>
        </w:rPr>
      </w:pPr>
      <w:bookmarkStart w:id="1141" w:name="_Toc336338280"/>
      <w:bookmarkStart w:id="1142" w:name="_Toc342900329"/>
      <w:bookmarkEnd w:id="1141"/>
      <w:r w:rsidRPr="00D87B79">
        <w:rPr>
          <w:rFonts w:ascii="Tahoma" w:hAnsi="Tahoma" w:cs="Tahoma"/>
          <w:sz w:val="28"/>
          <w:lang w:val="it-IT"/>
        </w:rPr>
        <w:lastRenderedPageBreak/>
        <w:t>Pool di Sistemi</w:t>
      </w:r>
      <w:bookmarkEnd w:id="1142"/>
    </w:p>
    <w:p w:rsidR="00A92422" w:rsidRPr="00D87B79" w:rsidRDefault="00A92422" w:rsidP="00A92422">
      <w:pPr>
        <w:rPr>
          <w:rFonts w:cs="Tahoma"/>
        </w:rPr>
      </w:pPr>
    </w:p>
    <w:p w:rsidR="00A92422" w:rsidRPr="00D87B79" w:rsidRDefault="00A92422" w:rsidP="00A92422">
      <w:pPr>
        <w:pStyle w:val="Heading3"/>
        <w:rPr>
          <w:rFonts w:ascii="Tahoma" w:hAnsi="Tahoma" w:cs="Tahoma"/>
        </w:rPr>
      </w:pPr>
      <w:bookmarkStart w:id="1143" w:name="_Toc336338281"/>
      <w:bookmarkStart w:id="1144" w:name="_21_Licenza_“Subscription”"/>
      <w:bookmarkStart w:id="1145" w:name="_Toc342900330"/>
      <w:bookmarkEnd w:id="1143"/>
      <w:bookmarkEnd w:id="1144"/>
      <w:r w:rsidRPr="00D87B79">
        <w:rPr>
          <w:rFonts w:ascii="Tahoma" w:hAnsi="Tahoma" w:cs="Tahoma"/>
          <w:caps/>
          <w:color w:val="F66400"/>
          <w:sz w:val="22"/>
          <w:vertAlign w:val="superscript"/>
          <w:lang w:val="it-IT"/>
        </w:rPr>
        <w:t>21</w:t>
      </w:r>
      <w:r w:rsidRPr="00916984">
        <w:rPr>
          <w:rFonts w:ascii="Tahoma" w:hAnsi="Tahoma" w:cs="Tahoma"/>
          <w:caps/>
          <w:color w:val="F66400"/>
          <w:sz w:val="22"/>
          <w:lang w:val="it-IT"/>
        </w:rPr>
        <w:t xml:space="preserve"> </w:t>
      </w:r>
      <w:r w:rsidRPr="00D87B79">
        <w:rPr>
          <w:rFonts w:ascii="Tahoma" w:hAnsi="Tahoma" w:cs="Tahoma"/>
          <w:color w:val="F66400"/>
          <w:sz w:val="22"/>
          <w:lang w:val="it-IT"/>
        </w:rPr>
        <w:t>Licenza “Subscription” per Windows</w:t>
      </w:r>
      <w:r w:rsidRPr="003A0F2F">
        <w:rPr>
          <w:rFonts w:ascii="Tahoma" w:hAnsi="Tahoma" w:cs="Tahoma"/>
          <w:color w:val="F66400"/>
          <w:sz w:val="22"/>
          <w:vertAlign w:val="superscript"/>
          <w:lang w:val="it-IT"/>
        </w:rPr>
        <w:t>®</w:t>
      </w:r>
      <w:r w:rsidRPr="00D87B79">
        <w:rPr>
          <w:rFonts w:ascii="Tahoma" w:hAnsi="Tahoma" w:cs="Tahoma"/>
          <w:color w:val="F66400"/>
          <w:sz w:val="22"/>
          <w:lang w:val="it-IT"/>
        </w:rPr>
        <w:t xml:space="preserve"> Companion</w:t>
      </w:r>
      <w:bookmarkEnd w:id="1145"/>
    </w:p>
    <w:p w:rsidR="00A92422" w:rsidRPr="00D87B79" w:rsidRDefault="00A92422" w:rsidP="00A92422">
      <w:pPr>
        <w:rPr>
          <w:rFonts w:cs="Tahoma"/>
        </w:rPr>
      </w:pPr>
    </w:p>
    <w:p w:rsidR="00A92422" w:rsidRPr="00D87B79" w:rsidRDefault="00A92422" w:rsidP="00A92422">
      <w:pPr>
        <w:ind w:left="720"/>
        <w:rPr>
          <w:rFonts w:cs="Tahoma"/>
        </w:rPr>
      </w:pPr>
      <w:r w:rsidRPr="00D87B79">
        <w:rPr>
          <w:rFonts w:cs="Tahoma"/>
          <w:color w:val="000000"/>
          <w:lang w:val="it-IT"/>
        </w:rPr>
        <w:t>Istituti che hanno stipulato un Contratto School:</w:t>
      </w:r>
      <w:r w:rsidRPr="00D87B79">
        <w:rPr>
          <w:rFonts w:cs="Tahoma"/>
          <w:color w:val="000000"/>
        </w:rPr>
        <w:t xml:space="preserve"> </w:t>
      </w:r>
      <w:r w:rsidRPr="00D87B79">
        <w:rPr>
          <w:rFonts w:cs="Tahoma"/>
          <w:color w:val="000000"/>
          <w:lang w:val="it-IT"/>
        </w:rPr>
        <w:t>gli Istituti potranno acquistare la Licenza “Subscription” per</w:t>
      </w:r>
      <w:r>
        <w:rPr>
          <w:rFonts w:cs="Tahoma"/>
          <w:color w:val="000000"/>
          <w:lang w:val="it-IT"/>
        </w:rPr>
        <w:t> </w:t>
      </w:r>
      <w:r w:rsidRPr="00D87B79">
        <w:rPr>
          <w:rFonts w:cs="Tahoma"/>
          <w:color w:val="000000"/>
          <w:lang w:val="it-IT"/>
        </w:rPr>
        <w:t>Windows Companion (Companion Subscription License o “CSL”), qualora dispongano della copertura per</w:t>
      </w:r>
      <w:r>
        <w:rPr>
          <w:rFonts w:cs="Tahoma"/>
          <w:color w:val="000000"/>
          <w:lang w:val="it-IT"/>
        </w:rPr>
        <w:t> </w:t>
      </w:r>
      <w:r w:rsidRPr="00D87B79">
        <w:rPr>
          <w:rFonts w:cs="Tahoma"/>
          <w:color w:val="000000"/>
          <w:lang w:val="it-IT"/>
        </w:rPr>
        <w:t>i prodotti qualificanti.</w:t>
      </w:r>
      <w:r w:rsidRPr="00D87B79">
        <w:rPr>
          <w:rFonts w:cs="Tahoma"/>
        </w:rPr>
        <w:t xml:space="preserve"> </w:t>
      </w:r>
      <w:r w:rsidRPr="00D87B79">
        <w:rPr>
          <w:rFonts w:cs="Tahoma"/>
          <w:color w:val="000000"/>
          <w:lang w:val="it-IT"/>
        </w:rPr>
        <w:t>La quantità massima di CSL acquistabili è pari al numero di prodotti qualificanti per i PC Idonei dell’istituto.</w:t>
      </w:r>
    </w:p>
    <w:p w:rsidR="00A92422" w:rsidRPr="00D87B79" w:rsidRDefault="00A92422" w:rsidP="00A92422">
      <w:pPr>
        <w:rPr>
          <w:rFonts w:cs="Tahoma"/>
        </w:rPr>
      </w:pPr>
    </w:p>
    <w:p w:rsidR="00A92422" w:rsidRPr="00D87B79" w:rsidRDefault="00A92422" w:rsidP="00A92422">
      <w:pPr>
        <w:rPr>
          <w:rFonts w:cs="Tahoma"/>
        </w:rPr>
      </w:pPr>
    </w:p>
    <w:p w:rsidR="00A92422" w:rsidRPr="00D87B79" w:rsidRDefault="00A92422" w:rsidP="00A92422">
      <w:pPr>
        <w:pStyle w:val="Heading3"/>
        <w:rPr>
          <w:rFonts w:ascii="Tahoma" w:hAnsi="Tahoma" w:cs="Tahoma"/>
        </w:rPr>
      </w:pPr>
      <w:bookmarkStart w:id="1146" w:name="_Toc336338282"/>
      <w:bookmarkStart w:id="1147" w:name="_22_Windows_Vista"/>
      <w:bookmarkStart w:id="1148" w:name="_Toc342900331"/>
      <w:bookmarkStart w:id="1149" w:name="Sys_24WindowsVistaDVDPack"/>
      <w:bookmarkEnd w:id="1146"/>
      <w:bookmarkEnd w:id="1147"/>
      <w:r w:rsidRPr="00D87B79">
        <w:rPr>
          <w:rFonts w:ascii="Tahoma" w:hAnsi="Tahoma" w:cs="Tahoma"/>
          <w:caps/>
          <w:color w:val="F66400"/>
          <w:sz w:val="22"/>
          <w:vertAlign w:val="superscript"/>
          <w:lang w:val="it-IT"/>
        </w:rPr>
        <w:t>22</w:t>
      </w:r>
      <w:r w:rsidRPr="00D87B79">
        <w:rPr>
          <w:rFonts w:ascii="Tahoma" w:hAnsi="Tahoma" w:cs="Tahoma"/>
          <w:color w:val="F66400"/>
          <w:sz w:val="22"/>
          <w:lang w:val="it-IT"/>
        </w:rPr>
        <w:t xml:space="preserve"> Windows Vista DVD Playback Pack</w:t>
      </w:r>
      <w:bookmarkEnd w:id="1148"/>
    </w:p>
    <w:bookmarkEnd w:id="1149"/>
    <w:p w:rsidR="00A92422" w:rsidRPr="00D87B79" w:rsidRDefault="00A92422" w:rsidP="00A92422">
      <w:pPr>
        <w:rPr>
          <w:rFonts w:cs="Tahoma"/>
        </w:rPr>
      </w:pPr>
    </w:p>
    <w:p w:rsidR="00A92422" w:rsidRPr="00D87B79" w:rsidRDefault="00A92422" w:rsidP="00A92422">
      <w:pPr>
        <w:ind w:left="720"/>
        <w:rPr>
          <w:rFonts w:cs="Tahoma"/>
        </w:rPr>
      </w:pPr>
      <w:r w:rsidRPr="00D87B79">
        <w:rPr>
          <w:rFonts w:cs="Tahoma"/>
          <w:color w:val="000000"/>
          <w:lang w:val="it-IT"/>
        </w:rPr>
        <w:t>Le società Volume License che installano o eseguono Windows Vista DVD Playback Pack dovranno consultare i Diritti sull’Utilizzo dei Prodotti Concessi in Licenza da Microsoft del mese di dicembre 2010 per</w:t>
      </w:r>
      <w:r>
        <w:rPr>
          <w:rFonts w:cs="Tahoma"/>
          <w:color w:val="000000"/>
          <w:lang w:val="it-IT"/>
        </w:rPr>
        <w:t> </w:t>
      </w:r>
      <w:r w:rsidRPr="00D87B79">
        <w:rPr>
          <w:rFonts w:cs="Tahoma"/>
          <w:color w:val="000000"/>
          <w:lang w:val="it-IT"/>
        </w:rPr>
        <w:t>conoscere le condizioni di licenza.</w:t>
      </w:r>
    </w:p>
    <w:p w:rsidR="00A92422" w:rsidRPr="00D87B79" w:rsidRDefault="00A92422" w:rsidP="00A92422">
      <w:pPr>
        <w:rPr>
          <w:rFonts w:cs="Tahoma"/>
        </w:rPr>
      </w:pPr>
    </w:p>
    <w:p w:rsidR="00A92422" w:rsidRPr="00D87B79" w:rsidRDefault="00A92422" w:rsidP="00A92422">
      <w:pPr>
        <w:rPr>
          <w:rFonts w:cs="Tahoma"/>
        </w:rPr>
      </w:pPr>
    </w:p>
    <w:p w:rsidR="00A92422" w:rsidRPr="00D87B79" w:rsidRDefault="00A92422" w:rsidP="00A92422">
      <w:pPr>
        <w:pStyle w:val="Heading3"/>
        <w:rPr>
          <w:rFonts w:ascii="Tahoma" w:hAnsi="Tahoma" w:cs="Tahoma"/>
        </w:rPr>
      </w:pPr>
      <w:bookmarkStart w:id="1150" w:name="_Toc336338283"/>
      <w:bookmarkStart w:id="1151" w:name="Sys_21MDOPforSA"/>
      <w:bookmarkStart w:id="1152" w:name="Sys_25MDOPforSA"/>
      <w:bookmarkStart w:id="1153" w:name="_23_Microsoft_Desktop"/>
      <w:bookmarkStart w:id="1154" w:name="_Toc342900332"/>
      <w:bookmarkEnd w:id="1150"/>
      <w:bookmarkEnd w:id="1151"/>
      <w:bookmarkEnd w:id="1152"/>
      <w:bookmarkEnd w:id="1153"/>
      <w:r w:rsidRPr="00D87B79">
        <w:rPr>
          <w:rFonts w:ascii="Tahoma" w:hAnsi="Tahoma" w:cs="Tahoma"/>
          <w:caps/>
          <w:color w:val="F66400"/>
          <w:sz w:val="22"/>
          <w:vertAlign w:val="superscript"/>
          <w:lang w:val="it-IT"/>
        </w:rPr>
        <w:t>23</w:t>
      </w:r>
      <w:r w:rsidRPr="00D87B79">
        <w:rPr>
          <w:rFonts w:ascii="Tahoma" w:hAnsi="Tahoma" w:cs="Tahoma"/>
          <w:color w:val="F66400"/>
          <w:sz w:val="22"/>
          <w:lang w:val="it-IT"/>
        </w:rPr>
        <w:t xml:space="preserve"> Microsoft Desktop Optimization Pack per Software Assurance</w:t>
      </w:r>
      <w:bookmarkEnd w:id="1154"/>
    </w:p>
    <w:p w:rsidR="00A92422" w:rsidRPr="00D87B79" w:rsidRDefault="00A92422" w:rsidP="00A92422">
      <w:pPr>
        <w:rPr>
          <w:rFonts w:cs="Tahoma"/>
        </w:rPr>
      </w:pPr>
    </w:p>
    <w:p w:rsidR="00A92422" w:rsidRPr="00D87B79" w:rsidRDefault="00A92422" w:rsidP="00A92422">
      <w:pPr>
        <w:ind w:left="720"/>
        <w:rPr>
          <w:rFonts w:cs="Tahoma"/>
        </w:rPr>
      </w:pPr>
      <w:r w:rsidRPr="00D87B79">
        <w:rPr>
          <w:rFonts w:cs="Tahoma"/>
          <w:color w:val="000000"/>
          <w:lang w:val="it-IT"/>
        </w:rPr>
        <w:t>Le società che desiderano acquistare Microsoft Desktop Optimization Pack per Software Assurance (MDOP) dovranno innanzitutto avere acquistato e ceduto al desktop uno dei seguenti elementi:</w:t>
      </w:r>
    </w:p>
    <w:p w:rsidR="00A92422" w:rsidRPr="00D87B79" w:rsidRDefault="00A92422" w:rsidP="00A92422">
      <w:pPr>
        <w:numPr>
          <w:ilvl w:val="0"/>
          <w:numId w:val="89"/>
        </w:numPr>
        <w:tabs>
          <w:tab w:val="left" w:pos="1440"/>
        </w:tabs>
        <w:ind w:left="1440" w:hanging="446"/>
        <w:rPr>
          <w:rFonts w:cs="Tahoma"/>
        </w:rPr>
      </w:pPr>
      <w:r w:rsidRPr="00D87B79">
        <w:rPr>
          <w:rFonts w:cs="Tahoma"/>
          <w:color w:val="000000"/>
          <w:lang w:val="it-IT"/>
        </w:rPr>
        <w:t>copertura Software Assurance attiva per il sistema operativo desktop Windows;</w:t>
      </w:r>
    </w:p>
    <w:p w:rsidR="00A92422" w:rsidRPr="00D87B79" w:rsidRDefault="00A92422" w:rsidP="00A92422">
      <w:pPr>
        <w:numPr>
          <w:ilvl w:val="0"/>
          <w:numId w:val="89"/>
        </w:numPr>
        <w:tabs>
          <w:tab w:val="left" w:pos="1440"/>
        </w:tabs>
        <w:ind w:left="1440" w:hanging="446"/>
        <w:rPr>
          <w:rFonts w:cs="Tahoma"/>
        </w:rPr>
      </w:pPr>
      <w:r w:rsidRPr="00D87B79">
        <w:rPr>
          <w:rFonts w:cs="Tahoma"/>
          <w:color w:val="000000"/>
          <w:lang w:val="it-IT"/>
        </w:rPr>
        <w:t>licenza Windows Virtual Desktop Access;</w:t>
      </w:r>
    </w:p>
    <w:p w:rsidR="00A92422" w:rsidRPr="00D87B79" w:rsidRDefault="00A92422" w:rsidP="00A92422">
      <w:pPr>
        <w:numPr>
          <w:ilvl w:val="0"/>
          <w:numId w:val="89"/>
        </w:numPr>
        <w:tabs>
          <w:tab w:val="left" w:pos="1440"/>
        </w:tabs>
        <w:ind w:left="1440" w:hanging="446"/>
        <w:rPr>
          <w:rFonts w:cs="Tahoma"/>
        </w:rPr>
      </w:pPr>
      <w:r w:rsidRPr="00D87B79">
        <w:rPr>
          <w:rFonts w:cs="Tahoma"/>
          <w:lang w:val="it-IT"/>
        </w:rPr>
        <w:t>abbonamento attivo a Windows Intune (Per Dispositivo).</w:t>
      </w:r>
    </w:p>
    <w:p w:rsidR="00A92422" w:rsidRPr="00D87B79" w:rsidRDefault="00A92422" w:rsidP="00A92422">
      <w:pPr>
        <w:spacing w:before="120" w:after="120"/>
        <w:ind w:left="720"/>
        <w:rPr>
          <w:rFonts w:cs="Tahoma"/>
        </w:rPr>
      </w:pPr>
      <w:r w:rsidRPr="00D87B79">
        <w:rPr>
          <w:rFonts w:cs="Tahoma"/>
          <w:color w:val="000000"/>
          <w:lang w:val="it-IT"/>
        </w:rPr>
        <w:t>Sono inoltre consentiti i dispositivi coperti da una Licenza “Subscription” per Windows Companion attiva.</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color w:val="000000"/>
          <w:lang w:val="it-IT"/>
        </w:rPr>
        <w:t>Le società che abbiano stipulato contratti Volume License con licenze attive per MDOP riceveranno il</w:t>
      </w:r>
      <w:r>
        <w:rPr>
          <w:rFonts w:cs="Tahoma"/>
          <w:color w:val="000000"/>
          <w:lang w:val="it-IT"/>
        </w:rPr>
        <w:t> </w:t>
      </w:r>
      <w:r w:rsidRPr="00D87B79">
        <w:rPr>
          <w:rFonts w:cs="Tahoma"/>
          <w:color w:val="000000"/>
          <w:lang w:val="it-IT"/>
        </w:rPr>
        <w:t>seguente software (non appena verrà reso disponibile).</w:t>
      </w:r>
    </w:p>
    <w:p w:rsidR="00A92422" w:rsidRPr="00D87B79" w:rsidRDefault="00A92422" w:rsidP="00A92422">
      <w:pPr>
        <w:ind w:left="720"/>
        <w:rPr>
          <w:rFonts w:cs="Tahoma"/>
        </w:rPr>
      </w:pPr>
    </w:p>
    <w:p w:rsidR="00A92422" w:rsidRPr="00D87B79" w:rsidRDefault="00A92422" w:rsidP="00A92422">
      <w:pPr>
        <w:numPr>
          <w:ilvl w:val="0"/>
          <w:numId w:val="89"/>
        </w:numPr>
        <w:tabs>
          <w:tab w:val="left" w:pos="1440"/>
        </w:tabs>
        <w:spacing w:after="60"/>
        <w:ind w:left="1440" w:hanging="446"/>
        <w:rPr>
          <w:rFonts w:cs="Tahoma"/>
        </w:rPr>
      </w:pPr>
      <w:r w:rsidRPr="00D87B79">
        <w:rPr>
          <w:rFonts w:cs="Tahoma"/>
          <w:color w:val="000000"/>
          <w:lang w:val="it-IT"/>
        </w:rPr>
        <w:t>Microsoft Application Virtualization per Desktop Windows (App-V)</w:t>
      </w:r>
    </w:p>
    <w:p w:rsidR="00A92422" w:rsidRPr="00D87B79" w:rsidRDefault="00A92422" w:rsidP="00A92422">
      <w:pPr>
        <w:numPr>
          <w:ilvl w:val="0"/>
          <w:numId w:val="89"/>
        </w:numPr>
        <w:tabs>
          <w:tab w:val="left" w:pos="1440"/>
        </w:tabs>
        <w:spacing w:after="60"/>
        <w:ind w:left="1440" w:hanging="446"/>
        <w:rPr>
          <w:rFonts w:cs="Tahoma"/>
        </w:rPr>
      </w:pPr>
      <w:r w:rsidRPr="00D87B79">
        <w:rPr>
          <w:rFonts w:cs="Tahoma"/>
          <w:color w:val="000000"/>
          <w:lang w:val="it-IT"/>
        </w:rPr>
        <w:t>Gestione Avanzata Criteri di Gruppo Microsoft (AGPM)</w:t>
      </w:r>
    </w:p>
    <w:p w:rsidR="00A92422" w:rsidRPr="00D87B79" w:rsidRDefault="00A92422" w:rsidP="00A92422">
      <w:pPr>
        <w:numPr>
          <w:ilvl w:val="0"/>
          <w:numId w:val="89"/>
        </w:numPr>
        <w:tabs>
          <w:tab w:val="left" w:pos="1440"/>
        </w:tabs>
        <w:spacing w:after="60"/>
        <w:ind w:left="1440" w:hanging="446"/>
        <w:rPr>
          <w:rFonts w:cs="Tahoma"/>
        </w:rPr>
      </w:pPr>
      <w:r w:rsidRPr="00D87B79">
        <w:rPr>
          <w:rFonts w:cs="Tahoma"/>
          <w:color w:val="000000"/>
          <w:lang w:val="it-IT"/>
        </w:rPr>
        <w:t>Set di Strumenti Microsoft di Diagnostica e Ripristino (DART)</w:t>
      </w:r>
    </w:p>
    <w:p w:rsidR="00A92422" w:rsidRPr="00D87B79" w:rsidRDefault="00A92422" w:rsidP="00A92422">
      <w:pPr>
        <w:numPr>
          <w:ilvl w:val="0"/>
          <w:numId w:val="89"/>
        </w:numPr>
        <w:tabs>
          <w:tab w:val="left" w:pos="1440"/>
        </w:tabs>
        <w:spacing w:after="60"/>
        <w:ind w:left="1440" w:hanging="446"/>
        <w:rPr>
          <w:rFonts w:cs="Tahoma"/>
        </w:rPr>
      </w:pPr>
      <w:r w:rsidRPr="00D87B79">
        <w:rPr>
          <w:rFonts w:cs="Tahoma"/>
          <w:color w:val="000000"/>
          <w:lang w:val="it-IT"/>
        </w:rPr>
        <w:t>Microsoft System Center Desktop Error Monitoring (DEM)</w:t>
      </w:r>
    </w:p>
    <w:p w:rsidR="00A92422" w:rsidRPr="00D87B79" w:rsidRDefault="00A92422" w:rsidP="00A92422">
      <w:pPr>
        <w:numPr>
          <w:ilvl w:val="0"/>
          <w:numId w:val="89"/>
        </w:numPr>
        <w:tabs>
          <w:tab w:val="left" w:pos="1440"/>
        </w:tabs>
        <w:spacing w:after="60"/>
        <w:ind w:left="1440" w:hanging="446"/>
        <w:rPr>
          <w:rFonts w:cs="Tahoma"/>
        </w:rPr>
      </w:pPr>
      <w:r w:rsidRPr="00D87B79">
        <w:rPr>
          <w:rFonts w:cs="Tahoma"/>
          <w:color w:val="000000"/>
          <w:lang w:val="it-IT"/>
        </w:rPr>
        <w:t>Microsoft Enterprise Desktop Virtualization (MED-V)</w:t>
      </w:r>
    </w:p>
    <w:p w:rsidR="00A92422" w:rsidRPr="00D87B79" w:rsidRDefault="00A92422" w:rsidP="00A92422">
      <w:pPr>
        <w:numPr>
          <w:ilvl w:val="0"/>
          <w:numId w:val="89"/>
        </w:numPr>
        <w:tabs>
          <w:tab w:val="left" w:pos="1440"/>
        </w:tabs>
        <w:spacing w:after="60"/>
        <w:ind w:left="1440" w:hanging="446"/>
        <w:rPr>
          <w:rFonts w:cs="Tahoma"/>
        </w:rPr>
      </w:pPr>
      <w:r w:rsidRPr="00D87B79">
        <w:rPr>
          <w:rFonts w:cs="Tahoma"/>
          <w:color w:val="000000"/>
          <w:lang w:val="it-IT"/>
        </w:rPr>
        <w:t>Microsoft BitLocker</w:t>
      </w:r>
      <w:r w:rsidRPr="003A0F2F">
        <w:rPr>
          <w:rFonts w:cs="Tahoma"/>
          <w:color w:val="000000"/>
          <w:vertAlign w:val="superscript"/>
          <w:lang w:val="it-IT"/>
        </w:rPr>
        <w:t>®</w:t>
      </w:r>
      <w:r w:rsidRPr="00D87B79">
        <w:rPr>
          <w:rFonts w:cs="Tahoma"/>
          <w:color w:val="000000"/>
          <w:lang w:val="it-IT"/>
        </w:rPr>
        <w:t xml:space="preserve"> Administration and Monitoring (MBAM)</w:t>
      </w:r>
    </w:p>
    <w:p w:rsidR="00A92422" w:rsidRPr="00D87B79" w:rsidRDefault="00A92422" w:rsidP="00A92422">
      <w:pPr>
        <w:numPr>
          <w:ilvl w:val="0"/>
          <w:numId w:val="89"/>
        </w:numPr>
        <w:tabs>
          <w:tab w:val="left" w:pos="1440"/>
        </w:tabs>
        <w:spacing w:after="60"/>
        <w:ind w:left="1440" w:hanging="446"/>
        <w:rPr>
          <w:rFonts w:cs="Tahoma"/>
        </w:rPr>
      </w:pPr>
      <w:r w:rsidRPr="00D87B79">
        <w:rPr>
          <w:rFonts w:cs="Tahoma"/>
          <w:color w:val="000000"/>
          <w:lang w:val="it-IT"/>
        </w:rPr>
        <w:t>Microsoft User Experience Virtualization (UE-V)</w:t>
      </w:r>
    </w:p>
    <w:p w:rsidR="00A92422" w:rsidRPr="00D87B79" w:rsidRDefault="00A92422" w:rsidP="00A92422">
      <w:pPr>
        <w:tabs>
          <w:tab w:val="left" w:pos="1440"/>
        </w:tabs>
        <w:ind w:left="994"/>
        <w:rPr>
          <w:rFonts w:cs="Tahoma"/>
        </w:rPr>
      </w:pPr>
    </w:p>
    <w:p w:rsidR="00A92422" w:rsidRPr="00D87B79" w:rsidRDefault="00A92422" w:rsidP="00A92422">
      <w:pPr>
        <w:spacing w:after="60"/>
        <w:ind w:left="720"/>
        <w:rPr>
          <w:rFonts w:cs="Tahoma"/>
        </w:rPr>
      </w:pPr>
      <w:r w:rsidRPr="00D87B79">
        <w:rPr>
          <w:rFonts w:cs="Tahoma"/>
          <w:b/>
          <w:color w:val="000000"/>
          <w:lang w:val="it-IT"/>
        </w:rPr>
        <w:t>Offerta di Windows Intune (Per Dispositivo) per le Società in possesso di Microsoft Desktop Optimization Pack (MDOP) che utilizzano Asset Inventory Service</w:t>
      </w:r>
    </w:p>
    <w:p w:rsidR="00A92422" w:rsidRPr="00D87B79" w:rsidRDefault="00A92422" w:rsidP="00A92422">
      <w:pPr>
        <w:ind w:left="720"/>
        <w:rPr>
          <w:rFonts w:cs="Tahoma"/>
        </w:rPr>
      </w:pPr>
      <w:r w:rsidRPr="00D87B79">
        <w:rPr>
          <w:rFonts w:cs="Tahoma"/>
          <w:color w:val="000000"/>
          <w:szCs w:val="18"/>
          <w:lang w:val="it-IT"/>
        </w:rPr>
        <w:t>L’offerta di Asset Inventory Service (AIS) insieme a MDOP verrà interrotta il 3 aprile 2013. A partire da quella data le società non avranno più accesso al servizio.</w:t>
      </w:r>
      <w:r w:rsidRPr="00D87B79">
        <w:rPr>
          <w:rFonts w:cs="Tahoma"/>
        </w:rPr>
        <w:t xml:space="preserve"> </w:t>
      </w:r>
      <w:r w:rsidRPr="00D87B79">
        <w:rPr>
          <w:rFonts w:cs="Tahoma"/>
          <w:lang w:val="it-IT"/>
        </w:rPr>
        <w:t>Le società in possesso di MDOP con account AIS</w:t>
      </w:r>
      <w:r>
        <w:rPr>
          <w:rFonts w:cs="Tahoma"/>
          <w:lang w:val="it-IT"/>
        </w:rPr>
        <w:t> </w:t>
      </w:r>
      <w:r w:rsidRPr="00D87B79">
        <w:rPr>
          <w:rFonts w:cs="Tahoma"/>
          <w:lang w:val="it-IT"/>
        </w:rPr>
        <w:t>operativi attivati sul sito Volume Licensing Service Center il 30 aprile 2012 o in data precedente avranno la possibilità di passare al servizio online Windows</w:t>
      </w:r>
      <w:r w:rsidRPr="00D87B79">
        <w:rPr>
          <w:rFonts w:cs="Tahoma"/>
          <w:vertAlign w:val="superscript"/>
          <w:lang w:val="it-IT"/>
        </w:rPr>
        <w:t xml:space="preserve"> </w:t>
      </w:r>
      <w:r w:rsidRPr="00D87B79">
        <w:rPr>
          <w:rFonts w:cs="Tahoma"/>
          <w:lang w:val="it-IT"/>
        </w:rPr>
        <w:t>Intune (Per Dispositivo) e di utilizzarlo a condizione che Windows Intune (Per Dispositivo) sia disponibile a livello commerciale nei loro paesi.</w:t>
      </w:r>
      <w:r w:rsidRPr="00D87B79">
        <w:rPr>
          <w:rFonts w:cs="Tahoma"/>
        </w:rPr>
        <w:t xml:space="preserve"> </w:t>
      </w:r>
      <w:r w:rsidRPr="00D87B79">
        <w:rPr>
          <w:rFonts w:cs="Tahoma"/>
          <w:lang w:val="it-IT"/>
        </w:rPr>
        <w:t>Al seguente indirizzo è</w:t>
      </w:r>
      <w:r>
        <w:rPr>
          <w:rFonts w:cs="Tahoma"/>
          <w:lang w:val="it-IT"/>
        </w:rPr>
        <w:t> </w:t>
      </w:r>
      <w:r w:rsidRPr="00D87B79">
        <w:rPr>
          <w:rFonts w:cs="Tahoma"/>
          <w:lang w:val="it-IT"/>
        </w:rPr>
        <w:t>reperibile un elenco dei paesi nei quali Windows Intune (Per Dispositivo) è disponibile a livello commerciale:</w:t>
      </w:r>
      <w:r w:rsidRPr="00D87B79">
        <w:rPr>
          <w:rFonts w:cs="Tahoma"/>
          <w:color w:val="000000"/>
        </w:rPr>
        <w:t xml:space="preserve"> </w:t>
      </w:r>
      <w:hyperlink r:id="rId30" w:history="1">
        <w:r w:rsidRPr="00D87B79">
          <w:rPr>
            <w:rFonts w:cs="Tahoma"/>
            <w:color w:val="0000FF"/>
            <w:u w:val="single"/>
            <w:lang w:val="it-IT"/>
          </w:rPr>
          <w:t>http://www.microsoft.com/en-us/windows/windowsintune/faq/default.aspx</w:t>
        </w:r>
      </w:hyperlink>
      <w:r w:rsidRPr="00D87B79">
        <w:rPr>
          <w:rFonts w:cs="Tahoma"/>
          <w:color w:val="0000FF"/>
          <w:lang w:val="it-IT"/>
        </w:rPr>
        <w:t>.</w:t>
      </w:r>
    </w:p>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color w:val="000000"/>
          <w:lang w:val="it-IT"/>
        </w:rPr>
        <w:t>Dettagli dell’Offerta</w:t>
      </w:r>
    </w:p>
    <w:p w:rsidR="00A92422" w:rsidRPr="00D87B79" w:rsidRDefault="00A92422" w:rsidP="00A92422">
      <w:pPr>
        <w:numPr>
          <w:ilvl w:val="1"/>
          <w:numId w:val="99"/>
        </w:numPr>
        <w:spacing w:after="60"/>
        <w:rPr>
          <w:rFonts w:cs="Tahoma"/>
        </w:rPr>
      </w:pPr>
      <w:r w:rsidRPr="00D87B79">
        <w:rPr>
          <w:rFonts w:cs="Tahoma"/>
          <w:color w:val="000000"/>
          <w:lang w:val="it-IT"/>
        </w:rPr>
        <w:t>L’offerta può essere accettata in qualsiasi momento compreso tra il 3 aprile 2012 e la data di</w:t>
      </w:r>
      <w:r>
        <w:rPr>
          <w:rFonts w:cs="Tahoma"/>
          <w:color w:val="000000"/>
          <w:lang w:val="it-IT"/>
        </w:rPr>
        <w:t> </w:t>
      </w:r>
      <w:r w:rsidRPr="00D87B79">
        <w:rPr>
          <w:rFonts w:cs="Tahoma"/>
          <w:color w:val="000000"/>
          <w:lang w:val="it-IT"/>
        </w:rPr>
        <w:t>scadenza della sottoscrizione MDOP corrente delle società.</w:t>
      </w:r>
    </w:p>
    <w:p w:rsidR="00A92422" w:rsidRPr="00D87B79" w:rsidRDefault="00A92422" w:rsidP="00A92422">
      <w:pPr>
        <w:numPr>
          <w:ilvl w:val="1"/>
          <w:numId w:val="99"/>
        </w:numPr>
        <w:spacing w:after="60"/>
        <w:rPr>
          <w:rFonts w:cs="Tahoma"/>
        </w:rPr>
      </w:pPr>
      <w:r w:rsidRPr="00D87B79">
        <w:rPr>
          <w:rFonts w:cs="Tahoma"/>
          <w:lang w:val="it-IT"/>
        </w:rPr>
        <w:t>Per accettare l’offerta, le società dovranno (1) creare un account di valutazione per Windows Intune (Per Dispositivo) sul sito http://www.microsoft.com/en-us/windows/windowsintune/try-and-buy.aspx, quindi (2) inviare il modulo di accettazione dell’offerta all’indirizzo http://go.microsoft.com/fwlink/?LinkID=242876.</w:t>
      </w:r>
    </w:p>
    <w:p w:rsidR="00A92422" w:rsidRPr="00D87B79" w:rsidRDefault="00A92422" w:rsidP="00A92422">
      <w:pPr>
        <w:numPr>
          <w:ilvl w:val="1"/>
          <w:numId w:val="99"/>
        </w:numPr>
        <w:spacing w:after="60"/>
        <w:rPr>
          <w:rFonts w:cs="Tahoma"/>
        </w:rPr>
      </w:pPr>
      <w:r w:rsidRPr="00D87B79">
        <w:rPr>
          <w:rFonts w:cs="Tahoma"/>
          <w:lang w:val="it-IT"/>
        </w:rPr>
        <w:lastRenderedPageBreak/>
        <w:t>L’accesso a Windows Intune (Per Dispositivo) e il relativo utilizzo ai sensi di tale offerta terminerà alla scadenza della sottoscrizione MDOP della società.</w:t>
      </w:r>
    </w:p>
    <w:p w:rsidR="00A92422" w:rsidRPr="00D87B79" w:rsidRDefault="00A92422" w:rsidP="00A92422">
      <w:pPr>
        <w:numPr>
          <w:ilvl w:val="1"/>
          <w:numId w:val="99"/>
        </w:numPr>
        <w:spacing w:after="60"/>
        <w:rPr>
          <w:rFonts w:cs="Tahoma"/>
        </w:rPr>
      </w:pPr>
      <w:r w:rsidRPr="00D87B79">
        <w:rPr>
          <w:rFonts w:cs="Tahoma"/>
          <w:color w:val="000000"/>
          <w:lang w:val="it-IT"/>
        </w:rPr>
        <w:t>Le condizioni dei contratti delle società, le Condizioni Universali di Licenza dei Diritti di Utilizzo del</w:t>
      </w:r>
      <w:r>
        <w:rPr>
          <w:rFonts w:cs="Tahoma"/>
          <w:color w:val="000000"/>
          <w:lang w:val="it-IT"/>
        </w:rPr>
        <w:t> </w:t>
      </w:r>
      <w:r w:rsidRPr="00D87B79">
        <w:rPr>
          <w:rFonts w:cs="Tahoma"/>
          <w:color w:val="000000"/>
          <w:lang w:val="it-IT"/>
        </w:rPr>
        <w:t>Prodotto e le Condizioni Generali di Licenza della sezione Servizi Online dei Diritti di Utilizzo del</w:t>
      </w:r>
      <w:r>
        <w:rPr>
          <w:rFonts w:cs="Tahoma"/>
          <w:color w:val="000000"/>
          <w:lang w:val="it-IT"/>
        </w:rPr>
        <w:t> </w:t>
      </w:r>
      <w:r w:rsidRPr="00D87B79">
        <w:rPr>
          <w:rFonts w:cs="Tahoma"/>
          <w:color w:val="000000"/>
          <w:lang w:val="it-IT"/>
        </w:rPr>
        <w:t>Prodotto disciplinano l’utilizzo del servizio.</w:t>
      </w:r>
    </w:p>
    <w:p w:rsidR="00A92422" w:rsidRPr="00D87B79" w:rsidRDefault="00A92422" w:rsidP="00A92422">
      <w:pPr>
        <w:numPr>
          <w:ilvl w:val="1"/>
          <w:numId w:val="99"/>
        </w:numPr>
        <w:spacing w:after="60"/>
        <w:rPr>
          <w:rFonts w:cs="Tahoma"/>
        </w:rPr>
      </w:pPr>
      <w:r w:rsidRPr="00D87B79">
        <w:rPr>
          <w:rFonts w:cs="Tahoma"/>
          <w:lang w:val="it-IT"/>
        </w:rPr>
        <w:t>Il numero di dispositivi che rendono una società idonea ad accedere a Windows Intune (Per</w:t>
      </w:r>
      <w:r>
        <w:rPr>
          <w:rFonts w:cs="Tahoma"/>
          <w:lang w:val="it-IT"/>
        </w:rPr>
        <w:t> </w:t>
      </w:r>
      <w:r w:rsidRPr="00D87B79">
        <w:rPr>
          <w:rFonts w:cs="Tahoma"/>
          <w:lang w:val="it-IT"/>
        </w:rPr>
        <w:t>Dispositivo) in base alla presente offerta è uguale al numero totale di postazioni per la sottoscrizione AIS della società al momento in cui la società accetta l’offerta di Windows Intune (Per Dispositivo).</w:t>
      </w:r>
      <w:r w:rsidRPr="00D87B79">
        <w:rPr>
          <w:rFonts w:cs="Tahoma"/>
        </w:rPr>
        <w:t xml:space="preserve"> </w:t>
      </w:r>
      <w:r w:rsidRPr="00D87B79">
        <w:rPr>
          <w:rFonts w:cs="Tahoma"/>
          <w:color w:val="000000"/>
          <w:lang w:val="it-IT"/>
        </w:rPr>
        <w:t>Le postazioni AIS aggiunte a un account attivo in un momento qualsiasi che precede l’accettazione da parte della società dell’offerta di Windows</w:t>
      </w:r>
      <w:r w:rsidRPr="003A0F2F">
        <w:rPr>
          <w:rFonts w:cs="Tahoma"/>
          <w:color w:val="000000"/>
          <w:vertAlign w:val="superscript"/>
          <w:lang w:val="it-IT"/>
        </w:rPr>
        <w:t>®</w:t>
      </w:r>
      <w:r w:rsidRPr="00D87B79">
        <w:rPr>
          <w:rFonts w:cs="Tahoma"/>
          <w:color w:val="000000"/>
          <w:lang w:val="it-IT"/>
        </w:rPr>
        <w:t xml:space="preserve"> Intune saranno incluse nel</w:t>
      </w:r>
      <w:r>
        <w:rPr>
          <w:rFonts w:cs="Tahoma"/>
          <w:color w:val="000000"/>
          <w:lang w:val="it-IT"/>
        </w:rPr>
        <w:t> </w:t>
      </w:r>
      <w:r w:rsidRPr="00D87B79">
        <w:rPr>
          <w:rFonts w:cs="Tahoma"/>
          <w:color w:val="000000"/>
          <w:lang w:val="it-IT"/>
        </w:rPr>
        <w:t>conteggio.</w:t>
      </w:r>
    </w:p>
    <w:p w:rsidR="00A92422" w:rsidRPr="00D87B79" w:rsidRDefault="00A92422" w:rsidP="00A92422">
      <w:pPr>
        <w:numPr>
          <w:ilvl w:val="1"/>
          <w:numId w:val="99"/>
        </w:numPr>
        <w:spacing w:after="60"/>
        <w:rPr>
          <w:rFonts w:cs="Tahoma"/>
        </w:rPr>
      </w:pPr>
      <w:r w:rsidRPr="00D87B79">
        <w:rPr>
          <w:rFonts w:cs="Tahoma"/>
          <w:lang w:val="it-IT"/>
        </w:rPr>
        <w:t>Le postazioni MDOP acquistate dopo l’accettazione da parte della società della presente offerta di</w:t>
      </w:r>
      <w:r>
        <w:rPr>
          <w:rFonts w:cs="Tahoma"/>
          <w:lang w:val="it-IT"/>
        </w:rPr>
        <w:t> </w:t>
      </w:r>
      <w:r w:rsidRPr="00D87B79">
        <w:rPr>
          <w:rFonts w:cs="Tahoma"/>
          <w:lang w:val="it-IT"/>
        </w:rPr>
        <w:t>Windows Intune (Per Dispositivo), incluse le licenze acquistate attraverso la procedura di true-up ai sensi del rispettivo contratto multilicenza, non saranno idonee ad accedere a Windows Intune (Per Dispositivo) ai sensi dell’offerta.</w:t>
      </w:r>
      <w:r w:rsidRPr="00D87B79">
        <w:rPr>
          <w:rFonts w:cs="Tahoma"/>
        </w:rPr>
        <w:t xml:space="preserve"> </w:t>
      </w:r>
      <w:r w:rsidRPr="00D87B79">
        <w:rPr>
          <w:rFonts w:cs="Tahoma"/>
          <w:lang w:val="it-IT"/>
        </w:rPr>
        <w:t>Qualora una società desideri accedere a Windows Intune (Per</w:t>
      </w:r>
      <w:r>
        <w:rPr>
          <w:rFonts w:cs="Tahoma"/>
          <w:lang w:val="it-IT"/>
        </w:rPr>
        <w:t> </w:t>
      </w:r>
      <w:r w:rsidRPr="00D87B79">
        <w:rPr>
          <w:rFonts w:cs="Tahoma"/>
          <w:lang w:val="it-IT"/>
        </w:rPr>
        <w:t>Dispositivo) utilizzando un numero di dispositivi superiore al numero consentito dalla presente offerta, dovrà acquistare licenze aggiuntive separate.</w:t>
      </w:r>
    </w:p>
    <w:p w:rsidR="00A92422" w:rsidRPr="00D87B79" w:rsidRDefault="00A92422" w:rsidP="00A92422">
      <w:pPr>
        <w:numPr>
          <w:ilvl w:val="1"/>
          <w:numId w:val="99"/>
        </w:numPr>
        <w:spacing w:after="60"/>
        <w:rPr>
          <w:rFonts w:cs="Tahoma"/>
        </w:rPr>
      </w:pPr>
      <w:bookmarkStart w:id="1155" w:name="_24_Windows®_Companion"/>
      <w:bookmarkStart w:id="1156" w:name="_24_Windows®_8"/>
      <w:bookmarkEnd w:id="1155"/>
      <w:bookmarkEnd w:id="1156"/>
      <w:r w:rsidRPr="00D87B79">
        <w:rPr>
          <w:rFonts w:cs="Tahoma"/>
          <w:lang w:val="it-IT"/>
        </w:rPr>
        <w:t>I diritti di accesso a Windows Intune (Per Dispositivo) ai sensi della presente offerta non includono i diritti di utilizzo del sistema operativo desktop Windows.</w:t>
      </w:r>
      <w:r w:rsidRPr="00D87B79">
        <w:rPr>
          <w:rFonts w:cs="Tahoma"/>
        </w:rPr>
        <w:t xml:space="preserve"> </w:t>
      </w:r>
    </w:p>
    <w:p w:rsidR="00A92422" w:rsidRPr="00D87B79" w:rsidRDefault="00A92422" w:rsidP="00A92422">
      <w:pPr>
        <w:contextualSpacing/>
        <w:rPr>
          <w:rFonts w:cs="Tahoma"/>
        </w:rPr>
      </w:pPr>
    </w:p>
    <w:p w:rsidR="00A92422" w:rsidRPr="00D87B79" w:rsidRDefault="00A92422" w:rsidP="00A92422">
      <w:pPr>
        <w:contextualSpacing/>
        <w:rPr>
          <w:rFonts w:cs="Tahoma"/>
        </w:rPr>
      </w:pPr>
    </w:p>
    <w:p w:rsidR="00A92422" w:rsidRPr="00D87B79" w:rsidRDefault="00A92422" w:rsidP="00A92422">
      <w:pPr>
        <w:pStyle w:val="Heading3"/>
        <w:rPr>
          <w:rFonts w:ascii="Tahoma" w:hAnsi="Tahoma" w:cs="Tahoma"/>
        </w:rPr>
      </w:pPr>
      <w:bookmarkStart w:id="1157" w:name="_Toc336338284"/>
      <w:bookmarkStart w:id="1158" w:name="Sys_22WindowsPartnersLearning"/>
      <w:bookmarkStart w:id="1159" w:name="_Toc342900333"/>
      <w:bookmarkEnd w:id="1157"/>
      <w:bookmarkEnd w:id="1158"/>
      <w:r w:rsidRPr="00D87B79">
        <w:rPr>
          <w:rFonts w:ascii="Tahoma" w:hAnsi="Tahoma" w:cs="Tahoma"/>
          <w:caps/>
          <w:color w:val="F66400"/>
          <w:sz w:val="22"/>
          <w:vertAlign w:val="superscript"/>
          <w:lang w:val="it-IT"/>
        </w:rPr>
        <w:t>24</w:t>
      </w:r>
      <w:r w:rsidRPr="00D87B79">
        <w:rPr>
          <w:rFonts w:ascii="Tahoma" w:hAnsi="Tahoma" w:cs="Tahoma"/>
          <w:color w:val="F66400"/>
          <w:sz w:val="22"/>
          <w:lang w:val="it-IT"/>
        </w:rPr>
        <w:t xml:space="preserve"> Windows</w:t>
      </w:r>
      <w:r w:rsidRPr="003A0F2F">
        <w:rPr>
          <w:rFonts w:ascii="Tahoma" w:hAnsi="Tahoma" w:cs="Tahoma"/>
          <w:color w:val="F66400"/>
          <w:sz w:val="22"/>
          <w:vertAlign w:val="superscript"/>
          <w:lang w:val="it-IT"/>
        </w:rPr>
        <w:t>®</w:t>
      </w:r>
      <w:r w:rsidRPr="00D87B79">
        <w:rPr>
          <w:rFonts w:ascii="Tahoma" w:hAnsi="Tahoma" w:cs="Tahoma"/>
          <w:color w:val="F66400"/>
          <w:sz w:val="22"/>
          <w:lang w:val="it-IT"/>
        </w:rPr>
        <w:t xml:space="preserve"> 8 Enterprise Sideloading</w:t>
      </w:r>
      <w:bookmarkEnd w:id="1159"/>
    </w:p>
    <w:p w:rsidR="00A92422" w:rsidRPr="00D87B79" w:rsidRDefault="00A92422" w:rsidP="00A92422">
      <w:pPr>
        <w:rPr>
          <w:rFonts w:cs="Tahoma"/>
        </w:rPr>
      </w:pPr>
    </w:p>
    <w:p w:rsidR="00A92422" w:rsidRPr="00D87B79" w:rsidRDefault="00A92422" w:rsidP="00A92422">
      <w:pPr>
        <w:rPr>
          <w:rFonts w:cs="Tahoma"/>
        </w:rPr>
      </w:pPr>
    </w:p>
    <w:tbl>
      <w:tblPr>
        <w:tblW w:w="6300" w:type="dxa"/>
        <w:tblInd w:w="910" w:type="dxa"/>
        <w:tblCellMar>
          <w:left w:w="0" w:type="dxa"/>
          <w:right w:w="0" w:type="dxa"/>
        </w:tblCellMar>
        <w:tblLook w:val="04A0" w:firstRow="1" w:lastRow="0" w:firstColumn="1" w:lastColumn="0" w:noHBand="0" w:noVBand="1"/>
      </w:tblPr>
      <w:tblGrid>
        <w:gridCol w:w="3158"/>
        <w:gridCol w:w="1340"/>
        <w:gridCol w:w="1802"/>
      </w:tblGrid>
      <w:tr w:rsidR="00A92422" w:rsidRPr="00D87B79" w:rsidTr="00EA30FC">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tcPr>
          <w:p w:rsidR="00A92422" w:rsidRPr="00D87B79" w:rsidRDefault="00A92422" w:rsidP="00EA30FC">
            <w:pPr>
              <w:jc w:val="center"/>
              <w:rPr>
                <w:rFonts w:eastAsia="Times New Roman" w:cs="Tahoma"/>
                <w:b/>
                <w:bCs/>
                <w:szCs w:val="18"/>
              </w:rPr>
            </w:pPr>
            <w:r w:rsidRPr="00D87B79">
              <w:rPr>
                <w:rFonts w:cs="Tahoma"/>
                <w:b/>
                <w:lang w:val="it-IT"/>
              </w:rPr>
              <w:t>Disponibilità del Programma</w:t>
            </w:r>
          </w:p>
        </w:tc>
        <w:tc>
          <w:tcPr>
            <w:tcW w:w="1340" w:type="dxa"/>
            <w:tcBorders>
              <w:top w:val="single" w:sz="4" w:space="0" w:color="auto"/>
              <w:left w:val="nil"/>
              <w:bottom w:val="single" w:sz="4" w:space="0" w:color="auto"/>
              <w:right w:val="single" w:sz="4" w:space="0" w:color="auto"/>
            </w:tcBorders>
            <w:shd w:val="clear" w:color="auto" w:fill="FABF8F"/>
            <w:vAlign w:val="bottom"/>
          </w:tcPr>
          <w:p w:rsidR="00A92422" w:rsidRPr="00D87B79" w:rsidRDefault="00A92422" w:rsidP="00EA30FC">
            <w:pPr>
              <w:jc w:val="center"/>
              <w:rPr>
                <w:rFonts w:cs="Tahoma"/>
                <w:b/>
                <w:bCs/>
                <w:szCs w:val="18"/>
              </w:rPr>
            </w:pPr>
            <w:r w:rsidRPr="00D87B79">
              <w:rPr>
                <w:rFonts w:cs="Tahoma"/>
                <w:b/>
                <w:bCs/>
                <w:szCs w:val="18"/>
                <w:lang w:val="it-IT"/>
              </w:rPr>
              <w:t>Licenze Disponibili per l’Acquisto</w:t>
            </w:r>
          </w:p>
        </w:tc>
        <w:tc>
          <w:tcPr>
            <w:tcW w:w="1802"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tcPr>
          <w:p w:rsidR="00A92422" w:rsidRPr="00D87B79" w:rsidRDefault="00A92422" w:rsidP="00EA30FC">
            <w:pPr>
              <w:jc w:val="center"/>
              <w:rPr>
                <w:rFonts w:eastAsia="Times New Roman" w:cs="Tahoma"/>
                <w:b/>
                <w:bCs/>
                <w:szCs w:val="18"/>
              </w:rPr>
            </w:pPr>
            <w:r w:rsidRPr="00D87B79">
              <w:rPr>
                <w:rFonts w:cs="Tahoma"/>
                <w:b/>
                <w:lang w:val="it-IT"/>
              </w:rPr>
              <w:t>Disponibili come Vantaggio di Software Assurance</w:t>
            </w:r>
          </w:p>
        </w:tc>
      </w:tr>
      <w:tr w:rsidR="00A92422" w:rsidRPr="00D87B79" w:rsidTr="00EA30FC">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A92422" w:rsidRPr="00D87B79" w:rsidRDefault="00A92422" w:rsidP="00EA30FC">
            <w:pPr>
              <w:jc w:val="center"/>
              <w:rPr>
                <w:rFonts w:eastAsia="Times New Roman" w:cs="Tahoma"/>
                <w:b/>
                <w:bCs/>
                <w:szCs w:val="18"/>
              </w:rPr>
            </w:pPr>
            <w:r w:rsidRPr="00D87B79">
              <w:rPr>
                <w:rFonts w:cs="Tahoma"/>
                <w:b/>
                <w:lang w:val="it-IT"/>
              </w:rPr>
              <w:t>Licenza Open</w:t>
            </w:r>
          </w:p>
        </w:tc>
        <w:tc>
          <w:tcPr>
            <w:tcW w:w="1340" w:type="dxa"/>
            <w:tcBorders>
              <w:top w:val="single" w:sz="4" w:space="0" w:color="auto"/>
              <w:left w:val="single" w:sz="4" w:space="0" w:color="auto"/>
              <w:bottom w:val="single" w:sz="4" w:space="0" w:color="auto"/>
              <w:right w:val="single" w:sz="4" w:space="0" w:color="auto"/>
            </w:tcBorders>
            <w:vAlign w:val="center"/>
          </w:tcPr>
          <w:p w:rsidR="00A92422" w:rsidRPr="00D87B79" w:rsidRDefault="00A92422" w:rsidP="00EA30FC">
            <w:pPr>
              <w:jc w:val="center"/>
              <w:rPr>
                <w:rFonts w:cs="Tahoma"/>
                <w:szCs w:val="18"/>
              </w:rPr>
            </w:pPr>
            <w:r w:rsidRPr="00D87B79">
              <w:rPr>
                <w:rFonts w:cs="Tahoma"/>
                <w:szCs w:val="18"/>
                <w:lang w:val="it-IT"/>
              </w:rPr>
              <w:t>x</w:t>
            </w:r>
          </w:p>
        </w:tc>
        <w:tc>
          <w:tcPr>
            <w:tcW w:w="180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A92422" w:rsidRPr="00D87B79" w:rsidRDefault="00A92422" w:rsidP="00EA30FC">
            <w:pPr>
              <w:jc w:val="center"/>
              <w:rPr>
                <w:rFonts w:eastAsia="Times New Roman" w:cs="Tahoma"/>
                <w:szCs w:val="18"/>
              </w:rPr>
            </w:pPr>
          </w:p>
        </w:tc>
      </w:tr>
      <w:tr w:rsidR="00A92422" w:rsidRPr="00D87B79" w:rsidTr="00EA30FC">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A92422" w:rsidRPr="00D87B79" w:rsidRDefault="00A92422" w:rsidP="00EA30FC">
            <w:pPr>
              <w:jc w:val="center"/>
              <w:rPr>
                <w:rFonts w:cs="Tahoma"/>
                <w:b/>
                <w:bCs/>
                <w:szCs w:val="18"/>
              </w:rPr>
            </w:pPr>
            <w:r w:rsidRPr="00D87B79">
              <w:rPr>
                <w:rFonts w:cs="Tahoma"/>
                <w:b/>
                <w:bCs/>
                <w:szCs w:val="18"/>
                <w:lang w:val="it-IT"/>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rsidR="00A92422" w:rsidRPr="00D87B79" w:rsidRDefault="00A92422" w:rsidP="00EA30FC">
            <w:pPr>
              <w:jc w:val="center"/>
              <w:rPr>
                <w:rFonts w:cs="Tahoma"/>
                <w:szCs w:val="18"/>
              </w:rPr>
            </w:pPr>
            <w:r w:rsidRPr="00D87B79">
              <w:rPr>
                <w:rFonts w:cs="Tahoma"/>
                <w:szCs w:val="18"/>
                <w:lang w:val="it-IT"/>
              </w:rPr>
              <w:t>x</w:t>
            </w:r>
          </w:p>
        </w:tc>
        <w:tc>
          <w:tcPr>
            <w:tcW w:w="180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A92422" w:rsidRPr="00D87B79" w:rsidRDefault="00A92422" w:rsidP="00EA30FC">
            <w:pPr>
              <w:jc w:val="center"/>
              <w:rPr>
                <w:rFonts w:eastAsia="Times New Roman" w:cs="Tahoma"/>
                <w:szCs w:val="18"/>
              </w:rPr>
            </w:pPr>
            <w:r w:rsidRPr="00D87B79">
              <w:rPr>
                <w:rFonts w:eastAsia="Times New Roman" w:cs="Tahoma"/>
                <w:szCs w:val="18"/>
                <w:lang w:val="it-IT"/>
              </w:rPr>
              <w:t>x</w:t>
            </w:r>
          </w:p>
        </w:tc>
      </w:tr>
      <w:tr w:rsidR="00A92422" w:rsidRPr="00D87B79" w:rsidTr="00EA30FC">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A92422" w:rsidRPr="00D87B79" w:rsidRDefault="00A92422" w:rsidP="00EA30FC">
            <w:pPr>
              <w:jc w:val="center"/>
              <w:rPr>
                <w:rFonts w:cs="Tahoma"/>
                <w:b/>
                <w:bCs/>
                <w:szCs w:val="18"/>
              </w:rPr>
            </w:pPr>
            <w:r w:rsidRPr="00D87B79">
              <w:rPr>
                <w:rFonts w:cs="Tahoma"/>
                <w:b/>
                <w:lang w:val="it-IT"/>
              </w:rPr>
              <w:t>Contratto Enterprise / EAS</w:t>
            </w:r>
          </w:p>
        </w:tc>
        <w:tc>
          <w:tcPr>
            <w:tcW w:w="1340" w:type="dxa"/>
            <w:tcBorders>
              <w:top w:val="single" w:sz="4" w:space="0" w:color="auto"/>
              <w:left w:val="single" w:sz="4" w:space="0" w:color="auto"/>
              <w:bottom w:val="single" w:sz="4" w:space="0" w:color="auto"/>
              <w:right w:val="single" w:sz="4" w:space="0" w:color="auto"/>
            </w:tcBorders>
            <w:vAlign w:val="center"/>
          </w:tcPr>
          <w:p w:rsidR="00A92422" w:rsidRPr="00D87B79" w:rsidRDefault="00A92422" w:rsidP="00EA30FC">
            <w:pPr>
              <w:jc w:val="center"/>
              <w:rPr>
                <w:rFonts w:cs="Tahoma"/>
                <w:szCs w:val="18"/>
              </w:rPr>
            </w:pPr>
          </w:p>
        </w:tc>
        <w:tc>
          <w:tcPr>
            <w:tcW w:w="180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A92422" w:rsidRPr="00D87B79" w:rsidRDefault="00A92422" w:rsidP="00EA30FC">
            <w:pPr>
              <w:jc w:val="center"/>
              <w:rPr>
                <w:rFonts w:eastAsia="Times New Roman" w:cs="Tahoma"/>
                <w:szCs w:val="18"/>
              </w:rPr>
            </w:pPr>
            <w:r w:rsidRPr="00D87B79">
              <w:rPr>
                <w:rFonts w:eastAsia="Times New Roman" w:cs="Tahoma"/>
                <w:szCs w:val="18"/>
                <w:lang w:val="it-IT"/>
              </w:rPr>
              <w:t>x</w:t>
            </w:r>
          </w:p>
        </w:tc>
      </w:tr>
      <w:tr w:rsidR="00A92422" w:rsidRPr="00D87B79" w:rsidTr="00EA30FC">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A92422" w:rsidRPr="00D87B79" w:rsidRDefault="00A92422" w:rsidP="00EA30FC">
            <w:pPr>
              <w:jc w:val="center"/>
              <w:rPr>
                <w:rFonts w:cs="Tahoma"/>
                <w:b/>
                <w:bCs/>
                <w:szCs w:val="18"/>
              </w:rPr>
            </w:pPr>
            <w:r w:rsidRPr="00D87B79">
              <w:rPr>
                <w:rFonts w:cs="Tahoma"/>
                <w:b/>
                <w:lang w:val="it-IT"/>
              </w:rPr>
              <w:t>EES</w:t>
            </w:r>
          </w:p>
        </w:tc>
        <w:tc>
          <w:tcPr>
            <w:tcW w:w="1340" w:type="dxa"/>
            <w:tcBorders>
              <w:top w:val="single" w:sz="4" w:space="0" w:color="auto"/>
              <w:left w:val="single" w:sz="4" w:space="0" w:color="auto"/>
              <w:bottom w:val="single" w:sz="4" w:space="0" w:color="auto"/>
              <w:right w:val="single" w:sz="4" w:space="0" w:color="auto"/>
            </w:tcBorders>
            <w:vAlign w:val="center"/>
          </w:tcPr>
          <w:p w:rsidR="00A92422" w:rsidRPr="00D87B79" w:rsidRDefault="00A92422" w:rsidP="00EA30FC">
            <w:pPr>
              <w:jc w:val="center"/>
              <w:rPr>
                <w:rFonts w:cs="Tahoma"/>
                <w:szCs w:val="18"/>
              </w:rPr>
            </w:pPr>
          </w:p>
        </w:tc>
        <w:tc>
          <w:tcPr>
            <w:tcW w:w="180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A92422" w:rsidRPr="00D87B79" w:rsidRDefault="00A92422" w:rsidP="00EA30FC">
            <w:pPr>
              <w:jc w:val="center"/>
              <w:rPr>
                <w:rFonts w:eastAsia="Times New Roman" w:cs="Tahoma"/>
                <w:szCs w:val="18"/>
              </w:rPr>
            </w:pPr>
            <w:r w:rsidRPr="00D87B79">
              <w:rPr>
                <w:rFonts w:cs="Tahoma"/>
                <w:lang w:val="it-IT"/>
              </w:rPr>
              <w:t>x</w:t>
            </w:r>
          </w:p>
        </w:tc>
      </w:tr>
    </w:tbl>
    <w:p w:rsidR="00A92422" w:rsidRPr="00D87B79" w:rsidRDefault="00A92422" w:rsidP="00A92422">
      <w:pPr>
        <w:ind w:left="900"/>
        <w:rPr>
          <w:rFonts w:cs="Tahoma"/>
        </w:rPr>
      </w:pPr>
    </w:p>
    <w:p w:rsidR="00A92422" w:rsidRPr="00D87B79" w:rsidRDefault="00A92422" w:rsidP="00A92422">
      <w:pPr>
        <w:ind w:left="720"/>
        <w:rPr>
          <w:rFonts w:cs="Tahoma"/>
        </w:rPr>
      </w:pPr>
      <w:r w:rsidRPr="00D87B79">
        <w:rPr>
          <w:rFonts w:cs="Tahoma"/>
          <w:szCs w:val="18"/>
          <w:lang w:val="it-IT"/>
        </w:rPr>
        <w:t>Windows Enterprise Sideloading consente alla società di installare le nuove Applicazioni di Windows 8 direttamente su un dispositivo senza passare per Windows Store.</w:t>
      </w:r>
      <w:r w:rsidRPr="00D87B79">
        <w:rPr>
          <w:rFonts w:cs="Tahoma"/>
        </w:rPr>
        <w:t xml:space="preserve"> </w:t>
      </w:r>
      <w:r w:rsidRPr="00D87B79">
        <w:rPr>
          <w:rFonts w:cs="Tahoma"/>
          <w:lang w:val="it-IT"/>
        </w:rPr>
        <w:t>I dispositivi aggiunti al dominio in cui è</w:t>
      </w:r>
      <w:r>
        <w:rPr>
          <w:rFonts w:cs="Tahoma"/>
          <w:lang w:val="it-IT"/>
        </w:rPr>
        <w:t> </w:t>
      </w:r>
      <w:r w:rsidRPr="00D87B79">
        <w:rPr>
          <w:rFonts w:cs="Tahoma"/>
          <w:lang w:val="it-IT"/>
        </w:rPr>
        <w:t>in</w:t>
      </w:r>
      <w:r>
        <w:rPr>
          <w:rFonts w:cs="Tahoma"/>
          <w:lang w:val="it-IT"/>
        </w:rPr>
        <w:t> </w:t>
      </w:r>
      <w:r w:rsidRPr="00D87B79">
        <w:rPr>
          <w:rFonts w:cs="Tahoma"/>
          <w:lang w:val="it-IT"/>
        </w:rPr>
        <w:t>esecuzione l’edizione Windows 8 Enterprise, con qualsiasi Contratto Multilicenza, sono dotati di funzionalità abilitate per Windows Enterprise Sideloading.</w:t>
      </w:r>
      <w:r w:rsidRPr="00D87B79">
        <w:rPr>
          <w:rFonts w:cs="Tahoma"/>
        </w:rPr>
        <w:t xml:space="preserve"> </w:t>
      </w:r>
      <w:r w:rsidRPr="00D87B79">
        <w:rPr>
          <w:rFonts w:cs="Tahoma"/>
          <w:lang w:val="it-IT"/>
        </w:rPr>
        <w:t>Windows Enterprise Sideloading può essere attivato anche su dispositivi in cui è in esecuzione Windows 8 Enterprise che non sono stati aggiunti al dominio e su dispositivi in cui si trova Windows 8 Pro o Windows RT mediante l’utilizzo di un codice Product Key.</w:t>
      </w:r>
      <w:r w:rsidRPr="00D87B79">
        <w:rPr>
          <w:rFonts w:cs="Tahoma"/>
        </w:rPr>
        <w:t xml:space="preserve"> </w:t>
      </w:r>
      <w:r w:rsidRPr="00D87B79">
        <w:rPr>
          <w:rFonts w:cs="Tahoma"/>
          <w:lang w:val="it-IT"/>
        </w:rPr>
        <w:t>In tutti i casi Windows Enterprise Sideloading potrà essere utilizzato esclusivamente per distribuire Applicazioni che apporteranno benefici alla società con Contratti Multilicenza.</w:t>
      </w:r>
      <w:r w:rsidRPr="00D87B79">
        <w:rPr>
          <w:rFonts w:cs="Tahoma"/>
        </w:rPr>
        <w:t xml:space="preserve"> </w:t>
      </w:r>
      <w:r w:rsidRPr="00D87B79">
        <w:rPr>
          <w:rFonts w:cs="Tahoma"/>
          <w:lang w:val="it-IT"/>
        </w:rPr>
        <w:t>La funzionalità Windows Enterprise Sideloading integra il Sistema Operativo Desktop Windows e di conseguenza le condizioni di</w:t>
      </w:r>
      <w:r>
        <w:rPr>
          <w:rFonts w:cs="Tahoma"/>
          <w:lang w:val="it-IT"/>
        </w:rPr>
        <w:t> </w:t>
      </w:r>
      <w:r w:rsidRPr="00D87B79">
        <w:rPr>
          <w:rFonts w:cs="Tahoma"/>
          <w:lang w:val="it-IT"/>
        </w:rPr>
        <w:t>licenza per il Sistema Operativo Desktop Windows fornite qui si applicano all’utilizzo di tale funzionalità da</w:t>
      </w:r>
      <w:r>
        <w:rPr>
          <w:rFonts w:cs="Tahoma"/>
          <w:lang w:val="it-IT"/>
        </w:rPr>
        <w:t> </w:t>
      </w:r>
      <w:r w:rsidRPr="00D87B79">
        <w:rPr>
          <w:rFonts w:cs="Tahoma"/>
          <w:lang w:val="it-IT"/>
        </w:rPr>
        <w:t>parte delle società.</w:t>
      </w:r>
    </w:p>
    <w:p w:rsidR="00A92422" w:rsidRPr="00D87B79" w:rsidRDefault="00A92422" w:rsidP="00A92422">
      <w:pPr>
        <w:ind w:left="900"/>
        <w:rPr>
          <w:rFonts w:cs="Tahoma"/>
        </w:rPr>
      </w:pPr>
    </w:p>
    <w:p w:rsidR="00A92422" w:rsidRPr="00D87B79" w:rsidRDefault="00A92422" w:rsidP="00A92422">
      <w:pPr>
        <w:spacing w:after="60"/>
        <w:ind w:left="720"/>
        <w:rPr>
          <w:rFonts w:cs="Tahoma"/>
        </w:rPr>
      </w:pPr>
      <w:r w:rsidRPr="00D87B79">
        <w:rPr>
          <w:rFonts w:cs="Tahoma"/>
          <w:b/>
          <w:lang w:val="it-IT"/>
        </w:rPr>
        <w:t>Vantaggi di Software Assurance</w:t>
      </w:r>
    </w:p>
    <w:p w:rsidR="00A92422" w:rsidRPr="00D87B79" w:rsidRDefault="00A92422" w:rsidP="00A92422">
      <w:pPr>
        <w:ind w:left="720"/>
        <w:rPr>
          <w:rFonts w:cs="Tahoma"/>
        </w:rPr>
      </w:pPr>
      <w:r w:rsidRPr="00D87B79">
        <w:rPr>
          <w:rFonts w:cs="Tahoma"/>
          <w:lang w:val="it-IT"/>
        </w:rPr>
        <w:t>Per attivare Windows Enterprise Sideloading su uno dei seguenti dispositivi potrà essere utilizzato un codice Product Key:</w:t>
      </w:r>
    </w:p>
    <w:p w:rsidR="00A92422" w:rsidRPr="00D87B79" w:rsidRDefault="00A92422" w:rsidP="00A92422">
      <w:pPr>
        <w:ind w:left="720"/>
        <w:rPr>
          <w:rFonts w:cs="Tahoma"/>
        </w:rPr>
      </w:pPr>
    </w:p>
    <w:p w:rsidR="00A92422" w:rsidRPr="00D87B79" w:rsidRDefault="00A92422" w:rsidP="00A92422">
      <w:pPr>
        <w:pStyle w:val="ListParagraph"/>
        <w:numPr>
          <w:ilvl w:val="0"/>
          <w:numId w:val="100"/>
        </w:numPr>
        <w:spacing w:after="60"/>
        <w:ind w:left="1440"/>
        <w:contextualSpacing w:val="0"/>
        <w:rPr>
          <w:rFonts w:ascii="Tahoma" w:hAnsi="Tahoma" w:cs="Tahoma"/>
        </w:rPr>
      </w:pPr>
      <w:r w:rsidRPr="00D87B79">
        <w:rPr>
          <w:rFonts w:ascii="Tahoma" w:hAnsi="Tahoma" w:cs="Tahoma"/>
          <w:sz w:val="18"/>
          <w:lang w:val="it-IT"/>
        </w:rPr>
        <w:t>Dispositivi con copertura Windows Software Assurance attiva</w:t>
      </w:r>
    </w:p>
    <w:p w:rsidR="00A92422" w:rsidRPr="006C66AC" w:rsidRDefault="00A92422" w:rsidP="00A92422">
      <w:pPr>
        <w:pStyle w:val="ListParagraph"/>
        <w:numPr>
          <w:ilvl w:val="0"/>
          <w:numId w:val="100"/>
        </w:numPr>
        <w:spacing w:after="60"/>
        <w:ind w:left="1440"/>
        <w:contextualSpacing w:val="0"/>
        <w:rPr>
          <w:rFonts w:ascii="Tahoma" w:hAnsi="Tahoma" w:cs="Tahoma"/>
        </w:rPr>
      </w:pPr>
      <w:r w:rsidRPr="00D87B79">
        <w:rPr>
          <w:rFonts w:ascii="Tahoma" w:hAnsi="Tahoma" w:cs="Tahoma"/>
          <w:sz w:val="18"/>
          <w:lang w:val="it-IT"/>
        </w:rPr>
        <w:t>Dispositivi con una licenza “Subscription” per Windows Intune (Per Dispositivo) o VDA attiva</w:t>
      </w:r>
    </w:p>
    <w:p w:rsidR="00A92422" w:rsidRPr="00D87B79" w:rsidRDefault="00A92422" w:rsidP="00A92422">
      <w:pPr>
        <w:pStyle w:val="ListParagraph"/>
        <w:numPr>
          <w:ilvl w:val="0"/>
          <w:numId w:val="100"/>
        </w:numPr>
        <w:spacing w:after="60"/>
        <w:ind w:left="1440"/>
        <w:contextualSpacing w:val="0"/>
        <w:rPr>
          <w:rFonts w:ascii="Tahoma" w:hAnsi="Tahoma" w:cs="Tahoma"/>
        </w:rPr>
      </w:pPr>
      <w:r w:rsidRPr="00D87B79">
        <w:rPr>
          <w:rFonts w:ascii="Tahoma" w:hAnsi="Tahoma" w:cs="Tahoma"/>
          <w:sz w:val="18"/>
          <w:lang w:val="it-IT"/>
        </w:rPr>
        <w:t>Dispositivi con Windows RT</w:t>
      </w:r>
    </w:p>
    <w:p w:rsidR="00A92422" w:rsidRPr="00D87B79" w:rsidRDefault="00A92422" w:rsidP="00A92422">
      <w:pPr>
        <w:pStyle w:val="ListParagraph"/>
        <w:numPr>
          <w:ilvl w:val="0"/>
          <w:numId w:val="100"/>
        </w:numPr>
        <w:spacing w:after="60"/>
        <w:ind w:left="1440"/>
        <w:contextualSpacing w:val="0"/>
        <w:rPr>
          <w:rFonts w:ascii="Tahoma" w:hAnsi="Tahoma" w:cs="Tahoma"/>
        </w:rPr>
      </w:pPr>
      <w:r w:rsidRPr="00D87B79">
        <w:rPr>
          <w:rFonts w:ascii="Tahoma" w:hAnsi="Tahoma" w:cs="Tahoma"/>
          <w:sz w:val="18"/>
          <w:lang w:val="it-IT"/>
        </w:rPr>
        <w:t>Dispositivi coperti dalla Licenza “Subscription” per Windows Companion</w:t>
      </w:r>
    </w:p>
    <w:p w:rsidR="00A92422" w:rsidRPr="00D87B79" w:rsidRDefault="00A92422" w:rsidP="00A92422">
      <w:pPr>
        <w:ind w:left="720"/>
        <w:rPr>
          <w:rFonts w:cs="Tahoma"/>
        </w:rPr>
      </w:pPr>
      <w:r w:rsidRPr="00D87B79">
        <w:rPr>
          <w:rFonts w:cs="Tahoma"/>
          <w:lang w:val="it-IT"/>
        </w:rPr>
        <w:lastRenderedPageBreak/>
        <w:t>Windows Enterprise Sideloading potrà essere attivato su un qualsiasi dispositivo autorizzato solo prima della scadenza della copertura Software Assurance o della Licenza “Subscription” corrispondente.</w:t>
      </w:r>
      <w:r w:rsidRPr="00D87B79">
        <w:rPr>
          <w:rFonts w:cs="Tahoma"/>
        </w:rPr>
        <w:t xml:space="preserve"> </w:t>
      </w:r>
      <w:r w:rsidRPr="00D87B79">
        <w:rPr>
          <w:rFonts w:cs="Tahoma"/>
          <w:lang w:val="it-IT"/>
        </w:rPr>
        <w:t>Nei programmi didattici Windows Enterprise Sideloading potrà essere attivato solo su dispositivi di proprietà di istituti.</w:t>
      </w:r>
    </w:p>
    <w:p w:rsidR="00A92422" w:rsidRPr="00D87B79" w:rsidRDefault="00A92422" w:rsidP="00A92422">
      <w:pPr>
        <w:ind w:left="900"/>
        <w:rPr>
          <w:rFonts w:cs="Tahoma"/>
        </w:rPr>
      </w:pPr>
    </w:p>
    <w:p w:rsidR="00A92422" w:rsidRPr="00D87B79" w:rsidRDefault="00A92422" w:rsidP="00A92422">
      <w:pPr>
        <w:spacing w:after="60"/>
        <w:ind w:left="720"/>
        <w:rPr>
          <w:rFonts w:cs="Tahoma"/>
        </w:rPr>
      </w:pPr>
      <w:r w:rsidRPr="00D87B79">
        <w:rPr>
          <w:rFonts w:cs="Tahoma"/>
          <w:b/>
          <w:lang w:val="it-IT"/>
        </w:rPr>
        <w:t>Licenza per Enterprise Sideloading Disponibile per l’Acquisto</w:t>
      </w:r>
    </w:p>
    <w:p w:rsidR="00A92422" w:rsidRPr="00D87B79" w:rsidRDefault="00A92422" w:rsidP="00A92422">
      <w:pPr>
        <w:ind w:left="720"/>
        <w:rPr>
          <w:rFonts w:cs="Tahoma"/>
        </w:rPr>
      </w:pPr>
      <w:r w:rsidRPr="00D87B79">
        <w:rPr>
          <w:rFonts w:cs="Tahoma"/>
          <w:szCs w:val="18"/>
          <w:lang w:val="it-IT"/>
        </w:rPr>
        <w:t>Le società potranno acquistare licenze per Enterprise Sideloading.</w:t>
      </w:r>
      <w:r w:rsidRPr="00D87B79">
        <w:rPr>
          <w:rFonts w:cs="Tahoma"/>
        </w:rPr>
        <w:t xml:space="preserve"> </w:t>
      </w:r>
      <w:r w:rsidRPr="00D87B79">
        <w:rPr>
          <w:rFonts w:cs="Tahoma"/>
          <w:lang w:val="it-IT"/>
        </w:rPr>
        <w:t>Ciascuna di tali licenze per Enterprise Sideloading dovrà essere ceduta in modo definitivo a un dispositivo singolo.</w:t>
      </w:r>
      <w:r w:rsidRPr="00D87B79">
        <w:rPr>
          <w:rFonts w:cs="Tahoma"/>
        </w:rPr>
        <w:t xml:space="preserve"> </w:t>
      </w:r>
      <w:r w:rsidRPr="00D87B79">
        <w:rPr>
          <w:rFonts w:cs="Tahoma"/>
          <w:lang w:val="it-IT"/>
        </w:rPr>
        <w:t>Nei programmi didattici Windows Enterprise Sideloading potrà essere attivato solo su dispositivi di proprietà di istituti.</w:t>
      </w:r>
    </w:p>
    <w:p w:rsidR="00A92422" w:rsidRPr="007F391B" w:rsidRDefault="00A92422" w:rsidP="00A92422">
      <w:pPr>
        <w:pStyle w:val="Heading3"/>
        <w:rPr>
          <w:rFonts w:ascii="Tahoma" w:hAnsi="Tahoma" w:cs="Tahoma"/>
          <w:sz w:val="18"/>
          <w:szCs w:val="18"/>
          <w:vertAlign w:val="superscript"/>
        </w:rPr>
      </w:pPr>
    </w:p>
    <w:p w:rsidR="00A92422" w:rsidRPr="00D87B79" w:rsidRDefault="00A92422" w:rsidP="00A92422">
      <w:pPr>
        <w:rPr>
          <w:rFonts w:cs="Tahoma"/>
        </w:rPr>
      </w:pPr>
      <w:bookmarkStart w:id="1160" w:name="_Toc336338285"/>
    </w:p>
    <w:p w:rsidR="00A92422" w:rsidRPr="00D87B79" w:rsidRDefault="00A92422" w:rsidP="00A92422">
      <w:pPr>
        <w:pStyle w:val="Heading3"/>
        <w:rPr>
          <w:rFonts w:ascii="Tahoma" w:hAnsi="Tahoma" w:cs="Tahoma"/>
        </w:rPr>
      </w:pPr>
      <w:bookmarkStart w:id="1161" w:name="Sys_25WindowsPartnersLearning"/>
      <w:bookmarkStart w:id="1162" w:name="_25_Windows®_7"/>
      <w:bookmarkStart w:id="1163" w:name="_Toc342900334"/>
      <w:bookmarkEnd w:id="1160"/>
      <w:bookmarkEnd w:id="1161"/>
      <w:bookmarkEnd w:id="1162"/>
      <w:r w:rsidRPr="00D87B79">
        <w:rPr>
          <w:rFonts w:ascii="Tahoma" w:hAnsi="Tahoma" w:cs="Tahoma"/>
          <w:caps/>
          <w:color w:val="F66400"/>
          <w:sz w:val="22"/>
          <w:vertAlign w:val="superscript"/>
          <w:lang w:val="it-IT"/>
        </w:rPr>
        <w:t>25</w:t>
      </w:r>
      <w:r w:rsidRPr="00D87B79">
        <w:rPr>
          <w:rFonts w:ascii="Tahoma" w:hAnsi="Tahoma" w:cs="Tahoma"/>
          <w:color w:val="F66400"/>
          <w:sz w:val="22"/>
          <w:lang w:val="it-IT"/>
        </w:rPr>
        <w:t xml:space="preserve"> Windows</w:t>
      </w:r>
      <w:r w:rsidRPr="003A0F2F">
        <w:rPr>
          <w:rFonts w:ascii="Tahoma" w:hAnsi="Tahoma" w:cs="Tahoma"/>
          <w:color w:val="F66400"/>
          <w:sz w:val="22"/>
          <w:vertAlign w:val="superscript"/>
          <w:lang w:val="it-IT"/>
        </w:rPr>
        <w:t>®</w:t>
      </w:r>
      <w:r w:rsidRPr="00D87B79">
        <w:rPr>
          <w:rFonts w:ascii="Tahoma" w:hAnsi="Tahoma" w:cs="Tahoma"/>
          <w:color w:val="F66400"/>
          <w:sz w:val="22"/>
          <w:lang w:val="it-IT"/>
        </w:rPr>
        <w:t xml:space="preserve"> 7 Partners in Learning</w:t>
      </w:r>
      <w:bookmarkEnd w:id="1163"/>
    </w:p>
    <w:p w:rsidR="00A92422" w:rsidRPr="00D87B79" w:rsidRDefault="00A92422" w:rsidP="00A92422">
      <w:pPr>
        <w:rPr>
          <w:rFonts w:cs="Tahoma"/>
        </w:rPr>
      </w:pPr>
    </w:p>
    <w:p w:rsidR="00A92422" w:rsidRPr="00D87B79" w:rsidRDefault="00A92422" w:rsidP="00A92422">
      <w:pPr>
        <w:ind w:left="720" w:right="-810"/>
        <w:rPr>
          <w:rFonts w:cs="Tahoma"/>
        </w:rPr>
      </w:pPr>
      <w:r w:rsidRPr="00D87B79">
        <w:rPr>
          <w:rFonts w:cs="Tahoma"/>
          <w:color w:val="000000"/>
          <w:lang w:val="it-IT"/>
        </w:rPr>
        <w:t xml:space="preserve">Per i requisiti di idoneità e l’iscrizione dei partner, la società dovrà fare riferimento alla pagina </w:t>
      </w:r>
      <w:hyperlink r:id="rId31" w:history="1">
        <w:r w:rsidRPr="00D87B79">
          <w:rPr>
            <w:rFonts w:cs="Tahoma"/>
            <w:color w:val="0000FF"/>
            <w:u w:val="single"/>
            <w:lang w:val="it-IT"/>
          </w:rPr>
          <w:t>http://www.microsoft.com/education/pil/partnersinlearning.aspx</w:t>
        </w:r>
      </w:hyperlink>
      <w:r w:rsidRPr="00D87B79">
        <w:rPr>
          <w:rFonts w:cs="Tahoma"/>
          <w:lang w:val="it-IT"/>
        </w:rPr>
        <w:t>.</w:t>
      </w:r>
      <w:r w:rsidRPr="00D87B79">
        <w:rPr>
          <w:rFonts w:cs="Tahoma"/>
        </w:rPr>
        <w:t xml:space="preserve"> </w:t>
      </w:r>
    </w:p>
    <w:p w:rsidR="00A92422" w:rsidRPr="00D87B79" w:rsidRDefault="00A92422" w:rsidP="00A92422">
      <w:pPr>
        <w:ind w:right="-810"/>
        <w:rPr>
          <w:rFonts w:cs="Tahoma"/>
        </w:rPr>
      </w:pPr>
    </w:p>
    <w:p w:rsidR="00A92422" w:rsidRPr="00D87B79" w:rsidRDefault="00A92422" w:rsidP="00A92422">
      <w:pPr>
        <w:ind w:right="-810"/>
        <w:rPr>
          <w:rFonts w:cs="Tahoma"/>
        </w:rPr>
      </w:pPr>
    </w:p>
    <w:p w:rsidR="00A92422" w:rsidRPr="00D87B79" w:rsidRDefault="00A92422" w:rsidP="00A92422">
      <w:pPr>
        <w:pStyle w:val="Heading3"/>
        <w:rPr>
          <w:rFonts w:ascii="Tahoma" w:hAnsi="Tahoma" w:cs="Tahoma"/>
        </w:rPr>
      </w:pPr>
      <w:bookmarkStart w:id="1164" w:name="_Toc336338286"/>
      <w:bookmarkStart w:id="1165" w:name="Sys_27Win7ProUpgradeWinIntune"/>
      <w:bookmarkStart w:id="1166" w:name="Sys_26WinVistaBizUpgrade"/>
      <w:bookmarkStart w:id="1167" w:name="Sys_23Windows7ProUpgrade"/>
      <w:bookmarkStart w:id="1168" w:name="Sys_27WindowsVistaProUpgrade"/>
      <w:bookmarkStart w:id="1169" w:name="_26_Aggiornamento_per"/>
      <w:bookmarkStart w:id="1170" w:name="_Toc342900335"/>
      <w:bookmarkEnd w:id="1164"/>
      <w:bookmarkEnd w:id="1165"/>
      <w:bookmarkEnd w:id="1166"/>
      <w:bookmarkEnd w:id="1167"/>
      <w:bookmarkEnd w:id="1168"/>
      <w:bookmarkEnd w:id="1169"/>
      <w:r w:rsidRPr="00D87B79">
        <w:rPr>
          <w:rFonts w:ascii="Tahoma" w:hAnsi="Tahoma" w:cs="Tahoma"/>
          <w:caps/>
          <w:color w:val="F66400"/>
          <w:sz w:val="22"/>
          <w:vertAlign w:val="superscript"/>
          <w:lang w:val="it-IT"/>
        </w:rPr>
        <w:t>26</w:t>
      </w:r>
      <w:r w:rsidRPr="006C66AC">
        <w:rPr>
          <w:rFonts w:ascii="Tahoma" w:hAnsi="Tahoma" w:cs="Tahoma"/>
          <w:caps/>
          <w:color w:val="F66400"/>
          <w:sz w:val="22"/>
          <w:lang w:val="it-IT"/>
        </w:rPr>
        <w:t xml:space="preserve"> </w:t>
      </w:r>
      <w:r w:rsidRPr="00D87B79">
        <w:rPr>
          <w:rFonts w:ascii="Tahoma" w:hAnsi="Tahoma" w:cs="Tahoma"/>
          <w:color w:val="FF6D09"/>
          <w:sz w:val="22"/>
          <w:lang w:val="it-IT"/>
        </w:rPr>
        <w:t>Aggiornamento per Windows</w:t>
      </w:r>
      <w:r w:rsidRPr="003A0F2F">
        <w:rPr>
          <w:rFonts w:ascii="Tahoma" w:hAnsi="Tahoma" w:cs="Tahoma"/>
          <w:color w:val="FF6D09"/>
          <w:sz w:val="22"/>
          <w:vertAlign w:val="superscript"/>
          <w:lang w:val="it-IT"/>
        </w:rPr>
        <w:t>®</w:t>
      </w:r>
      <w:r w:rsidRPr="00D87B79">
        <w:rPr>
          <w:rFonts w:ascii="Tahoma" w:hAnsi="Tahoma" w:cs="Tahoma"/>
          <w:color w:val="FF6D09"/>
          <w:sz w:val="22"/>
          <w:lang w:val="it-IT"/>
        </w:rPr>
        <w:t xml:space="preserve"> 8 Pro e Windows Intune (Per Dispositivo)</w:t>
      </w:r>
      <w:bookmarkEnd w:id="1170"/>
    </w:p>
    <w:p w:rsidR="00A92422" w:rsidRPr="00D87B79" w:rsidRDefault="00A92422" w:rsidP="00A92422">
      <w:pPr>
        <w:rPr>
          <w:rFonts w:cs="Tahoma"/>
        </w:rPr>
      </w:pPr>
    </w:p>
    <w:p w:rsidR="00A92422" w:rsidRPr="00D87B79" w:rsidRDefault="00A92422" w:rsidP="00A92422">
      <w:pPr>
        <w:pStyle w:val="FootnoteBulletLevel1"/>
        <w:tabs>
          <w:tab w:val="clear" w:pos="900"/>
        </w:tabs>
        <w:adjustRightInd/>
        <w:spacing w:before="0" w:after="60"/>
        <w:ind w:left="720" w:firstLine="0"/>
        <w:textAlignment w:val="auto"/>
        <w:rPr>
          <w:rFonts w:ascii="Tahoma" w:hAnsi="Tahoma" w:cs="Tahoma"/>
        </w:rPr>
      </w:pPr>
      <w:r w:rsidRPr="00D87B79">
        <w:rPr>
          <w:rFonts w:ascii="Tahoma" w:hAnsi="Tahoma" w:cs="Tahoma"/>
          <w:b/>
          <w:sz w:val="18"/>
          <w:lang w:val="it-IT"/>
        </w:rPr>
        <w:t>Aggiornamento per Windows 8 Pro</w:t>
      </w:r>
    </w:p>
    <w:p w:rsidR="00A92422" w:rsidRPr="00D87B79" w:rsidRDefault="00A92422" w:rsidP="00A92422">
      <w:pPr>
        <w:ind w:left="720"/>
        <w:rPr>
          <w:rFonts w:cs="Tahoma"/>
        </w:rPr>
      </w:pPr>
      <w:r w:rsidRPr="00D87B79">
        <w:rPr>
          <w:rFonts w:cs="Tahoma"/>
          <w:u w:val="single"/>
          <w:lang w:val="it-IT"/>
        </w:rPr>
        <w:t>Licenza di Aggiornamento per il Sistema Operativo (OS)</w:t>
      </w:r>
    </w:p>
    <w:p w:rsidR="00A92422" w:rsidRPr="007F391B" w:rsidRDefault="00A92422" w:rsidP="00A92422">
      <w:pPr>
        <w:pStyle w:val="FootnoteBulletLevel1"/>
        <w:tabs>
          <w:tab w:val="clear" w:pos="900"/>
        </w:tabs>
        <w:adjustRightInd/>
        <w:spacing w:before="0" w:after="0"/>
        <w:ind w:left="720" w:hanging="7"/>
        <w:textAlignment w:val="auto"/>
        <w:rPr>
          <w:rFonts w:ascii="Tahoma" w:hAnsi="Tahoma" w:cs="Tahoma"/>
          <w:sz w:val="18"/>
          <w:szCs w:val="18"/>
        </w:rPr>
      </w:pPr>
      <w:r w:rsidRPr="007F391B">
        <w:rPr>
          <w:rFonts w:ascii="Tahoma" w:hAnsi="Tahoma" w:cs="Tahoma"/>
          <w:sz w:val="18"/>
          <w:szCs w:val="18"/>
          <w:lang w:val="it-IT"/>
        </w:rPr>
        <w:t>Le licenze per sistemi operativi desktop fornite in base ai presenti programmi sono unicamente licenze di aggiornamento.</w:t>
      </w:r>
      <w:r w:rsidRPr="007F391B">
        <w:rPr>
          <w:rFonts w:ascii="Tahoma" w:hAnsi="Tahoma" w:cs="Tahoma"/>
          <w:sz w:val="18"/>
          <w:szCs w:val="18"/>
        </w:rPr>
        <w:t xml:space="preserve"> </w:t>
      </w:r>
      <w:r w:rsidRPr="007F391B">
        <w:rPr>
          <w:rFonts w:ascii="Tahoma" w:hAnsi="Tahoma" w:cs="Tahoma"/>
          <w:sz w:val="18"/>
          <w:szCs w:val="18"/>
          <w:lang w:val="it-IT"/>
        </w:rPr>
        <w:t>I presenti programmi non prevedono licenze complete per sistemi operativi desktop.</w:t>
      </w:r>
      <w:r w:rsidRPr="007F391B">
        <w:rPr>
          <w:rFonts w:ascii="Tahoma" w:hAnsi="Tahoma" w:cs="Tahoma"/>
          <w:sz w:val="18"/>
          <w:szCs w:val="18"/>
        </w:rPr>
        <w:t xml:space="preserve"> </w:t>
      </w:r>
      <w:r w:rsidRPr="007F391B">
        <w:rPr>
          <w:rFonts w:ascii="Tahoma" w:hAnsi="Tahoma" w:cs="Tahoma"/>
          <w:sz w:val="18"/>
          <w:szCs w:val="18"/>
          <w:lang w:val="it-IT"/>
        </w:rPr>
        <w:t>Pertanto, ogni desktop per cui sia stato acquistato e su cui sia installato l’Aggiornamento per Windows 8 Pro dovrà avere la licenza per eseguire uno dei sistemi operativi qualificanti indicati sotto.</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u w:val="single"/>
          <w:lang w:val="it-IT"/>
        </w:rPr>
        <w:t>Regole per i Sistemi Operativi Qualificanti</w:t>
      </w:r>
    </w:p>
    <w:p w:rsidR="00A92422" w:rsidRPr="00D87B79" w:rsidRDefault="00A92422" w:rsidP="00A92422">
      <w:pPr>
        <w:ind w:left="720"/>
        <w:rPr>
          <w:rFonts w:cs="Tahoma"/>
        </w:rPr>
      </w:pPr>
    </w:p>
    <w:p w:rsidR="00A92422" w:rsidRPr="007F391B" w:rsidRDefault="00A92422" w:rsidP="00A92422">
      <w:pPr>
        <w:numPr>
          <w:ilvl w:val="1"/>
          <w:numId w:val="101"/>
        </w:numPr>
        <w:spacing w:after="60"/>
        <w:ind w:left="1440"/>
        <w:rPr>
          <w:rFonts w:cs="Tahoma"/>
          <w:szCs w:val="18"/>
        </w:rPr>
      </w:pPr>
      <w:r w:rsidRPr="007F391B">
        <w:rPr>
          <w:rFonts w:cs="Tahoma"/>
          <w:szCs w:val="18"/>
          <w:lang w:val="it-IT"/>
        </w:rPr>
        <w:t>L’OS qualificante deve essere installato sul dispositivo a cui deve essere assegnata la licenza di</w:t>
      </w:r>
      <w:r>
        <w:rPr>
          <w:rFonts w:cs="Tahoma"/>
          <w:szCs w:val="18"/>
          <w:lang w:val="it-IT"/>
        </w:rPr>
        <w:t> </w:t>
      </w:r>
      <w:r w:rsidRPr="007F391B">
        <w:rPr>
          <w:rFonts w:cs="Tahoma"/>
          <w:szCs w:val="18"/>
          <w:lang w:val="it-IT"/>
        </w:rPr>
        <w:t>Aggiornamento VL.</w:t>
      </w:r>
    </w:p>
    <w:p w:rsidR="00A92422" w:rsidRPr="00D87B79" w:rsidRDefault="00A92422" w:rsidP="00A92422">
      <w:pPr>
        <w:numPr>
          <w:ilvl w:val="2"/>
          <w:numId w:val="102"/>
        </w:numPr>
        <w:spacing w:after="60"/>
        <w:ind w:left="1980"/>
        <w:rPr>
          <w:rFonts w:cs="Tahoma"/>
        </w:rPr>
      </w:pPr>
      <w:r w:rsidRPr="00D87B79">
        <w:rPr>
          <w:rFonts w:cs="Tahoma"/>
          <w:color w:val="000000"/>
          <w:lang w:val="it-IT"/>
        </w:rPr>
        <w:t>Apple Macintosh è un Sistema Operativo qualificante solo qualora sia preinstallato dal</w:t>
      </w:r>
      <w:r>
        <w:rPr>
          <w:rFonts w:cs="Tahoma"/>
          <w:color w:val="000000"/>
          <w:lang w:val="it-IT"/>
        </w:rPr>
        <w:t> </w:t>
      </w:r>
      <w:r w:rsidRPr="00D87B79">
        <w:rPr>
          <w:rFonts w:cs="Tahoma"/>
          <w:color w:val="000000"/>
          <w:lang w:val="it-IT"/>
        </w:rPr>
        <w:t>produttore autorizzato prima della vendita iniziale del computer.</w:t>
      </w:r>
    </w:p>
    <w:p w:rsidR="00A92422" w:rsidRPr="00D87B79" w:rsidRDefault="00A92422" w:rsidP="00A92422">
      <w:pPr>
        <w:numPr>
          <w:ilvl w:val="1"/>
          <w:numId w:val="103"/>
        </w:numPr>
        <w:spacing w:after="60"/>
        <w:ind w:left="1440"/>
        <w:rPr>
          <w:rFonts w:cs="Tahoma"/>
        </w:rPr>
      </w:pPr>
      <w:r w:rsidRPr="00D87B79">
        <w:rPr>
          <w:rFonts w:cs="Tahoma"/>
          <w:lang w:val="it-IT"/>
        </w:rPr>
        <w:t>Salvo quanto previsto di seguito, le società dovranno rimuovere il Sistema Operativo qualificante dal dispositivo per distribuire la licenza di Aggiornamento VL.</w:t>
      </w:r>
      <w:r w:rsidRPr="00D87B79">
        <w:rPr>
          <w:rFonts w:cs="Tahoma"/>
        </w:rPr>
        <w:t xml:space="preserve"> </w:t>
      </w:r>
    </w:p>
    <w:p w:rsidR="00A92422" w:rsidRPr="00D87B79" w:rsidRDefault="00A92422" w:rsidP="00A92422">
      <w:pPr>
        <w:numPr>
          <w:ilvl w:val="1"/>
          <w:numId w:val="103"/>
        </w:numPr>
        <w:spacing w:after="60"/>
        <w:ind w:left="1440"/>
        <w:rPr>
          <w:rFonts w:cs="Tahoma"/>
        </w:rPr>
      </w:pPr>
      <w:r w:rsidRPr="00D87B79">
        <w:rPr>
          <w:rFonts w:cs="Tahoma"/>
          <w:lang w:val="it-IT"/>
        </w:rPr>
        <w:t>Le società che intendono installare o eseguire più di un sistema operativo con licenza alla volta (compreso l’OS qualificante) potranno acquistare Software Assurance per la licenza di Aggiornamento VL.</w:t>
      </w:r>
    </w:p>
    <w:p w:rsidR="00A92422" w:rsidRPr="00D87B79" w:rsidRDefault="00A92422" w:rsidP="00A92422">
      <w:pPr>
        <w:numPr>
          <w:ilvl w:val="1"/>
          <w:numId w:val="103"/>
        </w:numPr>
        <w:spacing w:after="60"/>
        <w:ind w:left="1440"/>
        <w:rPr>
          <w:rFonts w:cs="Tahoma"/>
        </w:rPr>
      </w:pPr>
      <w:r w:rsidRPr="00D87B79">
        <w:rPr>
          <w:rFonts w:cs="Tahoma"/>
          <w:lang w:val="it-IT"/>
        </w:rPr>
        <w:t>Le società che dispongono di una copertura Software Assurance attiva non hanno l’obbligo di</w:t>
      </w:r>
      <w:r>
        <w:rPr>
          <w:rFonts w:cs="Tahoma"/>
          <w:lang w:val="it-IT"/>
        </w:rPr>
        <w:t> </w:t>
      </w:r>
      <w:r w:rsidRPr="00D87B79">
        <w:rPr>
          <w:rFonts w:cs="Tahoma"/>
          <w:lang w:val="it-IT"/>
        </w:rPr>
        <w:t>disinstallare l’OS qualificante e potranno installare ed eseguire contemporaneamente l’OS qualificante e Windows 8.</w:t>
      </w:r>
      <w:r w:rsidRPr="00D87B79">
        <w:rPr>
          <w:rFonts w:cs="Tahoma"/>
        </w:rPr>
        <w:t xml:space="preserve"> </w:t>
      </w:r>
    </w:p>
    <w:p w:rsidR="00A92422" w:rsidRPr="007F391B" w:rsidRDefault="00A92422" w:rsidP="00A92422">
      <w:pPr>
        <w:pStyle w:val="EndnoteText"/>
        <w:rPr>
          <w:rFonts w:ascii="Tahoma" w:hAnsi="Tahoma" w:cs="Tahoma"/>
          <w:sz w:val="18"/>
          <w:szCs w:val="18"/>
        </w:rPr>
      </w:pPr>
    </w:p>
    <w:p w:rsidR="00A92422" w:rsidRPr="00D87B79" w:rsidRDefault="00A92422" w:rsidP="00A92422">
      <w:pPr>
        <w:pStyle w:val="EndnoteText"/>
        <w:rPr>
          <w:rFonts w:ascii="Tahoma" w:hAnsi="Tahoma" w:cs="Tahoma"/>
        </w:rPr>
      </w:pPr>
      <w:r w:rsidRPr="00D87B79">
        <w:rPr>
          <w:rFonts w:ascii="Tahoma" w:hAnsi="Tahoma" w:cs="Tahoma"/>
          <w:sz w:val="18"/>
          <w:lang w:val="it-IT"/>
        </w:rPr>
        <w:t>I sistemi operativi qualificanti in base al tipo di Programma sono:</w:t>
      </w:r>
    </w:p>
    <w:p w:rsidR="00A92422" w:rsidRPr="007F391B" w:rsidRDefault="00A92422" w:rsidP="00A92422">
      <w:pPr>
        <w:pStyle w:val="EndnoteText"/>
        <w:rPr>
          <w:rFonts w:ascii="Tahoma" w:hAnsi="Tahoma" w:cs="Tahoma"/>
          <w:sz w:val="18"/>
          <w:szCs w:val="18"/>
        </w:rPr>
      </w:pPr>
    </w:p>
    <w:tbl>
      <w:tblPr>
        <w:tblW w:w="9004" w:type="dxa"/>
        <w:tblInd w:w="1008" w:type="dxa"/>
        <w:tblCellMar>
          <w:left w:w="0" w:type="dxa"/>
          <w:right w:w="0" w:type="dxa"/>
        </w:tblCellMar>
        <w:tblLook w:val="04A0" w:firstRow="1" w:lastRow="0" w:firstColumn="1" w:lastColumn="0" w:noHBand="0" w:noVBand="1"/>
      </w:tblPr>
      <w:tblGrid>
        <w:gridCol w:w="3158"/>
        <w:gridCol w:w="1240"/>
        <w:gridCol w:w="1340"/>
        <w:gridCol w:w="1060"/>
        <w:gridCol w:w="1037"/>
        <w:gridCol w:w="1220"/>
      </w:tblGrid>
      <w:tr w:rsidR="00A92422" w:rsidRPr="00D87B79" w:rsidTr="00EA30FC">
        <w:trPr>
          <w:trHeight w:val="375"/>
          <w:tblHeader/>
        </w:trPr>
        <w:tc>
          <w:tcPr>
            <w:tcW w:w="3158"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A92422" w:rsidRPr="00D87B79" w:rsidRDefault="00A92422" w:rsidP="00EA30FC">
            <w:pPr>
              <w:jc w:val="center"/>
              <w:rPr>
                <w:rFonts w:eastAsia="Times New Roman" w:cs="Tahoma"/>
                <w:b/>
                <w:bCs/>
                <w:szCs w:val="18"/>
              </w:rPr>
            </w:pPr>
            <w:r w:rsidRPr="00D87B79">
              <w:rPr>
                <w:rFonts w:cs="Tahoma"/>
                <w:b/>
                <w:lang w:val="it-IT"/>
              </w:rPr>
              <w:t>Sistemi Operativi Qualificanti</w:t>
            </w:r>
            <w:r w:rsidRPr="00D87B79">
              <w:rPr>
                <w:rFonts w:cs="Tahoma"/>
              </w:rPr>
              <w:t xml:space="preserve"> </w:t>
            </w:r>
          </w:p>
        </w:tc>
        <w:tc>
          <w:tcPr>
            <w:tcW w:w="5846"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tcPr>
          <w:p w:rsidR="00A92422" w:rsidRPr="00D87B79" w:rsidRDefault="00A92422" w:rsidP="00EA30FC">
            <w:pPr>
              <w:rPr>
                <w:rFonts w:eastAsia="Times New Roman" w:cs="Tahoma"/>
                <w:b/>
                <w:bCs/>
                <w:szCs w:val="18"/>
              </w:rPr>
            </w:pPr>
            <w:r w:rsidRPr="00D87B79">
              <w:rPr>
                <w:rFonts w:cs="Tahoma"/>
                <w:b/>
                <w:bCs/>
                <w:szCs w:val="18"/>
              </w:rPr>
              <w:t> </w:t>
            </w:r>
          </w:p>
        </w:tc>
      </w:tr>
      <w:tr w:rsidR="00A92422" w:rsidRPr="00D87B79" w:rsidTr="00EA30FC">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rsidR="00A92422" w:rsidRPr="00D87B79" w:rsidRDefault="00A92422" w:rsidP="00EA30FC">
            <w:pPr>
              <w:rPr>
                <w:rFonts w:eastAsia="Times New Roman" w:cs="Tahoma"/>
                <w:b/>
                <w:bCs/>
                <w:szCs w:val="18"/>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A92422" w:rsidRPr="00D87B79" w:rsidRDefault="00A92422" w:rsidP="00EA30FC">
            <w:pPr>
              <w:jc w:val="center"/>
              <w:rPr>
                <w:rFonts w:eastAsia="Times New Roman" w:cs="Tahoma"/>
                <w:b/>
                <w:bCs/>
                <w:sz w:val="16"/>
                <w:szCs w:val="18"/>
              </w:rPr>
            </w:pPr>
            <w:r w:rsidRPr="00D87B79">
              <w:rPr>
                <w:rFonts w:cs="Tahoma"/>
                <w:b/>
                <w:sz w:val="16"/>
                <w:lang w:val="it-IT"/>
              </w:rPr>
              <w:t>Nuovo EA/</w:t>
            </w:r>
            <w:r w:rsidRPr="00D87B79">
              <w:rPr>
                <w:rFonts w:cs="Tahoma"/>
                <w:b/>
                <w:sz w:val="16"/>
                <w:lang w:val="it-IT"/>
              </w:rPr>
              <w:br/>
              <w:t>OV-CW</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A92422" w:rsidRPr="00D87B79" w:rsidRDefault="00A92422" w:rsidP="00EA30FC">
            <w:pPr>
              <w:jc w:val="center"/>
              <w:rPr>
                <w:rFonts w:eastAsia="Times New Roman" w:cs="Tahoma"/>
                <w:b/>
                <w:bCs/>
                <w:sz w:val="16"/>
                <w:szCs w:val="18"/>
              </w:rPr>
            </w:pPr>
            <w:r w:rsidRPr="00D87B79">
              <w:rPr>
                <w:rFonts w:cs="Tahoma"/>
                <w:b/>
                <w:sz w:val="16"/>
                <w:lang w:val="it-IT"/>
              </w:rPr>
              <w:t>EA/OV-CW Esistente</w:t>
            </w:r>
          </w:p>
        </w:tc>
        <w:tc>
          <w:tcPr>
            <w:tcW w:w="104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A92422" w:rsidRPr="00D87B79" w:rsidRDefault="00A92422" w:rsidP="00EA30FC">
            <w:pPr>
              <w:jc w:val="center"/>
              <w:rPr>
                <w:rFonts w:eastAsia="Times New Roman" w:cs="Tahoma"/>
                <w:b/>
                <w:bCs/>
                <w:sz w:val="16"/>
                <w:szCs w:val="18"/>
              </w:rPr>
            </w:pPr>
            <w:r w:rsidRPr="00D87B79">
              <w:rPr>
                <w:rFonts w:cs="Tahoma"/>
                <w:b/>
                <w:sz w:val="16"/>
                <w:lang w:val="it-IT"/>
              </w:rPr>
              <w:t>Select (Tutti tranne Academic)</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A92422" w:rsidRPr="00D87B79" w:rsidRDefault="00A92422" w:rsidP="00EA30FC">
            <w:pPr>
              <w:jc w:val="center"/>
              <w:rPr>
                <w:rFonts w:eastAsia="Times New Roman" w:cs="Tahoma"/>
                <w:b/>
                <w:bCs/>
                <w:sz w:val="16"/>
                <w:szCs w:val="18"/>
              </w:rPr>
            </w:pPr>
            <w:r w:rsidRPr="00D87B79">
              <w:rPr>
                <w:rFonts w:cs="Tahoma"/>
                <w:b/>
                <w:sz w:val="16"/>
                <w:lang w:val="it-IT"/>
              </w:rPr>
              <w:t>Open (Tutti tranne Academic, Charity &amp; OV-CW)</w:t>
            </w:r>
          </w:p>
        </w:tc>
        <w:tc>
          <w:tcPr>
            <w:tcW w:w="122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A92422" w:rsidRPr="00D87B79" w:rsidRDefault="00A92422" w:rsidP="00EA30FC">
            <w:pPr>
              <w:jc w:val="center"/>
              <w:rPr>
                <w:rFonts w:eastAsia="Times New Roman" w:cs="Tahoma"/>
                <w:b/>
                <w:bCs/>
                <w:sz w:val="16"/>
                <w:szCs w:val="18"/>
              </w:rPr>
            </w:pPr>
            <w:r w:rsidRPr="00D87B79">
              <w:rPr>
                <w:rFonts w:cs="Tahoma"/>
                <w:b/>
                <w:sz w:val="16"/>
                <w:lang w:val="it-IT"/>
              </w:rPr>
              <w:t>Academic &amp; Charity</w:t>
            </w:r>
          </w:p>
        </w:tc>
      </w:tr>
      <w:tr w:rsidR="00A92422" w:rsidRPr="00D87B79"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rPr>
                <w:rFonts w:cs="Tahoma"/>
                <w:b/>
                <w:bCs/>
                <w:szCs w:val="18"/>
              </w:rPr>
            </w:pPr>
            <w:r w:rsidRPr="00D87B79">
              <w:rPr>
                <w:rFonts w:cs="Tahoma"/>
                <w:b/>
                <w:lang w:val="it-IT"/>
              </w:rPr>
              <w:t>Windows 8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cs="Tahoma"/>
                <w:szCs w:val="18"/>
              </w:rPr>
            </w:pPr>
          </w:p>
        </w:tc>
      </w:tr>
      <w:tr w:rsidR="00A92422" w:rsidRPr="00D87B79"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ind w:left="522"/>
              <w:rPr>
                <w:rFonts w:cs="Tahoma"/>
                <w:b/>
                <w:bCs/>
                <w:szCs w:val="18"/>
              </w:rPr>
            </w:pPr>
            <w:r w:rsidRPr="00D87B79">
              <w:rPr>
                <w:rFonts w:cs="Tahoma"/>
                <w:lang w:val="it-IT"/>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cs="Tahoma"/>
                <w:szCs w:val="18"/>
              </w:rPr>
            </w:pPr>
            <w:r w:rsidRPr="00D87B79">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cs="Tahoma"/>
                <w:szCs w:val="18"/>
              </w:rPr>
            </w:pPr>
            <w:r w:rsidRPr="00D87B79">
              <w:rPr>
                <w:rFonts w:cs="Tahoma"/>
                <w:lang w:val="it-IT"/>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cs="Tahoma"/>
                <w:szCs w:val="18"/>
              </w:rPr>
            </w:pPr>
            <w:r w:rsidRPr="00D87B79">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cs="Tahoma"/>
                <w:szCs w:val="18"/>
              </w:rPr>
            </w:pPr>
            <w:r w:rsidRPr="00D87B79">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cs="Tahoma"/>
                <w:szCs w:val="18"/>
              </w:rPr>
            </w:pPr>
            <w:r w:rsidRPr="00D87B79">
              <w:rPr>
                <w:rFonts w:cs="Tahoma"/>
                <w:lang w:val="it-IT"/>
              </w:rPr>
              <w:t>x</w:t>
            </w:r>
          </w:p>
        </w:tc>
      </w:tr>
      <w:tr w:rsidR="00A92422" w:rsidRPr="00D87B79"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ind w:left="522"/>
              <w:rPr>
                <w:rFonts w:cs="Tahoma"/>
                <w:b/>
                <w:bCs/>
                <w:szCs w:val="18"/>
              </w:rPr>
            </w:pPr>
            <w:r w:rsidRPr="00D87B79">
              <w:rPr>
                <w:rFonts w:cs="Tahoma"/>
                <w:lang w:val="it-IT"/>
              </w:rPr>
              <w:t>Pro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cs="Tahoma"/>
                <w:szCs w:val="18"/>
              </w:rPr>
            </w:pPr>
            <w:r w:rsidRPr="00D87B79">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cs="Tahoma"/>
                <w:szCs w:val="18"/>
              </w:rPr>
            </w:pPr>
            <w:r w:rsidRPr="00D87B79">
              <w:rPr>
                <w:rFonts w:cs="Tahoma"/>
                <w:lang w:val="it-IT"/>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cs="Tahoma"/>
                <w:szCs w:val="18"/>
              </w:rPr>
            </w:pPr>
            <w:r w:rsidRPr="00D87B79">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cs="Tahoma"/>
                <w:szCs w:val="18"/>
              </w:rPr>
            </w:pPr>
            <w:r w:rsidRPr="00D87B79">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cs="Tahoma"/>
                <w:szCs w:val="18"/>
              </w:rPr>
            </w:pPr>
            <w:r w:rsidRPr="00D87B79">
              <w:rPr>
                <w:rFonts w:cs="Tahoma"/>
                <w:lang w:val="it-IT"/>
              </w:rPr>
              <w:t>x</w:t>
            </w:r>
          </w:p>
        </w:tc>
      </w:tr>
      <w:tr w:rsidR="00A92422" w:rsidRPr="00D87B79"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ind w:left="522"/>
              <w:rPr>
                <w:rFonts w:cs="Tahoma"/>
                <w:b/>
                <w:bCs/>
                <w:szCs w:val="18"/>
              </w:rPr>
            </w:pPr>
            <w:r w:rsidRPr="00D87B79">
              <w:rPr>
                <w:rFonts w:cs="Tahoma"/>
                <w:lang w:val="it-IT"/>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cs="Tahoma"/>
                <w:szCs w:val="18"/>
              </w:rPr>
            </w:pPr>
            <w:r w:rsidRPr="00D87B79">
              <w:rPr>
                <w:rFonts w:cs="Tahoma"/>
                <w:lang w:val="it-IT"/>
              </w:rPr>
              <w:t>x</w:t>
            </w:r>
          </w:p>
        </w:tc>
      </w:tr>
      <w:tr w:rsidR="00A92422" w:rsidRPr="00D87B79"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ind w:left="522"/>
              <w:rPr>
                <w:rFonts w:cs="Tahoma"/>
                <w:szCs w:val="18"/>
              </w:rPr>
            </w:pPr>
            <w:r w:rsidRPr="00D87B79">
              <w:rPr>
                <w:rFonts w:cs="Tahoma"/>
                <w:szCs w:val="18"/>
                <w:lang w:val="it-IT"/>
              </w:rPr>
              <w:t>Windows 8 Single Language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cs="Tahoma"/>
                <w:szCs w:val="18"/>
              </w:rPr>
            </w:pPr>
            <w:r w:rsidRPr="00D87B79">
              <w:rPr>
                <w:rFonts w:cs="Tahoma"/>
                <w:szCs w:val="18"/>
                <w:lang w:val="it-IT"/>
              </w:rPr>
              <w:t>x</w:t>
            </w:r>
          </w:p>
        </w:tc>
      </w:tr>
      <w:tr w:rsidR="00A92422" w:rsidRPr="00D87B79" w:rsidTr="00EA30FC">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keepNext/>
              <w:rPr>
                <w:rFonts w:eastAsia="Times New Roman" w:cs="Tahoma"/>
                <w:b/>
                <w:bCs/>
                <w:szCs w:val="18"/>
              </w:rPr>
            </w:pPr>
            <w:r w:rsidRPr="00D87B79">
              <w:rPr>
                <w:rFonts w:cs="Tahoma"/>
                <w:b/>
                <w:lang w:val="it-IT"/>
              </w:rPr>
              <w:lastRenderedPageBreak/>
              <w:t>Windows 7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keepNext/>
              <w:jc w:val="center"/>
              <w:rPr>
                <w:rFonts w:eastAsia="Times New Roman" w:cs="Tahoma"/>
                <w:szCs w:val="18"/>
              </w:rPr>
            </w:pPr>
            <w:r w:rsidRPr="00D87B79">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keepNext/>
              <w:jc w:val="center"/>
              <w:rPr>
                <w:rFonts w:eastAsia="Times New Roman" w:cs="Tahoma"/>
                <w:szCs w:val="18"/>
              </w:rPr>
            </w:pPr>
            <w:r w:rsidRPr="00D87B79">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keepNext/>
              <w:jc w:val="center"/>
              <w:rPr>
                <w:rFonts w:eastAsia="Times New Roman" w:cs="Tahoma"/>
                <w:szCs w:val="18"/>
              </w:rPr>
            </w:pPr>
            <w:r w:rsidRPr="00D87B79">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keepNext/>
              <w:jc w:val="center"/>
              <w:rPr>
                <w:rFonts w:eastAsia="Times New Roman" w:cs="Tahoma"/>
                <w:szCs w:val="18"/>
              </w:rPr>
            </w:pPr>
            <w:r w:rsidRPr="00D87B79">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keepNext/>
              <w:jc w:val="center"/>
              <w:rPr>
                <w:rFonts w:eastAsia="Times New Roman" w:cs="Tahoma"/>
                <w:szCs w:val="18"/>
              </w:rPr>
            </w:pPr>
            <w:r w:rsidRPr="00D87B79">
              <w:rPr>
                <w:rFonts w:cs="Tahoma"/>
                <w:szCs w:val="18"/>
              </w:rPr>
              <w:t> </w:t>
            </w:r>
          </w:p>
        </w:tc>
      </w:tr>
      <w:tr w:rsidR="00A92422" w:rsidRPr="00D87B79"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ind w:firstLine="540"/>
              <w:rPr>
                <w:rFonts w:eastAsia="Times New Roman" w:cs="Tahoma"/>
                <w:szCs w:val="18"/>
              </w:rPr>
            </w:pPr>
            <w:r w:rsidRPr="00D87B79">
              <w:rPr>
                <w:rFonts w:cs="Tahoma"/>
                <w:lang w:val="it-IT"/>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r>
      <w:tr w:rsidR="00A92422" w:rsidRPr="00D87B79"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ind w:left="522" w:firstLine="18"/>
              <w:rPr>
                <w:rFonts w:eastAsia="Times New Roman" w:cs="Tahoma"/>
                <w:szCs w:val="18"/>
              </w:rPr>
            </w:pPr>
            <w:r w:rsidRPr="00D87B79">
              <w:rPr>
                <w:rFonts w:cs="Tahoma"/>
                <w:lang w:val="it-IT"/>
              </w:rPr>
              <w:t>Professional (N, K, KN, 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r>
      <w:tr w:rsidR="00A92422" w:rsidRPr="00D87B79"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ind w:firstLine="540"/>
              <w:rPr>
                <w:rFonts w:eastAsia="Times New Roman" w:cs="Tahoma"/>
                <w:szCs w:val="18"/>
              </w:rPr>
            </w:pPr>
            <w:r w:rsidRPr="00D87B79">
              <w:rPr>
                <w:rFonts w:cs="Tahoma"/>
                <w:lang w:val="it-IT"/>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r>
      <w:tr w:rsidR="00A92422" w:rsidRPr="00D87B79"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ind w:firstLine="540"/>
              <w:rPr>
                <w:rFonts w:eastAsia="Times New Roman" w:cs="Tahoma"/>
                <w:szCs w:val="18"/>
              </w:rPr>
            </w:pPr>
            <w:r w:rsidRPr="00D87B79">
              <w:rPr>
                <w:rFonts w:cs="Tahoma"/>
                <w:lang w:val="it-IT"/>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r>
      <w:tr w:rsidR="00A92422" w:rsidRPr="00D87B79"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ind w:firstLine="540"/>
              <w:rPr>
                <w:rFonts w:eastAsia="Times New Roman" w:cs="Tahoma"/>
                <w:szCs w:val="18"/>
              </w:rPr>
            </w:pPr>
            <w:r w:rsidRPr="00D87B79">
              <w:rPr>
                <w:rFonts w:cs="Tahoma"/>
                <w:lang w:val="it-IT"/>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r>
      <w:tr w:rsidR="00A92422" w:rsidRPr="00D87B79"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ind w:left="522"/>
              <w:rPr>
                <w:rFonts w:eastAsia="Times New Roman" w:cs="Tahoma"/>
                <w:szCs w:val="18"/>
              </w:rPr>
            </w:pPr>
            <w:r w:rsidRPr="00D87B79">
              <w:rPr>
                <w:rFonts w:cs="Tahoma"/>
                <w:lang w:val="it-IT"/>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r>
      <w:tr w:rsidR="00A92422" w:rsidRPr="00D87B79"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rPr>
                <w:rFonts w:eastAsia="Times New Roman" w:cs="Tahoma"/>
                <w:b/>
                <w:bCs/>
                <w:szCs w:val="18"/>
              </w:rPr>
            </w:pPr>
            <w:r w:rsidRPr="00D87B79">
              <w:rPr>
                <w:rFonts w:cs="Tahoma"/>
                <w:b/>
                <w:lang w:val="it-IT"/>
              </w:rPr>
              <w:t>Windows Vista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szCs w:val="18"/>
              </w:rPr>
              <w:t> </w:t>
            </w:r>
          </w:p>
        </w:tc>
      </w:tr>
      <w:tr w:rsidR="00A92422" w:rsidRPr="00D87B79"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ind w:firstLine="540"/>
              <w:rPr>
                <w:rFonts w:eastAsia="Times New Roman" w:cs="Tahoma"/>
                <w:szCs w:val="18"/>
              </w:rPr>
            </w:pPr>
            <w:r w:rsidRPr="00D87B79">
              <w:rPr>
                <w:rFonts w:cs="Tahoma"/>
                <w:lang w:val="it-IT"/>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r>
      <w:tr w:rsidR="00A92422" w:rsidRPr="00D87B79"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ind w:firstLine="540"/>
              <w:rPr>
                <w:rFonts w:eastAsia="Times New Roman" w:cs="Tahoma"/>
                <w:szCs w:val="18"/>
              </w:rPr>
            </w:pPr>
            <w:r w:rsidRPr="00D87B79">
              <w:rPr>
                <w:rFonts w:cs="Tahoma"/>
                <w:lang w:val="it-IT"/>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r>
      <w:tr w:rsidR="00A92422" w:rsidRPr="00D87B79"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ind w:firstLine="540"/>
              <w:rPr>
                <w:rFonts w:eastAsia="Times New Roman" w:cs="Tahoma"/>
                <w:szCs w:val="18"/>
              </w:rPr>
            </w:pPr>
            <w:r w:rsidRPr="00D87B79">
              <w:rPr>
                <w:rFonts w:cs="Tahoma"/>
                <w:lang w:val="it-IT"/>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r>
      <w:tr w:rsidR="00A92422" w:rsidRPr="00D87B79"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ind w:firstLine="540"/>
              <w:rPr>
                <w:rFonts w:eastAsia="Times New Roman" w:cs="Tahoma"/>
                <w:szCs w:val="18"/>
              </w:rPr>
            </w:pPr>
            <w:r w:rsidRPr="00D87B79">
              <w:rPr>
                <w:rFonts w:cs="Tahoma"/>
                <w:lang w:val="it-IT"/>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r>
      <w:tr w:rsidR="00A92422" w:rsidRPr="00D87B79"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ind w:firstLine="540"/>
              <w:rPr>
                <w:rFonts w:eastAsia="Times New Roman" w:cs="Tahoma"/>
                <w:szCs w:val="18"/>
              </w:rPr>
            </w:pPr>
            <w:r w:rsidRPr="00D87B79">
              <w:rPr>
                <w:rFonts w:cs="Tahoma"/>
                <w:lang w:val="it-IT"/>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r>
      <w:tr w:rsidR="00A92422" w:rsidRPr="00D87B79"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ind w:left="522"/>
              <w:rPr>
                <w:rFonts w:eastAsia="Times New Roman" w:cs="Tahoma"/>
                <w:bCs/>
                <w:szCs w:val="18"/>
              </w:rPr>
            </w:pPr>
            <w:r w:rsidRPr="00D87B79">
              <w:rPr>
                <w:rFonts w:cs="Tahoma"/>
                <w:lang w:val="it-IT"/>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r>
      <w:tr w:rsidR="00A92422" w:rsidRPr="00D87B79"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rPr>
                <w:rFonts w:eastAsia="Times New Roman" w:cs="Tahoma"/>
                <w:b/>
                <w:szCs w:val="18"/>
              </w:rPr>
            </w:pPr>
            <w:r w:rsidRPr="00D87B79">
              <w:rPr>
                <w:rFonts w:cs="Tahoma"/>
                <w:b/>
                <w:lang w:val="it-IT"/>
              </w:rPr>
              <w:t>Windows XP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szCs w:val="18"/>
              </w:rPr>
              <w:t> </w:t>
            </w:r>
          </w:p>
        </w:tc>
      </w:tr>
      <w:tr w:rsidR="00A92422" w:rsidRPr="00D87B79"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ind w:left="564"/>
              <w:rPr>
                <w:rFonts w:eastAsia="Times New Roman" w:cs="Tahoma"/>
                <w:szCs w:val="18"/>
                <w:lang w:val="pt-BR"/>
              </w:rPr>
            </w:pPr>
            <w:r w:rsidRPr="00D87B79">
              <w:rPr>
                <w:rFonts w:cs="Tahoma"/>
                <w:lang w:val="it-IT"/>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r>
      <w:tr w:rsidR="00A92422" w:rsidRPr="00D87B79"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ind w:left="564"/>
              <w:rPr>
                <w:rFonts w:eastAsia="Times New Roman" w:cs="Tahoma"/>
                <w:szCs w:val="18"/>
              </w:rPr>
            </w:pPr>
            <w:r w:rsidRPr="00D87B79">
              <w:rPr>
                <w:rFonts w:cs="Tahoma"/>
                <w:lang w:val="it-IT"/>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r>
      <w:tr w:rsidR="00A92422" w:rsidRPr="00D87B79"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ind w:left="564"/>
              <w:rPr>
                <w:rFonts w:eastAsia="Times New Roman" w:cs="Tahoma"/>
                <w:szCs w:val="18"/>
              </w:rPr>
            </w:pPr>
            <w:r w:rsidRPr="00D87B79">
              <w:rPr>
                <w:rFonts w:cs="Tahoma"/>
                <w:lang w:val="it-IT"/>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r>
      <w:tr w:rsidR="00A92422" w:rsidRPr="00D87B79"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ind w:left="564"/>
              <w:rPr>
                <w:rFonts w:eastAsia="Times New Roman" w:cs="Tahoma"/>
                <w:szCs w:val="18"/>
              </w:rPr>
            </w:pPr>
            <w:r w:rsidRPr="00D87B79">
              <w:rPr>
                <w:rFonts w:cs="Tahoma"/>
                <w:lang w:val="it-IT"/>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r>
      <w:tr w:rsidR="00A92422" w:rsidRPr="00D87B79"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ind w:left="564"/>
              <w:rPr>
                <w:rFonts w:eastAsia="Times New Roman" w:cs="Tahoma"/>
                <w:szCs w:val="18"/>
              </w:rPr>
            </w:pPr>
            <w:r w:rsidRPr="00D87B79">
              <w:rPr>
                <w:rFonts w:cs="Tahoma"/>
                <w:lang w:val="it-IT"/>
              </w:rPr>
              <w:t>Home e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r>
      <w:tr w:rsidR="00A92422" w:rsidRPr="00D87B79"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A92422" w:rsidRPr="00D87B79" w:rsidRDefault="00A92422" w:rsidP="00EA30FC">
            <w:pPr>
              <w:rPr>
                <w:rFonts w:eastAsia="Times New Roman" w:cs="Tahoma"/>
                <w:b/>
                <w:szCs w:val="18"/>
              </w:rPr>
            </w:pPr>
            <w:r w:rsidRPr="00D87B79">
              <w:rPr>
                <w:rFonts w:cs="Tahoma"/>
                <w:b/>
                <w:lang w:val="it-IT"/>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r>
      <w:tr w:rsidR="00A92422" w:rsidRPr="00D87B79"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A92422" w:rsidRPr="00D87B79" w:rsidRDefault="00A92422" w:rsidP="00EA30FC">
            <w:pPr>
              <w:rPr>
                <w:rFonts w:eastAsia="Times New Roman" w:cs="Tahoma"/>
                <w:b/>
                <w:bCs/>
                <w:szCs w:val="18"/>
              </w:rPr>
            </w:pPr>
            <w:r w:rsidRPr="00D87B79">
              <w:rPr>
                <w:rFonts w:cs="Tahoma"/>
                <w:b/>
                <w:lang w:val="it-IT"/>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r>
      <w:tr w:rsidR="00A92422" w:rsidRPr="00D87B79"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A92422" w:rsidRPr="00D87B79" w:rsidRDefault="00A92422" w:rsidP="00EA30FC">
            <w:pPr>
              <w:rPr>
                <w:rFonts w:eastAsia="Times New Roman" w:cs="Tahoma"/>
                <w:b/>
                <w:bCs/>
                <w:szCs w:val="18"/>
              </w:rPr>
            </w:pPr>
            <w:r w:rsidRPr="00D87B79">
              <w:rPr>
                <w:rFonts w:cs="Tahoma"/>
                <w:b/>
                <w:lang w:val="it-IT"/>
              </w:rPr>
              <w:t>Windows 98 (inclusa la seconda</w:t>
            </w:r>
            <w:r>
              <w:rPr>
                <w:rFonts w:cs="Tahoma"/>
                <w:b/>
                <w:lang w:val="it-IT"/>
              </w:rPr>
              <w:t> </w:t>
            </w:r>
            <w:r w:rsidRPr="00D87B79">
              <w:rPr>
                <w:rFonts w:cs="Tahoma"/>
                <w:b/>
                <w:lang w:val="it-IT"/>
              </w:rPr>
              <w:t>versione)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r>
      <w:tr w:rsidR="00A92422" w:rsidRPr="00D87B79"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A92422" w:rsidRPr="00D87B79" w:rsidRDefault="00A92422" w:rsidP="00EA30FC">
            <w:pPr>
              <w:rPr>
                <w:rFonts w:eastAsia="Times New Roman" w:cs="Tahoma"/>
                <w:b/>
                <w:bCs/>
                <w:szCs w:val="18"/>
              </w:rPr>
            </w:pPr>
            <w:r w:rsidRPr="00D87B79">
              <w:rPr>
                <w:rFonts w:cs="Tahoma"/>
                <w:b/>
                <w:lang w:val="it-IT"/>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r>
    </w:tbl>
    <w:p w:rsidR="00A92422" w:rsidRPr="00D87B79" w:rsidRDefault="00A92422" w:rsidP="00A92422">
      <w:pPr>
        <w:ind w:left="990"/>
        <w:rPr>
          <w:rFonts w:cs="Tahoma"/>
        </w:rPr>
      </w:pPr>
      <w:r w:rsidRPr="00D87B79">
        <w:rPr>
          <w:rFonts w:cs="Tahoma"/>
          <w:i/>
          <w:sz w:val="14"/>
          <w:u w:val="single"/>
          <w:lang w:val="it-IT"/>
        </w:rPr>
        <w:t>Nota</w:t>
      </w:r>
      <w:r w:rsidRPr="00D87B79">
        <w:rPr>
          <w:rFonts w:cs="Tahoma"/>
          <w:i/>
          <w:sz w:val="14"/>
          <w:lang w:val="it-IT"/>
        </w:rPr>
        <w:t>:</w:t>
      </w:r>
      <w:r w:rsidRPr="00D87B79">
        <w:rPr>
          <w:rFonts w:cs="Tahoma"/>
          <w:i/>
          <w:iCs/>
          <w:sz w:val="14"/>
          <w:szCs w:val="14"/>
        </w:rPr>
        <w:t xml:space="preserve"> </w:t>
      </w:r>
      <w:r w:rsidRPr="00D87B79">
        <w:rPr>
          <w:rFonts w:cs="Tahoma"/>
          <w:i/>
          <w:iCs/>
          <w:sz w:val="14"/>
          <w:szCs w:val="14"/>
        </w:rPr>
        <w:br/>
      </w:r>
      <w:r w:rsidRPr="00D87B79">
        <w:rPr>
          <w:rFonts w:cs="Tahoma"/>
          <w:i/>
          <w:sz w:val="14"/>
          <w:lang w:val="it-IT"/>
        </w:rPr>
        <w:t>Academic include i Programmi Contratto Campus e School, Open Value Subscription - Education Solutions, Select - Academic e Open - Academic</w:t>
      </w:r>
      <w:r w:rsidRPr="00D87B79">
        <w:rPr>
          <w:rFonts w:cs="Tahoma"/>
          <w:i/>
          <w:vanish/>
          <w:sz w:val="14"/>
          <w:lang w:val="it-IT"/>
        </w:rPr>
        <w:br/>
      </w:r>
      <w:r w:rsidRPr="00D87B79">
        <w:rPr>
          <w:rFonts w:cs="Tahoma"/>
          <w:i/>
          <w:sz w:val="14"/>
          <w:lang w:val="it-IT"/>
        </w:rPr>
        <w:t>EA = Contratto Enterprise</w:t>
      </w:r>
      <w:r w:rsidRPr="00D87B79">
        <w:rPr>
          <w:rFonts w:cs="Tahoma"/>
          <w:i/>
          <w:vanish/>
          <w:sz w:val="14"/>
          <w:lang w:val="it-IT"/>
        </w:rPr>
        <w:br/>
      </w:r>
      <w:r w:rsidRPr="00D87B79">
        <w:rPr>
          <w:rFonts w:cs="Tahoma"/>
          <w:i/>
          <w:sz w:val="14"/>
          <w:lang w:val="it-IT"/>
        </w:rPr>
        <w:t>OV-CW = Open Value - Opzione a livello aziendale</w:t>
      </w:r>
    </w:p>
    <w:p w:rsidR="00A92422" w:rsidRPr="00D87B79" w:rsidRDefault="00A92422" w:rsidP="00A92422">
      <w:pPr>
        <w:ind w:left="990"/>
        <w:rPr>
          <w:rFonts w:cs="Tahoma"/>
        </w:rPr>
      </w:pPr>
      <w:r w:rsidRPr="00D87B79">
        <w:rPr>
          <w:rFonts w:cs="Tahoma"/>
          <w:i/>
          <w:sz w:val="14"/>
          <w:lang w:val="it-IT"/>
        </w:rPr>
        <w:t>“N”, “K”‘ e “KN” sono edizioni specializzate disponibili su alcuni mercati.</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lang w:val="it-IT"/>
        </w:rPr>
        <w:t>Le seguenti condizioni si applicano a Windows XP Starter Edition (SE), Windows Vista Starter Edition (SE) e</w:t>
      </w:r>
      <w:r>
        <w:rPr>
          <w:rFonts w:cs="Tahoma"/>
          <w:lang w:val="it-IT"/>
        </w:rPr>
        <w:t> </w:t>
      </w:r>
      <w:r w:rsidRPr="00D87B79">
        <w:rPr>
          <w:rFonts w:cs="Tahoma"/>
          <w:lang w:val="it-IT"/>
        </w:rPr>
        <w:t>Windows 7 Starter Edition:</w:t>
      </w:r>
    </w:p>
    <w:p w:rsidR="00A92422" w:rsidRPr="00D87B79" w:rsidRDefault="00A92422" w:rsidP="00A92422">
      <w:pPr>
        <w:ind w:left="720"/>
        <w:rPr>
          <w:rFonts w:cs="Tahoma"/>
        </w:rPr>
      </w:pPr>
    </w:p>
    <w:p w:rsidR="00A92422" w:rsidRPr="00013959" w:rsidRDefault="00A92422" w:rsidP="00A92422">
      <w:pPr>
        <w:pStyle w:val="ColorfulList-Accent11"/>
        <w:numPr>
          <w:ilvl w:val="0"/>
          <w:numId w:val="80"/>
        </w:numPr>
        <w:ind w:left="1440"/>
        <w:rPr>
          <w:rFonts w:ascii="Tahoma" w:hAnsi="Tahoma" w:cs="Tahoma"/>
          <w:sz w:val="18"/>
          <w:szCs w:val="18"/>
        </w:rPr>
      </w:pPr>
      <w:r w:rsidRPr="00013959">
        <w:rPr>
          <w:rFonts w:ascii="Tahoma" w:hAnsi="Tahoma" w:cs="Tahoma"/>
          <w:sz w:val="18"/>
          <w:szCs w:val="18"/>
          <w:lang w:val="it-IT"/>
        </w:rPr>
        <w:t>Le società che hanno stipulato un contratto Academic (Academic Select, Academic Open, CASA e Open Value Subscription - Education Solutions) sono autorizzate ad acquistare una licenza di Aggiornamento Windows utilizzando Windows XP Starter Edition, Windows Vista Starter Edition o Windows 7 Starter Edition come sistema operativo qualificante.</w:t>
      </w:r>
      <w:r w:rsidRPr="00013959">
        <w:rPr>
          <w:rFonts w:ascii="Tahoma" w:hAnsi="Tahoma" w:cs="Tahoma"/>
          <w:sz w:val="18"/>
          <w:szCs w:val="18"/>
        </w:rPr>
        <w:t xml:space="preserve"> </w:t>
      </w:r>
    </w:p>
    <w:p w:rsidR="00A92422" w:rsidRPr="00261664" w:rsidRDefault="00A92422" w:rsidP="00A92422">
      <w:pPr>
        <w:pStyle w:val="ColorfulList-Accent11"/>
        <w:rPr>
          <w:rFonts w:ascii="Tahoma" w:hAnsi="Tahoma" w:cs="Tahoma"/>
          <w:sz w:val="18"/>
          <w:szCs w:val="18"/>
        </w:rPr>
      </w:pPr>
    </w:p>
    <w:p w:rsidR="00A92422" w:rsidRPr="00D87B79" w:rsidRDefault="00A92422" w:rsidP="00A92422">
      <w:pPr>
        <w:pStyle w:val="ColorfulList-Accent11"/>
        <w:rPr>
          <w:rFonts w:ascii="Tahoma" w:hAnsi="Tahoma" w:cs="Tahoma"/>
        </w:rPr>
      </w:pPr>
      <w:r w:rsidRPr="00D87B79">
        <w:rPr>
          <w:rFonts w:ascii="Tahoma" w:hAnsi="Tahoma" w:cs="Tahoma"/>
          <w:sz w:val="18"/>
          <w:szCs w:val="18"/>
          <w:lang w:val="it-IT"/>
        </w:rPr>
        <w:t>Le società che acquistano l’aggiornamento su questa base rinunciano a qualunque diritto di trasferire la</w:t>
      </w:r>
      <w:r>
        <w:rPr>
          <w:rFonts w:ascii="Tahoma" w:hAnsi="Tahoma" w:cs="Tahoma"/>
          <w:sz w:val="18"/>
          <w:szCs w:val="18"/>
          <w:lang w:val="it-IT"/>
        </w:rPr>
        <w:t> </w:t>
      </w:r>
      <w:r w:rsidRPr="00D87B79">
        <w:rPr>
          <w:rFonts w:ascii="Tahoma" w:hAnsi="Tahoma" w:cs="Tahoma"/>
          <w:sz w:val="18"/>
          <w:szCs w:val="18"/>
          <w:lang w:val="it-IT"/>
        </w:rPr>
        <w:t>licenza al di fuori del paese in cui è stata acquistata.</w:t>
      </w:r>
      <w:r w:rsidRPr="00D87B79">
        <w:rPr>
          <w:rFonts w:ascii="Tahoma" w:hAnsi="Tahoma" w:cs="Tahoma"/>
          <w:sz w:val="18"/>
          <w:szCs w:val="18"/>
        </w:rPr>
        <w:t xml:space="preserve"> </w:t>
      </w:r>
    </w:p>
    <w:p w:rsidR="00A92422" w:rsidRPr="00C14124" w:rsidRDefault="00A92422" w:rsidP="00A92422">
      <w:pPr>
        <w:pStyle w:val="EndnoteText"/>
        <w:ind w:left="360"/>
        <w:rPr>
          <w:rFonts w:ascii="Tahoma" w:hAnsi="Tahoma" w:cs="Tahoma"/>
          <w:sz w:val="10"/>
          <w:szCs w:val="10"/>
        </w:rPr>
      </w:pPr>
    </w:p>
    <w:p w:rsidR="00A92422" w:rsidRPr="00D87B79" w:rsidRDefault="00A92422" w:rsidP="00A92422">
      <w:pPr>
        <w:pStyle w:val="FootnoteBulletLevel1"/>
        <w:tabs>
          <w:tab w:val="clear" w:pos="900"/>
        </w:tabs>
        <w:spacing w:before="0" w:after="0"/>
        <w:ind w:left="720" w:firstLine="0"/>
        <w:rPr>
          <w:rFonts w:ascii="Tahoma" w:hAnsi="Tahoma" w:cs="Tahoma"/>
        </w:rPr>
      </w:pPr>
      <w:r w:rsidRPr="00D87B79">
        <w:rPr>
          <w:rFonts w:ascii="Tahoma" w:hAnsi="Tahoma" w:cs="Tahoma"/>
          <w:sz w:val="18"/>
          <w:lang w:val="it-IT"/>
        </w:rPr>
        <w:t>I sistemi operativi non inclusi nel precedente elenco non sono OS qualificanti, ad esempio:</w:t>
      </w:r>
    </w:p>
    <w:p w:rsidR="00A92422" w:rsidRPr="00C14124" w:rsidRDefault="00A92422" w:rsidP="00A92422">
      <w:pPr>
        <w:pStyle w:val="FootnoteBulletLevel1"/>
        <w:tabs>
          <w:tab w:val="clear" w:pos="900"/>
        </w:tabs>
        <w:spacing w:before="0" w:after="0"/>
        <w:ind w:left="720" w:firstLine="0"/>
        <w:rPr>
          <w:rFonts w:ascii="Tahoma" w:hAnsi="Tahoma" w:cs="Tahoma"/>
          <w:sz w:val="18"/>
          <w:szCs w:val="18"/>
        </w:rPr>
      </w:pPr>
    </w:p>
    <w:p w:rsidR="00A92422" w:rsidRPr="00D87B79" w:rsidRDefault="00A92422" w:rsidP="00A92422">
      <w:pPr>
        <w:pStyle w:val="FootnoteBulletLevel2"/>
        <w:numPr>
          <w:ilvl w:val="0"/>
          <w:numId w:val="81"/>
        </w:numPr>
        <w:adjustRightInd/>
        <w:spacing w:before="0" w:after="60"/>
        <w:ind w:left="1440"/>
        <w:textAlignment w:val="auto"/>
        <w:rPr>
          <w:rFonts w:ascii="Tahoma" w:hAnsi="Tahoma" w:cs="Tahoma"/>
        </w:rPr>
      </w:pPr>
      <w:r w:rsidRPr="00D87B79">
        <w:rPr>
          <w:rFonts w:ascii="Tahoma" w:hAnsi="Tahoma" w:cs="Tahoma"/>
          <w:sz w:val="18"/>
          <w:lang w:val="it-IT"/>
        </w:rPr>
        <w:t>I Sistemi Incorporati (ad esempio Windows 9.x for embedded, Windows XP embedded) non si</w:t>
      </w:r>
      <w:r>
        <w:rPr>
          <w:rFonts w:ascii="Tahoma" w:hAnsi="Tahoma" w:cs="Tahoma"/>
          <w:sz w:val="18"/>
          <w:lang w:val="it-IT"/>
        </w:rPr>
        <w:t> </w:t>
      </w:r>
      <w:r w:rsidRPr="00D87B79">
        <w:rPr>
          <w:rFonts w:ascii="Tahoma" w:hAnsi="Tahoma" w:cs="Tahoma"/>
          <w:sz w:val="18"/>
          <w:lang w:val="it-IT"/>
        </w:rPr>
        <w:t>qualificano per gli Aggiornamenti per Windows 8 Pro.</w:t>
      </w:r>
    </w:p>
    <w:p w:rsidR="00A92422" w:rsidRPr="00D87B79" w:rsidRDefault="00A92422" w:rsidP="00A92422">
      <w:pPr>
        <w:pStyle w:val="FootnoteBulletLevel2"/>
        <w:numPr>
          <w:ilvl w:val="0"/>
          <w:numId w:val="81"/>
        </w:numPr>
        <w:adjustRightInd/>
        <w:spacing w:before="0" w:after="60"/>
        <w:ind w:left="1440"/>
        <w:textAlignment w:val="auto"/>
        <w:rPr>
          <w:rFonts w:ascii="Tahoma" w:hAnsi="Tahoma" w:cs="Tahoma"/>
        </w:rPr>
      </w:pPr>
      <w:r w:rsidRPr="00D87B79">
        <w:rPr>
          <w:rFonts w:ascii="Tahoma" w:hAnsi="Tahoma" w:cs="Tahoma"/>
          <w:sz w:val="18"/>
          <w:lang w:val="it-IT"/>
        </w:rPr>
        <w:lastRenderedPageBreak/>
        <w:t>Linux o OS/2 non si qualifica per gli Aggiornamenti per Windows 8 Pro.</w:t>
      </w:r>
    </w:p>
    <w:p w:rsidR="00A92422" w:rsidRPr="00D87B79" w:rsidRDefault="00A92422" w:rsidP="00A92422">
      <w:pPr>
        <w:pStyle w:val="FootnoteBulletLevel2"/>
        <w:numPr>
          <w:ilvl w:val="0"/>
          <w:numId w:val="81"/>
        </w:numPr>
        <w:adjustRightInd/>
        <w:spacing w:before="0" w:after="60"/>
        <w:ind w:left="1440"/>
        <w:textAlignment w:val="auto"/>
        <w:rPr>
          <w:rFonts w:ascii="Tahoma" w:hAnsi="Tahoma" w:cs="Tahoma"/>
        </w:rPr>
      </w:pPr>
      <w:r w:rsidRPr="00D87B79">
        <w:rPr>
          <w:rFonts w:ascii="Tahoma" w:hAnsi="Tahoma" w:cs="Tahoma"/>
          <w:sz w:val="18"/>
          <w:lang w:val="it-IT"/>
        </w:rPr>
        <w:t>La Licenza CAL per i Servizi Terminal di Windows non si qualifica per gli Aggiornamenti per</w:t>
      </w:r>
      <w:r>
        <w:rPr>
          <w:rFonts w:ascii="Tahoma" w:hAnsi="Tahoma" w:cs="Tahoma"/>
          <w:sz w:val="18"/>
          <w:lang w:val="it-IT"/>
        </w:rPr>
        <w:t> </w:t>
      </w:r>
      <w:r w:rsidRPr="00D87B79">
        <w:rPr>
          <w:rFonts w:ascii="Tahoma" w:hAnsi="Tahoma" w:cs="Tahoma"/>
          <w:sz w:val="18"/>
          <w:lang w:val="it-IT"/>
        </w:rPr>
        <w:t>Windows 8 Pro.</w:t>
      </w:r>
    </w:p>
    <w:p w:rsidR="00A92422" w:rsidRPr="00D87B79" w:rsidRDefault="00A92422" w:rsidP="00A92422">
      <w:pPr>
        <w:pStyle w:val="FootnoteBulletLevel2"/>
        <w:tabs>
          <w:tab w:val="clear" w:pos="1260"/>
        </w:tabs>
        <w:adjustRightInd/>
        <w:spacing w:before="0"/>
        <w:ind w:left="1080" w:firstLine="0"/>
        <w:textAlignment w:val="auto"/>
        <w:rPr>
          <w:rFonts w:ascii="Tahoma" w:hAnsi="Tahoma" w:cs="Tahoma"/>
        </w:rPr>
      </w:pPr>
    </w:p>
    <w:p w:rsidR="00A92422" w:rsidRPr="00D87B79" w:rsidRDefault="00A92422" w:rsidP="00A92422">
      <w:pPr>
        <w:pStyle w:val="FootnoteBulletLevel2"/>
        <w:tabs>
          <w:tab w:val="clear" w:pos="1260"/>
        </w:tabs>
        <w:spacing w:before="0"/>
        <w:ind w:left="720" w:firstLine="0"/>
        <w:rPr>
          <w:rFonts w:ascii="Tahoma" w:hAnsi="Tahoma" w:cs="Tahoma"/>
        </w:rPr>
      </w:pPr>
      <w:r w:rsidRPr="00D87B79">
        <w:rPr>
          <w:rFonts w:ascii="Tahoma" w:hAnsi="Tahoma" w:cs="Tahoma"/>
          <w:sz w:val="18"/>
          <w:lang w:val="it-IT"/>
        </w:rPr>
        <w:t>I seguenti requisiti sono applicabili al re-imaging di Windows:</w:t>
      </w:r>
    </w:p>
    <w:p w:rsidR="00A92422" w:rsidRPr="000B3E58" w:rsidRDefault="00A92422" w:rsidP="00A92422">
      <w:pPr>
        <w:pStyle w:val="FootnoteBulletLevel2"/>
        <w:tabs>
          <w:tab w:val="clear" w:pos="1260"/>
        </w:tabs>
        <w:spacing w:before="0"/>
        <w:ind w:left="720" w:firstLine="0"/>
        <w:rPr>
          <w:rFonts w:ascii="Tahoma" w:hAnsi="Tahoma" w:cs="Tahoma"/>
          <w:sz w:val="18"/>
          <w:szCs w:val="18"/>
        </w:rPr>
      </w:pPr>
    </w:p>
    <w:p w:rsidR="00A92422" w:rsidRPr="006C66AC" w:rsidRDefault="00A92422" w:rsidP="00A92422">
      <w:pPr>
        <w:pStyle w:val="FootnoteBulletLevel2"/>
        <w:tabs>
          <w:tab w:val="clear" w:pos="1260"/>
        </w:tabs>
        <w:spacing w:before="0"/>
        <w:ind w:left="720" w:firstLine="0"/>
        <w:rPr>
          <w:rFonts w:ascii="Tahoma" w:hAnsi="Tahoma" w:cs="Tahoma"/>
          <w:sz w:val="18"/>
          <w:szCs w:val="18"/>
        </w:rPr>
      </w:pPr>
      <w:r w:rsidRPr="006C66AC">
        <w:rPr>
          <w:rFonts w:ascii="Tahoma" w:hAnsi="Tahoma" w:cs="Tahoma"/>
          <w:sz w:val="18"/>
          <w:szCs w:val="18"/>
          <w:lang w:val="it-IT"/>
        </w:rPr>
        <w:t xml:space="preserve">Qualora un terzo effettui il re-imaging di Windows sui PC di una società, la società dovrà prima di tutto fornire a tale terzo (a) un modulo compilato relativo alla Verifica della Licenza Microsoft della Società per i Servizi di Installazione degli Aggiornamenti per il Software del Sistema Operativo Microsoft Windows da Parte di Terzi oppure (b) copie del modulo per la sottoscrizione appartenenti al Contratto Multilicenza Microsoft applicabile al software di aggiornamento del sistema operativo Microsoft che viene installato. Il modulo per la “Verifica della Licenza Microsoft per l’Esecuzione dell’Imaging/Installazione da parte di Terzi del Software del Sistema Operativo Microsoft” è disponibile all’indirizzo </w:t>
      </w:r>
      <w:hyperlink r:id="rId32" w:history="1">
        <w:r w:rsidRPr="006C66AC">
          <w:rPr>
            <w:rStyle w:val="Hyperlink"/>
            <w:rFonts w:ascii="Tahoma" w:hAnsi="Tahoma" w:cs="Tahoma"/>
            <w:color w:val="auto"/>
            <w:sz w:val="18"/>
            <w:szCs w:val="18"/>
            <w:u w:val="none"/>
            <w:lang w:val="it-IT"/>
          </w:rPr>
          <w:t>www.microsoft.com/licensing/contracts</w:t>
        </w:r>
      </w:hyperlink>
      <w:r w:rsidRPr="006C66AC">
        <w:rPr>
          <w:rFonts w:ascii="Tahoma" w:hAnsi="Tahoma" w:cs="Tahoma"/>
          <w:sz w:val="18"/>
          <w:szCs w:val="18"/>
          <w:lang w:val="it-IT"/>
        </w:rPr>
        <w:t>.</w:t>
      </w:r>
    </w:p>
    <w:p w:rsidR="00A92422" w:rsidRPr="00D87B79" w:rsidRDefault="00A92422" w:rsidP="00A92422">
      <w:pPr>
        <w:pStyle w:val="FootnoteBulletLevel1"/>
        <w:tabs>
          <w:tab w:val="clear" w:pos="900"/>
        </w:tabs>
        <w:adjustRightInd/>
        <w:spacing w:before="0" w:after="0"/>
        <w:ind w:left="720" w:firstLine="0"/>
        <w:textAlignment w:val="auto"/>
        <w:rPr>
          <w:rFonts w:ascii="Tahoma" w:hAnsi="Tahoma" w:cs="Tahoma"/>
        </w:rPr>
      </w:pPr>
    </w:p>
    <w:p w:rsidR="00A92422" w:rsidRPr="00D87B79" w:rsidRDefault="00A92422" w:rsidP="00A92422">
      <w:pPr>
        <w:pStyle w:val="FootnoteBulletLevel1"/>
        <w:tabs>
          <w:tab w:val="clear" w:pos="900"/>
        </w:tabs>
        <w:adjustRightInd/>
        <w:spacing w:before="0" w:after="60"/>
        <w:ind w:left="720" w:firstLine="0"/>
        <w:textAlignment w:val="auto"/>
        <w:rPr>
          <w:rFonts w:ascii="Tahoma" w:hAnsi="Tahoma" w:cs="Tahoma"/>
        </w:rPr>
      </w:pPr>
      <w:r w:rsidRPr="00D87B79">
        <w:rPr>
          <w:rFonts w:ascii="Tahoma" w:hAnsi="Tahoma" w:cs="Tahoma"/>
          <w:b/>
          <w:sz w:val="18"/>
          <w:lang w:val="it-IT"/>
        </w:rPr>
        <w:t>Windows Intune (Per Dispositivo)</w:t>
      </w:r>
    </w:p>
    <w:p w:rsidR="00A92422" w:rsidRPr="00D87B79" w:rsidRDefault="00A92422" w:rsidP="00A92422">
      <w:pPr>
        <w:ind w:left="720"/>
        <w:rPr>
          <w:rFonts w:cs="Tahoma"/>
        </w:rPr>
      </w:pPr>
      <w:r w:rsidRPr="00D87B79">
        <w:rPr>
          <w:rFonts w:cs="Tahoma"/>
          <w:lang w:val="it-IT"/>
        </w:rPr>
        <w:t>Windows Intune (Per Dispositivo) è disponibile ai sensi di una licenza “Subscription”.</w:t>
      </w:r>
      <w:r w:rsidRPr="00D87B79">
        <w:rPr>
          <w:rFonts w:cs="Tahoma"/>
        </w:rPr>
        <w:t xml:space="preserve"> </w:t>
      </w:r>
      <w:r w:rsidRPr="00D87B79">
        <w:rPr>
          <w:rFonts w:cs="Tahoma"/>
          <w:lang w:val="it-IT"/>
        </w:rPr>
        <w:t>Include i diritti per</w:t>
      </w:r>
      <w:r>
        <w:rPr>
          <w:rFonts w:cs="Tahoma"/>
          <w:lang w:val="it-IT"/>
        </w:rPr>
        <w:t> </w:t>
      </w:r>
      <w:r w:rsidRPr="00D87B79">
        <w:rPr>
          <w:rFonts w:cs="Tahoma"/>
          <w:lang w:val="it-IT"/>
        </w:rPr>
        <w:t>eseguire l’aggiornamento al sistema operativo desktop Windows e utilizzarlo. Pertanto, come con l’Aggiornamento per Windows Pro, ogni desktop per il quale si acquista e sul quale si eseguirà Windows Intune (Per Dispositivo) dovrà avere la licenza per eseguire uno dei sistemi operativi qualificanti applicabili indicati sopra.</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lang w:val="it-IT"/>
        </w:rPr>
        <w:t>Le condizioni valide per l’acquisto della Licenza di Aggiornamento per Windows Pro descritte sopra in “Regole per i Sistemi Operativi Qualificanti” si applicano all’acquisto delle licenze per Windows Intune (Per</w:t>
      </w:r>
      <w:r>
        <w:rPr>
          <w:rFonts w:cs="Tahoma"/>
          <w:lang w:val="it-IT"/>
        </w:rPr>
        <w:t> </w:t>
      </w:r>
      <w:r w:rsidRPr="00D87B79">
        <w:rPr>
          <w:rFonts w:cs="Tahoma"/>
          <w:lang w:val="it-IT"/>
        </w:rPr>
        <w:t>Dispositivo).</w:t>
      </w:r>
    </w:p>
    <w:p w:rsidR="00A92422" w:rsidRPr="00D87B79" w:rsidRDefault="00A92422" w:rsidP="00A92422">
      <w:pPr>
        <w:ind w:left="720"/>
        <w:rPr>
          <w:rFonts w:cs="Tahoma"/>
        </w:rPr>
      </w:pPr>
    </w:p>
    <w:p w:rsidR="00A92422" w:rsidRPr="00D87B79" w:rsidRDefault="00A92422" w:rsidP="00A92422">
      <w:pPr>
        <w:keepNext/>
        <w:ind w:left="720"/>
        <w:rPr>
          <w:rFonts w:cs="Tahoma"/>
        </w:rPr>
      </w:pPr>
      <w:r w:rsidRPr="00D87B79">
        <w:rPr>
          <w:rFonts w:cs="Tahoma"/>
          <w:lang w:val="it-IT"/>
        </w:rPr>
        <w:t>Per quanto riguarda Windows Intune (Per Dispositivo) acquistato come Servizio Online Enterprise al fine di</w:t>
      </w:r>
      <w:r>
        <w:rPr>
          <w:rFonts w:cs="Tahoma"/>
          <w:lang w:val="it-IT"/>
        </w:rPr>
        <w:t> </w:t>
      </w:r>
      <w:r w:rsidRPr="00D87B79">
        <w:rPr>
          <w:rFonts w:cs="Tahoma"/>
          <w:lang w:val="it-IT"/>
        </w:rPr>
        <w:t>soddisfare i requisiti per i Prodotti Enterprise:</w:t>
      </w:r>
      <w:r w:rsidRPr="00D87B79">
        <w:rPr>
          <w:rFonts w:eastAsia="Times New Roman" w:cs="Tahoma"/>
          <w:szCs w:val="18"/>
        </w:rPr>
        <w:t xml:space="preserve"> </w:t>
      </w:r>
      <w:r w:rsidRPr="00D87B79">
        <w:rPr>
          <w:rFonts w:cs="Tahoma"/>
          <w:lang w:val="it-IT"/>
        </w:rPr>
        <w:t>fare riferimento alla colonna “Nuovo EA/OV-CW” nella tabella precedente per le licenze acquistate al momento della sottoscrizione e alla colonna “EA/OV-CW Esistente” nella tabella precedente per le licenze acquistate in qualsiasi altro momento o riassegnate secondo la modalità autorizzata nell’Articolo “Riassegnazione delle Licenze” che segue.</w:t>
      </w:r>
    </w:p>
    <w:p w:rsidR="00A92422" w:rsidRPr="00D87B79" w:rsidRDefault="00A92422" w:rsidP="00A92422">
      <w:pPr>
        <w:keepNext/>
        <w:ind w:left="720"/>
        <w:rPr>
          <w:rFonts w:cs="Tahoma"/>
        </w:rPr>
      </w:pPr>
    </w:p>
    <w:p w:rsidR="00A92422" w:rsidRPr="00D87B79" w:rsidRDefault="00A92422" w:rsidP="00A92422">
      <w:pPr>
        <w:ind w:left="720"/>
        <w:rPr>
          <w:rFonts w:cs="Tahoma"/>
        </w:rPr>
      </w:pPr>
      <w:r w:rsidRPr="00D87B79">
        <w:rPr>
          <w:rFonts w:cs="Tahoma"/>
          <w:lang w:val="it-IT"/>
        </w:rPr>
        <w:t>Come eccezione alla regole precedente, per quanto riguarda Windows Intune (Per Dispositivo) acquistato come Servizio Online Enterprise, ma non al fine di soddisfare i requisiti per i Prodotti Enterprise:</w:t>
      </w:r>
      <w:r w:rsidRPr="00D87B79">
        <w:rPr>
          <w:rFonts w:eastAsia="Times New Roman" w:cs="Tahoma"/>
          <w:szCs w:val="18"/>
        </w:rPr>
        <w:t xml:space="preserve"> </w:t>
      </w:r>
      <w:r w:rsidRPr="00D87B79">
        <w:rPr>
          <w:rFonts w:cs="Tahoma"/>
          <w:lang w:val="it-IT"/>
        </w:rPr>
        <w:t>fare riferimento alla colonna “Nuovo EA/OV-CW” nella tabella precedente per le nuove licenze.</w:t>
      </w:r>
    </w:p>
    <w:p w:rsidR="00A92422" w:rsidRPr="00D87B79" w:rsidRDefault="00A92422" w:rsidP="00A92422">
      <w:pPr>
        <w:ind w:left="720"/>
        <w:rPr>
          <w:rFonts w:cs="Tahoma"/>
        </w:rPr>
      </w:pPr>
    </w:p>
    <w:p w:rsidR="00A92422" w:rsidRPr="00D87B79" w:rsidRDefault="00A92422" w:rsidP="00A92422">
      <w:pPr>
        <w:pStyle w:val="FootnoteBulletLevel2"/>
        <w:spacing w:before="0"/>
        <w:ind w:left="720" w:firstLine="0"/>
        <w:rPr>
          <w:rFonts w:ascii="Tahoma" w:hAnsi="Tahoma" w:cs="Tahoma"/>
        </w:rPr>
      </w:pPr>
      <w:r w:rsidRPr="00D87B79">
        <w:rPr>
          <w:rFonts w:ascii="Tahoma" w:hAnsi="Tahoma" w:cs="Tahoma"/>
          <w:sz w:val="18"/>
          <w:lang w:val="it-IT"/>
        </w:rPr>
        <w:t>Le società che dispongono di licenze “Subscription”per Windows Intune (Per Dispositivo) non devono disinstallare il sistema operativo qualificante sul loro dispositivo con licenza e potranno installare ed eseguire</w:t>
      </w:r>
      <w:r>
        <w:rPr>
          <w:rFonts w:ascii="Tahoma" w:hAnsi="Tahoma" w:cs="Tahoma"/>
          <w:sz w:val="18"/>
          <w:lang w:val="it-IT"/>
        </w:rPr>
        <w:t> </w:t>
      </w:r>
      <w:r w:rsidRPr="00D87B79">
        <w:rPr>
          <w:rFonts w:ascii="Tahoma" w:hAnsi="Tahoma" w:cs="Tahoma"/>
          <w:sz w:val="18"/>
          <w:lang w:val="it-IT"/>
        </w:rPr>
        <w:t>contemporaneamente il sistema operativo qualificante e il sistema operativo desktop Windows.</w:t>
      </w:r>
      <w:r w:rsidRPr="00D87B79">
        <w:rPr>
          <w:rFonts w:ascii="Tahoma" w:hAnsi="Tahoma" w:cs="Tahoma"/>
        </w:rPr>
        <w:t xml:space="preserve"> </w:t>
      </w:r>
    </w:p>
    <w:p w:rsidR="00A92422" w:rsidRPr="00D87B79" w:rsidRDefault="00A92422" w:rsidP="00A92422">
      <w:pPr>
        <w:pStyle w:val="FootnoteBulletLevel1"/>
        <w:spacing w:before="0" w:after="0"/>
        <w:ind w:left="720" w:firstLine="0"/>
        <w:rPr>
          <w:rFonts w:ascii="Tahoma" w:hAnsi="Tahoma" w:cs="Tahoma"/>
        </w:rPr>
      </w:pPr>
    </w:p>
    <w:p w:rsidR="00A92422" w:rsidRPr="00D87B79" w:rsidRDefault="00A92422" w:rsidP="00A92422">
      <w:pPr>
        <w:tabs>
          <w:tab w:val="left" w:pos="900"/>
        </w:tabs>
        <w:ind w:left="720"/>
        <w:rPr>
          <w:rFonts w:cs="Tahoma"/>
        </w:rPr>
      </w:pPr>
      <w:r w:rsidRPr="00D87B79">
        <w:rPr>
          <w:rFonts w:cs="Tahoma"/>
          <w:u w:val="single"/>
          <w:lang w:val="it-IT"/>
        </w:rPr>
        <w:t>Cessione della Licenza</w:t>
      </w:r>
      <w:r w:rsidRPr="00D87B79">
        <w:rPr>
          <w:rFonts w:cs="Tahoma"/>
        </w:rPr>
        <w:t> </w:t>
      </w:r>
    </w:p>
    <w:p w:rsidR="00A92422" w:rsidRPr="00D87B79" w:rsidRDefault="00A92422" w:rsidP="00A92422">
      <w:pPr>
        <w:tabs>
          <w:tab w:val="left" w:pos="900"/>
        </w:tabs>
        <w:ind w:left="720"/>
        <w:rPr>
          <w:rFonts w:cs="Tahoma"/>
        </w:rPr>
      </w:pPr>
      <w:r w:rsidRPr="00D87B79">
        <w:rPr>
          <w:rFonts w:cs="Tahoma"/>
          <w:lang w:val="it-IT"/>
        </w:rPr>
        <w:t>Le società dovranno cedere la loro licenza “subscription” per Windows Intune (Per Dispositivo) al dispositivo sul quale è installato il sistema operativo qualificante.</w:t>
      </w:r>
      <w:r w:rsidRPr="00D87B79">
        <w:rPr>
          <w:rFonts w:cs="Tahoma"/>
        </w:rPr>
        <w:t xml:space="preserve"> </w:t>
      </w:r>
    </w:p>
    <w:p w:rsidR="00A92422" w:rsidRPr="00D87B79" w:rsidRDefault="00A92422" w:rsidP="00A92422">
      <w:pPr>
        <w:pStyle w:val="FootnoteBulletLevel2"/>
        <w:spacing w:before="0"/>
        <w:ind w:left="907" w:firstLine="0"/>
        <w:rPr>
          <w:rFonts w:ascii="Tahoma" w:hAnsi="Tahoma" w:cs="Tahoma"/>
        </w:rPr>
      </w:pPr>
    </w:p>
    <w:p w:rsidR="00A92422" w:rsidRPr="00D87B79" w:rsidRDefault="00A92422" w:rsidP="00A92422">
      <w:pPr>
        <w:pStyle w:val="FootnoteBulletLevel1"/>
        <w:tabs>
          <w:tab w:val="clear" w:pos="900"/>
        </w:tabs>
        <w:spacing w:before="0" w:after="60"/>
        <w:ind w:left="720" w:firstLine="0"/>
        <w:rPr>
          <w:rFonts w:ascii="Tahoma" w:hAnsi="Tahoma" w:cs="Tahoma"/>
        </w:rPr>
      </w:pPr>
      <w:r w:rsidRPr="00D87B79">
        <w:rPr>
          <w:rFonts w:ascii="Tahoma" w:hAnsi="Tahoma" w:cs="Tahoma"/>
          <w:b/>
          <w:sz w:val="18"/>
          <w:lang w:val="it-IT"/>
        </w:rPr>
        <w:t>Riassegnazione della Licenza per Windows Intune (Per Dispositivo)</w:t>
      </w:r>
    </w:p>
    <w:p w:rsidR="00A92422" w:rsidRPr="00D87B79" w:rsidRDefault="00A92422" w:rsidP="00A92422">
      <w:pPr>
        <w:pStyle w:val="BodyText"/>
        <w:spacing w:before="0" w:after="0" w:line="240" w:lineRule="auto"/>
        <w:ind w:left="720"/>
        <w:rPr>
          <w:rFonts w:ascii="Tahoma" w:hAnsi="Tahoma" w:cs="Tahoma"/>
        </w:rPr>
      </w:pPr>
      <w:r w:rsidRPr="00D87B79">
        <w:rPr>
          <w:rFonts w:ascii="Tahoma" w:hAnsi="Tahoma" w:cs="Tahoma"/>
          <w:color w:val="auto"/>
          <w:sz w:val="18"/>
          <w:lang w:val="it-IT"/>
        </w:rPr>
        <w:t>Le società potranno riassegnare le licenze per Windows Intune (Per Dispositivo), ma non a breve termine, vale a dire non prima di 90 giorni dall’ultima cessione. Le società potranno riassegnare prima una licenza per</w:t>
      </w:r>
      <w:r>
        <w:rPr>
          <w:rFonts w:ascii="Tahoma" w:hAnsi="Tahoma" w:cs="Tahoma"/>
          <w:color w:val="auto"/>
          <w:sz w:val="18"/>
          <w:lang w:val="it-IT"/>
        </w:rPr>
        <w:t> </w:t>
      </w:r>
      <w:r w:rsidRPr="00D87B79">
        <w:rPr>
          <w:rFonts w:ascii="Tahoma" w:hAnsi="Tahoma" w:cs="Tahoma"/>
          <w:color w:val="auto"/>
          <w:sz w:val="18"/>
          <w:lang w:val="it-IT"/>
        </w:rPr>
        <w:t>Windows Intune (Per Dispositivo) nel caso in cui ritirino il dispositivo con licenza esistente a causa di un problema hardware permanente. Il dispositivo al quale viene riassegnata una licenza per Windows Intune (Per Dispositivo) dovrà soddisfare i requisiti del sistema operativo qualificante descritti sopra. Il software dovrà essere rimosso e l’utilizzo del servizio Windows Intune (Per Dispositivo) o l’accesso ad esso dovrà essere interrotto dal dispositivo dal quale viene riassegnata la licenza.</w:t>
      </w:r>
    </w:p>
    <w:p w:rsidR="00A92422" w:rsidRPr="00D87B79" w:rsidRDefault="00A92422" w:rsidP="00A92422">
      <w:pPr>
        <w:pStyle w:val="BodyText"/>
        <w:spacing w:before="0" w:after="0" w:line="240" w:lineRule="auto"/>
        <w:ind w:left="720"/>
        <w:rPr>
          <w:rFonts w:ascii="Tahoma" w:hAnsi="Tahoma" w:cs="Tahoma"/>
        </w:rPr>
      </w:pPr>
    </w:p>
    <w:p w:rsidR="00A92422" w:rsidRPr="00D87B79" w:rsidRDefault="00A92422" w:rsidP="00A92422">
      <w:pPr>
        <w:autoSpaceDN w:val="0"/>
        <w:ind w:left="720"/>
        <w:rPr>
          <w:rFonts w:cs="Tahoma"/>
        </w:rPr>
      </w:pPr>
      <w:r w:rsidRPr="00D87B79">
        <w:rPr>
          <w:rFonts w:cs="Tahoma"/>
          <w:lang w:val="it-IT"/>
        </w:rPr>
        <w:t xml:space="preserve">Come eccezione ai requisiti del sistema operativo qualificante per Windows Intune (Per Dispositivo) concesso in licenza come Servizio Online Enterprise per soddisfare i requisiti per i Prodotti Enterprise, le società potranno riassegnare le licenze per Windows Intune (Per Dispositivo) a uno dei seguenti dispositivi, </w:t>
      </w:r>
      <w:r w:rsidRPr="00D87B79">
        <w:rPr>
          <w:rFonts w:cs="Tahoma"/>
          <w:lang w:val="it-IT"/>
        </w:rPr>
        <w:lastRenderedPageBreak/>
        <w:t>purché abbiano la licenza per uno dei sistemi operativi qualificanti identificati nella colonna “Nuovo EA/OV-CW” della tabella precedente e tale sistema operativo qualificante sia installato su di essi:</w:t>
      </w:r>
      <w:r w:rsidRPr="00D87B79">
        <w:rPr>
          <w:rFonts w:cs="Tahoma"/>
          <w:szCs w:val="18"/>
        </w:rPr>
        <w:t xml:space="preserve"> </w:t>
      </w:r>
    </w:p>
    <w:p w:rsidR="00A92422" w:rsidRPr="00D87B79" w:rsidRDefault="00A92422" w:rsidP="00A92422">
      <w:pPr>
        <w:autoSpaceDN w:val="0"/>
        <w:ind w:left="720"/>
        <w:rPr>
          <w:rFonts w:cs="Tahoma"/>
        </w:rPr>
      </w:pPr>
    </w:p>
    <w:p w:rsidR="00A92422" w:rsidRPr="00D87B79" w:rsidRDefault="00A92422" w:rsidP="00A92422">
      <w:pPr>
        <w:numPr>
          <w:ilvl w:val="3"/>
          <w:numId w:val="76"/>
        </w:numPr>
        <w:autoSpaceDN w:val="0"/>
        <w:spacing w:after="60"/>
        <w:ind w:left="1440"/>
        <w:rPr>
          <w:rFonts w:cs="Tahoma"/>
        </w:rPr>
      </w:pPr>
      <w:r w:rsidRPr="00D87B79">
        <w:rPr>
          <w:rFonts w:cs="Tahoma"/>
          <w:lang w:val="it-IT"/>
        </w:rPr>
        <w:t>dispositivi che il licenziatario acquista in seguito a una fusione o acquisizione e</w:t>
      </w:r>
      <w:r w:rsidRPr="00D87B79">
        <w:rPr>
          <w:rFonts w:cs="Tahoma"/>
        </w:rPr>
        <w:t xml:space="preserve"> </w:t>
      </w:r>
    </w:p>
    <w:p w:rsidR="00A92422" w:rsidRPr="00D87B79" w:rsidRDefault="00A92422" w:rsidP="00A92422">
      <w:pPr>
        <w:numPr>
          <w:ilvl w:val="3"/>
          <w:numId w:val="76"/>
        </w:numPr>
        <w:autoSpaceDN w:val="0"/>
        <w:spacing w:after="60"/>
        <w:ind w:left="1440"/>
        <w:rPr>
          <w:rFonts w:cs="Tahoma"/>
        </w:rPr>
      </w:pPr>
      <w:r w:rsidRPr="00D87B79">
        <w:rPr>
          <w:rFonts w:cs="Tahoma"/>
          <w:lang w:val="it-IT"/>
        </w:rPr>
        <w:t>dispositivi di proprietà dei collaboratori e dei dipendenti.</w:t>
      </w:r>
    </w:p>
    <w:p w:rsidR="00A92422" w:rsidRPr="00D87B79" w:rsidRDefault="00A92422" w:rsidP="00A92422">
      <w:pPr>
        <w:autoSpaceDN w:val="0"/>
        <w:spacing w:after="60"/>
        <w:rPr>
          <w:rFonts w:cs="Tahoma"/>
        </w:rPr>
      </w:pPr>
    </w:p>
    <w:p w:rsidR="00A92422" w:rsidRPr="0077337A" w:rsidRDefault="00A92422" w:rsidP="00A92422">
      <w:pPr>
        <w:pStyle w:val="FootnoteBulletLevel1"/>
        <w:tabs>
          <w:tab w:val="clear" w:pos="900"/>
        </w:tabs>
        <w:adjustRightInd/>
        <w:spacing w:before="0" w:after="60"/>
        <w:ind w:left="720" w:firstLine="0"/>
        <w:textAlignment w:val="auto"/>
        <w:rPr>
          <w:rFonts w:ascii="Tahoma" w:hAnsi="Tahoma" w:cs="Tahoma"/>
          <w:sz w:val="18"/>
          <w:szCs w:val="18"/>
        </w:rPr>
      </w:pPr>
      <w:r w:rsidRPr="0077337A">
        <w:rPr>
          <w:rFonts w:ascii="Tahoma" w:hAnsi="Tahoma" w:cs="Tahoma"/>
          <w:b/>
          <w:sz w:val="18"/>
          <w:szCs w:val="18"/>
          <w:lang w:val="it-IT"/>
        </w:rPr>
        <w:t>Software Assurance per Windows 8 Pro</w:t>
      </w:r>
      <w:r w:rsidRPr="0077337A">
        <w:rPr>
          <w:rFonts w:ascii="Tahoma" w:hAnsi="Tahoma" w:cs="Tahoma"/>
          <w:sz w:val="18"/>
          <w:szCs w:val="18"/>
        </w:rPr>
        <w:t xml:space="preserve"> </w:t>
      </w:r>
    </w:p>
    <w:p w:rsidR="00A92422" w:rsidRPr="0077337A" w:rsidRDefault="00A92422" w:rsidP="00A92422">
      <w:pPr>
        <w:pStyle w:val="FootnoteBulletLevel1"/>
        <w:spacing w:before="0" w:after="0"/>
        <w:ind w:left="720" w:firstLine="0"/>
        <w:rPr>
          <w:rFonts w:ascii="Tahoma" w:hAnsi="Tahoma" w:cs="Tahoma"/>
          <w:sz w:val="18"/>
          <w:szCs w:val="18"/>
        </w:rPr>
      </w:pPr>
      <w:r w:rsidRPr="0077337A">
        <w:rPr>
          <w:rFonts w:ascii="Tahoma" w:hAnsi="Tahoma" w:cs="Tahoma"/>
          <w:sz w:val="18"/>
          <w:szCs w:val="18"/>
          <w:lang w:val="it-IT"/>
        </w:rPr>
        <w:t>Le società che intendono iscriversi a Software Assurance per Windows 8 Pro dispongono delle seguenti opzioni:</w:t>
      </w:r>
    </w:p>
    <w:p w:rsidR="00A92422" w:rsidRPr="00D87B79" w:rsidRDefault="00A92422" w:rsidP="00A92422">
      <w:pPr>
        <w:pStyle w:val="FootnoteBulletLevel1"/>
        <w:spacing w:before="0" w:after="0"/>
        <w:ind w:left="720" w:firstLine="0"/>
        <w:rPr>
          <w:rFonts w:ascii="Tahoma" w:hAnsi="Tahoma" w:cs="Tahoma"/>
        </w:rPr>
      </w:pPr>
    </w:p>
    <w:p w:rsidR="00A92422" w:rsidRPr="0077337A" w:rsidRDefault="00A92422" w:rsidP="00A92422">
      <w:pPr>
        <w:pStyle w:val="FootnoteBulletLevel1"/>
        <w:numPr>
          <w:ilvl w:val="0"/>
          <w:numId w:val="26"/>
        </w:numPr>
        <w:adjustRightInd/>
        <w:spacing w:before="0" w:after="60"/>
        <w:textAlignment w:val="auto"/>
        <w:rPr>
          <w:rFonts w:ascii="Tahoma" w:hAnsi="Tahoma" w:cs="Tahoma"/>
          <w:sz w:val="18"/>
          <w:szCs w:val="18"/>
        </w:rPr>
      </w:pPr>
      <w:r w:rsidRPr="0077337A">
        <w:rPr>
          <w:rFonts w:ascii="Tahoma" w:hAnsi="Tahoma" w:cs="Tahoma"/>
          <w:sz w:val="18"/>
          <w:szCs w:val="18"/>
          <w:lang w:val="it-IT"/>
        </w:rPr>
        <w:t>Select.</w:t>
      </w:r>
      <w:r w:rsidRPr="0077337A">
        <w:rPr>
          <w:rFonts w:ascii="Tahoma" w:hAnsi="Tahoma" w:cs="Tahoma"/>
          <w:sz w:val="18"/>
          <w:szCs w:val="18"/>
        </w:rPr>
        <w:t xml:space="preserve"> </w:t>
      </w:r>
      <w:r w:rsidRPr="0077337A">
        <w:rPr>
          <w:rFonts w:ascii="Tahoma" w:hAnsi="Tahoma" w:cs="Tahoma"/>
          <w:sz w:val="18"/>
          <w:szCs w:val="18"/>
          <w:lang w:val="it-IT"/>
        </w:rPr>
        <w:t>Programmi Open Value (opzione non per l’intera azienda) e Open License</w:t>
      </w:r>
      <w:r w:rsidRPr="0077337A">
        <w:rPr>
          <w:rFonts w:ascii="Tahoma" w:hAnsi="Tahoma" w:cs="Tahoma"/>
          <w:sz w:val="18"/>
          <w:szCs w:val="18"/>
        </w:rPr>
        <w:t xml:space="preserve"> </w:t>
      </w:r>
    </w:p>
    <w:p w:rsidR="00A92422" w:rsidRPr="00D87B79" w:rsidRDefault="00A92422" w:rsidP="00A92422">
      <w:pPr>
        <w:numPr>
          <w:ilvl w:val="0"/>
          <w:numId w:val="77"/>
        </w:numPr>
        <w:spacing w:after="60"/>
        <w:ind w:left="1980"/>
        <w:rPr>
          <w:rFonts w:cs="Tahoma"/>
        </w:rPr>
      </w:pPr>
      <w:r w:rsidRPr="00D87B79">
        <w:rPr>
          <w:rFonts w:cs="Tahoma"/>
          <w:bdr w:val="none" w:sz="0" w:space="0" w:color="auto" w:frame="1"/>
          <w:lang w:val="it-IT"/>
        </w:rPr>
        <w:t>Acquistare la copertura Software Assurance per Windows 8 Pro o Windows 7 Professional (32 bit o 64 bit o edizioni N, K o KN) tramite licenza OEM, Retail Get Genuine Windows Agreement (GGWA) (anche conosciuta, in alcuni paesi, come “Get Genuine Solution”) entro</w:t>
      </w:r>
      <w:r>
        <w:rPr>
          <w:rFonts w:cs="Tahoma"/>
          <w:bdr w:val="none" w:sz="0" w:space="0" w:color="auto" w:frame="1"/>
          <w:lang w:val="it-IT"/>
        </w:rPr>
        <w:t> </w:t>
      </w:r>
      <w:r w:rsidRPr="00D87B79">
        <w:rPr>
          <w:rFonts w:cs="Tahoma"/>
          <w:bdr w:val="none" w:sz="0" w:space="0" w:color="auto" w:frame="1"/>
          <w:lang w:val="it-IT"/>
        </w:rPr>
        <w:t>90 giorni dalla data di acquisto della licenza OEM, Retail o GGWA</w:t>
      </w:r>
      <w:r w:rsidRPr="00D87B79">
        <w:rPr>
          <w:rFonts w:cs="Tahoma"/>
        </w:rPr>
        <w:t xml:space="preserve"> </w:t>
      </w:r>
      <w:r w:rsidRPr="00D87B79">
        <w:rPr>
          <w:rFonts w:cs="Tahoma"/>
          <w:bdr w:val="none" w:sz="0" w:space="0" w:color="auto" w:frame="1"/>
          <w:lang w:val="it-IT"/>
        </w:rPr>
        <w:t>(a partire dal 1 settembre 2009).</w:t>
      </w:r>
    </w:p>
    <w:p w:rsidR="00A92422" w:rsidRPr="0077337A" w:rsidRDefault="00A92422" w:rsidP="00A92422">
      <w:pPr>
        <w:pStyle w:val="Footnotedash"/>
        <w:numPr>
          <w:ilvl w:val="0"/>
          <w:numId w:val="77"/>
        </w:numPr>
        <w:adjustRightInd/>
        <w:spacing w:before="0"/>
        <w:ind w:left="1980"/>
        <w:textAlignment w:val="auto"/>
        <w:rPr>
          <w:rFonts w:ascii="Tahoma" w:hAnsi="Tahoma" w:cs="Tahoma"/>
          <w:sz w:val="18"/>
          <w:szCs w:val="18"/>
        </w:rPr>
      </w:pPr>
      <w:r w:rsidRPr="0077337A">
        <w:rPr>
          <w:rFonts w:ascii="Tahoma" w:hAnsi="Tahoma" w:cs="Tahoma"/>
          <w:sz w:val="18"/>
          <w:szCs w:val="18"/>
          <w:lang w:val="it-IT"/>
        </w:rPr>
        <w:t>Rinnovare Software Assurance per il sistema operativo desktop alla scadenza della copertura Software Assurance per Windows 8 Pro o Windows 7 Professional.</w:t>
      </w:r>
      <w:r w:rsidRPr="0077337A">
        <w:rPr>
          <w:rFonts w:ascii="Tahoma" w:hAnsi="Tahoma" w:cs="Tahoma"/>
          <w:sz w:val="18"/>
          <w:szCs w:val="18"/>
        </w:rPr>
        <w:t xml:space="preserve"> </w:t>
      </w:r>
    </w:p>
    <w:p w:rsidR="00A92422" w:rsidRPr="0077337A" w:rsidRDefault="00A92422" w:rsidP="00A92422">
      <w:pPr>
        <w:pStyle w:val="Footnotedash"/>
        <w:tabs>
          <w:tab w:val="clear" w:pos="1620"/>
        </w:tabs>
        <w:spacing w:before="0" w:after="0"/>
        <w:ind w:left="720" w:firstLine="0"/>
        <w:rPr>
          <w:rFonts w:ascii="Tahoma" w:hAnsi="Tahoma" w:cs="Tahoma"/>
          <w:sz w:val="18"/>
          <w:szCs w:val="18"/>
        </w:rPr>
      </w:pPr>
      <w:r w:rsidRPr="0077337A">
        <w:rPr>
          <w:rFonts w:ascii="Tahoma" w:hAnsi="Tahoma" w:cs="Tahoma"/>
          <w:sz w:val="18"/>
          <w:szCs w:val="18"/>
          <w:lang w:val="it-IT"/>
        </w:rPr>
        <w:t>Il periodo di tempo indicato in precedenza potrebbe essere prorogato per finalità promozionali per un tempo limitato.</w:t>
      </w:r>
      <w:r w:rsidRPr="0077337A">
        <w:rPr>
          <w:rFonts w:ascii="Tahoma" w:hAnsi="Tahoma" w:cs="Tahoma"/>
          <w:sz w:val="18"/>
          <w:szCs w:val="18"/>
        </w:rPr>
        <w:t xml:space="preserve"> </w:t>
      </w:r>
      <w:r w:rsidRPr="0077337A">
        <w:rPr>
          <w:rFonts w:ascii="Tahoma" w:hAnsi="Tahoma" w:cs="Tahoma"/>
          <w:sz w:val="18"/>
          <w:szCs w:val="18"/>
          <w:lang w:val="it-IT"/>
        </w:rPr>
        <w:t>Per ulteriori dettagli, consultare l'</w:t>
      </w:r>
      <w:hyperlink w:anchor="_ARTICOLO_3_–" w:history="1">
        <w:r w:rsidRPr="00BE1847">
          <w:rPr>
            <w:rStyle w:val="Hyperlink"/>
            <w:rFonts w:ascii="Tahoma" w:hAnsi="Tahoma" w:cs="Tahoma"/>
            <w:color w:val="000000" w:themeColor="text1"/>
            <w:sz w:val="18"/>
            <w:szCs w:val="18"/>
            <w:u w:val="none"/>
            <w:lang w:val="it-IT"/>
          </w:rPr>
          <w:t>Articolo 3</w:t>
        </w:r>
      </w:hyperlink>
      <w:r w:rsidRPr="0077337A">
        <w:rPr>
          <w:rFonts w:ascii="Tahoma" w:hAnsi="Tahoma" w:cs="Tahoma"/>
          <w:sz w:val="18"/>
          <w:szCs w:val="18"/>
          <w:lang w:val="it-IT"/>
        </w:rPr>
        <w:t>.</w:t>
      </w:r>
    </w:p>
    <w:p w:rsidR="00A92422" w:rsidRPr="00D87B79" w:rsidRDefault="00A92422" w:rsidP="00A92422">
      <w:pPr>
        <w:pStyle w:val="Footnotedash"/>
        <w:spacing w:before="0" w:after="0"/>
        <w:ind w:left="720" w:firstLine="0"/>
        <w:rPr>
          <w:rFonts w:ascii="Tahoma" w:hAnsi="Tahoma" w:cs="Tahoma"/>
        </w:rPr>
      </w:pPr>
    </w:p>
    <w:p w:rsidR="00A92422" w:rsidRPr="0077337A" w:rsidRDefault="00A92422" w:rsidP="00A92422">
      <w:pPr>
        <w:pStyle w:val="FootnoteBulletLevel2"/>
        <w:numPr>
          <w:ilvl w:val="0"/>
          <w:numId w:val="74"/>
        </w:numPr>
        <w:adjustRightInd/>
        <w:spacing w:before="0"/>
        <w:ind w:left="1440"/>
        <w:textAlignment w:val="auto"/>
        <w:rPr>
          <w:rFonts w:ascii="Tahoma" w:hAnsi="Tahoma" w:cs="Tahoma"/>
          <w:sz w:val="18"/>
          <w:szCs w:val="18"/>
        </w:rPr>
      </w:pPr>
      <w:r w:rsidRPr="0077337A">
        <w:rPr>
          <w:rFonts w:ascii="Tahoma" w:hAnsi="Tahoma" w:cs="Tahoma"/>
          <w:sz w:val="18"/>
          <w:szCs w:val="18"/>
          <w:lang w:val="it-IT"/>
        </w:rPr>
        <w:t>Iscrizioni Enterprise:</w:t>
      </w:r>
      <w:r w:rsidRPr="0077337A">
        <w:rPr>
          <w:rFonts w:ascii="Tahoma" w:hAnsi="Tahoma" w:cs="Tahoma"/>
          <w:sz w:val="18"/>
          <w:szCs w:val="18"/>
        </w:rPr>
        <w:t xml:space="preserve"> </w:t>
      </w:r>
      <w:r w:rsidRPr="0077337A">
        <w:rPr>
          <w:rFonts w:ascii="Tahoma" w:hAnsi="Tahoma" w:cs="Tahoma"/>
          <w:sz w:val="18"/>
          <w:szCs w:val="18"/>
          <w:lang w:val="it-IT"/>
        </w:rPr>
        <w:t>alla scadenza di un’Iscrizione Enterprise già esistente relativa al Sistema Operativo Windows Desktop, è possibile rinnovare tale copertura con una nuova Iscrizione Enterprise per il Sistema Operativo Windows Desktop.</w:t>
      </w:r>
    </w:p>
    <w:p w:rsidR="00A92422" w:rsidRPr="00D87B79" w:rsidRDefault="00A92422" w:rsidP="00A92422">
      <w:pPr>
        <w:pStyle w:val="FootnoteBulletLevel2"/>
        <w:tabs>
          <w:tab w:val="clear" w:pos="1260"/>
        </w:tabs>
        <w:adjustRightInd/>
        <w:spacing w:before="0"/>
        <w:ind w:left="0" w:firstLine="0"/>
        <w:textAlignment w:val="auto"/>
        <w:rPr>
          <w:rFonts w:ascii="Tahoma" w:hAnsi="Tahoma" w:cs="Tahoma"/>
        </w:rPr>
      </w:pPr>
    </w:p>
    <w:p w:rsidR="00A92422" w:rsidRPr="0077337A" w:rsidRDefault="00A92422" w:rsidP="00A92422">
      <w:pPr>
        <w:pStyle w:val="FootnoteBulletLevel1"/>
        <w:tabs>
          <w:tab w:val="clear" w:pos="900"/>
        </w:tabs>
        <w:adjustRightInd/>
        <w:spacing w:before="0" w:after="60"/>
        <w:ind w:left="720" w:firstLine="0"/>
        <w:textAlignment w:val="auto"/>
        <w:rPr>
          <w:rFonts w:ascii="Tahoma" w:hAnsi="Tahoma" w:cs="Tahoma"/>
          <w:sz w:val="18"/>
          <w:szCs w:val="18"/>
        </w:rPr>
      </w:pPr>
      <w:r w:rsidRPr="0077337A">
        <w:rPr>
          <w:rFonts w:ascii="Tahoma" w:hAnsi="Tahoma" w:cs="Tahoma"/>
          <w:b/>
          <w:sz w:val="18"/>
          <w:szCs w:val="18"/>
          <w:lang w:val="it-IT"/>
        </w:rPr>
        <w:t>Aggiornamento per Windows 8 Pro e Software Assurance</w:t>
      </w:r>
    </w:p>
    <w:p w:rsidR="00A92422" w:rsidRPr="00D87B79" w:rsidRDefault="00A92422" w:rsidP="00A92422">
      <w:pPr>
        <w:pStyle w:val="FootnoteBulletLevel1"/>
        <w:spacing w:before="0" w:after="0"/>
        <w:ind w:left="720" w:firstLine="0"/>
        <w:rPr>
          <w:rFonts w:ascii="Tahoma" w:hAnsi="Tahoma" w:cs="Tahoma"/>
        </w:rPr>
      </w:pPr>
      <w:r w:rsidRPr="00D87B79">
        <w:rPr>
          <w:rFonts w:ascii="Tahoma" w:hAnsi="Tahoma" w:cs="Tahoma"/>
          <w:sz w:val="18"/>
          <w:u w:val="single"/>
          <w:lang w:val="it-IT"/>
        </w:rPr>
        <w:t>Licenza di Aggiornamento per il Sistema Operativo (OS)</w:t>
      </w:r>
    </w:p>
    <w:p w:rsidR="00A92422" w:rsidRPr="0077337A" w:rsidRDefault="00A92422" w:rsidP="00A92422">
      <w:pPr>
        <w:pStyle w:val="FootnoteBulletLevel2"/>
        <w:tabs>
          <w:tab w:val="clear" w:pos="1260"/>
        </w:tabs>
        <w:adjustRightInd/>
        <w:spacing w:before="0"/>
        <w:ind w:left="720" w:firstLine="0"/>
        <w:textAlignment w:val="auto"/>
        <w:rPr>
          <w:rFonts w:ascii="Tahoma" w:hAnsi="Tahoma" w:cs="Tahoma"/>
          <w:sz w:val="18"/>
          <w:szCs w:val="18"/>
        </w:rPr>
      </w:pPr>
      <w:r w:rsidRPr="0077337A">
        <w:rPr>
          <w:rFonts w:ascii="Tahoma" w:hAnsi="Tahoma" w:cs="Tahoma"/>
          <w:sz w:val="18"/>
          <w:szCs w:val="18"/>
          <w:lang w:val="it-IT"/>
        </w:rPr>
        <w:t>Le licenze per sistemi operativi desktop fornite in base ai presenti programmi sono unicamente licenze di aggiornamento.</w:t>
      </w:r>
      <w:r w:rsidRPr="0077337A">
        <w:rPr>
          <w:rFonts w:ascii="Tahoma" w:hAnsi="Tahoma" w:cs="Tahoma"/>
          <w:sz w:val="18"/>
          <w:szCs w:val="18"/>
        </w:rPr>
        <w:t xml:space="preserve"> </w:t>
      </w:r>
      <w:r w:rsidRPr="0077337A">
        <w:rPr>
          <w:rFonts w:ascii="Tahoma" w:hAnsi="Tahoma" w:cs="Tahoma"/>
          <w:sz w:val="18"/>
          <w:szCs w:val="18"/>
          <w:lang w:val="it-IT"/>
        </w:rPr>
        <w:t>I presenti programmi non prevedono licenze complete per sistemi operativi desktop.</w:t>
      </w:r>
      <w:r w:rsidRPr="0077337A">
        <w:rPr>
          <w:rFonts w:ascii="Tahoma" w:hAnsi="Tahoma" w:cs="Tahoma"/>
          <w:sz w:val="18"/>
          <w:szCs w:val="18"/>
        </w:rPr>
        <w:t xml:space="preserve"> </w:t>
      </w:r>
      <w:r w:rsidRPr="0077337A">
        <w:rPr>
          <w:rFonts w:ascii="Tahoma" w:hAnsi="Tahoma" w:cs="Tahoma"/>
          <w:sz w:val="18"/>
          <w:szCs w:val="18"/>
          <w:lang w:val="it-IT"/>
        </w:rPr>
        <w:t>Pertanto, la società dovrà avere ottenuto in licenza e installato su ogni desktop per il quale acquista e sul quale eseguirà l’Aggiornamento per Windows 8 Pro uno dei sistemi operativi qualificanti applicabili indicati nella precedente tabella.</w:t>
      </w:r>
    </w:p>
    <w:p w:rsidR="00A92422" w:rsidRPr="00D87B79" w:rsidRDefault="00A92422" w:rsidP="00A92422">
      <w:pPr>
        <w:pStyle w:val="FootnoteBulletLevel2"/>
        <w:tabs>
          <w:tab w:val="clear" w:pos="1260"/>
        </w:tabs>
        <w:adjustRightInd/>
        <w:spacing w:before="0"/>
        <w:ind w:left="720" w:firstLine="0"/>
        <w:textAlignment w:val="auto"/>
        <w:rPr>
          <w:rFonts w:ascii="Tahoma" w:hAnsi="Tahoma" w:cs="Tahoma"/>
        </w:rPr>
      </w:pPr>
    </w:p>
    <w:p w:rsidR="00A92422" w:rsidRPr="0077337A" w:rsidRDefault="00A92422" w:rsidP="00A92422">
      <w:pPr>
        <w:pStyle w:val="FootnoteBulletLevel2"/>
        <w:tabs>
          <w:tab w:val="clear" w:pos="1260"/>
        </w:tabs>
        <w:adjustRightInd/>
        <w:spacing w:before="0"/>
        <w:ind w:left="720" w:firstLine="0"/>
        <w:textAlignment w:val="auto"/>
        <w:rPr>
          <w:rFonts w:ascii="Tahoma" w:hAnsi="Tahoma" w:cs="Tahoma"/>
          <w:sz w:val="18"/>
          <w:szCs w:val="18"/>
        </w:rPr>
      </w:pPr>
      <w:r w:rsidRPr="0077337A">
        <w:rPr>
          <w:rFonts w:ascii="Tahoma" w:hAnsi="Tahoma" w:cs="Tahoma"/>
          <w:sz w:val="18"/>
          <w:szCs w:val="18"/>
          <w:lang w:val="it-IT"/>
        </w:rPr>
        <w:t>Le società che intendono acquistare sia gli Aggiornamenti per Windows 8 Pro che Software Assurance dispongono delle seguenti opzioni:</w:t>
      </w:r>
    </w:p>
    <w:p w:rsidR="00A92422" w:rsidRPr="00D87B79" w:rsidRDefault="00A92422" w:rsidP="00A92422">
      <w:pPr>
        <w:pStyle w:val="FootnoteBulletLevel2"/>
        <w:tabs>
          <w:tab w:val="clear" w:pos="1260"/>
        </w:tabs>
        <w:adjustRightInd/>
        <w:spacing w:before="0"/>
        <w:ind w:left="720" w:firstLine="0"/>
        <w:textAlignment w:val="auto"/>
        <w:rPr>
          <w:rFonts w:ascii="Tahoma" w:hAnsi="Tahoma" w:cs="Tahoma"/>
        </w:rPr>
      </w:pPr>
    </w:p>
    <w:p w:rsidR="00A92422" w:rsidRPr="0077337A" w:rsidRDefault="00A92422" w:rsidP="00A92422">
      <w:pPr>
        <w:pStyle w:val="FootnoteBulletLevel2"/>
        <w:numPr>
          <w:ilvl w:val="0"/>
          <w:numId w:val="74"/>
        </w:numPr>
        <w:adjustRightInd/>
        <w:spacing w:before="0" w:after="60"/>
        <w:ind w:left="1440"/>
        <w:textAlignment w:val="auto"/>
        <w:rPr>
          <w:rFonts w:ascii="Tahoma" w:hAnsi="Tahoma" w:cs="Tahoma"/>
          <w:sz w:val="18"/>
          <w:szCs w:val="18"/>
        </w:rPr>
      </w:pPr>
      <w:r w:rsidRPr="0077337A">
        <w:rPr>
          <w:rFonts w:ascii="Tahoma" w:hAnsi="Tahoma" w:cs="Tahoma"/>
          <w:sz w:val="18"/>
          <w:szCs w:val="18"/>
          <w:lang w:val="it-IT"/>
        </w:rPr>
        <w:t>Programmi Select, Open Value (opzione non per l’intera azienda) e Open License:</w:t>
      </w:r>
    </w:p>
    <w:p w:rsidR="00A92422" w:rsidRPr="0077337A" w:rsidRDefault="00A92422" w:rsidP="00A92422">
      <w:pPr>
        <w:pStyle w:val="Footnotedash"/>
        <w:numPr>
          <w:ilvl w:val="1"/>
          <w:numId w:val="78"/>
        </w:numPr>
        <w:spacing w:before="0"/>
        <w:ind w:left="1800"/>
        <w:rPr>
          <w:rFonts w:ascii="Tahoma" w:hAnsi="Tahoma" w:cs="Tahoma"/>
          <w:sz w:val="18"/>
          <w:szCs w:val="18"/>
        </w:rPr>
      </w:pPr>
      <w:r w:rsidRPr="0077337A">
        <w:rPr>
          <w:rFonts w:ascii="Tahoma" w:hAnsi="Tahoma" w:cs="Tahoma"/>
          <w:color w:val="000000"/>
          <w:sz w:val="18"/>
          <w:szCs w:val="18"/>
          <w:lang w:val="it-IT"/>
        </w:rPr>
        <w:t>Acquistare gli Aggiornamenti per Windows 8 Pro e Software Assurance per i desktop per i quali la società ha ottenuto in licenza e installato uno dei sistemi operativi qualificanti elencati nella precedente tabella degli Aggiornamenti per Windows.</w:t>
      </w:r>
    </w:p>
    <w:p w:rsidR="00A92422" w:rsidRPr="00FE43EF" w:rsidRDefault="00A92422" w:rsidP="00A92422">
      <w:pPr>
        <w:pStyle w:val="Footnotedash"/>
        <w:numPr>
          <w:ilvl w:val="2"/>
          <w:numId w:val="102"/>
        </w:numPr>
        <w:spacing w:before="0"/>
        <w:ind w:left="1800"/>
        <w:rPr>
          <w:rFonts w:ascii="Tahoma" w:hAnsi="Tahoma" w:cs="Tahoma"/>
          <w:sz w:val="18"/>
          <w:szCs w:val="18"/>
        </w:rPr>
      </w:pPr>
      <w:r w:rsidRPr="0077337A">
        <w:rPr>
          <w:rFonts w:ascii="Tahoma" w:hAnsi="Tahoma" w:cs="Tahoma"/>
          <w:color w:val="000000"/>
          <w:sz w:val="18"/>
          <w:szCs w:val="18"/>
          <w:lang w:val="it-IT"/>
        </w:rPr>
        <w:t>La società potrà riassegnare la copertura Software Assurance per i sistemi operativi desktop dal desktop originale a un desktop sostitutivo, ma non a breve termine, ovvero non entro 90 giorni dall’ultima cessione, a condizione che (1) la società abbia ottenuto in licenza e installato sul desktop sostitutivo l’ultima versione del sistema operativo e (2) la società rimuova qualsiasi aggiornamento del sistema operativo desktop correlato dal desktop originale.</w:t>
      </w:r>
    </w:p>
    <w:p w:rsidR="00A92422" w:rsidRPr="00D87B79" w:rsidRDefault="00A92422" w:rsidP="00A92422">
      <w:pPr>
        <w:pStyle w:val="FootnoteBulletLevel2"/>
        <w:numPr>
          <w:ilvl w:val="0"/>
          <w:numId w:val="74"/>
        </w:numPr>
        <w:adjustRightInd/>
        <w:spacing w:before="0" w:after="60"/>
        <w:ind w:left="1440"/>
        <w:textAlignment w:val="auto"/>
        <w:rPr>
          <w:rFonts w:ascii="Tahoma" w:hAnsi="Tahoma" w:cs="Tahoma"/>
        </w:rPr>
      </w:pPr>
      <w:r w:rsidRPr="00D87B79">
        <w:rPr>
          <w:rFonts w:ascii="Tahoma" w:hAnsi="Tahoma" w:cs="Tahoma"/>
          <w:sz w:val="18"/>
          <w:lang w:val="it-IT"/>
        </w:rPr>
        <w:t>Iscrizioni Enterprise e Contratti Open Value per l’intera organizzazione (perpetui e subscription):</w:t>
      </w:r>
    </w:p>
    <w:p w:rsidR="00A92422" w:rsidRPr="00D87B79" w:rsidRDefault="00A92422" w:rsidP="00A92422">
      <w:pPr>
        <w:pStyle w:val="Footnotedash"/>
        <w:numPr>
          <w:ilvl w:val="1"/>
          <w:numId w:val="78"/>
        </w:numPr>
        <w:spacing w:before="0"/>
        <w:ind w:left="1800"/>
        <w:rPr>
          <w:rFonts w:ascii="Tahoma" w:hAnsi="Tahoma" w:cs="Tahoma"/>
        </w:rPr>
      </w:pPr>
      <w:r w:rsidRPr="00D87B79">
        <w:rPr>
          <w:rFonts w:ascii="Tahoma" w:hAnsi="Tahoma" w:cs="Tahoma"/>
          <w:color w:val="000000"/>
          <w:sz w:val="18"/>
          <w:szCs w:val="18"/>
          <w:lang w:val="it-IT"/>
        </w:rPr>
        <w:t>Iscrizioni Enterprise Iniziali o Contratti Open Value (base installata):</w:t>
      </w:r>
      <w:r w:rsidRPr="00D87B79">
        <w:rPr>
          <w:rFonts w:ascii="Tahoma" w:hAnsi="Tahoma" w:cs="Tahoma"/>
          <w:color w:val="000000"/>
          <w:sz w:val="18"/>
          <w:szCs w:val="18"/>
        </w:rPr>
        <w:t xml:space="preserve"> </w:t>
      </w:r>
    </w:p>
    <w:p w:rsidR="00A92422" w:rsidRPr="00D87B79" w:rsidRDefault="00A92422" w:rsidP="00A92422">
      <w:pPr>
        <w:pStyle w:val="Footnotedash"/>
        <w:numPr>
          <w:ilvl w:val="1"/>
          <w:numId w:val="78"/>
        </w:numPr>
        <w:spacing w:before="0"/>
        <w:ind w:left="1800"/>
        <w:rPr>
          <w:rFonts w:ascii="Tahoma" w:hAnsi="Tahoma" w:cs="Tahoma"/>
        </w:rPr>
      </w:pPr>
      <w:r w:rsidRPr="00D87B79">
        <w:rPr>
          <w:rFonts w:ascii="Tahoma" w:hAnsi="Tahoma" w:cs="Tahoma"/>
          <w:color w:val="000000"/>
          <w:sz w:val="18"/>
          <w:szCs w:val="18"/>
          <w:lang w:val="it-IT"/>
        </w:rPr>
        <w:t>Acquistare l’Aggiornamento per Windows 8 Pro e Software Assurance per tutti i desktop qualificati della base installata. La “base installata” è costituita da tutti i desktop qualificati della società e delle consociate della società alla data di entrata in vigore dell’iscrizione o del</w:t>
      </w:r>
      <w:r>
        <w:rPr>
          <w:rFonts w:ascii="Tahoma" w:hAnsi="Tahoma" w:cs="Tahoma"/>
          <w:color w:val="000000"/>
          <w:sz w:val="18"/>
          <w:szCs w:val="18"/>
          <w:lang w:val="it-IT"/>
        </w:rPr>
        <w:t> </w:t>
      </w:r>
      <w:r w:rsidRPr="00D87B79">
        <w:rPr>
          <w:rFonts w:ascii="Tahoma" w:hAnsi="Tahoma" w:cs="Tahoma"/>
          <w:color w:val="000000"/>
          <w:sz w:val="18"/>
          <w:szCs w:val="18"/>
          <w:lang w:val="it-IT"/>
        </w:rPr>
        <w:t>contratto.</w:t>
      </w:r>
      <w:r w:rsidRPr="00D87B79">
        <w:rPr>
          <w:rFonts w:ascii="Tahoma" w:hAnsi="Tahoma" w:cs="Tahoma"/>
        </w:rPr>
        <w:t xml:space="preserve"> </w:t>
      </w:r>
      <w:r w:rsidRPr="00D87B79">
        <w:rPr>
          <w:rFonts w:ascii="Tahoma" w:hAnsi="Tahoma" w:cs="Tahoma"/>
          <w:color w:val="000000"/>
          <w:sz w:val="18"/>
          <w:lang w:val="it-IT"/>
        </w:rPr>
        <w:t>La società dovrà disporre della licenza per e avere installato uno dei sistemi operativi qualificanti indicati nella precedente tabella degli Aggiornamenti di Windows, nella colonna “Nuovo EA/OV-CW” su tutti i desktop qualificati della base installata su cui sarà eseguito il sistema operativo Windows.</w:t>
      </w:r>
    </w:p>
    <w:p w:rsidR="00A92422" w:rsidRPr="00D87B79" w:rsidRDefault="00A92422" w:rsidP="00A92422">
      <w:pPr>
        <w:pStyle w:val="Footnotedash"/>
        <w:numPr>
          <w:ilvl w:val="1"/>
          <w:numId w:val="78"/>
        </w:numPr>
        <w:spacing w:before="0"/>
        <w:ind w:left="1800"/>
        <w:rPr>
          <w:rFonts w:ascii="Tahoma" w:hAnsi="Tahoma" w:cs="Tahoma"/>
        </w:rPr>
      </w:pPr>
      <w:r w:rsidRPr="00D87B79">
        <w:rPr>
          <w:rFonts w:ascii="Tahoma" w:hAnsi="Tahoma" w:cs="Tahoma"/>
          <w:color w:val="000000"/>
          <w:sz w:val="18"/>
          <w:lang w:val="it-IT"/>
        </w:rPr>
        <w:lastRenderedPageBreak/>
        <w:t>Iscrizioni Enterprise Esistenti o Contratti Open Value (true-up e sostituzioni):</w:t>
      </w:r>
    </w:p>
    <w:p w:rsidR="00A92422" w:rsidRPr="004D1080" w:rsidRDefault="00A92422" w:rsidP="00A92422">
      <w:pPr>
        <w:pStyle w:val="Footnotedash"/>
        <w:numPr>
          <w:ilvl w:val="1"/>
          <w:numId w:val="78"/>
        </w:numPr>
        <w:spacing w:before="0"/>
        <w:ind w:left="1800"/>
        <w:rPr>
          <w:rFonts w:ascii="Tahoma" w:hAnsi="Tahoma" w:cs="Tahoma"/>
          <w:sz w:val="18"/>
          <w:szCs w:val="18"/>
        </w:rPr>
      </w:pPr>
      <w:r w:rsidRPr="004D1080">
        <w:rPr>
          <w:rFonts w:ascii="Tahoma" w:hAnsi="Tahoma" w:cs="Tahoma"/>
          <w:color w:val="000000"/>
          <w:sz w:val="18"/>
          <w:szCs w:val="18"/>
          <w:lang w:val="it-IT"/>
        </w:rPr>
        <w:t>Acquistare l'Aggiornamento per Windows 8 Pro e Software Assurance per tutti i nuovi desktop o dispositivi qualificati su cui verrà eseguito il sistema operativo Windows. La società dovrà avere ottenuto in licenza e installato su tali desktop e dispositivi qualificati, sia nuovi che sostitutivi, acquisiti da una fonte qualsiasi, tranne una fusione o acquisizione, uno dei sistemi operativi qualificanti indicati nella precedente tabella degli Aggiornamenti di Windows, nella colonna “EA/OV-CW Esistente”.</w:t>
      </w:r>
      <w:r w:rsidRPr="004D1080">
        <w:rPr>
          <w:rFonts w:ascii="Tahoma" w:hAnsi="Tahoma" w:cs="Tahoma"/>
          <w:sz w:val="18"/>
          <w:szCs w:val="18"/>
        </w:rPr>
        <w:t xml:space="preserve"> </w:t>
      </w:r>
      <w:r w:rsidRPr="004D1080">
        <w:rPr>
          <w:rFonts w:ascii="Tahoma" w:hAnsi="Tahoma" w:cs="Tahoma"/>
          <w:color w:val="000000"/>
          <w:sz w:val="18"/>
          <w:szCs w:val="18"/>
          <w:lang w:val="it-IT"/>
        </w:rPr>
        <w:t>La società dovrà avere ottenuto in licenza e installato su tali desktop qualificati, sia nuovi che sostitutivi, acquisiti tramite una fusione o acquisizione, uno dei sistemi operativi qualificanti indicati nella precedente tabella degli Aggiornamenti di Windows, nella colonna “Nuovo EA/OV-CW”.</w:t>
      </w:r>
    </w:p>
    <w:p w:rsidR="00A92422" w:rsidRPr="004D1080" w:rsidRDefault="00A92422" w:rsidP="00A92422">
      <w:pPr>
        <w:pStyle w:val="FootnoteBulletLevel2"/>
        <w:numPr>
          <w:ilvl w:val="0"/>
          <w:numId w:val="74"/>
        </w:numPr>
        <w:adjustRightInd/>
        <w:spacing w:before="0" w:after="60"/>
        <w:ind w:left="1440"/>
        <w:textAlignment w:val="auto"/>
        <w:rPr>
          <w:rFonts w:ascii="Tahoma" w:hAnsi="Tahoma" w:cs="Tahoma"/>
          <w:sz w:val="18"/>
          <w:szCs w:val="18"/>
        </w:rPr>
      </w:pPr>
      <w:r w:rsidRPr="004D1080">
        <w:rPr>
          <w:rFonts w:ascii="Tahoma" w:hAnsi="Tahoma" w:cs="Tahoma"/>
          <w:sz w:val="18"/>
          <w:szCs w:val="18"/>
          <w:lang w:val="it-IT"/>
        </w:rPr>
        <w:t>Le società con Contratti Campus e School e Open Value Subscription - Education Solutions:</w:t>
      </w:r>
      <w:r w:rsidRPr="004D1080">
        <w:rPr>
          <w:rFonts w:ascii="Tahoma" w:hAnsi="Tahoma" w:cs="Tahoma"/>
          <w:sz w:val="18"/>
          <w:szCs w:val="18"/>
        </w:rPr>
        <w:t xml:space="preserve"> </w:t>
      </w:r>
    </w:p>
    <w:p w:rsidR="00A92422" w:rsidRPr="004D1080" w:rsidRDefault="00A92422" w:rsidP="00A92422">
      <w:pPr>
        <w:pStyle w:val="Footnotedash"/>
        <w:numPr>
          <w:ilvl w:val="1"/>
          <w:numId w:val="78"/>
        </w:numPr>
        <w:spacing w:before="0"/>
        <w:ind w:left="1800"/>
        <w:rPr>
          <w:rFonts w:ascii="Tahoma" w:hAnsi="Tahoma" w:cs="Tahoma"/>
          <w:sz w:val="18"/>
          <w:szCs w:val="18"/>
        </w:rPr>
      </w:pPr>
      <w:r w:rsidRPr="004D1080">
        <w:rPr>
          <w:rFonts w:ascii="Tahoma" w:hAnsi="Tahoma" w:cs="Tahoma"/>
          <w:color w:val="000000"/>
          <w:sz w:val="18"/>
          <w:szCs w:val="18"/>
          <w:lang w:val="it-IT"/>
        </w:rPr>
        <w:t>Il sistema operativo Windows è concesso in licenza esclusivamente come aggiornamento. Di conseguenza, le società che intendono eseguire il sistema operativo Windows devono prima avere ottenuto in licenza e installato un sistema operativo qualificante sul loro desktop.</w:t>
      </w:r>
      <w:r w:rsidRPr="004D1080">
        <w:rPr>
          <w:rFonts w:ascii="Tahoma" w:hAnsi="Tahoma" w:cs="Tahoma"/>
          <w:color w:val="000000"/>
          <w:sz w:val="18"/>
          <w:szCs w:val="18"/>
        </w:rPr>
        <w:t xml:space="preserve"> </w:t>
      </w:r>
      <w:r w:rsidRPr="004D1080">
        <w:rPr>
          <w:rFonts w:ascii="Tahoma" w:hAnsi="Tahoma" w:cs="Tahoma"/>
          <w:color w:val="000000"/>
          <w:sz w:val="18"/>
          <w:szCs w:val="18"/>
          <w:lang w:val="it-IT"/>
        </w:rPr>
        <w:t>Per essere qualificante, il sistema operativo deve essere inserito nell’elenco dei sistemi operativi qualificanti indicati nella tabella degli Aggiornamenti di Windows nella colonna “Academic”.</w:t>
      </w:r>
      <w:r w:rsidRPr="004D1080">
        <w:rPr>
          <w:rFonts w:ascii="Tahoma" w:hAnsi="Tahoma" w:cs="Tahoma"/>
          <w:color w:val="000000"/>
          <w:sz w:val="18"/>
          <w:szCs w:val="18"/>
        </w:rPr>
        <w:t xml:space="preserve"> </w:t>
      </w:r>
    </w:p>
    <w:p w:rsidR="00A92422" w:rsidRPr="004D1080" w:rsidRDefault="00A92422" w:rsidP="00A92422">
      <w:pPr>
        <w:pStyle w:val="Footnotedash"/>
        <w:numPr>
          <w:ilvl w:val="1"/>
          <w:numId w:val="78"/>
        </w:numPr>
        <w:spacing w:before="0"/>
        <w:ind w:left="1800"/>
        <w:rPr>
          <w:rFonts w:ascii="Tahoma" w:hAnsi="Tahoma" w:cs="Tahoma"/>
          <w:sz w:val="18"/>
          <w:szCs w:val="18"/>
        </w:rPr>
      </w:pPr>
      <w:r w:rsidRPr="004D1080">
        <w:rPr>
          <w:rFonts w:ascii="Tahoma" w:hAnsi="Tahoma" w:cs="Tahoma"/>
          <w:color w:val="000000"/>
          <w:sz w:val="18"/>
          <w:szCs w:val="18"/>
          <w:lang w:val="it-IT"/>
        </w:rPr>
        <w:t>Nonostante eventuali disposizioni contrarie dei Diritti di Utilizzo del Prodotto, agli istituti che scelgono l’Opzione per Studente viene concessa una sola istanza di Windows To Go per ogni dispositivo con licenza in dotazione a uno studente.</w:t>
      </w:r>
      <w:r w:rsidRPr="004D1080">
        <w:rPr>
          <w:rFonts w:ascii="Tahoma" w:hAnsi="Tahoma" w:cs="Tahoma"/>
          <w:sz w:val="18"/>
          <w:szCs w:val="18"/>
        </w:rPr>
        <w:t xml:space="preserve"> </w:t>
      </w:r>
      <w:r w:rsidRPr="004D1080">
        <w:rPr>
          <w:rFonts w:ascii="Tahoma" w:hAnsi="Tahoma" w:cs="Tahoma"/>
          <w:sz w:val="18"/>
          <w:szCs w:val="18"/>
          <w:lang w:val="it-IT"/>
        </w:rPr>
        <w:t>Gli istituti dovranno verificare che gli studenti che non sono più iscritti all’istituto cessino di utilizzare Windows To Go e restituiscano all’istituto i dispositivi USB in cui è installata un’istanza di Windows To Go. Gli istituti che scelgono l'Opzione per Studente non potranno installare Windows Enterprise sui dispositivi di proprietà degli studenti.</w:t>
      </w:r>
    </w:p>
    <w:p w:rsidR="00A92422" w:rsidRPr="00D87B79" w:rsidRDefault="00A92422" w:rsidP="00A92422">
      <w:pPr>
        <w:pStyle w:val="Footnotedash"/>
        <w:tabs>
          <w:tab w:val="clear" w:pos="1620"/>
        </w:tabs>
        <w:spacing w:before="0"/>
        <w:ind w:left="0" w:firstLine="0"/>
        <w:rPr>
          <w:rFonts w:ascii="Tahoma" w:hAnsi="Tahoma" w:cs="Tahoma"/>
        </w:rPr>
      </w:pPr>
    </w:p>
    <w:p w:rsidR="00A92422" w:rsidRPr="00D87B79" w:rsidRDefault="00A92422" w:rsidP="00A92422">
      <w:pPr>
        <w:pStyle w:val="FootnoteBulletLevel1"/>
        <w:tabs>
          <w:tab w:val="clear" w:pos="900"/>
        </w:tabs>
        <w:adjustRightInd/>
        <w:spacing w:before="0" w:after="60"/>
        <w:ind w:left="720" w:firstLine="0"/>
        <w:textAlignment w:val="auto"/>
        <w:rPr>
          <w:rFonts w:ascii="Tahoma" w:hAnsi="Tahoma" w:cs="Tahoma"/>
        </w:rPr>
      </w:pPr>
      <w:r w:rsidRPr="00D87B79">
        <w:rPr>
          <w:rFonts w:ascii="Tahoma" w:hAnsi="Tahoma" w:cs="Tahoma"/>
          <w:b/>
          <w:sz w:val="18"/>
          <w:lang w:val="it-IT"/>
        </w:rPr>
        <w:t>Microsoft Windows XP Professional N (non contiene Windows Media Player)</w:t>
      </w:r>
    </w:p>
    <w:p w:rsidR="00A92422" w:rsidRPr="00D87B79" w:rsidRDefault="00A92422" w:rsidP="00A92422">
      <w:pPr>
        <w:pStyle w:val="FootnoteBulletLevel2"/>
        <w:tabs>
          <w:tab w:val="clear" w:pos="1260"/>
          <w:tab w:val="num" w:pos="900"/>
        </w:tabs>
        <w:spacing w:before="0"/>
        <w:ind w:left="720" w:firstLine="0"/>
        <w:rPr>
          <w:rFonts w:ascii="Tahoma" w:hAnsi="Tahoma" w:cs="Tahoma"/>
        </w:rPr>
      </w:pPr>
      <w:r w:rsidRPr="00D87B79">
        <w:rPr>
          <w:rFonts w:ascii="Tahoma" w:hAnsi="Tahoma" w:cs="Tahoma"/>
          <w:sz w:val="18"/>
          <w:u w:val="single"/>
          <w:lang w:val="it-IT"/>
        </w:rPr>
        <w:t>Requisiti di Idoneità</w:t>
      </w:r>
      <w:r w:rsidRPr="008A6995">
        <w:rPr>
          <w:rFonts w:ascii="Tahoma" w:hAnsi="Tahoma" w:cs="Tahoma"/>
          <w:sz w:val="18"/>
          <w:lang w:val="it-IT"/>
        </w:rPr>
        <w:t xml:space="preserve">: </w:t>
      </w:r>
      <w:r w:rsidRPr="00D87B79">
        <w:rPr>
          <w:rFonts w:ascii="Tahoma" w:hAnsi="Tahoma" w:cs="Tahoma"/>
          <w:vanish/>
          <w:sz w:val="18"/>
          <w:u w:val="single"/>
          <w:lang w:val="it-IT"/>
        </w:rPr>
        <w:br/>
      </w:r>
      <w:r w:rsidRPr="00D87B79">
        <w:rPr>
          <w:rFonts w:ascii="Tahoma" w:hAnsi="Tahoma" w:cs="Tahoma"/>
          <w:sz w:val="18"/>
          <w:lang w:val="it-IT"/>
        </w:rPr>
        <w:t>Le società che hanno stipulato un contratto Volume License e che soddisfano tutti i criteri che seguono sono</w:t>
      </w:r>
      <w:r>
        <w:rPr>
          <w:rFonts w:ascii="Tahoma" w:hAnsi="Tahoma" w:cs="Tahoma"/>
          <w:sz w:val="18"/>
          <w:lang w:val="it-IT"/>
        </w:rPr>
        <w:t> </w:t>
      </w:r>
      <w:r w:rsidRPr="00D87B79">
        <w:rPr>
          <w:rFonts w:ascii="Tahoma" w:hAnsi="Tahoma" w:cs="Tahoma"/>
          <w:sz w:val="18"/>
          <w:lang w:val="it-IT"/>
        </w:rPr>
        <w:t>idonee ad acquistare il supporto per Microsoft Windows XP Professional N.</w:t>
      </w:r>
    </w:p>
    <w:p w:rsidR="00A92422" w:rsidRPr="0016508D" w:rsidRDefault="00A92422" w:rsidP="00A92422">
      <w:pPr>
        <w:pStyle w:val="FootnoteBulletLevel2"/>
        <w:tabs>
          <w:tab w:val="clear" w:pos="1260"/>
          <w:tab w:val="num" w:pos="900"/>
        </w:tabs>
        <w:spacing w:before="0"/>
        <w:ind w:left="720" w:firstLine="0"/>
        <w:rPr>
          <w:rFonts w:ascii="Tahoma" w:hAnsi="Tahoma" w:cs="Tahoma"/>
          <w:sz w:val="18"/>
          <w:szCs w:val="18"/>
        </w:rPr>
      </w:pPr>
    </w:p>
    <w:p w:rsidR="00A92422" w:rsidRPr="00D87B79" w:rsidRDefault="00A92422" w:rsidP="00A92422">
      <w:pPr>
        <w:pStyle w:val="Footnotedash"/>
        <w:tabs>
          <w:tab w:val="clear" w:pos="1620"/>
          <w:tab w:val="num" w:pos="2160"/>
        </w:tabs>
        <w:spacing w:before="0" w:after="0"/>
        <w:ind w:left="720" w:firstLine="7"/>
        <w:rPr>
          <w:rFonts w:ascii="Tahoma" w:hAnsi="Tahoma" w:cs="Tahoma"/>
        </w:rPr>
      </w:pPr>
      <w:r w:rsidRPr="00D87B79">
        <w:rPr>
          <w:rFonts w:ascii="Tahoma" w:hAnsi="Tahoma" w:cs="Tahoma"/>
          <w:sz w:val="18"/>
          <w:szCs w:val="18"/>
          <w:lang w:val="it-IT"/>
        </w:rPr>
        <w:t>Devono disporre di almeno uno dei seguenti contratti o iscrizioni attivi con Microsoft Ireland Operations Ltd:</w:t>
      </w:r>
      <w:r w:rsidRPr="00D87B79">
        <w:rPr>
          <w:rFonts w:ascii="Tahoma" w:hAnsi="Tahoma" w:cs="Tahoma"/>
          <w:sz w:val="18"/>
          <w:szCs w:val="18"/>
        </w:rPr>
        <w:t xml:space="preserve"> </w:t>
      </w:r>
    </w:p>
    <w:p w:rsidR="00A92422" w:rsidRPr="0016508D" w:rsidRDefault="00A92422" w:rsidP="00A92422">
      <w:pPr>
        <w:pStyle w:val="Footnotedash"/>
        <w:tabs>
          <w:tab w:val="clear" w:pos="1620"/>
          <w:tab w:val="num" w:pos="2160"/>
        </w:tabs>
        <w:spacing w:before="0" w:after="0"/>
        <w:ind w:left="720" w:firstLine="7"/>
        <w:rPr>
          <w:rFonts w:ascii="Tahoma" w:hAnsi="Tahoma" w:cs="Tahoma"/>
          <w:sz w:val="18"/>
          <w:szCs w:val="18"/>
        </w:rPr>
      </w:pPr>
    </w:p>
    <w:p w:rsidR="00A92422" w:rsidRPr="0077337A" w:rsidRDefault="00A92422" w:rsidP="00A92422">
      <w:pPr>
        <w:pStyle w:val="Footnotedash"/>
        <w:numPr>
          <w:ilvl w:val="0"/>
          <w:numId w:val="79"/>
        </w:numPr>
        <w:adjustRightInd/>
        <w:spacing w:before="0"/>
        <w:textAlignment w:val="auto"/>
        <w:rPr>
          <w:rFonts w:ascii="Tahoma" w:hAnsi="Tahoma" w:cs="Tahoma"/>
          <w:sz w:val="18"/>
          <w:szCs w:val="18"/>
        </w:rPr>
      </w:pPr>
      <w:r w:rsidRPr="0077337A">
        <w:rPr>
          <w:rFonts w:ascii="Tahoma" w:hAnsi="Tahoma" w:cs="Tahoma"/>
          <w:sz w:val="18"/>
          <w:szCs w:val="18"/>
          <w:lang w:val="it-IT"/>
        </w:rPr>
        <w:t>Iscrizione Select, Enterprise o Enterprise Subscription</w:t>
      </w:r>
    </w:p>
    <w:p w:rsidR="00A92422" w:rsidRPr="0077337A" w:rsidRDefault="00A92422" w:rsidP="00A92422">
      <w:pPr>
        <w:pStyle w:val="Footnotedash"/>
        <w:numPr>
          <w:ilvl w:val="0"/>
          <w:numId w:val="79"/>
        </w:numPr>
        <w:adjustRightInd/>
        <w:spacing w:before="0"/>
        <w:textAlignment w:val="auto"/>
        <w:rPr>
          <w:rFonts w:ascii="Tahoma" w:hAnsi="Tahoma" w:cs="Tahoma"/>
          <w:sz w:val="18"/>
          <w:szCs w:val="18"/>
        </w:rPr>
      </w:pPr>
      <w:r w:rsidRPr="0077337A">
        <w:rPr>
          <w:rFonts w:ascii="Tahoma" w:hAnsi="Tahoma" w:cs="Tahoma"/>
          <w:sz w:val="18"/>
          <w:szCs w:val="18"/>
          <w:lang w:val="it-IT"/>
        </w:rPr>
        <w:t>Contratti Open License*, Open Value, Campus e School, Open Value Subscription - Education Solutions</w:t>
      </w:r>
      <w:r w:rsidRPr="0077337A">
        <w:rPr>
          <w:rFonts w:ascii="Tahoma" w:hAnsi="Tahoma" w:cs="Tahoma"/>
          <w:sz w:val="18"/>
          <w:szCs w:val="18"/>
        </w:rPr>
        <w:t xml:space="preserve"> </w:t>
      </w:r>
    </w:p>
    <w:p w:rsidR="00A92422" w:rsidRPr="0077337A" w:rsidRDefault="00A92422" w:rsidP="00A92422">
      <w:pPr>
        <w:pStyle w:val="Footnotedash"/>
        <w:spacing w:before="0"/>
        <w:ind w:left="1440" w:firstLine="0"/>
        <w:rPr>
          <w:rFonts w:ascii="Tahoma" w:hAnsi="Tahoma" w:cs="Tahoma"/>
          <w:sz w:val="18"/>
          <w:szCs w:val="18"/>
        </w:rPr>
      </w:pPr>
      <w:r w:rsidRPr="0077337A">
        <w:rPr>
          <w:rFonts w:ascii="Tahoma" w:hAnsi="Tahoma" w:cs="Tahoma"/>
          <w:sz w:val="18"/>
          <w:szCs w:val="18"/>
          <w:lang w:val="it-IT"/>
        </w:rPr>
        <w:t>(*Ai fini del Contratto Open License, un “contratto attivo” è un contratto associato a un Numero di Autorizzazione Open License attivo).</w:t>
      </w:r>
    </w:p>
    <w:p w:rsidR="00A92422" w:rsidRPr="0016508D" w:rsidRDefault="00A92422" w:rsidP="00A92422">
      <w:pPr>
        <w:pStyle w:val="Footnotedash"/>
        <w:spacing w:before="0" w:after="0"/>
        <w:ind w:left="1440" w:firstLine="0"/>
        <w:rPr>
          <w:rFonts w:ascii="Tahoma" w:hAnsi="Tahoma" w:cs="Tahoma"/>
          <w:sz w:val="18"/>
          <w:szCs w:val="18"/>
        </w:rPr>
      </w:pPr>
    </w:p>
    <w:p w:rsidR="00A92422" w:rsidRPr="0077337A" w:rsidRDefault="00A92422" w:rsidP="00A92422">
      <w:pPr>
        <w:pStyle w:val="Footnotedash"/>
        <w:tabs>
          <w:tab w:val="left" w:pos="1620"/>
        </w:tabs>
        <w:spacing w:before="0" w:after="0"/>
        <w:ind w:left="720" w:firstLine="7"/>
        <w:rPr>
          <w:rFonts w:ascii="Tahoma" w:hAnsi="Tahoma" w:cs="Tahoma"/>
          <w:sz w:val="18"/>
          <w:szCs w:val="18"/>
        </w:rPr>
      </w:pPr>
      <w:r w:rsidRPr="0077337A">
        <w:rPr>
          <w:rFonts w:ascii="Tahoma" w:hAnsi="Tahoma" w:cs="Tahoma"/>
          <w:sz w:val="18"/>
          <w:szCs w:val="18"/>
          <w:lang w:val="it-IT"/>
        </w:rPr>
        <w:t>Devono disporre di una copertura Software Assurance attiva per le licenze di aggiornamento per il Sistema Operativo Desktop Windows o per Windows XP Professional acquistate a partire dalla data del 2 febbraio 2005.</w:t>
      </w:r>
    </w:p>
    <w:p w:rsidR="00A92422" w:rsidRPr="0016508D" w:rsidRDefault="00A92422" w:rsidP="00A92422">
      <w:pPr>
        <w:pStyle w:val="Footnotedash"/>
        <w:tabs>
          <w:tab w:val="left" w:pos="1620"/>
        </w:tabs>
        <w:spacing w:before="0" w:after="0"/>
        <w:ind w:left="720" w:firstLine="7"/>
        <w:rPr>
          <w:rFonts w:ascii="Tahoma" w:hAnsi="Tahoma" w:cs="Tahoma"/>
          <w:sz w:val="18"/>
          <w:szCs w:val="18"/>
        </w:rPr>
      </w:pPr>
    </w:p>
    <w:p w:rsidR="00A92422" w:rsidRPr="0077337A" w:rsidRDefault="00A92422" w:rsidP="00A92422">
      <w:pPr>
        <w:pStyle w:val="Footnotedash"/>
        <w:tabs>
          <w:tab w:val="left" w:pos="1620"/>
        </w:tabs>
        <w:spacing w:before="0" w:after="0"/>
        <w:ind w:left="720" w:firstLine="7"/>
        <w:rPr>
          <w:rFonts w:ascii="Tahoma" w:hAnsi="Tahoma" w:cs="Tahoma"/>
          <w:sz w:val="18"/>
          <w:szCs w:val="18"/>
        </w:rPr>
      </w:pPr>
      <w:r w:rsidRPr="0077337A">
        <w:rPr>
          <w:rFonts w:ascii="Tahoma" w:hAnsi="Tahoma" w:cs="Tahoma"/>
          <w:sz w:val="18"/>
          <w:szCs w:val="18"/>
          <w:lang w:val="it-IT"/>
        </w:rPr>
        <w:t>Devono avere sede in a) uno dei paesi dell’Unione Europea (UE), b) in uno stato membro dell’Associazione Europea per il Libero Scambio (EFTA), c) in Bulgaria, in Croazia, in Romania o in Svizzera.</w:t>
      </w:r>
      <w:r w:rsidRPr="0077337A">
        <w:rPr>
          <w:rFonts w:ascii="Tahoma" w:hAnsi="Tahoma" w:cs="Tahoma"/>
          <w:sz w:val="18"/>
          <w:szCs w:val="18"/>
        </w:rPr>
        <w:t xml:space="preserve"> </w:t>
      </w:r>
    </w:p>
    <w:p w:rsidR="00A92422" w:rsidRPr="0016508D" w:rsidRDefault="00A92422" w:rsidP="00A92422">
      <w:pPr>
        <w:pStyle w:val="FootnoteBulletLevel1"/>
        <w:tabs>
          <w:tab w:val="clear" w:pos="900"/>
        </w:tabs>
        <w:adjustRightInd/>
        <w:spacing w:before="0" w:after="0"/>
        <w:ind w:left="0" w:firstLine="0"/>
        <w:textAlignment w:val="auto"/>
        <w:rPr>
          <w:rFonts w:ascii="Tahoma" w:hAnsi="Tahoma" w:cs="Tahoma"/>
          <w:sz w:val="18"/>
          <w:szCs w:val="18"/>
        </w:rPr>
      </w:pPr>
    </w:p>
    <w:p w:rsidR="00A92422" w:rsidRPr="00D84D2F" w:rsidRDefault="00A92422" w:rsidP="00A92422">
      <w:pPr>
        <w:pStyle w:val="FootnoteBulletLevel1"/>
        <w:tabs>
          <w:tab w:val="clear" w:pos="900"/>
        </w:tabs>
        <w:adjustRightInd/>
        <w:spacing w:before="0" w:after="60"/>
        <w:ind w:left="720" w:firstLine="0"/>
        <w:textAlignment w:val="auto"/>
        <w:rPr>
          <w:rFonts w:ascii="Tahoma" w:hAnsi="Tahoma" w:cs="Tahoma"/>
          <w:sz w:val="18"/>
          <w:szCs w:val="18"/>
        </w:rPr>
      </w:pPr>
      <w:r w:rsidRPr="00D84D2F">
        <w:rPr>
          <w:rFonts w:ascii="Tahoma" w:hAnsi="Tahoma" w:cs="Tahoma"/>
          <w:b/>
          <w:sz w:val="18"/>
          <w:szCs w:val="18"/>
          <w:lang w:val="it-IT"/>
        </w:rPr>
        <w:t>Windows XP Professional</w:t>
      </w:r>
    </w:p>
    <w:p w:rsidR="00A92422" w:rsidRPr="00D84D2F" w:rsidRDefault="00A92422" w:rsidP="00A92422">
      <w:pPr>
        <w:pStyle w:val="FootnoteBulletLevel2"/>
        <w:spacing w:before="0"/>
        <w:ind w:left="720" w:firstLine="0"/>
        <w:rPr>
          <w:rFonts w:ascii="Tahoma" w:hAnsi="Tahoma" w:cs="Tahoma"/>
          <w:sz w:val="18"/>
          <w:szCs w:val="18"/>
        </w:rPr>
      </w:pPr>
      <w:r w:rsidRPr="00D84D2F">
        <w:rPr>
          <w:rFonts w:ascii="Tahoma" w:hAnsi="Tahoma" w:cs="Tahoma"/>
          <w:sz w:val="18"/>
          <w:szCs w:val="18"/>
          <w:lang w:val="it-IT"/>
        </w:rPr>
        <w:t>Limitazioni all’utilizzo di Windows XP Professional in Corea.</w:t>
      </w:r>
    </w:p>
    <w:p w:rsidR="00A92422" w:rsidRPr="00D84D2F" w:rsidRDefault="00A92422" w:rsidP="00A92422">
      <w:pPr>
        <w:pStyle w:val="FootnoteBulletLevel2"/>
        <w:spacing w:before="0"/>
        <w:ind w:left="720" w:firstLine="0"/>
        <w:rPr>
          <w:rFonts w:ascii="Tahoma" w:hAnsi="Tahoma" w:cs="Tahoma"/>
          <w:sz w:val="18"/>
          <w:szCs w:val="18"/>
        </w:rPr>
      </w:pPr>
      <w:r w:rsidRPr="00D84D2F">
        <w:rPr>
          <w:rFonts w:ascii="Tahoma" w:hAnsi="Tahoma" w:cs="Tahoma"/>
          <w:sz w:val="18"/>
          <w:szCs w:val="18"/>
          <w:lang w:val="it-IT"/>
        </w:rPr>
        <w:t>Tali limitazioni si applicano anche all’utilizzo di Windows XP Professional in conformità ai diritti di downgrade.</w:t>
      </w:r>
    </w:p>
    <w:p w:rsidR="00A92422" w:rsidRPr="00D84D2F" w:rsidRDefault="00A92422" w:rsidP="00A92422">
      <w:pPr>
        <w:pStyle w:val="FootnoteBulletLevel2"/>
        <w:spacing w:before="0"/>
        <w:ind w:left="720" w:firstLine="0"/>
        <w:rPr>
          <w:rFonts w:ascii="Tahoma" w:hAnsi="Tahoma" w:cs="Tahoma"/>
          <w:sz w:val="18"/>
          <w:szCs w:val="18"/>
        </w:rPr>
      </w:pPr>
    </w:p>
    <w:p w:rsidR="00A92422" w:rsidRPr="00D84D2F" w:rsidRDefault="00A92422" w:rsidP="00A92422">
      <w:pPr>
        <w:pStyle w:val="Footnotedash"/>
        <w:numPr>
          <w:ilvl w:val="0"/>
          <w:numId w:val="79"/>
        </w:numPr>
        <w:adjustRightInd/>
        <w:spacing w:before="0"/>
        <w:textAlignment w:val="auto"/>
        <w:rPr>
          <w:rFonts w:ascii="Tahoma" w:hAnsi="Tahoma" w:cs="Tahoma"/>
          <w:sz w:val="18"/>
          <w:szCs w:val="18"/>
        </w:rPr>
      </w:pPr>
      <w:r w:rsidRPr="00D84D2F">
        <w:rPr>
          <w:rFonts w:ascii="Tahoma" w:hAnsi="Tahoma" w:cs="Tahoma"/>
          <w:sz w:val="18"/>
          <w:szCs w:val="18"/>
          <w:lang w:val="it-IT"/>
        </w:rPr>
        <w:t>La KFTC (Korean Fair Trade Commission) prevede alcune limitazioni relative alla possibilità per</w:t>
      </w:r>
      <w:r>
        <w:rPr>
          <w:rFonts w:ascii="Tahoma" w:hAnsi="Tahoma" w:cs="Tahoma"/>
          <w:sz w:val="18"/>
          <w:szCs w:val="18"/>
          <w:lang w:val="it-IT"/>
        </w:rPr>
        <w:t> </w:t>
      </w:r>
      <w:r w:rsidRPr="00D84D2F">
        <w:rPr>
          <w:rFonts w:ascii="Tahoma" w:hAnsi="Tahoma" w:cs="Tahoma"/>
          <w:sz w:val="18"/>
          <w:szCs w:val="18"/>
          <w:lang w:val="it-IT"/>
        </w:rPr>
        <w:t>le</w:t>
      </w:r>
      <w:r>
        <w:rPr>
          <w:rFonts w:ascii="Tahoma" w:hAnsi="Tahoma" w:cs="Tahoma"/>
          <w:sz w:val="18"/>
          <w:szCs w:val="18"/>
          <w:lang w:val="it-IT"/>
        </w:rPr>
        <w:t> </w:t>
      </w:r>
      <w:r w:rsidRPr="00D84D2F">
        <w:rPr>
          <w:rFonts w:ascii="Tahoma" w:hAnsi="Tahoma" w:cs="Tahoma"/>
          <w:sz w:val="18"/>
          <w:szCs w:val="18"/>
          <w:lang w:val="it-IT"/>
        </w:rPr>
        <w:t>società che abbiano stipulato contratti Volume License e le loro consociate di distribuire la</w:t>
      </w:r>
      <w:r>
        <w:rPr>
          <w:rFonts w:ascii="Tahoma" w:hAnsi="Tahoma" w:cs="Tahoma"/>
          <w:sz w:val="18"/>
          <w:szCs w:val="18"/>
          <w:lang w:val="it-IT"/>
        </w:rPr>
        <w:t> </w:t>
      </w:r>
      <w:r w:rsidRPr="00D84D2F">
        <w:rPr>
          <w:rFonts w:ascii="Tahoma" w:hAnsi="Tahoma" w:cs="Tahoma"/>
          <w:sz w:val="18"/>
          <w:szCs w:val="18"/>
          <w:lang w:val="it-IT"/>
        </w:rPr>
        <w:t>versione in lingua coreana di Windows XP Professional per utilizzarla in Corea.</w:t>
      </w:r>
      <w:r w:rsidRPr="00D84D2F">
        <w:rPr>
          <w:rFonts w:ascii="Tahoma" w:hAnsi="Tahoma" w:cs="Tahoma"/>
          <w:sz w:val="18"/>
          <w:szCs w:val="18"/>
        </w:rPr>
        <w:t xml:space="preserve"> </w:t>
      </w:r>
    </w:p>
    <w:p w:rsidR="00A92422" w:rsidRPr="00D84D2F" w:rsidRDefault="00A92422" w:rsidP="00A92422">
      <w:pPr>
        <w:pStyle w:val="Footnotedash"/>
        <w:numPr>
          <w:ilvl w:val="0"/>
          <w:numId w:val="79"/>
        </w:numPr>
        <w:adjustRightInd/>
        <w:spacing w:before="0"/>
        <w:textAlignment w:val="auto"/>
        <w:rPr>
          <w:rFonts w:ascii="Tahoma" w:hAnsi="Tahoma" w:cs="Tahoma"/>
          <w:sz w:val="18"/>
          <w:szCs w:val="18"/>
        </w:rPr>
      </w:pPr>
      <w:r w:rsidRPr="00D84D2F">
        <w:rPr>
          <w:rFonts w:ascii="Tahoma" w:hAnsi="Tahoma" w:cs="Tahoma"/>
          <w:sz w:val="18"/>
          <w:szCs w:val="18"/>
          <w:lang w:val="it-IT"/>
        </w:rPr>
        <w:t>Tali limitazioni non si applicano alle licenze acquistate dalle società nella versione in lingua coreana di Windows XP Professional prima del 24 agosto 2006.</w:t>
      </w:r>
      <w:r w:rsidRPr="00D84D2F">
        <w:rPr>
          <w:rFonts w:ascii="Tahoma" w:hAnsi="Tahoma" w:cs="Tahoma"/>
          <w:sz w:val="18"/>
          <w:szCs w:val="18"/>
        </w:rPr>
        <w:t xml:space="preserve"> </w:t>
      </w:r>
    </w:p>
    <w:p w:rsidR="00A92422" w:rsidRPr="00D84D2F" w:rsidRDefault="00A92422" w:rsidP="00A92422">
      <w:pPr>
        <w:pStyle w:val="Footnotedash"/>
        <w:numPr>
          <w:ilvl w:val="0"/>
          <w:numId w:val="79"/>
        </w:numPr>
        <w:adjustRightInd/>
        <w:spacing w:before="0"/>
        <w:textAlignment w:val="auto"/>
        <w:rPr>
          <w:rFonts w:ascii="Tahoma" w:hAnsi="Tahoma" w:cs="Tahoma"/>
          <w:sz w:val="18"/>
          <w:szCs w:val="18"/>
        </w:rPr>
      </w:pPr>
      <w:r w:rsidRPr="00D84D2F">
        <w:rPr>
          <w:rFonts w:ascii="Tahoma" w:hAnsi="Tahoma" w:cs="Tahoma"/>
          <w:sz w:val="18"/>
          <w:szCs w:val="18"/>
          <w:lang w:val="it-IT"/>
        </w:rPr>
        <w:t>Tali limitazioni non si applicano neppure alle società multinazionali la cui sede sia al di fuori della Corea e che utilizzano un’unica immagine del software.</w:t>
      </w:r>
    </w:p>
    <w:p w:rsidR="00A92422" w:rsidRPr="00D84D2F" w:rsidRDefault="00A92422" w:rsidP="00A92422">
      <w:pPr>
        <w:pStyle w:val="Footnotedash"/>
        <w:numPr>
          <w:ilvl w:val="0"/>
          <w:numId w:val="79"/>
        </w:numPr>
        <w:adjustRightInd/>
        <w:spacing w:before="0"/>
        <w:textAlignment w:val="auto"/>
        <w:rPr>
          <w:rFonts w:ascii="Tahoma" w:hAnsi="Tahoma" w:cs="Tahoma"/>
          <w:sz w:val="18"/>
          <w:szCs w:val="18"/>
        </w:rPr>
      </w:pPr>
      <w:r w:rsidRPr="00D84D2F">
        <w:rPr>
          <w:rFonts w:ascii="Tahoma" w:hAnsi="Tahoma" w:cs="Tahoma"/>
          <w:sz w:val="18"/>
          <w:szCs w:val="18"/>
          <w:lang w:val="it-IT"/>
        </w:rPr>
        <w:lastRenderedPageBreak/>
        <w:t>Tali limitazioni non si applicano alle società che abbiano stipulato contratti in vigore al 23 agosto 2006 e che, in circostanze eccezionali, utilizzino un’unica immagine del software in via continuativa.</w:t>
      </w:r>
    </w:p>
    <w:p w:rsidR="00A92422" w:rsidRPr="00D84D2F" w:rsidRDefault="00A92422" w:rsidP="00A92422">
      <w:pPr>
        <w:pStyle w:val="Footnotedash"/>
        <w:numPr>
          <w:ilvl w:val="0"/>
          <w:numId w:val="79"/>
        </w:numPr>
        <w:adjustRightInd/>
        <w:spacing w:before="0"/>
        <w:textAlignment w:val="auto"/>
        <w:rPr>
          <w:rFonts w:ascii="Tahoma" w:hAnsi="Tahoma" w:cs="Tahoma"/>
          <w:sz w:val="18"/>
          <w:szCs w:val="18"/>
        </w:rPr>
      </w:pPr>
      <w:r w:rsidRPr="00D84D2F">
        <w:rPr>
          <w:rFonts w:ascii="Tahoma" w:hAnsi="Tahoma" w:cs="Tahoma"/>
          <w:sz w:val="18"/>
          <w:szCs w:val="18"/>
          <w:lang w:val="it-IT"/>
        </w:rPr>
        <w:t>La KFTC non ha imposto limitazioni relative all’utilizzo delle versioni in lingue diverse dal coreano.</w:t>
      </w:r>
      <w:r w:rsidRPr="00D84D2F">
        <w:rPr>
          <w:rFonts w:ascii="Tahoma" w:hAnsi="Tahoma" w:cs="Tahoma"/>
          <w:sz w:val="18"/>
          <w:szCs w:val="18"/>
        </w:rPr>
        <w:t xml:space="preserve"> </w:t>
      </w:r>
    </w:p>
    <w:p w:rsidR="00A92422" w:rsidRPr="00D84D2F" w:rsidRDefault="00A92422" w:rsidP="00A92422">
      <w:pPr>
        <w:pStyle w:val="Footnotedash"/>
        <w:numPr>
          <w:ilvl w:val="0"/>
          <w:numId w:val="79"/>
        </w:numPr>
        <w:adjustRightInd/>
        <w:spacing w:before="0"/>
        <w:textAlignment w:val="auto"/>
        <w:rPr>
          <w:rFonts w:ascii="Tahoma" w:hAnsi="Tahoma" w:cs="Tahoma"/>
          <w:sz w:val="18"/>
          <w:szCs w:val="18"/>
        </w:rPr>
      </w:pPr>
      <w:r w:rsidRPr="00D84D2F">
        <w:rPr>
          <w:rFonts w:ascii="Tahoma" w:hAnsi="Tahoma" w:cs="Tahoma"/>
          <w:sz w:val="18"/>
          <w:szCs w:val="18"/>
          <w:lang w:val="it-IT"/>
        </w:rPr>
        <w:t>La KFTC non ha imposto limitazioni relative alle edizioni Tablet PC o 64-bit in qualunque versione linguistica.</w:t>
      </w:r>
    </w:p>
    <w:p w:rsidR="00A92422" w:rsidRPr="00D84D2F" w:rsidRDefault="00A92422" w:rsidP="00A92422">
      <w:pPr>
        <w:pStyle w:val="Footnotedash"/>
        <w:tabs>
          <w:tab w:val="clear" w:pos="1620"/>
        </w:tabs>
        <w:adjustRightInd/>
        <w:spacing w:before="0"/>
        <w:ind w:left="1440" w:firstLine="0"/>
        <w:textAlignment w:val="auto"/>
        <w:rPr>
          <w:rFonts w:ascii="Tahoma" w:hAnsi="Tahoma" w:cs="Tahoma"/>
          <w:sz w:val="18"/>
          <w:szCs w:val="18"/>
        </w:rPr>
      </w:pPr>
    </w:p>
    <w:p w:rsidR="00A92422" w:rsidRPr="00E808A5" w:rsidRDefault="00A92422" w:rsidP="00A92422">
      <w:pPr>
        <w:pStyle w:val="FootnoteBulletLevel2"/>
        <w:spacing w:before="0"/>
        <w:ind w:left="720" w:hanging="7"/>
        <w:rPr>
          <w:rFonts w:ascii="Tahoma" w:hAnsi="Tahoma" w:cs="Tahoma"/>
          <w:sz w:val="18"/>
          <w:szCs w:val="18"/>
        </w:rPr>
      </w:pPr>
      <w:r w:rsidRPr="00E808A5">
        <w:rPr>
          <w:rFonts w:ascii="Tahoma" w:hAnsi="Tahoma" w:cs="Tahoma"/>
          <w:sz w:val="18"/>
          <w:szCs w:val="18"/>
          <w:u w:val="single"/>
          <w:lang w:val="it-IT"/>
        </w:rPr>
        <w:t>Limitazioni</w:t>
      </w:r>
      <w:r w:rsidRPr="00E808A5">
        <w:rPr>
          <w:rFonts w:ascii="Tahoma" w:hAnsi="Tahoma" w:cs="Tahoma"/>
          <w:sz w:val="18"/>
          <w:szCs w:val="18"/>
          <w:lang w:val="it-IT"/>
        </w:rPr>
        <w:t>:</w:t>
      </w:r>
    </w:p>
    <w:p w:rsidR="00A92422" w:rsidRPr="00E808A5" w:rsidRDefault="00A92422" w:rsidP="00A92422">
      <w:pPr>
        <w:pStyle w:val="FootnoteBulletLevel2"/>
        <w:spacing w:before="0"/>
        <w:ind w:left="720" w:hanging="7"/>
        <w:rPr>
          <w:rFonts w:ascii="Tahoma" w:hAnsi="Tahoma" w:cs="Tahoma"/>
          <w:sz w:val="18"/>
          <w:szCs w:val="18"/>
        </w:rPr>
      </w:pPr>
      <w:r w:rsidRPr="00E808A5">
        <w:rPr>
          <w:rFonts w:ascii="Tahoma" w:hAnsi="Tahoma" w:cs="Tahoma"/>
          <w:sz w:val="18"/>
          <w:szCs w:val="18"/>
          <w:lang w:val="it-IT"/>
        </w:rPr>
        <w:t>Al 24 agosto 2006, le società che abbiano stipulato contratti Volume License in Corea, che non soddisfano i</w:t>
      </w:r>
      <w:r>
        <w:rPr>
          <w:rFonts w:ascii="Tahoma" w:hAnsi="Tahoma" w:cs="Tahoma"/>
          <w:sz w:val="18"/>
          <w:szCs w:val="18"/>
          <w:lang w:val="it-IT"/>
        </w:rPr>
        <w:t> </w:t>
      </w:r>
      <w:r w:rsidRPr="00E808A5">
        <w:rPr>
          <w:rFonts w:ascii="Tahoma" w:hAnsi="Tahoma" w:cs="Tahoma"/>
          <w:sz w:val="18"/>
          <w:szCs w:val="18"/>
          <w:lang w:val="it-IT"/>
        </w:rPr>
        <w:t>criteri previsti per le eccezioni e che intendono utilizzare le versioni in lingua coreana devono distribuire Windows XP Professional K o Windows XP Professional KN.</w:t>
      </w:r>
    </w:p>
    <w:p w:rsidR="00A92422" w:rsidRPr="00DF3E68" w:rsidRDefault="00A92422" w:rsidP="00A92422">
      <w:pPr>
        <w:pStyle w:val="FootnoteBulletLevel2"/>
        <w:spacing w:before="0"/>
        <w:ind w:left="720" w:hanging="7"/>
        <w:rPr>
          <w:rFonts w:ascii="Tahoma" w:hAnsi="Tahoma" w:cs="Tahoma"/>
          <w:sz w:val="18"/>
          <w:szCs w:val="18"/>
        </w:rPr>
      </w:pPr>
    </w:p>
    <w:p w:rsidR="00A92422" w:rsidRPr="00E808A5" w:rsidRDefault="00A92422" w:rsidP="00A92422">
      <w:pPr>
        <w:pStyle w:val="FootnoteBulletLevel1"/>
        <w:tabs>
          <w:tab w:val="clear" w:pos="900"/>
        </w:tabs>
        <w:adjustRightInd/>
        <w:spacing w:before="0" w:after="60"/>
        <w:ind w:left="720" w:firstLine="0"/>
        <w:textAlignment w:val="auto"/>
        <w:rPr>
          <w:rFonts w:ascii="Tahoma" w:hAnsi="Tahoma" w:cs="Tahoma"/>
          <w:sz w:val="18"/>
          <w:szCs w:val="18"/>
        </w:rPr>
      </w:pPr>
      <w:r w:rsidRPr="00E808A5">
        <w:rPr>
          <w:rFonts w:ascii="Tahoma" w:hAnsi="Tahoma" w:cs="Tahoma"/>
          <w:b/>
          <w:sz w:val="18"/>
          <w:szCs w:val="18"/>
          <w:lang w:val="it-IT"/>
        </w:rPr>
        <w:t>Windows XP Professional K e KN</w:t>
      </w:r>
    </w:p>
    <w:p w:rsidR="00A92422" w:rsidRPr="00E808A5" w:rsidRDefault="00A92422" w:rsidP="00A92422">
      <w:pPr>
        <w:pStyle w:val="FootnoteBulletLevel2"/>
        <w:spacing w:before="0"/>
        <w:ind w:left="720" w:hanging="7"/>
        <w:rPr>
          <w:rFonts w:ascii="Tahoma" w:hAnsi="Tahoma" w:cs="Tahoma"/>
          <w:sz w:val="18"/>
          <w:szCs w:val="18"/>
        </w:rPr>
      </w:pPr>
      <w:r w:rsidRPr="00E808A5">
        <w:rPr>
          <w:rFonts w:ascii="Tahoma" w:hAnsi="Tahoma" w:cs="Tahoma"/>
          <w:sz w:val="18"/>
          <w:szCs w:val="18"/>
          <w:lang w:val="it-IT"/>
        </w:rPr>
        <w:t>Le società che abbiano stipulato contratti Volume License e le loro consociate potranno distribuire Windows XP Professional K o KN esclusivamente per l’utilizzo in Corea.</w:t>
      </w:r>
      <w:r w:rsidRPr="00E808A5">
        <w:rPr>
          <w:rFonts w:ascii="Tahoma" w:hAnsi="Tahoma" w:cs="Tahoma"/>
          <w:sz w:val="18"/>
          <w:szCs w:val="18"/>
        </w:rPr>
        <w:t xml:space="preserve"> </w:t>
      </w:r>
    </w:p>
    <w:p w:rsidR="00A92422" w:rsidRPr="00DF3E68" w:rsidRDefault="00A92422" w:rsidP="00A92422">
      <w:pPr>
        <w:pStyle w:val="FootnoteBulletLevel2"/>
        <w:spacing w:before="0"/>
        <w:ind w:left="720" w:hanging="7"/>
        <w:rPr>
          <w:rFonts w:ascii="Tahoma" w:hAnsi="Tahoma" w:cs="Tahoma"/>
          <w:sz w:val="18"/>
          <w:szCs w:val="18"/>
        </w:rPr>
      </w:pPr>
    </w:p>
    <w:p w:rsidR="00A92422" w:rsidRPr="00E808A5" w:rsidRDefault="00A92422" w:rsidP="00A92422">
      <w:pPr>
        <w:pStyle w:val="FootnoteBulletLevel1"/>
        <w:tabs>
          <w:tab w:val="clear" w:pos="900"/>
        </w:tabs>
        <w:adjustRightInd/>
        <w:spacing w:before="0" w:after="60"/>
        <w:ind w:left="720" w:firstLine="0"/>
        <w:textAlignment w:val="auto"/>
        <w:rPr>
          <w:rFonts w:ascii="Tahoma" w:hAnsi="Tahoma" w:cs="Tahoma"/>
          <w:sz w:val="18"/>
          <w:szCs w:val="18"/>
        </w:rPr>
      </w:pPr>
      <w:r w:rsidRPr="00E808A5">
        <w:rPr>
          <w:rFonts w:ascii="Tahoma" w:hAnsi="Tahoma" w:cs="Tahoma"/>
          <w:b/>
          <w:sz w:val="18"/>
          <w:szCs w:val="18"/>
          <w:lang w:val="it-IT"/>
        </w:rPr>
        <w:t>Windows Vista Business KN</w:t>
      </w:r>
    </w:p>
    <w:p w:rsidR="00A92422" w:rsidRPr="00E808A5" w:rsidRDefault="00A92422" w:rsidP="00A92422">
      <w:pPr>
        <w:pStyle w:val="FootnoteBulletLevel2"/>
        <w:spacing w:before="0"/>
        <w:ind w:left="720" w:hanging="7"/>
        <w:rPr>
          <w:rFonts w:ascii="Tahoma" w:hAnsi="Tahoma" w:cs="Tahoma"/>
          <w:sz w:val="18"/>
          <w:szCs w:val="18"/>
        </w:rPr>
      </w:pPr>
      <w:r w:rsidRPr="00E808A5">
        <w:rPr>
          <w:rFonts w:ascii="Tahoma" w:hAnsi="Tahoma" w:cs="Tahoma"/>
          <w:sz w:val="18"/>
          <w:szCs w:val="18"/>
          <w:u w:val="single"/>
          <w:lang w:val="it-IT"/>
        </w:rPr>
        <w:t>Requisiti di Idoneità</w:t>
      </w:r>
      <w:r w:rsidRPr="00E808A5">
        <w:rPr>
          <w:rFonts w:ascii="Tahoma" w:hAnsi="Tahoma" w:cs="Tahoma"/>
          <w:sz w:val="18"/>
          <w:szCs w:val="18"/>
          <w:lang w:val="it-IT"/>
        </w:rPr>
        <w:t>:</w:t>
      </w:r>
      <w:r>
        <w:rPr>
          <w:rFonts w:ascii="Tahoma" w:hAnsi="Tahoma" w:cs="Tahoma"/>
          <w:sz w:val="18"/>
          <w:szCs w:val="18"/>
          <w:lang w:val="it-IT"/>
        </w:rPr>
        <w:t xml:space="preserve"> </w:t>
      </w:r>
      <w:r w:rsidRPr="00E808A5">
        <w:rPr>
          <w:rFonts w:ascii="Tahoma" w:hAnsi="Tahoma" w:cs="Tahoma"/>
          <w:vanish/>
          <w:sz w:val="18"/>
          <w:szCs w:val="18"/>
          <w:u w:val="single"/>
          <w:lang w:val="it-IT"/>
        </w:rPr>
        <w:br/>
      </w:r>
      <w:r w:rsidRPr="00E808A5">
        <w:rPr>
          <w:rFonts w:ascii="Tahoma" w:hAnsi="Tahoma" w:cs="Tahoma"/>
          <w:sz w:val="18"/>
          <w:szCs w:val="18"/>
          <w:lang w:val="it-IT"/>
        </w:rPr>
        <w:t>Le società con sede in Corea che abbiano stipulato contratti multilicenza (Volume License) e che dispongano di un contratto o di un’iscrizione Volume License attiva con Microsoft Operations Pte Ltd sono idonee ad acquistare i supporti di memorizzazione per Windows Vista Business KN per la distribuzione e l’utilizzo in Corea.</w:t>
      </w:r>
      <w:r w:rsidRPr="00E808A5">
        <w:rPr>
          <w:rFonts w:ascii="Tahoma" w:hAnsi="Tahoma" w:cs="Tahoma"/>
          <w:sz w:val="18"/>
          <w:szCs w:val="18"/>
        </w:rPr>
        <w:t xml:space="preserve"> </w:t>
      </w:r>
      <w:r w:rsidRPr="00E808A5">
        <w:rPr>
          <w:rFonts w:ascii="Tahoma" w:hAnsi="Tahoma" w:cs="Tahoma"/>
          <w:sz w:val="18"/>
          <w:szCs w:val="18"/>
          <w:lang w:val="it-IT"/>
        </w:rPr>
        <w:t>Nessun altro utilizzo è consentito.</w:t>
      </w:r>
    </w:p>
    <w:p w:rsidR="00A92422" w:rsidRPr="00DF3E68" w:rsidRDefault="00A92422" w:rsidP="00A92422">
      <w:pPr>
        <w:pStyle w:val="FootnoteBulletLevel2"/>
        <w:spacing w:before="0"/>
        <w:ind w:left="720" w:hanging="7"/>
        <w:rPr>
          <w:rFonts w:ascii="Tahoma" w:hAnsi="Tahoma" w:cs="Tahoma"/>
          <w:sz w:val="18"/>
          <w:szCs w:val="18"/>
        </w:rPr>
      </w:pPr>
    </w:p>
    <w:p w:rsidR="00A92422" w:rsidRPr="00E808A5" w:rsidRDefault="00A92422" w:rsidP="00A92422">
      <w:pPr>
        <w:pStyle w:val="FootnoteBulletLevel1"/>
        <w:tabs>
          <w:tab w:val="clear" w:pos="900"/>
        </w:tabs>
        <w:adjustRightInd/>
        <w:spacing w:before="0" w:after="60"/>
        <w:ind w:left="720" w:firstLine="0"/>
        <w:textAlignment w:val="auto"/>
        <w:rPr>
          <w:rFonts w:ascii="Tahoma" w:hAnsi="Tahoma" w:cs="Tahoma"/>
          <w:sz w:val="18"/>
          <w:szCs w:val="18"/>
        </w:rPr>
      </w:pPr>
      <w:r w:rsidRPr="00E808A5">
        <w:rPr>
          <w:rFonts w:ascii="Tahoma" w:hAnsi="Tahoma" w:cs="Tahoma"/>
          <w:b/>
          <w:sz w:val="18"/>
          <w:szCs w:val="18"/>
          <w:lang w:val="it-IT"/>
        </w:rPr>
        <w:t>Windows 7 Professional KN</w:t>
      </w:r>
    </w:p>
    <w:p w:rsidR="00A92422" w:rsidRPr="00E808A5" w:rsidRDefault="00A92422" w:rsidP="00A92422">
      <w:pPr>
        <w:pStyle w:val="FootnoteBulletLevel2"/>
        <w:spacing w:before="0"/>
        <w:ind w:left="720" w:hanging="7"/>
        <w:rPr>
          <w:rFonts w:ascii="Tahoma" w:hAnsi="Tahoma" w:cs="Tahoma"/>
          <w:sz w:val="18"/>
          <w:szCs w:val="18"/>
        </w:rPr>
      </w:pPr>
      <w:r w:rsidRPr="00E808A5">
        <w:rPr>
          <w:rFonts w:ascii="Tahoma" w:hAnsi="Tahoma" w:cs="Tahoma"/>
          <w:sz w:val="18"/>
          <w:szCs w:val="18"/>
          <w:u w:val="single"/>
          <w:lang w:val="it-IT"/>
        </w:rPr>
        <w:t>Requisiti di Idoneità</w:t>
      </w:r>
      <w:r w:rsidRPr="00E808A5">
        <w:rPr>
          <w:rFonts w:ascii="Tahoma" w:hAnsi="Tahoma" w:cs="Tahoma"/>
          <w:sz w:val="18"/>
          <w:szCs w:val="18"/>
          <w:lang w:val="it-IT"/>
        </w:rPr>
        <w:t>:</w:t>
      </w:r>
      <w:r>
        <w:rPr>
          <w:rFonts w:ascii="Tahoma" w:hAnsi="Tahoma" w:cs="Tahoma"/>
          <w:sz w:val="18"/>
          <w:szCs w:val="18"/>
          <w:lang w:val="it-IT"/>
        </w:rPr>
        <w:t xml:space="preserve"> </w:t>
      </w:r>
      <w:r w:rsidRPr="00E808A5">
        <w:rPr>
          <w:rFonts w:ascii="Tahoma" w:hAnsi="Tahoma" w:cs="Tahoma"/>
          <w:vanish/>
          <w:sz w:val="18"/>
          <w:szCs w:val="18"/>
          <w:u w:val="single"/>
          <w:lang w:val="it-IT"/>
        </w:rPr>
        <w:br/>
      </w:r>
      <w:r w:rsidRPr="00E808A5">
        <w:rPr>
          <w:rFonts w:ascii="Tahoma" w:hAnsi="Tahoma" w:cs="Tahoma"/>
          <w:sz w:val="18"/>
          <w:szCs w:val="18"/>
          <w:lang w:val="it-IT"/>
        </w:rPr>
        <w:t>Le società con sede in Corea che abbiano stipulato contratti multilicenza (Volume License) e che dispongano di un contratto o di un’iscrizione Volume License attiva con Microsoft Operations Pte Ltd sono idonee ad acquistare i supporti di memorizzazione per Windows 7 Professional KN per la distribuzione e l’utilizzo in Corea.</w:t>
      </w:r>
      <w:r w:rsidRPr="00E808A5">
        <w:rPr>
          <w:rFonts w:ascii="Tahoma" w:hAnsi="Tahoma" w:cs="Tahoma"/>
          <w:sz w:val="18"/>
          <w:szCs w:val="18"/>
        </w:rPr>
        <w:t xml:space="preserve"> </w:t>
      </w:r>
      <w:r w:rsidRPr="00E808A5">
        <w:rPr>
          <w:rFonts w:ascii="Tahoma" w:hAnsi="Tahoma" w:cs="Tahoma"/>
          <w:sz w:val="18"/>
          <w:szCs w:val="18"/>
          <w:lang w:val="it-IT"/>
        </w:rPr>
        <w:t>Nessun altro utilizzo è consentito.</w:t>
      </w:r>
    </w:p>
    <w:p w:rsidR="00A92422" w:rsidRPr="00E808A5" w:rsidRDefault="00A92422" w:rsidP="00A92422">
      <w:pPr>
        <w:pStyle w:val="FootnoteBulletLevel2"/>
        <w:spacing w:before="0"/>
        <w:ind w:left="720" w:hanging="7"/>
        <w:rPr>
          <w:rFonts w:ascii="Tahoma" w:hAnsi="Tahoma" w:cs="Tahoma"/>
          <w:sz w:val="18"/>
          <w:szCs w:val="18"/>
        </w:rPr>
      </w:pPr>
    </w:p>
    <w:p w:rsidR="00A92422" w:rsidRPr="00E808A5" w:rsidRDefault="00A92422" w:rsidP="00A92422">
      <w:pPr>
        <w:pStyle w:val="FootnoteBulletLevel1"/>
        <w:tabs>
          <w:tab w:val="clear" w:pos="900"/>
        </w:tabs>
        <w:adjustRightInd/>
        <w:spacing w:before="0" w:after="60"/>
        <w:ind w:left="720" w:firstLine="0"/>
        <w:textAlignment w:val="auto"/>
        <w:rPr>
          <w:rFonts w:ascii="Tahoma" w:hAnsi="Tahoma" w:cs="Tahoma"/>
          <w:sz w:val="18"/>
          <w:szCs w:val="18"/>
        </w:rPr>
      </w:pPr>
      <w:r w:rsidRPr="00E808A5">
        <w:rPr>
          <w:rFonts w:ascii="Tahoma" w:hAnsi="Tahoma" w:cs="Tahoma"/>
          <w:b/>
          <w:sz w:val="18"/>
          <w:szCs w:val="18"/>
          <w:lang w:val="it-IT"/>
        </w:rPr>
        <w:t>Windows Vista Business N (non contiene Windows Media Player)</w:t>
      </w:r>
    </w:p>
    <w:p w:rsidR="00A92422" w:rsidRPr="00D87B79" w:rsidRDefault="00A92422" w:rsidP="00A92422">
      <w:pPr>
        <w:pStyle w:val="FootnoteBulletLevel2"/>
        <w:spacing w:before="0"/>
        <w:ind w:left="720" w:hanging="7"/>
        <w:rPr>
          <w:rFonts w:ascii="Tahoma" w:hAnsi="Tahoma" w:cs="Tahoma"/>
        </w:rPr>
      </w:pPr>
      <w:r w:rsidRPr="00D87B79">
        <w:rPr>
          <w:rFonts w:ascii="Tahoma" w:hAnsi="Tahoma" w:cs="Tahoma"/>
          <w:sz w:val="18"/>
          <w:u w:val="single"/>
          <w:lang w:val="it-IT"/>
        </w:rPr>
        <w:t>Requisiti di Idoneità</w:t>
      </w:r>
      <w:r w:rsidRPr="00216BAF">
        <w:rPr>
          <w:rFonts w:ascii="Tahoma" w:hAnsi="Tahoma" w:cs="Tahoma"/>
          <w:sz w:val="18"/>
          <w:lang w:val="it-IT"/>
        </w:rPr>
        <w:t>:</w:t>
      </w:r>
      <w:r>
        <w:rPr>
          <w:rFonts w:ascii="Tahoma" w:hAnsi="Tahoma" w:cs="Tahoma"/>
          <w:sz w:val="18"/>
          <w:lang w:val="it-IT"/>
        </w:rPr>
        <w:t xml:space="preserve"> </w:t>
      </w:r>
      <w:r w:rsidRPr="00D87B79">
        <w:rPr>
          <w:rFonts w:ascii="Tahoma" w:hAnsi="Tahoma" w:cs="Tahoma"/>
          <w:vanish/>
          <w:sz w:val="18"/>
          <w:u w:val="single"/>
          <w:lang w:val="it-IT"/>
        </w:rPr>
        <w:br/>
      </w:r>
      <w:r w:rsidRPr="00D87B79">
        <w:rPr>
          <w:rFonts w:ascii="Tahoma" w:hAnsi="Tahoma" w:cs="Tahoma"/>
          <w:sz w:val="18"/>
          <w:lang w:val="it-IT"/>
        </w:rPr>
        <w:t>Le società che hanno stipulato contratti multilicenza (Volume License) e che soddisfano tutti i criteri che seguono sono idonee ad acquistare i supporti di memorizzazione per Microsoft Windows Vista Business N</w:t>
      </w:r>
      <w:r>
        <w:rPr>
          <w:rFonts w:ascii="Tahoma" w:hAnsi="Tahoma" w:cs="Tahoma"/>
          <w:sz w:val="18"/>
          <w:lang w:val="it-IT"/>
        </w:rPr>
        <w:t> </w:t>
      </w:r>
      <w:r w:rsidRPr="00D87B79">
        <w:rPr>
          <w:rFonts w:ascii="Tahoma" w:hAnsi="Tahoma" w:cs="Tahoma"/>
          <w:sz w:val="18"/>
          <w:lang w:val="it-IT"/>
        </w:rPr>
        <w:t>esclusivamente per la distribuzione e l’utilizzo nell’Unione Europea (UE), in uno stato membro dell’Associazione Europea per il Libero Scambio (EFTA), in Bulgaria, in Croazia, in Romania o in Svizzera.</w:t>
      </w:r>
    </w:p>
    <w:p w:rsidR="00A92422" w:rsidRPr="006C3782" w:rsidRDefault="00A92422" w:rsidP="00A92422">
      <w:pPr>
        <w:pStyle w:val="FootnoteBulletLevel2"/>
        <w:spacing w:before="0"/>
        <w:ind w:left="720" w:hanging="7"/>
        <w:rPr>
          <w:rFonts w:ascii="Tahoma" w:hAnsi="Tahoma" w:cs="Tahoma"/>
          <w:sz w:val="18"/>
          <w:szCs w:val="18"/>
        </w:rPr>
      </w:pPr>
    </w:p>
    <w:p w:rsidR="00A92422" w:rsidRPr="00D87B79" w:rsidRDefault="00A92422" w:rsidP="00A92422">
      <w:pPr>
        <w:pStyle w:val="Footnotedash"/>
        <w:spacing w:before="0" w:after="0"/>
        <w:ind w:left="720" w:hanging="7"/>
        <w:rPr>
          <w:rFonts w:ascii="Tahoma" w:hAnsi="Tahoma" w:cs="Tahoma"/>
        </w:rPr>
      </w:pPr>
      <w:r w:rsidRPr="00D87B79">
        <w:rPr>
          <w:rFonts w:ascii="Tahoma" w:hAnsi="Tahoma" w:cs="Tahoma"/>
          <w:sz w:val="18"/>
          <w:szCs w:val="18"/>
          <w:lang w:val="it-IT"/>
        </w:rPr>
        <w:t>Devono disporre di almeno uno dei seguenti contratti o iscrizioni attivi con Microsoft Ireland Operations Ltd:</w:t>
      </w:r>
      <w:r w:rsidRPr="00D87B79">
        <w:rPr>
          <w:rFonts w:ascii="Tahoma" w:hAnsi="Tahoma" w:cs="Tahoma"/>
          <w:sz w:val="18"/>
          <w:szCs w:val="18"/>
        </w:rPr>
        <w:t xml:space="preserve"> </w:t>
      </w:r>
    </w:p>
    <w:p w:rsidR="00A92422" w:rsidRPr="006C3782" w:rsidRDefault="00A92422" w:rsidP="00A92422">
      <w:pPr>
        <w:pStyle w:val="Footnotedash"/>
        <w:spacing w:before="0" w:after="0"/>
        <w:ind w:left="720" w:hanging="7"/>
        <w:rPr>
          <w:rFonts w:ascii="Tahoma" w:hAnsi="Tahoma" w:cs="Tahoma"/>
          <w:sz w:val="18"/>
          <w:szCs w:val="18"/>
        </w:rPr>
      </w:pPr>
    </w:p>
    <w:p w:rsidR="00A92422" w:rsidRPr="00D87B79" w:rsidRDefault="00A92422" w:rsidP="00A92422">
      <w:pPr>
        <w:pStyle w:val="Footnotedash"/>
        <w:numPr>
          <w:ilvl w:val="0"/>
          <w:numId w:val="79"/>
        </w:numPr>
        <w:adjustRightInd/>
        <w:spacing w:before="0"/>
        <w:textAlignment w:val="auto"/>
        <w:rPr>
          <w:rFonts w:ascii="Tahoma" w:hAnsi="Tahoma" w:cs="Tahoma"/>
        </w:rPr>
      </w:pPr>
      <w:r w:rsidRPr="00D87B79">
        <w:rPr>
          <w:rFonts w:ascii="Tahoma" w:hAnsi="Tahoma" w:cs="Tahoma"/>
          <w:sz w:val="18"/>
          <w:lang w:val="it-IT"/>
        </w:rPr>
        <w:t>Iscrizione Select, Enterprise o Enterprise Subscription</w:t>
      </w:r>
    </w:p>
    <w:p w:rsidR="00A92422" w:rsidRPr="00D87B79" w:rsidRDefault="00A92422" w:rsidP="00A92422">
      <w:pPr>
        <w:pStyle w:val="Footnotedash"/>
        <w:numPr>
          <w:ilvl w:val="0"/>
          <w:numId w:val="79"/>
        </w:numPr>
        <w:adjustRightInd/>
        <w:spacing w:before="0"/>
        <w:textAlignment w:val="auto"/>
        <w:rPr>
          <w:rFonts w:ascii="Tahoma" w:hAnsi="Tahoma" w:cs="Tahoma"/>
        </w:rPr>
      </w:pPr>
      <w:r w:rsidRPr="00D87B79">
        <w:rPr>
          <w:rFonts w:ascii="Tahoma" w:hAnsi="Tahoma" w:cs="Tahoma"/>
          <w:sz w:val="18"/>
          <w:lang w:val="it-IT"/>
        </w:rPr>
        <w:t>Contratti Open License*, Open Value, Campus e School, Open Value Subscription - Education Solutions</w:t>
      </w:r>
      <w:r w:rsidRPr="00D87B79">
        <w:rPr>
          <w:rFonts w:ascii="Tahoma" w:hAnsi="Tahoma" w:cs="Tahoma"/>
        </w:rPr>
        <w:t xml:space="preserve"> </w:t>
      </w:r>
    </w:p>
    <w:p w:rsidR="00A92422" w:rsidRPr="00D87B79" w:rsidRDefault="00A92422" w:rsidP="00A92422">
      <w:pPr>
        <w:pStyle w:val="Footnotedash"/>
        <w:tabs>
          <w:tab w:val="clear" w:pos="1620"/>
        </w:tabs>
        <w:adjustRightInd/>
        <w:spacing w:before="0"/>
        <w:ind w:left="1440" w:firstLine="0"/>
        <w:textAlignment w:val="auto"/>
        <w:rPr>
          <w:rFonts w:ascii="Tahoma" w:hAnsi="Tahoma" w:cs="Tahoma"/>
        </w:rPr>
      </w:pPr>
      <w:r w:rsidRPr="00D87B79">
        <w:rPr>
          <w:rFonts w:ascii="Tahoma" w:hAnsi="Tahoma" w:cs="Tahoma"/>
          <w:sz w:val="18"/>
          <w:lang w:val="it-IT"/>
        </w:rPr>
        <w:t>(*Ai fini del Contratto Open License, un “contratto attivo” è un contratto associato a un Numero di</w:t>
      </w:r>
      <w:r>
        <w:rPr>
          <w:rFonts w:ascii="Tahoma" w:hAnsi="Tahoma" w:cs="Tahoma"/>
          <w:sz w:val="18"/>
          <w:lang w:val="it-IT"/>
        </w:rPr>
        <w:t> </w:t>
      </w:r>
      <w:r w:rsidRPr="00D87B79">
        <w:rPr>
          <w:rFonts w:ascii="Tahoma" w:hAnsi="Tahoma" w:cs="Tahoma"/>
          <w:sz w:val="18"/>
          <w:lang w:val="it-IT"/>
        </w:rPr>
        <w:t>Autorizzazione Open License attivo).</w:t>
      </w:r>
    </w:p>
    <w:p w:rsidR="00A92422" w:rsidRPr="00D87B79" w:rsidRDefault="00A92422" w:rsidP="00A92422">
      <w:pPr>
        <w:pStyle w:val="Footnotedash"/>
        <w:spacing w:before="0" w:after="0"/>
        <w:ind w:left="720" w:hanging="7"/>
        <w:rPr>
          <w:rFonts w:ascii="Tahoma" w:hAnsi="Tahoma" w:cs="Tahoma"/>
        </w:rPr>
      </w:pPr>
      <w:r w:rsidRPr="00D87B79">
        <w:rPr>
          <w:rFonts w:ascii="Tahoma" w:hAnsi="Tahoma" w:cs="Tahoma"/>
          <w:sz w:val="18"/>
          <w:lang w:val="it-IT"/>
        </w:rPr>
        <w:t>Devono disporre di una copertura Software Assurance attiva per le licenze di aggiornamento per il Sistema Operativo Desktop Windows o per Windows Vista Business.</w:t>
      </w:r>
    </w:p>
    <w:p w:rsidR="00A92422" w:rsidRPr="00D87B79" w:rsidRDefault="00A92422" w:rsidP="00A92422">
      <w:pPr>
        <w:pStyle w:val="Footnotedash"/>
        <w:spacing w:before="0" w:after="0"/>
        <w:ind w:left="720" w:hanging="7"/>
        <w:rPr>
          <w:rFonts w:ascii="Tahoma" w:hAnsi="Tahoma" w:cs="Tahoma"/>
        </w:rPr>
      </w:pPr>
      <w:r w:rsidRPr="00D87B79">
        <w:rPr>
          <w:rFonts w:ascii="Tahoma" w:hAnsi="Tahoma" w:cs="Tahoma"/>
          <w:sz w:val="18"/>
          <w:szCs w:val="18"/>
          <w:lang w:val="it-IT"/>
        </w:rPr>
        <w:t>Devono avere sede in uno dei paesi dell’Unione Europea (UE), in uno stato membro dell’Associazione Europea per il Libero Scambio (EFTA), in Bulgaria, in Croazia, in Romania o in Svizzera.</w:t>
      </w:r>
      <w:r w:rsidRPr="00D87B79">
        <w:rPr>
          <w:rFonts w:ascii="Tahoma" w:hAnsi="Tahoma" w:cs="Tahoma"/>
          <w:sz w:val="18"/>
          <w:szCs w:val="18"/>
        </w:rPr>
        <w:t xml:space="preserve"> </w:t>
      </w:r>
    </w:p>
    <w:p w:rsidR="00A92422" w:rsidRPr="00D87B79" w:rsidRDefault="00A92422" w:rsidP="00A92422">
      <w:pPr>
        <w:pStyle w:val="FootnoteBulletLevel1"/>
        <w:tabs>
          <w:tab w:val="clear" w:pos="900"/>
        </w:tabs>
        <w:adjustRightInd/>
        <w:spacing w:before="0" w:after="60"/>
        <w:ind w:left="720" w:firstLine="0"/>
        <w:textAlignment w:val="auto"/>
        <w:rPr>
          <w:rFonts w:ascii="Tahoma" w:hAnsi="Tahoma" w:cs="Tahoma"/>
        </w:rPr>
      </w:pPr>
      <w:r w:rsidRPr="00D87B79">
        <w:rPr>
          <w:rFonts w:ascii="Tahoma" w:hAnsi="Tahoma" w:cs="Tahoma"/>
          <w:b/>
          <w:sz w:val="18"/>
          <w:lang w:val="it-IT"/>
        </w:rPr>
        <w:t>Windows 7 Professional N (non contiene Windows Media Player)</w:t>
      </w:r>
    </w:p>
    <w:p w:rsidR="00A92422" w:rsidRPr="00D87B79" w:rsidRDefault="00A92422" w:rsidP="00A92422">
      <w:pPr>
        <w:pStyle w:val="FootnoteBulletLevel2"/>
        <w:spacing w:before="0"/>
        <w:ind w:left="720" w:firstLine="0"/>
        <w:rPr>
          <w:rFonts w:ascii="Tahoma" w:hAnsi="Tahoma" w:cs="Tahoma"/>
        </w:rPr>
      </w:pPr>
      <w:r w:rsidRPr="00D87B79">
        <w:rPr>
          <w:rFonts w:ascii="Tahoma" w:hAnsi="Tahoma" w:cs="Tahoma"/>
          <w:sz w:val="18"/>
          <w:u w:val="single"/>
          <w:lang w:val="it-IT"/>
        </w:rPr>
        <w:t>Requisiti di Idoneità</w:t>
      </w:r>
      <w:r w:rsidRPr="00682CA0">
        <w:rPr>
          <w:rFonts w:ascii="Tahoma" w:hAnsi="Tahoma" w:cs="Tahoma"/>
          <w:sz w:val="18"/>
          <w:lang w:val="it-IT"/>
        </w:rPr>
        <w:t>:</w:t>
      </w:r>
      <w:r>
        <w:rPr>
          <w:rFonts w:ascii="Tahoma" w:hAnsi="Tahoma" w:cs="Tahoma"/>
          <w:sz w:val="18"/>
          <w:lang w:val="it-IT"/>
        </w:rPr>
        <w:t xml:space="preserve"> </w:t>
      </w:r>
      <w:r w:rsidRPr="00D87B79">
        <w:rPr>
          <w:rStyle w:val="LogoportPopup"/>
          <w:rFonts w:ascii="Tahoma" w:hAnsi="Tahoma" w:cs="Tahoma"/>
          <w:sz w:val="18"/>
          <w:lang w:val="it-IT"/>
        </w:rPr>
        <w:br/>
      </w:r>
      <w:r w:rsidRPr="00D87B79">
        <w:rPr>
          <w:rFonts w:ascii="Tahoma" w:hAnsi="Tahoma" w:cs="Tahoma"/>
          <w:sz w:val="18"/>
          <w:lang w:val="it-IT"/>
        </w:rPr>
        <w:t>Le società che hanno stipulato contratti multilicenza (Volume License) e che soddisfano tutti i criteri che seguono sono idonee ad acquistare i supporti di memorizzazione per Microsoft Windows 7 Professional N</w:t>
      </w:r>
      <w:r>
        <w:rPr>
          <w:rFonts w:ascii="Tahoma" w:hAnsi="Tahoma" w:cs="Tahoma"/>
          <w:sz w:val="18"/>
          <w:lang w:val="it-IT"/>
        </w:rPr>
        <w:t> </w:t>
      </w:r>
      <w:r w:rsidRPr="00D87B79">
        <w:rPr>
          <w:rFonts w:ascii="Tahoma" w:hAnsi="Tahoma" w:cs="Tahoma"/>
          <w:sz w:val="18"/>
          <w:lang w:val="it-IT"/>
        </w:rPr>
        <w:t>esclusivamente per la distribuzione e l’utilizzo nell’Unione Europea (UE), in uno stato membro dell’Associazione Europea per il Libero Scambio (EFTA), in Bulgaria, in Croazia, in Romania o in Svizzera.</w:t>
      </w:r>
    </w:p>
    <w:p w:rsidR="00A92422" w:rsidRPr="00D87B79" w:rsidRDefault="00A92422" w:rsidP="00A92422">
      <w:pPr>
        <w:pStyle w:val="Footnotedash"/>
        <w:spacing w:before="0" w:after="0"/>
        <w:ind w:left="720" w:firstLine="0"/>
        <w:rPr>
          <w:rFonts w:ascii="Tahoma" w:hAnsi="Tahoma" w:cs="Tahoma"/>
        </w:rPr>
      </w:pPr>
      <w:r w:rsidRPr="00D87B79">
        <w:rPr>
          <w:rFonts w:ascii="Tahoma" w:hAnsi="Tahoma" w:cs="Tahoma"/>
          <w:sz w:val="18"/>
          <w:szCs w:val="18"/>
          <w:lang w:val="it-IT"/>
        </w:rPr>
        <w:t>Devono disporre di almeno uno dei seguenti contratti o iscrizioni attivi con Microsoft Ireland Operations Ltd:</w:t>
      </w:r>
      <w:r w:rsidRPr="00D87B79">
        <w:rPr>
          <w:rFonts w:ascii="Tahoma" w:hAnsi="Tahoma" w:cs="Tahoma"/>
          <w:sz w:val="18"/>
          <w:szCs w:val="18"/>
        </w:rPr>
        <w:t xml:space="preserve"> </w:t>
      </w:r>
    </w:p>
    <w:p w:rsidR="00A92422" w:rsidRPr="00D87B79" w:rsidRDefault="00A92422" w:rsidP="00A92422">
      <w:pPr>
        <w:pStyle w:val="Footnotedash"/>
        <w:numPr>
          <w:ilvl w:val="0"/>
          <w:numId w:val="79"/>
        </w:numPr>
        <w:adjustRightInd/>
        <w:spacing w:before="0"/>
        <w:textAlignment w:val="auto"/>
        <w:rPr>
          <w:rFonts w:ascii="Tahoma" w:hAnsi="Tahoma" w:cs="Tahoma"/>
        </w:rPr>
      </w:pPr>
      <w:r w:rsidRPr="00D87B79">
        <w:rPr>
          <w:rFonts w:ascii="Tahoma" w:hAnsi="Tahoma" w:cs="Tahoma"/>
          <w:sz w:val="18"/>
          <w:lang w:val="it-IT"/>
        </w:rPr>
        <w:t>Iscrizione Select, Enterprise o Enterprise Subscription</w:t>
      </w:r>
    </w:p>
    <w:p w:rsidR="00A92422" w:rsidRPr="00D87B79" w:rsidRDefault="00A92422" w:rsidP="00A92422">
      <w:pPr>
        <w:pStyle w:val="Footnotedash"/>
        <w:numPr>
          <w:ilvl w:val="0"/>
          <w:numId w:val="79"/>
        </w:numPr>
        <w:adjustRightInd/>
        <w:spacing w:before="0"/>
        <w:textAlignment w:val="auto"/>
        <w:rPr>
          <w:rFonts w:ascii="Tahoma" w:hAnsi="Tahoma" w:cs="Tahoma"/>
        </w:rPr>
      </w:pPr>
      <w:r w:rsidRPr="00D87B79">
        <w:rPr>
          <w:rFonts w:ascii="Tahoma" w:hAnsi="Tahoma" w:cs="Tahoma"/>
          <w:sz w:val="18"/>
          <w:lang w:val="it-IT"/>
        </w:rPr>
        <w:t>Contratti Open License*, Open Value, Campus e School, Open Value Subscription - Education Solutions</w:t>
      </w:r>
      <w:r w:rsidRPr="00D87B79">
        <w:rPr>
          <w:rFonts w:ascii="Tahoma" w:hAnsi="Tahoma" w:cs="Tahoma"/>
        </w:rPr>
        <w:t xml:space="preserve"> </w:t>
      </w:r>
    </w:p>
    <w:p w:rsidR="00A92422" w:rsidRPr="00D87B79" w:rsidRDefault="00A92422" w:rsidP="00A92422">
      <w:pPr>
        <w:pStyle w:val="Footnotedash"/>
        <w:tabs>
          <w:tab w:val="clear" w:pos="1620"/>
        </w:tabs>
        <w:adjustRightInd/>
        <w:spacing w:before="0"/>
        <w:ind w:left="1440" w:firstLine="0"/>
        <w:textAlignment w:val="auto"/>
        <w:rPr>
          <w:rFonts w:ascii="Tahoma" w:hAnsi="Tahoma" w:cs="Tahoma"/>
        </w:rPr>
      </w:pPr>
      <w:r w:rsidRPr="00D87B79">
        <w:rPr>
          <w:rFonts w:ascii="Tahoma" w:hAnsi="Tahoma" w:cs="Tahoma"/>
          <w:sz w:val="18"/>
          <w:lang w:val="it-IT"/>
        </w:rPr>
        <w:lastRenderedPageBreak/>
        <w:t>(*Ai fini del Contratto Open License, un “contratto attivo” è un contratto associato a un Numero di</w:t>
      </w:r>
      <w:r>
        <w:rPr>
          <w:rFonts w:ascii="Tahoma" w:hAnsi="Tahoma" w:cs="Tahoma"/>
          <w:sz w:val="18"/>
          <w:lang w:val="it-IT"/>
        </w:rPr>
        <w:t> </w:t>
      </w:r>
      <w:r w:rsidRPr="00D87B79">
        <w:rPr>
          <w:rFonts w:ascii="Tahoma" w:hAnsi="Tahoma" w:cs="Tahoma"/>
          <w:sz w:val="18"/>
          <w:lang w:val="it-IT"/>
        </w:rPr>
        <w:t>Autorizzazione Open License attivo).</w:t>
      </w:r>
    </w:p>
    <w:p w:rsidR="00A92422" w:rsidRPr="00682CA0" w:rsidRDefault="00A92422" w:rsidP="00A92422">
      <w:pPr>
        <w:pStyle w:val="Footnotedash"/>
        <w:spacing w:before="0" w:after="0"/>
        <w:ind w:left="720" w:firstLine="0"/>
        <w:rPr>
          <w:rFonts w:ascii="Tahoma" w:hAnsi="Tahoma" w:cs="Tahoma"/>
          <w:sz w:val="18"/>
          <w:szCs w:val="18"/>
        </w:rPr>
      </w:pPr>
      <w:r w:rsidRPr="00682CA0">
        <w:rPr>
          <w:rFonts w:ascii="Tahoma" w:hAnsi="Tahoma" w:cs="Tahoma"/>
          <w:sz w:val="18"/>
          <w:szCs w:val="18"/>
          <w:lang w:val="it-IT"/>
        </w:rPr>
        <w:t>Devono disporre di una copertura Software Assurance attiva per le licenze di aggiornamento per il Sistema Operativo Desktop Windows o per Windows 8 Pro.</w:t>
      </w:r>
    </w:p>
    <w:p w:rsidR="00A92422" w:rsidRPr="00682CA0" w:rsidRDefault="00A92422" w:rsidP="00A92422">
      <w:pPr>
        <w:pStyle w:val="Footnotedash"/>
        <w:spacing w:before="0" w:after="0"/>
        <w:ind w:left="720" w:firstLine="0"/>
        <w:rPr>
          <w:rFonts w:ascii="Tahoma" w:hAnsi="Tahoma" w:cs="Tahoma"/>
          <w:sz w:val="18"/>
          <w:szCs w:val="18"/>
        </w:rPr>
      </w:pPr>
    </w:p>
    <w:p w:rsidR="00A92422" w:rsidRPr="00682CA0" w:rsidRDefault="00A92422" w:rsidP="00A92422">
      <w:pPr>
        <w:pStyle w:val="Footnotedash"/>
        <w:spacing w:before="0" w:after="0"/>
        <w:ind w:left="720" w:firstLine="0"/>
        <w:rPr>
          <w:rFonts w:ascii="Tahoma" w:hAnsi="Tahoma" w:cs="Tahoma"/>
          <w:sz w:val="18"/>
          <w:szCs w:val="18"/>
        </w:rPr>
      </w:pPr>
      <w:r w:rsidRPr="00682CA0">
        <w:rPr>
          <w:rFonts w:ascii="Tahoma" w:hAnsi="Tahoma" w:cs="Tahoma"/>
          <w:sz w:val="18"/>
          <w:szCs w:val="18"/>
          <w:lang w:val="it-IT"/>
        </w:rPr>
        <w:t>Devono avere sede in uno dei paesi dell’Unione Europea (UE), in uno stato membro dell’Associazione Europea per il Libero Scambio (EFTA), in Bulgaria, in Croazia, in Romania o in Svizzera.</w:t>
      </w:r>
      <w:r w:rsidRPr="00682CA0">
        <w:rPr>
          <w:rFonts w:ascii="Tahoma" w:hAnsi="Tahoma" w:cs="Tahoma"/>
          <w:sz w:val="18"/>
          <w:szCs w:val="18"/>
        </w:rPr>
        <w:t xml:space="preserve"> </w:t>
      </w:r>
    </w:p>
    <w:p w:rsidR="00A92422" w:rsidRPr="00682CA0" w:rsidRDefault="00A92422" w:rsidP="00A92422">
      <w:pPr>
        <w:pStyle w:val="Footnotedash"/>
        <w:spacing w:before="0" w:after="0"/>
        <w:ind w:left="720" w:firstLine="0"/>
        <w:rPr>
          <w:rFonts w:ascii="Tahoma" w:hAnsi="Tahoma" w:cs="Tahoma"/>
          <w:sz w:val="18"/>
          <w:szCs w:val="18"/>
        </w:rPr>
      </w:pPr>
    </w:p>
    <w:p w:rsidR="00A92422" w:rsidRPr="00682CA0" w:rsidRDefault="00A92422" w:rsidP="00A92422">
      <w:pPr>
        <w:pStyle w:val="Footnotedash"/>
        <w:spacing w:before="0" w:after="0"/>
        <w:ind w:left="720" w:firstLine="0"/>
        <w:rPr>
          <w:rFonts w:ascii="Tahoma" w:hAnsi="Tahoma" w:cs="Tahoma"/>
          <w:sz w:val="18"/>
          <w:szCs w:val="18"/>
        </w:rPr>
      </w:pPr>
      <w:r w:rsidRPr="00682CA0">
        <w:rPr>
          <w:rFonts w:ascii="Tahoma" w:hAnsi="Tahoma" w:cs="Tahoma"/>
          <w:sz w:val="18"/>
          <w:szCs w:val="18"/>
          <w:lang w:val="it-IT"/>
        </w:rPr>
        <w:t>Le società possono ignorare la comunicazione contenuta nei Diritti di Utilizzo del Prodotto di luglio 2009 e</w:t>
      </w:r>
      <w:r>
        <w:rPr>
          <w:rFonts w:ascii="Tahoma" w:hAnsi="Tahoma" w:cs="Tahoma"/>
          <w:sz w:val="18"/>
          <w:szCs w:val="18"/>
          <w:lang w:val="it-IT"/>
        </w:rPr>
        <w:t> </w:t>
      </w:r>
      <w:r w:rsidRPr="00682CA0">
        <w:rPr>
          <w:rFonts w:ascii="Tahoma" w:hAnsi="Tahoma" w:cs="Tahoma"/>
          <w:sz w:val="18"/>
          <w:szCs w:val="18"/>
          <w:lang w:val="it-IT"/>
        </w:rPr>
        <w:t>relativa all’assenza della funzionalità Internet Explorer 8 e la relativa esclusione di garanzie.</w:t>
      </w:r>
      <w:r w:rsidRPr="00682CA0">
        <w:rPr>
          <w:rFonts w:ascii="Tahoma" w:hAnsi="Tahoma" w:cs="Tahoma"/>
          <w:sz w:val="18"/>
          <w:szCs w:val="18"/>
        </w:rPr>
        <w:t xml:space="preserve"> </w:t>
      </w:r>
    </w:p>
    <w:p w:rsidR="00A92422" w:rsidRPr="00682CA0" w:rsidRDefault="00A92422" w:rsidP="00A92422">
      <w:pPr>
        <w:pStyle w:val="FootnoteBulletLevel1"/>
        <w:tabs>
          <w:tab w:val="clear" w:pos="900"/>
        </w:tabs>
        <w:adjustRightInd/>
        <w:spacing w:before="0" w:after="0"/>
        <w:ind w:left="720" w:firstLine="0"/>
        <w:textAlignment w:val="auto"/>
        <w:rPr>
          <w:rFonts w:ascii="Tahoma" w:hAnsi="Tahoma" w:cs="Tahoma"/>
          <w:sz w:val="18"/>
          <w:szCs w:val="18"/>
        </w:rPr>
      </w:pPr>
    </w:p>
    <w:p w:rsidR="00A92422" w:rsidRPr="00D87B79" w:rsidRDefault="00A92422" w:rsidP="00A92422">
      <w:pPr>
        <w:pStyle w:val="FootnoteBulletLevel1"/>
        <w:tabs>
          <w:tab w:val="clear" w:pos="900"/>
        </w:tabs>
        <w:adjustRightInd/>
        <w:spacing w:before="0" w:after="60"/>
        <w:ind w:left="720" w:firstLine="0"/>
        <w:textAlignment w:val="auto"/>
        <w:rPr>
          <w:rFonts w:ascii="Tahoma" w:hAnsi="Tahoma" w:cs="Tahoma"/>
        </w:rPr>
      </w:pPr>
      <w:r w:rsidRPr="00D87B79">
        <w:rPr>
          <w:rFonts w:ascii="Tahoma" w:hAnsi="Tahoma" w:cs="Tahoma"/>
          <w:b/>
          <w:sz w:val="18"/>
          <w:lang w:val="it-IT"/>
        </w:rPr>
        <w:t>Windows 8 Pro KN</w:t>
      </w:r>
    </w:p>
    <w:p w:rsidR="00A92422" w:rsidRPr="00D87B79" w:rsidRDefault="00A92422" w:rsidP="00A92422">
      <w:pPr>
        <w:pStyle w:val="FootnoteBulletLevel2"/>
        <w:spacing w:before="0"/>
        <w:ind w:left="720" w:hanging="7"/>
        <w:rPr>
          <w:rFonts w:ascii="Tahoma" w:hAnsi="Tahoma" w:cs="Tahoma"/>
        </w:rPr>
      </w:pPr>
      <w:r w:rsidRPr="00D87B79">
        <w:rPr>
          <w:rFonts w:ascii="Tahoma" w:hAnsi="Tahoma" w:cs="Tahoma"/>
          <w:sz w:val="18"/>
          <w:u w:val="single"/>
          <w:lang w:val="it-IT"/>
        </w:rPr>
        <w:t>Requisiti di Idoneità</w:t>
      </w:r>
      <w:r w:rsidRPr="00D87B79">
        <w:rPr>
          <w:rFonts w:ascii="Tahoma" w:hAnsi="Tahoma" w:cs="Tahoma"/>
          <w:sz w:val="18"/>
          <w:u w:val="single"/>
          <w:lang w:val="it-IT"/>
        </w:rPr>
        <w:br/>
      </w:r>
      <w:r w:rsidRPr="00D87B79">
        <w:rPr>
          <w:rFonts w:ascii="Tahoma" w:hAnsi="Tahoma" w:cs="Tahoma"/>
          <w:sz w:val="18"/>
          <w:lang w:val="it-IT"/>
        </w:rPr>
        <w:t>Le società con sede in Corea che hanno stipulato contratti multilicenza (Volume License) e che dispongono di un’iscrizione o di un contratto multilicenza (Volume License) attivo con Microsoft Operations Pte Ltd sono idonee ad acquistare i supporti di memorizzazione per Windows 8 Pro KN per la distribuzione e l’utilizzo in</w:t>
      </w:r>
      <w:r>
        <w:rPr>
          <w:rFonts w:ascii="Tahoma" w:hAnsi="Tahoma" w:cs="Tahoma"/>
          <w:sz w:val="18"/>
          <w:lang w:val="it-IT"/>
        </w:rPr>
        <w:t> </w:t>
      </w:r>
      <w:r w:rsidRPr="00D87B79">
        <w:rPr>
          <w:rFonts w:ascii="Tahoma" w:hAnsi="Tahoma" w:cs="Tahoma"/>
          <w:sz w:val="18"/>
          <w:lang w:val="it-IT"/>
        </w:rPr>
        <w:t>Corea.</w:t>
      </w:r>
      <w:r w:rsidRPr="00D87B79">
        <w:rPr>
          <w:rFonts w:ascii="Tahoma" w:hAnsi="Tahoma" w:cs="Tahoma"/>
        </w:rPr>
        <w:t xml:space="preserve"> </w:t>
      </w:r>
      <w:r w:rsidRPr="00D87B79">
        <w:rPr>
          <w:rFonts w:ascii="Tahoma" w:hAnsi="Tahoma" w:cs="Tahoma"/>
          <w:sz w:val="18"/>
          <w:lang w:val="it-IT"/>
        </w:rPr>
        <w:t>Nessun altro utilizzo è consentito.</w:t>
      </w:r>
    </w:p>
    <w:p w:rsidR="00A92422" w:rsidRPr="00D87B79" w:rsidRDefault="00A92422" w:rsidP="00A92422">
      <w:pPr>
        <w:pStyle w:val="FootnoteBulletLevel1"/>
        <w:tabs>
          <w:tab w:val="clear" w:pos="900"/>
        </w:tabs>
        <w:adjustRightInd/>
        <w:spacing w:before="0" w:after="0"/>
        <w:ind w:left="720" w:firstLine="0"/>
        <w:textAlignment w:val="auto"/>
        <w:rPr>
          <w:rFonts w:ascii="Tahoma" w:hAnsi="Tahoma" w:cs="Tahoma"/>
        </w:rPr>
      </w:pPr>
    </w:p>
    <w:p w:rsidR="00A92422" w:rsidRPr="00D87B79" w:rsidRDefault="00A92422" w:rsidP="00A92422">
      <w:pPr>
        <w:pStyle w:val="FootnoteBulletLevel1"/>
        <w:tabs>
          <w:tab w:val="clear" w:pos="900"/>
        </w:tabs>
        <w:adjustRightInd/>
        <w:spacing w:before="0" w:after="60"/>
        <w:ind w:left="720" w:firstLine="0"/>
        <w:textAlignment w:val="auto"/>
        <w:rPr>
          <w:rFonts w:ascii="Tahoma" w:hAnsi="Tahoma" w:cs="Tahoma"/>
        </w:rPr>
      </w:pPr>
      <w:r w:rsidRPr="00D87B79">
        <w:rPr>
          <w:rFonts w:ascii="Tahoma" w:hAnsi="Tahoma" w:cs="Tahoma"/>
          <w:b/>
          <w:sz w:val="18"/>
          <w:lang w:val="it-IT"/>
        </w:rPr>
        <w:t>Windows 8 Pro N (non contiene Windows Media Player)</w:t>
      </w:r>
    </w:p>
    <w:p w:rsidR="00A92422" w:rsidRPr="00D87B79" w:rsidRDefault="00A92422" w:rsidP="00A92422">
      <w:pPr>
        <w:pStyle w:val="FootnoteBulletLevel2"/>
        <w:spacing w:before="0"/>
        <w:ind w:left="720" w:firstLine="0"/>
        <w:rPr>
          <w:rFonts w:ascii="Tahoma" w:hAnsi="Tahoma" w:cs="Tahoma"/>
        </w:rPr>
      </w:pPr>
      <w:r w:rsidRPr="00D87B79">
        <w:rPr>
          <w:rFonts w:ascii="Tahoma" w:hAnsi="Tahoma" w:cs="Tahoma"/>
          <w:sz w:val="18"/>
          <w:u w:val="single"/>
          <w:lang w:val="it-IT"/>
        </w:rPr>
        <w:t>Requisiti di Idoneità</w:t>
      </w:r>
      <w:r w:rsidRPr="00682CA0">
        <w:rPr>
          <w:rFonts w:ascii="Tahoma" w:hAnsi="Tahoma" w:cs="Tahoma"/>
          <w:sz w:val="18"/>
          <w:lang w:val="it-IT"/>
        </w:rPr>
        <w:t>:</w:t>
      </w:r>
      <w:r>
        <w:rPr>
          <w:rFonts w:ascii="Tahoma" w:hAnsi="Tahoma" w:cs="Tahoma"/>
          <w:sz w:val="18"/>
          <w:lang w:val="it-IT"/>
        </w:rPr>
        <w:t xml:space="preserve"> </w:t>
      </w:r>
      <w:r w:rsidRPr="00D87B79">
        <w:rPr>
          <w:rStyle w:val="LogoportPopup"/>
          <w:rFonts w:ascii="Tahoma" w:hAnsi="Tahoma" w:cs="Tahoma"/>
          <w:sz w:val="18"/>
          <w:lang w:val="it-IT"/>
        </w:rPr>
        <w:br/>
      </w:r>
      <w:r w:rsidRPr="00D87B79">
        <w:rPr>
          <w:rFonts w:ascii="Tahoma" w:hAnsi="Tahoma" w:cs="Tahoma"/>
          <w:sz w:val="18"/>
          <w:lang w:val="it-IT"/>
        </w:rPr>
        <w:t>Le società che hanno stipulato contratti multilicenza (Volume License) e che soddisfano tutti i criteri che</w:t>
      </w:r>
      <w:r>
        <w:rPr>
          <w:rFonts w:ascii="Tahoma" w:hAnsi="Tahoma" w:cs="Tahoma"/>
          <w:sz w:val="18"/>
          <w:lang w:val="it-IT"/>
        </w:rPr>
        <w:t> </w:t>
      </w:r>
      <w:r w:rsidRPr="00D87B79">
        <w:rPr>
          <w:rFonts w:ascii="Tahoma" w:hAnsi="Tahoma" w:cs="Tahoma"/>
          <w:sz w:val="18"/>
          <w:lang w:val="it-IT"/>
        </w:rPr>
        <w:t>seguono sono idonee ad acquistare i supporti di memorizzazione per Microsoft Windows 8 Pro N</w:t>
      </w:r>
      <w:r>
        <w:rPr>
          <w:rFonts w:ascii="Tahoma" w:hAnsi="Tahoma" w:cs="Tahoma"/>
          <w:sz w:val="18"/>
          <w:lang w:val="it-IT"/>
        </w:rPr>
        <w:t> </w:t>
      </w:r>
      <w:r w:rsidRPr="00D87B79">
        <w:rPr>
          <w:rFonts w:ascii="Tahoma" w:hAnsi="Tahoma" w:cs="Tahoma"/>
          <w:sz w:val="18"/>
          <w:lang w:val="it-IT"/>
        </w:rPr>
        <w:t>esclusivamente per la distribuzione e l’utilizzo nell’Unione Europea (UE), in uno stato membro dell’Associazione Europea per il Libero Scambio (EFTA), in Bulgaria, in Croazia, in Romania o in Svizzera.</w:t>
      </w:r>
    </w:p>
    <w:p w:rsidR="00A92422" w:rsidRPr="00D87B79" w:rsidRDefault="00A92422" w:rsidP="00A92422">
      <w:pPr>
        <w:pStyle w:val="Footnotedash"/>
        <w:spacing w:before="0" w:after="0"/>
        <w:ind w:left="720" w:hanging="7"/>
        <w:rPr>
          <w:rFonts w:ascii="Tahoma" w:hAnsi="Tahoma" w:cs="Tahoma"/>
        </w:rPr>
      </w:pPr>
      <w:r w:rsidRPr="00D87B79">
        <w:rPr>
          <w:rFonts w:ascii="Tahoma" w:hAnsi="Tahoma" w:cs="Tahoma"/>
          <w:sz w:val="18"/>
          <w:szCs w:val="18"/>
          <w:lang w:val="it-IT"/>
        </w:rPr>
        <w:t>Devono disporre di almeno uno dei seguenti contratti o iscrizioni attivi con Microsoft Ireland Operations Ltd:</w:t>
      </w:r>
      <w:r w:rsidRPr="00D87B79">
        <w:rPr>
          <w:rFonts w:ascii="Tahoma" w:hAnsi="Tahoma" w:cs="Tahoma"/>
          <w:sz w:val="18"/>
          <w:szCs w:val="18"/>
        </w:rPr>
        <w:t xml:space="preserve"> </w:t>
      </w:r>
    </w:p>
    <w:p w:rsidR="00A92422" w:rsidRPr="002671C2" w:rsidRDefault="00A92422" w:rsidP="00A92422">
      <w:pPr>
        <w:pStyle w:val="Footnotedash"/>
        <w:spacing w:before="0" w:after="0"/>
        <w:ind w:left="720" w:hanging="7"/>
        <w:rPr>
          <w:rFonts w:ascii="Tahoma" w:hAnsi="Tahoma" w:cs="Tahoma"/>
          <w:sz w:val="18"/>
          <w:szCs w:val="18"/>
        </w:rPr>
      </w:pPr>
    </w:p>
    <w:p w:rsidR="00A92422" w:rsidRPr="00D87B79" w:rsidRDefault="00A92422" w:rsidP="00A92422">
      <w:pPr>
        <w:pStyle w:val="Footnotedash"/>
        <w:numPr>
          <w:ilvl w:val="0"/>
          <w:numId w:val="79"/>
        </w:numPr>
        <w:adjustRightInd/>
        <w:spacing w:before="0"/>
        <w:textAlignment w:val="auto"/>
        <w:rPr>
          <w:rFonts w:ascii="Tahoma" w:hAnsi="Tahoma" w:cs="Tahoma"/>
        </w:rPr>
      </w:pPr>
      <w:r w:rsidRPr="00D87B79">
        <w:rPr>
          <w:rFonts w:ascii="Tahoma" w:hAnsi="Tahoma" w:cs="Tahoma"/>
          <w:sz w:val="18"/>
          <w:lang w:val="it-IT"/>
        </w:rPr>
        <w:t>Iscrizione Select, Enterprise o Enterprise Subscription</w:t>
      </w:r>
    </w:p>
    <w:p w:rsidR="00A92422" w:rsidRPr="00D87B79" w:rsidRDefault="00A92422" w:rsidP="00A92422">
      <w:pPr>
        <w:pStyle w:val="Footnotedash"/>
        <w:numPr>
          <w:ilvl w:val="0"/>
          <w:numId w:val="79"/>
        </w:numPr>
        <w:adjustRightInd/>
        <w:spacing w:before="0"/>
        <w:textAlignment w:val="auto"/>
        <w:rPr>
          <w:rFonts w:ascii="Tahoma" w:hAnsi="Tahoma" w:cs="Tahoma"/>
        </w:rPr>
      </w:pPr>
      <w:r w:rsidRPr="00D87B79">
        <w:rPr>
          <w:rFonts w:ascii="Tahoma" w:hAnsi="Tahoma" w:cs="Tahoma"/>
          <w:sz w:val="18"/>
          <w:lang w:val="it-IT"/>
        </w:rPr>
        <w:t>Contratti Open License*, Open Value, Campus e School, Open Value Subscription - Education Solutions</w:t>
      </w:r>
      <w:r w:rsidRPr="00D87B79">
        <w:rPr>
          <w:rFonts w:ascii="Tahoma" w:hAnsi="Tahoma" w:cs="Tahoma"/>
        </w:rPr>
        <w:t xml:space="preserve"> </w:t>
      </w:r>
    </w:p>
    <w:p w:rsidR="00A92422" w:rsidRPr="00D87B79" w:rsidRDefault="00A92422" w:rsidP="00A92422">
      <w:pPr>
        <w:pStyle w:val="Footnotedash"/>
        <w:tabs>
          <w:tab w:val="clear" w:pos="1620"/>
        </w:tabs>
        <w:adjustRightInd/>
        <w:spacing w:before="0"/>
        <w:ind w:left="1440" w:firstLine="0"/>
        <w:textAlignment w:val="auto"/>
        <w:rPr>
          <w:rFonts w:ascii="Tahoma" w:hAnsi="Tahoma" w:cs="Tahoma"/>
        </w:rPr>
      </w:pPr>
      <w:r w:rsidRPr="00D87B79">
        <w:rPr>
          <w:rFonts w:ascii="Tahoma" w:hAnsi="Tahoma" w:cs="Tahoma"/>
          <w:sz w:val="18"/>
          <w:lang w:val="it-IT"/>
        </w:rPr>
        <w:t>(*Ai fini del Contratto Open License, un “contratto attivo” è un contratto associato a un Numero di</w:t>
      </w:r>
      <w:r>
        <w:rPr>
          <w:rFonts w:ascii="Tahoma" w:hAnsi="Tahoma" w:cs="Tahoma"/>
          <w:sz w:val="18"/>
          <w:lang w:val="it-IT"/>
        </w:rPr>
        <w:t> </w:t>
      </w:r>
      <w:r w:rsidRPr="00D87B79">
        <w:rPr>
          <w:rFonts w:ascii="Tahoma" w:hAnsi="Tahoma" w:cs="Tahoma"/>
          <w:sz w:val="18"/>
          <w:lang w:val="it-IT"/>
        </w:rPr>
        <w:t>Autorizzazione Open License attivo).</w:t>
      </w:r>
    </w:p>
    <w:p w:rsidR="00A92422" w:rsidRPr="002671C2" w:rsidRDefault="00A92422" w:rsidP="00A92422">
      <w:pPr>
        <w:pStyle w:val="Footnotedash"/>
        <w:tabs>
          <w:tab w:val="clear" w:pos="1620"/>
        </w:tabs>
        <w:adjustRightInd/>
        <w:spacing w:before="0" w:after="0"/>
        <w:ind w:left="1440" w:firstLine="0"/>
        <w:textAlignment w:val="auto"/>
        <w:rPr>
          <w:rFonts w:ascii="Tahoma" w:hAnsi="Tahoma" w:cs="Tahoma"/>
          <w:sz w:val="18"/>
          <w:szCs w:val="18"/>
        </w:rPr>
      </w:pPr>
    </w:p>
    <w:p w:rsidR="00A92422" w:rsidRPr="00D87B79" w:rsidRDefault="00A92422" w:rsidP="00A92422">
      <w:pPr>
        <w:pStyle w:val="Footnotedash"/>
        <w:spacing w:before="0" w:after="0"/>
        <w:ind w:left="720" w:hanging="7"/>
        <w:rPr>
          <w:rFonts w:ascii="Tahoma" w:hAnsi="Tahoma" w:cs="Tahoma"/>
        </w:rPr>
      </w:pPr>
      <w:r w:rsidRPr="00D87B79">
        <w:rPr>
          <w:rFonts w:ascii="Tahoma" w:hAnsi="Tahoma" w:cs="Tahoma"/>
          <w:sz w:val="18"/>
          <w:lang w:val="it-IT"/>
        </w:rPr>
        <w:t>Devono disporre di una copertura Software Assurance attiva per le licenze di aggiornamento per il Sistema Operativo Desktop Windows o per Windows 8 Pro.</w:t>
      </w:r>
    </w:p>
    <w:p w:rsidR="00A92422" w:rsidRPr="002671C2" w:rsidRDefault="00A92422" w:rsidP="00A92422">
      <w:pPr>
        <w:pStyle w:val="Footnotedash"/>
        <w:spacing w:before="0" w:after="0"/>
        <w:ind w:left="720" w:hanging="7"/>
        <w:rPr>
          <w:rFonts w:ascii="Tahoma" w:hAnsi="Tahoma" w:cs="Tahoma"/>
          <w:sz w:val="18"/>
          <w:szCs w:val="18"/>
        </w:rPr>
      </w:pPr>
    </w:p>
    <w:p w:rsidR="00A92422" w:rsidRPr="00D87B79" w:rsidRDefault="00A92422" w:rsidP="00A92422">
      <w:pPr>
        <w:pStyle w:val="Footnotedash"/>
        <w:spacing w:before="0" w:after="0"/>
        <w:ind w:left="720" w:hanging="7"/>
        <w:rPr>
          <w:rFonts w:ascii="Tahoma" w:hAnsi="Tahoma" w:cs="Tahoma"/>
        </w:rPr>
      </w:pPr>
      <w:r w:rsidRPr="00D87B79">
        <w:rPr>
          <w:rFonts w:ascii="Tahoma" w:hAnsi="Tahoma" w:cs="Tahoma"/>
          <w:sz w:val="18"/>
          <w:lang w:val="it-IT"/>
        </w:rPr>
        <w:t>Devono avere sede in uno dei paesi dell’Unione Europea (UE), in uno stato membro dell’Associazione Europea per il Libero Scambio (EFTA), in Bulgaria, in Croazia, in Romania o in Svizzera.</w:t>
      </w:r>
    </w:p>
    <w:p w:rsidR="00A92422" w:rsidRDefault="00A92422" w:rsidP="00A92422">
      <w:pPr>
        <w:pStyle w:val="FootnoteBulletLevel1"/>
        <w:tabs>
          <w:tab w:val="clear" w:pos="900"/>
        </w:tabs>
        <w:adjustRightInd/>
        <w:spacing w:before="0" w:after="0"/>
        <w:ind w:left="720" w:firstLine="0"/>
        <w:textAlignment w:val="auto"/>
        <w:rPr>
          <w:rFonts w:ascii="Tahoma" w:hAnsi="Tahoma" w:cs="Tahoma"/>
          <w:sz w:val="18"/>
          <w:szCs w:val="18"/>
        </w:rPr>
      </w:pPr>
    </w:p>
    <w:p w:rsidR="00A92422" w:rsidRPr="00D87B79" w:rsidRDefault="00A92422" w:rsidP="00A92422">
      <w:pPr>
        <w:pStyle w:val="FootnoteBulletLevel1"/>
        <w:tabs>
          <w:tab w:val="clear" w:pos="900"/>
        </w:tabs>
        <w:adjustRightInd/>
        <w:spacing w:before="0" w:after="60"/>
        <w:ind w:left="720" w:firstLine="0"/>
        <w:textAlignment w:val="auto"/>
        <w:rPr>
          <w:rFonts w:ascii="Tahoma" w:hAnsi="Tahoma" w:cs="Tahoma"/>
        </w:rPr>
      </w:pPr>
      <w:r w:rsidRPr="00D87B79">
        <w:rPr>
          <w:rFonts w:ascii="Tahoma" w:hAnsi="Tahoma" w:cs="Tahoma"/>
          <w:b/>
          <w:sz w:val="18"/>
          <w:lang w:val="it-IT"/>
        </w:rPr>
        <w:t>Diritti di Noleggio per Windows</w:t>
      </w:r>
    </w:p>
    <w:p w:rsidR="00A92422" w:rsidRPr="00D87B79" w:rsidRDefault="00A92422" w:rsidP="00A92422">
      <w:pPr>
        <w:pStyle w:val="FootnoteBulletLevel1"/>
        <w:tabs>
          <w:tab w:val="clear" w:pos="900"/>
        </w:tabs>
        <w:adjustRightInd/>
        <w:spacing w:before="0" w:after="0"/>
        <w:ind w:left="720" w:firstLine="0"/>
        <w:textAlignment w:val="auto"/>
        <w:rPr>
          <w:rFonts w:ascii="Tahoma" w:hAnsi="Tahoma" w:cs="Tahoma"/>
        </w:rPr>
      </w:pPr>
      <w:r w:rsidRPr="00D87B79">
        <w:rPr>
          <w:rFonts w:ascii="Tahoma" w:hAnsi="Tahoma" w:cs="Tahoma"/>
          <w:sz w:val="18"/>
          <w:u w:val="single"/>
          <w:lang w:val="it-IT"/>
        </w:rPr>
        <w:t>Licenze per i Diritti di Noleggio</w:t>
      </w:r>
      <w:r w:rsidRPr="00073F55">
        <w:rPr>
          <w:rFonts w:ascii="Tahoma" w:hAnsi="Tahoma" w:cs="Tahoma"/>
          <w:sz w:val="18"/>
          <w:lang w:val="it-IT"/>
        </w:rPr>
        <w:t>:</w:t>
      </w:r>
      <w:r w:rsidRPr="00D87B79">
        <w:rPr>
          <w:rFonts w:ascii="Tahoma" w:hAnsi="Tahoma" w:cs="Tahoma"/>
          <w:sz w:val="18"/>
          <w:lang w:val="it-IT"/>
        </w:rPr>
        <w:br/>
        <w:t>Le licenze per i diritti di noleggio concesse in base ai presenti programmi sono unicamente licenze add-on.</w:t>
      </w:r>
      <w:r w:rsidRPr="00D87B79">
        <w:rPr>
          <w:rFonts w:ascii="Tahoma" w:hAnsi="Tahoma" w:cs="Tahoma"/>
        </w:rPr>
        <w:t xml:space="preserve"> </w:t>
      </w:r>
      <w:r w:rsidRPr="00D87B79">
        <w:rPr>
          <w:rFonts w:ascii="Tahoma" w:hAnsi="Tahoma" w:cs="Tahoma"/>
          <w:sz w:val="18"/>
          <w:lang w:val="it-IT"/>
        </w:rPr>
        <w:t>Tali licenze non costituiscono né un sistema operativo completo, né una sostituzione per l’aggiornamento Volume License.</w:t>
      </w:r>
      <w:r w:rsidRPr="00D87B79">
        <w:rPr>
          <w:rFonts w:ascii="Tahoma" w:hAnsi="Tahoma" w:cs="Tahoma"/>
        </w:rPr>
        <w:t xml:space="preserve"> </w:t>
      </w:r>
      <w:r w:rsidRPr="00D87B79">
        <w:rPr>
          <w:rFonts w:ascii="Tahoma" w:hAnsi="Tahoma" w:cs="Tahoma"/>
          <w:sz w:val="18"/>
          <w:lang w:val="it-IT"/>
        </w:rPr>
        <w:t>Pertanto, ogni desktop a cui la società assegni una licenza per i diritti di noleggio dovrà avere la licenza per eseguire uno dei sistemi operativi qualificanti indicati di seguito.</w:t>
      </w:r>
    </w:p>
    <w:p w:rsidR="00A92422" w:rsidRDefault="00A92422" w:rsidP="00A92422">
      <w:pPr>
        <w:pStyle w:val="FootnoteBulletLevel1"/>
        <w:tabs>
          <w:tab w:val="clear" w:pos="900"/>
        </w:tabs>
        <w:adjustRightInd/>
        <w:spacing w:before="0" w:after="0"/>
        <w:ind w:left="0" w:firstLine="0"/>
        <w:textAlignment w:val="auto"/>
        <w:rPr>
          <w:rFonts w:ascii="Tahoma" w:hAnsi="Tahoma" w:cs="Tahoma"/>
          <w:sz w:val="18"/>
          <w:u w:val="single"/>
          <w:lang w:val="it-IT"/>
        </w:rPr>
      </w:pPr>
    </w:p>
    <w:p w:rsidR="00A92422" w:rsidRPr="00D87B79" w:rsidRDefault="00A92422" w:rsidP="00A92422">
      <w:pPr>
        <w:pStyle w:val="FootnoteBulletLevel1"/>
        <w:tabs>
          <w:tab w:val="clear" w:pos="900"/>
        </w:tabs>
        <w:adjustRightInd/>
        <w:spacing w:before="0" w:after="0"/>
        <w:ind w:left="720" w:firstLine="0"/>
        <w:textAlignment w:val="auto"/>
        <w:rPr>
          <w:rFonts w:ascii="Tahoma" w:hAnsi="Tahoma" w:cs="Tahoma"/>
        </w:rPr>
      </w:pPr>
      <w:r w:rsidRPr="00D87B79">
        <w:rPr>
          <w:rFonts w:ascii="Tahoma" w:hAnsi="Tahoma" w:cs="Tahoma"/>
          <w:sz w:val="18"/>
          <w:u w:val="single"/>
          <w:lang w:val="it-IT"/>
        </w:rPr>
        <w:t>Windows Vista, Windows 7 Professional e Windows 8 Pro</w:t>
      </w:r>
      <w:r w:rsidRPr="00073F55">
        <w:rPr>
          <w:rFonts w:ascii="Tahoma" w:hAnsi="Tahoma" w:cs="Tahoma"/>
          <w:sz w:val="18"/>
          <w:lang w:val="it-IT"/>
        </w:rPr>
        <w:t>:</w:t>
      </w:r>
    </w:p>
    <w:p w:rsidR="00A92422" w:rsidRPr="00D87B79" w:rsidRDefault="00A92422" w:rsidP="00A92422">
      <w:pPr>
        <w:pStyle w:val="FootnoteBulletLevel1"/>
        <w:tabs>
          <w:tab w:val="clear" w:pos="900"/>
        </w:tabs>
        <w:adjustRightInd/>
        <w:spacing w:before="0" w:after="0"/>
        <w:ind w:left="720" w:firstLine="0"/>
        <w:textAlignment w:val="auto"/>
        <w:rPr>
          <w:rFonts w:ascii="Tahoma" w:hAnsi="Tahoma" w:cs="Tahoma"/>
        </w:rPr>
      </w:pPr>
      <w:r w:rsidRPr="00D87B79">
        <w:rPr>
          <w:rFonts w:ascii="Tahoma" w:hAnsi="Tahoma" w:cs="Tahoma"/>
          <w:sz w:val="18"/>
          <w:lang w:val="it-IT"/>
        </w:rPr>
        <w:t>Le società che intendono acquistare licenze per i diritti di noleggio attraverso i programmi Select o Open License devono prima disporre della licenza relativa a un sistema operativo qualificante e installarlo sul loro desktop.</w:t>
      </w:r>
      <w:r w:rsidRPr="00D87B79">
        <w:rPr>
          <w:rFonts w:ascii="Tahoma" w:hAnsi="Tahoma" w:cs="Tahoma"/>
        </w:rPr>
        <w:t xml:space="preserve"> </w:t>
      </w:r>
      <w:r w:rsidRPr="00D87B79">
        <w:rPr>
          <w:rFonts w:ascii="Tahoma" w:hAnsi="Tahoma" w:cs="Tahoma"/>
          <w:sz w:val="18"/>
          <w:lang w:val="it-IT"/>
        </w:rPr>
        <w:t>I sistemi operativi con licenza qualificanti includono anche licenze acquistate tramite il Contratto Get Genuine Windows nell’ambito di tali programmi.</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u w:val="single"/>
          <w:lang w:val="it-IT"/>
        </w:rPr>
        <w:t>Regole per i Sistemi Operativi Qualificanti</w:t>
      </w:r>
      <w:r w:rsidRPr="00073F55">
        <w:rPr>
          <w:rFonts w:cs="Tahoma"/>
          <w:lang w:val="it-IT"/>
        </w:rPr>
        <w:t>:</w:t>
      </w:r>
      <w:r w:rsidRPr="00D87B79">
        <w:rPr>
          <w:rFonts w:cs="Tahoma"/>
          <w:szCs w:val="18"/>
        </w:rPr>
        <w:t xml:space="preserve"> </w:t>
      </w:r>
      <w:r w:rsidRPr="00D87B79">
        <w:rPr>
          <w:rFonts w:cs="Tahoma"/>
          <w:lang w:val="it-IT"/>
        </w:rPr>
        <w:t>(ciascuna di queste condizioni deve essere soddisfatta affinché il</w:t>
      </w:r>
      <w:r>
        <w:rPr>
          <w:rFonts w:cs="Tahoma"/>
          <w:lang w:val="it-IT"/>
        </w:rPr>
        <w:t> </w:t>
      </w:r>
      <w:r w:rsidRPr="00D87B79">
        <w:rPr>
          <w:rFonts w:cs="Tahoma"/>
          <w:lang w:val="it-IT"/>
        </w:rPr>
        <w:t>Sistema Operativo qualifichi la società per ottenere la licenza relativa ai Diritti di Noleggio):</w:t>
      </w:r>
      <w:r w:rsidRPr="00D87B79">
        <w:rPr>
          <w:rFonts w:cs="Tahoma"/>
          <w:szCs w:val="18"/>
        </w:rPr>
        <w:t xml:space="preserve"> </w:t>
      </w:r>
    </w:p>
    <w:p w:rsidR="00A92422" w:rsidRPr="00D87B79" w:rsidRDefault="00A92422" w:rsidP="00A92422">
      <w:pPr>
        <w:ind w:left="1440"/>
        <w:rPr>
          <w:rFonts w:cs="Tahoma"/>
        </w:rPr>
      </w:pPr>
    </w:p>
    <w:p w:rsidR="00A92422" w:rsidRPr="00D87B79" w:rsidRDefault="00A92422" w:rsidP="00A92422">
      <w:pPr>
        <w:numPr>
          <w:ilvl w:val="0"/>
          <w:numId w:val="25"/>
        </w:numPr>
        <w:ind w:left="1440"/>
        <w:rPr>
          <w:rFonts w:cs="Tahoma"/>
        </w:rPr>
      </w:pPr>
      <w:r w:rsidRPr="00D87B79">
        <w:rPr>
          <w:rFonts w:cs="Tahoma"/>
          <w:lang w:val="it-IT"/>
        </w:rPr>
        <w:t>La licenza per l’OS qualificante deve essere assegnata allo stesso dispositivo a cui deve essere assegnata la licenza per i Diritti di Noleggio VL.</w:t>
      </w:r>
    </w:p>
    <w:p w:rsidR="00A92422" w:rsidRPr="00D87B79" w:rsidRDefault="00A92422" w:rsidP="00A92422">
      <w:pPr>
        <w:numPr>
          <w:ilvl w:val="0"/>
          <w:numId w:val="25"/>
        </w:numPr>
        <w:ind w:left="1440"/>
        <w:rPr>
          <w:rFonts w:cs="Tahoma"/>
        </w:rPr>
      </w:pPr>
      <w:r w:rsidRPr="00D87B79">
        <w:rPr>
          <w:rFonts w:cs="Tahoma"/>
          <w:lang w:val="it-IT"/>
        </w:rPr>
        <w:t>L’OS qualificante deve essere installata su tale dispositivo.</w:t>
      </w:r>
    </w:p>
    <w:p w:rsidR="00A92422" w:rsidRPr="00D87B79" w:rsidRDefault="00A92422" w:rsidP="00A92422">
      <w:pPr>
        <w:rPr>
          <w:rFonts w:cs="Tahoma"/>
        </w:rPr>
      </w:pPr>
    </w:p>
    <w:p w:rsidR="00A92422" w:rsidRPr="00D87B79" w:rsidRDefault="00A92422" w:rsidP="00A92422">
      <w:pPr>
        <w:pStyle w:val="EndnoteText"/>
        <w:ind w:left="720"/>
        <w:rPr>
          <w:rFonts w:ascii="Tahoma" w:hAnsi="Tahoma" w:cs="Tahoma"/>
        </w:rPr>
      </w:pPr>
      <w:r w:rsidRPr="00D87B79">
        <w:rPr>
          <w:rFonts w:ascii="Tahoma" w:hAnsi="Tahoma" w:cs="Tahoma"/>
          <w:sz w:val="18"/>
          <w:lang w:val="it-IT"/>
        </w:rPr>
        <w:lastRenderedPageBreak/>
        <w:t>I sistemi operativi qualificanti in base al tipo di Programma sono:</w:t>
      </w:r>
    </w:p>
    <w:p w:rsidR="00A92422" w:rsidRPr="002014B8" w:rsidRDefault="00A92422" w:rsidP="00A92422">
      <w:pPr>
        <w:pStyle w:val="EndnoteText"/>
        <w:rPr>
          <w:rFonts w:ascii="Tahoma" w:hAnsi="Tahoma" w:cs="Tahoma"/>
          <w:sz w:val="18"/>
          <w:szCs w:val="18"/>
        </w:rPr>
      </w:pPr>
    </w:p>
    <w:tbl>
      <w:tblPr>
        <w:tblW w:w="8379" w:type="dxa"/>
        <w:tblInd w:w="100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A92422" w:rsidRPr="00D87B79" w:rsidTr="00EA30FC">
        <w:trPr>
          <w:trHeight w:val="375"/>
          <w:tblHeader/>
        </w:trPr>
        <w:tc>
          <w:tcPr>
            <w:tcW w:w="362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A92422" w:rsidRPr="00D87B79" w:rsidRDefault="00A92422" w:rsidP="00EA30FC">
            <w:pPr>
              <w:jc w:val="center"/>
              <w:rPr>
                <w:rFonts w:eastAsia="Times New Roman" w:cs="Tahoma"/>
                <w:b/>
                <w:bCs/>
                <w:szCs w:val="18"/>
              </w:rPr>
            </w:pPr>
            <w:r w:rsidRPr="00D87B79">
              <w:rPr>
                <w:rFonts w:cs="Tahoma"/>
                <w:b/>
                <w:lang w:val="it-IT"/>
              </w:rPr>
              <w:t>Sistemi Operativi Qualificanti per l’acquisto dei Diritti di Noleggio per Windows</w:t>
            </w:r>
          </w:p>
        </w:tc>
        <w:tc>
          <w:tcPr>
            <w:tcW w:w="4736" w:type="dxa"/>
            <w:gridSpan w:val="4"/>
            <w:tcBorders>
              <w:top w:val="nil"/>
              <w:left w:val="nil"/>
              <w:bottom w:val="single" w:sz="8" w:space="0" w:color="auto"/>
              <w:right w:val="nil"/>
            </w:tcBorders>
            <w:vAlign w:val="center"/>
          </w:tcPr>
          <w:p w:rsidR="00A92422" w:rsidRPr="00D87B79" w:rsidRDefault="00A92422" w:rsidP="00EA30FC">
            <w:pPr>
              <w:rPr>
                <w:rFonts w:eastAsia="Times New Roman" w:cs="Tahoma"/>
                <w:szCs w:val="18"/>
              </w:rPr>
            </w:pPr>
            <w:r w:rsidRPr="00D87B79">
              <w:rPr>
                <w:rFonts w:cs="Tahoma"/>
                <w:szCs w:val="18"/>
              </w:rPr>
              <w:t> </w:t>
            </w:r>
          </w:p>
        </w:tc>
        <w:tc>
          <w:tcPr>
            <w:tcW w:w="16" w:type="dxa"/>
            <w:vAlign w:val="center"/>
          </w:tcPr>
          <w:p w:rsidR="00A92422" w:rsidRPr="00D87B79" w:rsidRDefault="00A92422" w:rsidP="00EA30FC">
            <w:pPr>
              <w:rPr>
                <w:rFonts w:eastAsia="Times New Roman" w:cs="Tahoma"/>
                <w:szCs w:val="18"/>
              </w:rPr>
            </w:pPr>
          </w:p>
        </w:tc>
      </w:tr>
      <w:tr w:rsidR="00A92422" w:rsidRPr="00D87B79" w:rsidTr="00EA30FC">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rsidR="00A92422" w:rsidRPr="00D87B79" w:rsidRDefault="00A92422" w:rsidP="00EA30FC">
            <w:pPr>
              <w:rPr>
                <w:rFonts w:eastAsia="Times New Roman" w:cs="Tahoma"/>
                <w:bCs/>
                <w:szCs w:val="18"/>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A92422" w:rsidRPr="00D87B79" w:rsidRDefault="00A92422" w:rsidP="00EA30FC">
            <w:pPr>
              <w:jc w:val="center"/>
              <w:rPr>
                <w:rFonts w:eastAsia="Times New Roman" w:cs="Tahoma"/>
                <w:b/>
                <w:bCs/>
                <w:sz w:val="14"/>
                <w:szCs w:val="18"/>
              </w:rPr>
            </w:pPr>
            <w:r w:rsidRPr="00D87B79">
              <w:rPr>
                <w:rFonts w:cs="Tahoma"/>
                <w:b/>
                <w:sz w:val="14"/>
                <w:lang w:val="it-IT"/>
              </w:rPr>
              <w:t>OEM</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A92422" w:rsidRPr="00D87B79" w:rsidRDefault="00A92422" w:rsidP="00EA30FC">
            <w:pPr>
              <w:jc w:val="center"/>
              <w:rPr>
                <w:rFonts w:eastAsia="Times New Roman" w:cs="Tahoma"/>
                <w:b/>
                <w:bCs/>
                <w:sz w:val="14"/>
                <w:szCs w:val="18"/>
              </w:rPr>
            </w:pPr>
            <w:r w:rsidRPr="00D87B79">
              <w:rPr>
                <w:rFonts w:cs="Tahoma"/>
                <w:b/>
                <w:sz w:val="14"/>
                <w:lang w:val="it-IT"/>
              </w:rPr>
              <w:t>FPP</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A92422" w:rsidRPr="00D87B79" w:rsidRDefault="00A92422" w:rsidP="00EA30FC">
            <w:pPr>
              <w:jc w:val="center"/>
              <w:rPr>
                <w:rFonts w:eastAsia="Times New Roman" w:cs="Tahoma"/>
                <w:b/>
                <w:bCs/>
                <w:sz w:val="14"/>
                <w:szCs w:val="18"/>
              </w:rPr>
            </w:pPr>
            <w:r w:rsidRPr="00D87B79">
              <w:rPr>
                <w:rFonts w:cs="Tahoma"/>
                <w:b/>
                <w:sz w:val="14"/>
                <w:lang w:val="it-IT"/>
              </w:rPr>
              <w:t>Select/Select Plus</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A92422" w:rsidRPr="00D87B79" w:rsidRDefault="00A92422" w:rsidP="00EA30FC">
            <w:pPr>
              <w:jc w:val="center"/>
              <w:rPr>
                <w:rFonts w:eastAsia="Times New Roman" w:cs="Tahoma"/>
                <w:b/>
                <w:bCs/>
                <w:sz w:val="14"/>
                <w:szCs w:val="18"/>
              </w:rPr>
            </w:pPr>
            <w:r w:rsidRPr="00D87B79">
              <w:rPr>
                <w:rFonts w:cs="Tahoma"/>
                <w:b/>
                <w:sz w:val="14"/>
                <w:lang w:val="it-IT"/>
              </w:rPr>
              <w:t>Licenza Open</w:t>
            </w:r>
          </w:p>
        </w:tc>
        <w:tc>
          <w:tcPr>
            <w:tcW w:w="16" w:type="dxa"/>
            <w:vAlign w:val="center"/>
          </w:tcPr>
          <w:p w:rsidR="00A92422" w:rsidRPr="00D87B79" w:rsidRDefault="00A92422" w:rsidP="00EA30FC">
            <w:pPr>
              <w:rPr>
                <w:rFonts w:eastAsia="Times New Roman" w:cs="Tahoma"/>
                <w:szCs w:val="18"/>
              </w:rPr>
            </w:pPr>
          </w:p>
        </w:tc>
      </w:tr>
      <w:tr w:rsidR="00A92422" w:rsidRPr="00D87B79" w:rsidTr="00EA30F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rPr>
                <w:rFonts w:cs="Tahoma"/>
                <w:b/>
                <w:bCs/>
                <w:szCs w:val="18"/>
              </w:rPr>
            </w:pPr>
            <w:r w:rsidRPr="00D87B79">
              <w:rPr>
                <w:rFonts w:cs="Tahoma"/>
                <w:b/>
                <w:lang w:val="it-IT"/>
              </w:rPr>
              <w:t>Windows 8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p>
        </w:tc>
        <w:tc>
          <w:tcPr>
            <w:tcW w:w="16" w:type="dxa"/>
            <w:vAlign w:val="center"/>
          </w:tcPr>
          <w:p w:rsidR="00A92422" w:rsidRPr="00D87B79" w:rsidRDefault="00A92422" w:rsidP="00EA30FC">
            <w:pPr>
              <w:rPr>
                <w:rFonts w:eastAsia="Times New Roman" w:cs="Tahoma"/>
                <w:szCs w:val="18"/>
              </w:rPr>
            </w:pPr>
          </w:p>
        </w:tc>
      </w:tr>
      <w:tr w:rsidR="00A92422" w:rsidRPr="00D87B79" w:rsidTr="00EA30F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ind w:left="522"/>
              <w:rPr>
                <w:rFonts w:cs="Tahoma"/>
                <w:b/>
                <w:bCs/>
                <w:szCs w:val="18"/>
              </w:rPr>
            </w:pPr>
            <w:r w:rsidRPr="00D87B79">
              <w:rPr>
                <w:rFonts w:cs="Tahoma"/>
                <w:lang w:val="it-IT"/>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6" w:type="dxa"/>
            <w:vAlign w:val="center"/>
          </w:tcPr>
          <w:p w:rsidR="00A92422" w:rsidRPr="00D87B79" w:rsidRDefault="00A92422" w:rsidP="00EA30FC">
            <w:pPr>
              <w:rPr>
                <w:rFonts w:eastAsia="Times New Roman" w:cs="Tahoma"/>
                <w:szCs w:val="18"/>
              </w:rPr>
            </w:pPr>
          </w:p>
        </w:tc>
      </w:tr>
      <w:tr w:rsidR="00A92422" w:rsidRPr="00D87B79" w:rsidTr="00EA30F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rPr>
                <w:rFonts w:eastAsia="Times New Roman" w:cs="Tahoma"/>
                <w:b/>
                <w:bCs/>
                <w:szCs w:val="18"/>
              </w:rPr>
            </w:pPr>
            <w:r w:rsidRPr="00D87B79">
              <w:rPr>
                <w:rFonts w:cs="Tahoma"/>
                <w:b/>
                <w:lang w:val="it-IT"/>
              </w:rPr>
              <w:t>Windows 7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p>
        </w:tc>
        <w:tc>
          <w:tcPr>
            <w:tcW w:w="16" w:type="dxa"/>
            <w:vAlign w:val="center"/>
          </w:tcPr>
          <w:p w:rsidR="00A92422" w:rsidRPr="00D87B79" w:rsidRDefault="00A92422" w:rsidP="00EA30FC">
            <w:pPr>
              <w:rPr>
                <w:rFonts w:eastAsia="Times New Roman" w:cs="Tahoma"/>
                <w:szCs w:val="18"/>
              </w:rPr>
            </w:pPr>
          </w:p>
        </w:tc>
      </w:tr>
      <w:tr w:rsidR="00A92422" w:rsidRPr="00D87B79" w:rsidTr="00EA30F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ind w:left="522"/>
              <w:rPr>
                <w:rFonts w:eastAsia="Times New Roman" w:cs="Tahoma"/>
                <w:bCs/>
                <w:szCs w:val="18"/>
              </w:rPr>
            </w:pPr>
            <w:r w:rsidRPr="00D87B79">
              <w:rPr>
                <w:rFonts w:cs="Tahoma"/>
                <w:lang w:val="it-IT"/>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6" w:type="dxa"/>
            <w:vAlign w:val="center"/>
          </w:tcPr>
          <w:p w:rsidR="00A92422" w:rsidRPr="00D87B79" w:rsidRDefault="00A92422" w:rsidP="00EA30FC">
            <w:pPr>
              <w:rPr>
                <w:rFonts w:eastAsia="Times New Roman" w:cs="Tahoma"/>
                <w:szCs w:val="18"/>
              </w:rPr>
            </w:pPr>
          </w:p>
        </w:tc>
      </w:tr>
      <w:tr w:rsidR="00A92422" w:rsidRPr="00D87B79" w:rsidTr="00EA30F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rPr>
                <w:rFonts w:eastAsia="Times New Roman" w:cs="Tahoma"/>
                <w:b/>
                <w:bCs/>
                <w:szCs w:val="18"/>
              </w:rPr>
            </w:pPr>
            <w:r w:rsidRPr="00D87B79">
              <w:rPr>
                <w:rFonts w:cs="Tahoma"/>
                <w:b/>
                <w:lang w:val="it-IT"/>
              </w:rPr>
              <w:t>Windows Vista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szCs w:val="18"/>
              </w:rPr>
              <w:t> </w:t>
            </w:r>
          </w:p>
        </w:tc>
        <w:tc>
          <w:tcPr>
            <w:tcW w:w="16" w:type="dxa"/>
            <w:vAlign w:val="center"/>
          </w:tcPr>
          <w:p w:rsidR="00A92422" w:rsidRPr="00D87B79" w:rsidRDefault="00A92422" w:rsidP="00EA30FC">
            <w:pPr>
              <w:rPr>
                <w:rFonts w:eastAsia="Times New Roman" w:cs="Tahoma"/>
                <w:szCs w:val="18"/>
              </w:rPr>
            </w:pPr>
          </w:p>
        </w:tc>
      </w:tr>
      <w:tr w:rsidR="00A92422" w:rsidRPr="00D87B79" w:rsidTr="00EA30F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ind w:firstLine="540"/>
              <w:rPr>
                <w:rFonts w:eastAsia="Times New Roman" w:cs="Tahoma"/>
                <w:szCs w:val="18"/>
              </w:rPr>
            </w:pPr>
            <w:r w:rsidRPr="00D87B79">
              <w:rPr>
                <w:rFonts w:cs="Tahoma"/>
                <w:lang w:val="it-IT"/>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92422" w:rsidRPr="00D87B79" w:rsidRDefault="00A92422" w:rsidP="00EA30FC">
            <w:pPr>
              <w:jc w:val="center"/>
              <w:rPr>
                <w:rFonts w:eastAsia="Times New Roman" w:cs="Tahoma"/>
                <w:szCs w:val="18"/>
              </w:rPr>
            </w:pPr>
            <w:r w:rsidRPr="00D87B79">
              <w:rPr>
                <w:rFonts w:cs="Tahoma"/>
                <w:lang w:val="it-IT"/>
              </w:rPr>
              <w:t>x</w:t>
            </w:r>
          </w:p>
        </w:tc>
        <w:tc>
          <w:tcPr>
            <w:tcW w:w="16" w:type="dxa"/>
            <w:vAlign w:val="center"/>
          </w:tcPr>
          <w:p w:rsidR="00A92422" w:rsidRPr="00D87B79" w:rsidRDefault="00A92422" w:rsidP="00EA30FC">
            <w:pPr>
              <w:rPr>
                <w:rFonts w:eastAsia="Times New Roman" w:cs="Tahoma"/>
                <w:szCs w:val="18"/>
              </w:rPr>
            </w:pPr>
          </w:p>
        </w:tc>
      </w:tr>
    </w:tbl>
    <w:p w:rsidR="00A92422" w:rsidRPr="00D87B79" w:rsidRDefault="00A92422" w:rsidP="00A92422">
      <w:pPr>
        <w:rPr>
          <w:rFonts w:cs="Tahoma"/>
        </w:rPr>
      </w:pPr>
    </w:p>
    <w:p w:rsidR="00A92422" w:rsidRPr="00D87B79" w:rsidRDefault="00A92422" w:rsidP="00A92422">
      <w:pPr>
        <w:ind w:left="720"/>
        <w:rPr>
          <w:rFonts w:cs="Tahoma"/>
        </w:rPr>
      </w:pPr>
      <w:r w:rsidRPr="00D87B79">
        <w:rPr>
          <w:rFonts w:cs="Tahoma"/>
          <w:lang w:val="it-IT"/>
        </w:rPr>
        <w:t>Le società che acquistano la licenza relativa ai diritti di noleggio in aggiunta alla licenza per il sistema operativo qualificante beneficeranno di un’estensione dei diritti contemplati dalla licenza del sistema operativo qualificante per consentire l’utilizzo da parte di terzi dello stesso software.</w:t>
      </w:r>
      <w:r w:rsidRPr="00D87B79">
        <w:rPr>
          <w:rFonts w:cs="Tahoma"/>
        </w:rPr>
        <w:t xml:space="preserve"> </w:t>
      </w:r>
      <w:r w:rsidRPr="00D87B79">
        <w:rPr>
          <w:rFonts w:cs="Tahoma"/>
          <w:lang w:val="it-IT"/>
        </w:rPr>
        <w:t>La licenza di noleggio non costituisce una concessione per un aggiornamento della versione.</w:t>
      </w:r>
      <w:r w:rsidRPr="00D87B79">
        <w:rPr>
          <w:rFonts w:cs="Tahoma"/>
        </w:rPr>
        <w:t xml:space="preserve"> </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u w:val="single"/>
          <w:lang w:val="it-IT"/>
        </w:rPr>
        <w:t>Eccezione per Software Assurance</w:t>
      </w:r>
    </w:p>
    <w:p w:rsidR="00A92422" w:rsidRPr="00D87B79" w:rsidRDefault="00A92422" w:rsidP="00A92422">
      <w:pPr>
        <w:ind w:left="720"/>
        <w:rPr>
          <w:rFonts w:cs="Tahoma"/>
        </w:rPr>
      </w:pPr>
      <w:r w:rsidRPr="00D87B79">
        <w:rPr>
          <w:rFonts w:cs="Tahoma"/>
          <w:szCs w:val="18"/>
          <w:lang w:val="it-IT"/>
        </w:rPr>
        <w:t>Le società che acquistano licenze per i diritti di noleggio non sono idonee a ricevere Software Assurance</w:t>
      </w:r>
      <w:r>
        <w:rPr>
          <w:rFonts w:cs="Tahoma"/>
          <w:szCs w:val="18"/>
          <w:lang w:val="it-IT"/>
        </w:rPr>
        <w:t> </w:t>
      </w:r>
      <w:r w:rsidRPr="00D87B79">
        <w:rPr>
          <w:rFonts w:cs="Tahoma"/>
          <w:szCs w:val="18"/>
          <w:lang w:val="it-IT"/>
        </w:rPr>
        <w:t>per</w:t>
      </w:r>
      <w:r>
        <w:rPr>
          <w:rFonts w:cs="Tahoma"/>
          <w:szCs w:val="18"/>
          <w:lang w:val="it-IT"/>
        </w:rPr>
        <w:t> </w:t>
      </w:r>
      <w:r w:rsidRPr="00D87B79">
        <w:rPr>
          <w:rFonts w:cs="Tahoma"/>
          <w:szCs w:val="18"/>
          <w:lang w:val="it-IT"/>
        </w:rPr>
        <w:t>le stesse licenze software sottostanti.</w:t>
      </w:r>
      <w:r w:rsidRPr="00D87B79">
        <w:rPr>
          <w:rFonts w:cs="Tahoma"/>
          <w:szCs w:val="18"/>
        </w:rPr>
        <w:t xml:space="preserve"> </w:t>
      </w:r>
      <w:r w:rsidRPr="00D87B79">
        <w:rPr>
          <w:rFonts w:cs="Tahoma"/>
          <w:szCs w:val="18"/>
          <w:lang w:val="it-IT"/>
        </w:rPr>
        <w:t>Tuttavia, gli utenti che prendono in locazione/leasing e</w:t>
      </w:r>
      <w:r>
        <w:rPr>
          <w:rFonts w:cs="Tahoma"/>
          <w:szCs w:val="18"/>
          <w:lang w:val="it-IT"/>
        </w:rPr>
        <w:t> </w:t>
      </w:r>
      <w:r w:rsidRPr="00D87B79">
        <w:rPr>
          <w:rFonts w:cs="Tahoma"/>
          <w:szCs w:val="18"/>
          <w:lang w:val="it-IT"/>
        </w:rPr>
        <w:t>utilizzano dispositivi a cui sono assegnate licenze per i diritti di noleggio potranno acquistare Aggiornamenti o Aggiornamenti &amp; Software Assurance per le licenze software sottostanti, conformemente alle condizioni del</w:t>
      </w:r>
      <w:r>
        <w:rPr>
          <w:rFonts w:cs="Tahoma"/>
          <w:szCs w:val="18"/>
          <w:lang w:val="it-IT"/>
        </w:rPr>
        <w:t> </w:t>
      </w:r>
      <w:r w:rsidRPr="00D87B79">
        <w:rPr>
          <w:rFonts w:cs="Tahoma"/>
          <w:szCs w:val="18"/>
          <w:lang w:val="it-IT"/>
        </w:rPr>
        <w:t>contratto che disciplina l’acquisizione degli Aggiornamenti e di Software Assurance.</w:t>
      </w:r>
      <w:r w:rsidRPr="00D87B79">
        <w:rPr>
          <w:rFonts w:cs="Tahoma"/>
          <w:szCs w:val="18"/>
        </w:rPr>
        <w:t xml:space="preserve"> </w:t>
      </w:r>
      <w:r w:rsidRPr="00D87B79">
        <w:rPr>
          <w:rFonts w:cs="Tahoma"/>
          <w:szCs w:val="18"/>
          <w:lang w:val="it-IT"/>
        </w:rPr>
        <w:t>Nonostante quanto diversamente stabilito nel contratto della società relativamente alla maturazione di</w:t>
      </w:r>
      <w:r>
        <w:rPr>
          <w:rFonts w:cs="Tahoma"/>
          <w:szCs w:val="18"/>
          <w:lang w:val="it-IT"/>
        </w:rPr>
        <w:t> </w:t>
      </w:r>
      <w:r w:rsidRPr="00D87B79">
        <w:rPr>
          <w:rFonts w:cs="Tahoma"/>
          <w:szCs w:val="18"/>
          <w:lang w:val="it-IT"/>
        </w:rPr>
        <w:t>diritti</w:t>
      </w:r>
      <w:r>
        <w:rPr>
          <w:rFonts w:cs="Tahoma"/>
          <w:szCs w:val="18"/>
          <w:lang w:val="it-IT"/>
        </w:rPr>
        <w:t> </w:t>
      </w:r>
      <w:r w:rsidRPr="00D87B79">
        <w:rPr>
          <w:rFonts w:cs="Tahoma"/>
          <w:szCs w:val="18"/>
          <w:lang w:val="it-IT"/>
        </w:rPr>
        <w:t>perpetui, il diritto di</w:t>
      </w:r>
      <w:r>
        <w:rPr>
          <w:rFonts w:cs="Tahoma"/>
          <w:szCs w:val="18"/>
          <w:lang w:val="it-IT"/>
        </w:rPr>
        <w:t> </w:t>
      </w:r>
      <w:r w:rsidRPr="00D87B79">
        <w:rPr>
          <w:rFonts w:cs="Tahoma"/>
          <w:szCs w:val="18"/>
          <w:lang w:val="it-IT"/>
        </w:rPr>
        <w:t>utilizzo del software ai sensi di tale copertura cesserà alla scadenza delle relative licenze per i diritti di</w:t>
      </w:r>
      <w:r>
        <w:rPr>
          <w:rFonts w:cs="Tahoma"/>
          <w:szCs w:val="18"/>
          <w:lang w:val="it-IT"/>
        </w:rPr>
        <w:t> </w:t>
      </w:r>
      <w:r w:rsidRPr="00D87B79">
        <w:rPr>
          <w:rFonts w:cs="Tahoma"/>
          <w:szCs w:val="18"/>
          <w:lang w:val="it-IT"/>
        </w:rPr>
        <w:t>noleggio.</w:t>
      </w:r>
      <w:r w:rsidRPr="00D87B79">
        <w:rPr>
          <w:rFonts w:cs="Tahoma"/>
          <w:szCs w:val="18"/>
        </w:rPr>
        <w:t xml:space="preserve"> </w:t>
      </w:r>
    </w:p>
    <w:p w:rsidR="00A92422" w:rsidRPr="00D87B79" w:rsidRDefault="00A92422" w:rsidP="00A92422">
      <w:pPr>
        <w:rPr>
          <w:rFonts w:cs="Tahoma"/>
        </w:rPr>
      </w:pPr>
    </w:p>
    <w:p w:rsidR="00A92422" w:rsidRPr="00D87B79" w:rsidRDefault="00A92422" w:rsidP="00A92422">
      <w:pPr>
        <w:pStyle w:val="Heading2"/>
        <w:ind w:left="0"/>
        <w:rPr>
          <w:rFonts w:ascii="Tahoma" w:hAnsi="Tahoma" w:cs="Tahoma"/>
        </w:rPr>
      </w:pPr>
      <w:r w:rsidRPr="00D87B79">
        <w:rPr>
          <w:rFonts w:ascii="Tahoma" w:hAnsi="Tahoma" w:cs="Tahoma"/>
          <w:sz w:val="28"/>
        </w:rPr>
        <w:br w:type="page"/>
      </w:r>
      <w:bookmarkStart w:id="1171" w:name="_Toc336338287"/>
      <w:bookmarkStart w:id="1172" w:name="_Toc342900336"/>
      <w:bookmarkEnd w:id="1171"/>
      <w:r w:rsidRPr="00D87B79">
        <w:rPr>
          <w:rFonts w:ascii="Tahoma" w:hAnsi="Tahoma" w:cs="Tahoma"/>
          <w:sz w:val="28"/>
          <w:lang w:val="it-IT"/>
        </w:rPr>
        <w:lastRenderedPageBreak/>
        <w:t>Pool di Server</w:t>
      </w:r>
      <w:bookmarkEnd w:id="1172"/>
    </w:p>
    <w:p w:rsidR="00A92422" w:rsidRPr="00D87B79" w:rsidRDefault="00A92422" w:rsidP="00A92422">
      <w:pPr>
        <w:pStyle w:val="EndnoteText"/>
        <w:rPr>
          <w:rFonts w:ascii="Tahoma" w:hAnsi="Tahoma" w:cs="Tahoma"/>
        </w:rPr>
      </w:pPr>
    </w:p>
    <w:p w:rsidR="00A92422" w:rsidRPr="00C43CF4" w:rsidRDefault="00A92422" w:rsidP="00A92422">
      <w:pPr>
        <w:pStyle w:val="EndnoteText"/>
        <w:rPr>
          <w:rFonts w:ascii="Tahoma" w:hAnsi="Tahoma" w:cs="Tahoma"/>
        </w:rPr>
      </w:pPr>
    </w:p>
    <w:p w:rsidR="00A92422" w:rsidRPr="00D87B79" w:rsidRDefault="00A92422" w:rsidP="00A92422">
      <w:pPr>
        <w:pStyle w:val="Heading3"/>
        <w:rPr>
          <w:rFonts w:ascii="Tahoma" w:hAnsi="Tahoma" w:cs="Tahoma"/>
        </w:rPr>
      </w:pPr>
      <w:bookmarkStart w:id="1173" w:name="Srv_27BingMapsSvrandContentPack"/>
      <w:bookmarkStart w:id="1174" w:name="_Toc336338288"/>
      <w:bookmarkStart w:id="1175" w:name="_Toc342900337"/>
      <w:bookmarkEnd w:id="1173"/>
      <w:bookmarkEnd w:id="1174"/>
      <w:r w:rsidRPr="00D87B79">
        <w:rPr>
          <w:rFonts w:ascii="Tahoma" w:hAnsi="Tahoma" w:cs="Tahoma"/>
          <w:caps/>
          <w:color w:val="F66400"/>
          <w:sz w:val="22"/>
          <w:vertAlign w:val="superscript"/>
          <w:lang w:val="it-IT"/>
        </w:rPr>
        <w:t>27</w:t>
      </w:r>
      <w:r w:rsidRPr="00D87B79">
        <w:rPr>
          <w:rFonts w:ascii="Tahoma" w:hAnsi="Tahoma" w:cs="Tahoma"/>
          <w:color w:val="F66400"/>
          <w:sz w:val="22"/>
          <w:lang w:val="it-IT"/>
        </w:rPr>
        <w:t xml:space="preserve"> Bing Maps Server e Bing Maps Server con Enhanced Content Pack</w:t>
      </w:r>
      <w:bookmarkEnd w:id="1175"/>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u w:val="single"/>
          <w:lang w:val="it-IT"/>
        </w:rPr>
        <w:t>Servizi di Generazione Necessari</w:t>
      </w:r>
      <w:r w:rsidRPr="006554A8">
        <w:rPr>
          <w:rFonts w:cs="Tahoma"/>
          <w:lang w:val="it-IT"/>
        </w:rPr>
        <w:t>.</w:t>
      </w:r>
      <w:r w:rsidRPr="00D87B79">
        <w:rPr>
          <w:rFonts w:cs="Tahoma"/>
        </w:rPr>
        <w:t xml:space="preserve"> </w:t>
      </w:r>
      <w:r w:rsidRPr="00D87B79">
        <w:rPr>
          <w:rFonts w:cs="Tahoma"/>
          <w:lang w:val="it-IT"/>
        </w:rPr>
        <w:t>Bing Maps Server e Bing Maps Server con Enhanced Content Pack richiedono abbonamenti annuali per il software Server/CAL e i servizi di generazione del sistema di Vexcel, filiale geospaziale di Microsoft.</w:t>
      </w:r>
      <w:r w:rsidRPr="00D87B79">
        <w:rPr>
          <w:rFonts w:cs="Tahoma"/>
        </w:rPr>
        <w:t xml:space="preserve"> </w:t>
      </w:r>
      <w:bookmarkStart w:id="1176" w:name="Srv_25BingMapsandAddons"/>
      <w:bookmarkEnd w:id="1176"/>
      <w:r w:rsidRPr="00D87B79">
        <w:rPr>
          <w:rFonts w:cs="Tahoma"/>
          <w:lang w:val="it-IT"/>
        </w:rPr>
        <w:t xml:space="preserve">Servizi aggiuntivi di formazione, supporto e manutenzione sono disponibili, ma non necessari. Per ulteriori informazioni, visitare il sito </w:t>
      </w:r>
      <w:hyperlink r:id="rId33" w:history="1">
        <w:r w:rsidRPr="00D87B79">
          <w:rPr>
            <w:rStyle w:val="Hyperlink"/>
            <w:rFonts w:cs="Tahoma"/>
            <w:lang w:val="it-IT"/>
          </w:rPr>
          <w:t>http://www.vexcel.com/geospatial/bingmapsserver/index.asp</w:t>
        </w:r>
      </w:hyperlink>
      <w:r w:rsidRPr="00D87B79">
        <w:rPr>
          <w:rFonts w:cs="Tahoma"/>
          <w:lang w:val="it-IT"/>
        </w:rPr>
        <w:t>.</w:t>
      </w:r>
    </w:p>
    <w:p w:rsidR="00A92422" w:rsidRPr="00D87B79" w:rsidRDefault="00A92422" w:rsidP="00A92422">
      <w:pPr>
        <w:ind w:left="720"/>
        <w:rPr>
          <w:rFonts w:cs="Tahoma"/>
        </w:rPr>
      </w:pPr>
    </w:p>
    <w:p w:rsidR="00A92422" w:rsidRPr="00D87B79" w:rsidRDefault="00A92422" w:rsidP="00A92422">
      <w:pPr>
        <w:ind w:left="720"/>
        <w:rPr>
          <w:rFonts w:cs="Tahoma"/>
        </w:rPr>
      </w:pPr>
    </w:p>
    <w:p w:rsidR="00A92422" w:rsidRPr="00D87B79" w:rsidRDefault="00A92422" w:rsidP="00A92422">
      <w:pPr>
        <w:pStyle w:val="Heading3"/>
        <w:rPr>
          <w:rFonts w:ascii="Tahoma" w:hAnsi="Tahoma" w:cs="Tahoma"/>
        </w:rPr>
      </w:pPr>
      <w:bookmarkStart w:id="1177" w:name="_Toc336338289"/>
      <w:bookmarkStart w:id="1178" w:name="_28_Bing_Maps"/>
      <w:bookmarkStart w:id="1179" w:name="_Toc342900338"/>
      <w:bookmarkEnd w:id="1177"/>
      <w:bookmarkEnd w:id="1178"/>
      <w:r w:rsidRPr="00D87B79">
        <w:rPr>
          <w:rFonts w:ascii="Tahoma" w:hAnsi="Tahoma" w:cs="Tahoma"/>
          <w:caps/>
          <w:color w:val="F66400"/>
          <w:sz w:val="22"/>
          <w:vertAlign w:val="superscript"/>
          <w:lang w:val="it-IT"/>
        </w:rPr>
        <w:t>28</w:t>
      </w:r>
      <w:r w:rsidRPr="00D87B79">
        <w:rPr>
          <w:rFonts w:ascii="Tahoma" w:hAnsi="Tahoma" w:cs="Tahoma"/>
          <w:color w:val="F66400"/>
          <w:sz w:val="22"/>
          <w:lang w:val="it-IT"/>
        </w:rPr>
        <w:t xml:space="preserve"> Bing Maps 25KTrx, 250KTrx e Add-On Illimitati (SL Add-on)</w:t>
      </w:r>
      <w:bookmarkEnd w:id="1179"/>
    </w:p>
    <w:p w:rsidR="00A92422" w:rsidRPr="006554A8" w:rsidRDefault="00A92422" w:rsidP="00A92422">
      <w:pPr>
        <w:pStyle w:val="EndnoteText"/>
        <w:rPr>
          <w:rFonts w:ascii="Tahoma" w:hAnsi="Tahoma" w:cs="Tahoma"/>
          <w:sz w:val="18"/>
          <w:szCs w:val="18"/>
        </w:rPr>
      </w:pPr>
    </w:p>
    <w:p w:rsidR="00A92422" w:rsidRPr="00D87B79" w:rsidRDefault="00A92422" w:rsidP="00A92422">
      <w:pPr>
        <w:ind w:left="720"/>
        <w:rPr>
          <w:rFonts w:cs="Tahoma"/>
        </w:rPr>
      </w:pPr>
      <w:r w:rsidRPr="00D87B79">
        <w:rPr>
          <w:rFonts w:cs="Tahoma"/>
          <w:szCs w:val="20"/>
          <w:lang w:val="it-IT"/>
        </w:rPr>
        <w:t>Transazioni a pagamento.</w:t>
      </w:r>
      <w:r w:rsidRPr="00D87B79">
        <w:rPr>
          <w:rFonts w:cs="Tahoma"/>
          <w:szCs w:val="20"/>
        </w:rPr>
        <w:t xml:space="preserve"> </w:t>
      </w:r>
      <w:r w:rsidRPr="00D87B79">
        <w:rPr>
          <w:rFonts w:cs="Tahoma"/>
          <w:szCs w:val="20"/>
          <w:lang w:val="it-IT"/>
        </w:rPr>
        <w:t>Le transazioni a pagamento includono qualsiasi prodotto tra i seguenti (come definiti negli SDK):</w:t>
      </w:r>
      <w:r w:rsidRPr="00D87B79">
        <w:rPr>
          <w:rFonts w:cs="Tahoma"/>
          <w:szCs w:val="20"/>
        </w:rPr>
        <w:t xml:space="preserve"> </w:t>
      </w:r>
      <w:r w:rsidRPr="00D87B79">
        <w:rPr>
          <w:rFonts w:cs="Tahoma"/>
          <w:szCs w:val="20"/>
          <w:lang w:val="it-IT"/>
        </w:rPr>
        <w:t>(a) chiamate di metodo Imagery o Route oppure chiamate di metodo Geocode che restituiscono una mappa, nei Servizi Web Bing Maps, e (b) una sessione nel Controllo Bing Maps AJAX o Silverlight, nel quale una sessione inizia con il caricamento del Controllo nel browser di un utente e include tutte le transazioni fino a quando il browser non viene chiuso o l’utente non si sposta su una pagina diversa.</w:t>
      </w:r>
      <w:r w:rsidRPr="00D87B79">
        <w:rPr>
          <w:rFonts w:cs="Tahoma"/>
        </w:rPr>
        <w:t xml:space="preserve"> </w:t>
      </w:r>
      <w:r w:rsidRPr="00D87B79">
        <w:rPr>
          <w:rFonts w:cs="Tahoma"/>
          <w:lang w:val="it-IT"/>
        </w:rPr>
        <w:t>Nuove funzionalità del Servizio potranno essere aggiunte di volta in volta, le quali, se utilizzate dalla Società, potranno costituire una Transazione a Pagamento come descritto nell’SDK.</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lang w:val="it-IT"/>
        </w:rPr>
        <w:t>Ciascuna SL Add-on è composta da una quantità di transazioni al mese pari a 25.000, 250.000 e/o Illimitate.</w:t>
      </w:r>
      <w:r w:rsidRPr="00D87B79">
        <w:rPr>
          <w:rFonts w:cs="Tahoma"/>
        </w:rPr>
        <w:t xml:space="preserve"> </w:t>
      </w:r>
      <w:r w:rsidRPr="00D87B79">
        <w:rPr>
          <w:rFonts w:cs="Tahoma"/>
          <w:lang w:val="it-IT"/>
        </w:rPr>
        <w:t>Le società potranno acquistare più SL Add-on o l’SL add-on Illimitata per aumentare le transazioni mensili.</w:t>
      </w:r>
      <w:r w:rsidRPr="00D87B79">
        <w:rPr>
          <w:rFonts w:cs="Tahoma"/>
        </w:rPr>
        <w:t xml:space="preserve"> </w:t>
      </w:r>
      <w:r w:rsidRPr="00D87B79">
        <w:rPr>
          <w:rFonts w:cs="Tahoma"/>
          <w:lang w:val="it-IT"/>
        </w:rPr>
        <w:t>Le transazioni non utilizzate (25.000 e/o 250.000) potranno essere cumulate a quelle del mese successivo fino alla ricorrenza annuale dell’iscrizione.</w:t>
      </w:r>
      <w:r w:rsidRPr="00D87B79">
        <w:rPr>
          <w:rFonts w:cs="Tahoma"/>
        </w:rPr>
        <w:t xml:space="preserve"> </w:t>
      </w:r>
      <w:r w:rsidRPr="00D87B79">
        <w:rPr>
          <w:rFonts w:cs="Tahoma"/>
          <w:lang w:val="it-IT"/>
        </w:rPr>
        <w:t>In tale data, tutte le transazioni non utilizzate accumulate fino a</w:t>
      </w:r>
      <w:r>
        <w:rPr>
          <w:rFonts w:cs="Tahoma"/>
          <w:lang w:val="it-IT"/>
        </w:rPr>
        <w:t> </w:t>
      </w:r>
      <w:r w:rsidRPr="00D87B79">
        <w:rPr>
          <w:rFonts w:cs="Tahoma"/>
          <w:lang w:val="it-IT"/>
        </w:rPr>
        <w:t>quel momento [scadranno/andranno perse].</w:t>
      </w:r>
      <w:r w:rsidRPr="00D87B79">
        <w:rPr>
          <w:rFonts w:cs="Tahoma"/>
        </w:rPr>
        <w:t xml:space="preserve"> </w:t>
      </w:r>
      <w:r w:rsidRPr="00D87B79">
        <w:rPr>
          <w:rFonts w:cs="Tahoma"/>
          <w:lang w:val="it-IT"/>
        </w:rPr>
        <w:t>Analogamente, le società potranno superare il numero di transazioni accumulate in un mese, di mese in mese, purché il numero totale di transazioni utilizzate non superi il numero totale di transazioni che le società possono accumulare in un qualunque anno del periodo di</w:t>
      </w:r>
      <w:r>
        <w:rPr>
          <w:rFonts w:cs="Tahoma"/>
          <w:lang w:val="it-IT"/>
        </w:rPr>
        <w:t> </w:t>
      </w:r>
      <w:r w:rsidRPr="00D87B79">
        <w:rPr>
          <w:rFonts w:cs="Tahoma"/>
          <w:lang w:val="it-IT"/>
        </w:rPr>
        <w:t>validità dell’iscrizione.</w:t>
      </w:r>
      <w:r w:rsidRPr="00D87B79">
        <w:rPr>
          <w:rFonts w:cs="Tahoma"/>
        </w:rPr>
        <w:t xml:space="preserve"> </w:t>
      </w:r>
      <w:r w:rsidRPr="00D87B79">
        <w:rPr>
          <w:rFonts w:cs="Tahoma"/>
          <w:lang w:val="it-IT"/>
        </w:rPr>
        <w:t>Le società devono acquistare SL Add-on aggiuntive a copertura delle potenziali transazioni non appena utilizzano il numero di transazioni che possono accumulare in un qualunque anno</w:t>
      </w:r>
      <w:r>
        <w:rPr>
          <w:rFonts w:cs="Tahoma"/>
          <w:lang w:val="it-IT"/>
        </w:rPr>
        <w:t> </w:t>
      </w:r>
      <w:r w:rsidRPr="00D87B79">
        <w:rPr>
          <w:rFonts w:cs="Tahoma"/>
          <w:lang w:val="it-IT"/>
        </w:rPr>
        <w:t>del periodo di validità dell’iscrizione ai sensi delle SL Add-on esistenti.</w:t>
      </w:r>
    </w:p>
    <w:p w:rsidR="00A92422" w:rsidRPr="00D87B79" w:rsidRDefault="00A92422" w:rsidP="00A92422">
      <w:pPr>
        <w:pStyle w:val="EndnoteText"/>
        <w:ind w:hanging="180"/>
        <w:rPr>
          <w:rFonts w:ascii="Tahoma" w:hAnsi="Tahoma" w:cs="Tahoma"/>
        </w:rPr>
      </w:pPr>
      <w:r w:rsidRPr="00D87B79">
        <w:rPr>
          <w:rFonts w:ascii="Tahoma" w:hAnsi="Tahoma" w:cs="Tahoma"/>
          <w:color w:val="000000"/>
          <w:sz w:val="18"/>
          <w:lang w:val="it-IT"/>
        </w:rPr>
        <w:t>Fare riferimento all'</w:t>
      </w:r>
      <w:hyperlink w:anchor="_ARTICOLO_5_–" w:history="1">
        <w:r w:rsidRPr="00D87B79">
          <w:rPr>
            <w:rStyle w:val="Hyperlink"/>
            <w:rFonts w:ascii="Tahoma" w:hAnsi="Tahoma" w:cs="Tahoma"/>
            <w:sz w:val="18"/>
            <w:lang w:val="it-IT"/>
          </w:rPr>
          <w:t>Articolo 5</w:t>
        </w:r>
      </w:hyperlink>
      <w:r w:rsidRPr="00D87B79">
        <w:rPr>
          <w:rFonts w:ascii="Tahoma" w:hAnsi="Tahoma" w:cs="Tahoma"/>
          <w:color w:val="000000"/>
          <w:sz w:val="18"/>
          <w:lang w:val="it-IT"/>
        </w:rPr>
        <w:t xml:space="preserve"> per i prezzi dei servizi online e le condizioni di pagamento.</w:t>
      </w:r>
      <w:r w:rsidRPr="00D87B79">
        <w:rPr>
          <w:rFonts w:ascii="Tahoma" w:hAnsi="Tahoma" w:cs="Tahoma"/>
        </w:rPr>
        <w:t xml:space="preserve"> </w:t>
      </w:r>
    </w:p>
    <w:p w:rsidR="00A92422" w:rsidRPr="00C37716" w:rsidRDefault="00A92422" w:rsidP="00A92422">
      <w:pPr>
        <w:pStyle w:val="EndnoteText"/>
        <w:rPr>
          <w:rFonts w:ascii="Tahoma" w:hAnsi="Tahoma" w:cs="Tahoma"/>
          <w:sz w:val="18"/>
          <w:szCs w:val="18"/>
        </w:rPr>
      </w:pPr>
    </w:p>
    <w:p w:rsidR="00A92422" w:rsidRPr="00C37716" w:rsidRDefault="00A92422" w:rsidP="00A92422">
      <w:pPr>
        <w:pStyle w:val="EndnoteText"/>
        <w:rPr>
          <w:rFonts w:ascii="Tahoma" w:hAnsi="Tahoma" w:cs="Tahoma"/>
          <w:sz w:val="18"/>
          <w:szCs w:val="18"/>
        </w:rPr>
      </w:pPr>
    </w:p>
    <w:p w:rsidR="00A92422" w:rsidRPr="00D87B79" w:rsidRDefault="00A92422" w:rsidP="00A92422">
      <w:pPr>
        <w:pStyle w:val="Heading3"/>
        <w:rPr>
          <w:rFonts w:ascii="Tahoma" w:hAnsi="Tahoma" w:cs="Tahoma"/>
        </w:rPr>
      </w:pPr>
      <w:bookmarkStart w:id="1180" w:name="Srv_26_BizTalkServerBranch"/>
      <w:bookmarkStart w:id="1181" w:name="_Toc336338290"/>
      <w:bookmarkStart w:id="1182" w:name="_Toc342900339"/>
      <w:bookmarkStart w:id="1183" w:name="Srv_29BizTalk09BranchEd"/>
      <w:bookmarkEnd w:id="1180"/>
      <w:bookmarkEnd w:id="1181"/>
      <w:r w:rsidRPr="00D87B79">
        <w:rPr>
          <w:rFonts w:ascii="Tahoma" w:hAnsi="Tahoma" w:cs="Tahoma"/>
          <w:caps/>
          <w:color w:val="F66400"/>
          <w:sz w:val="22"/>
          <w:vertAlign w:val="superscript"/>
          <w:lang w:val="it-IT"/>
        </w:rPr>
        <w:t>29</w:t>
      </w:r>
      <w:r w:rsidRPr="00D87B79">
        <w:rPr>
          <w:rFonts w:ascii="Tahoma" w:hAnsi="Tahoma" w:cs="Tahoma"/>
          <w:color w:val="F66400"/>
          <w:sz w:val="22"/>
          <w:lang w:val="it-IT"/>
        </w:rPr>
        <w:t xml:space="preserve"> BizTalk</w:t>
      </w:r>
      <w:r w:rsidRPr="003A0F2F">
        <w:rPr>
          <w:rFonts w:ascii="Tahoma" w:hAnsi="Tahoma" w:cs="Tahoma"/>
          <w:color w:val="F66400"/>
          <w:sz w:val="22"/>
          <w:vertAlign w:val="superscript"/>
          <w:lang w:val="it-IT"/>
        </w:rPr>
        <w:t>®</w:t>
      </w:r>
      <w:r w:rsidRPr="00D87B79">
        <w:rPr>
          <w:rFonts w:ascii="Tahoma" w:hAnsi="Tahoma" w:cs="Tahoma"/>
          <w:color w:val="F66400"/>
          <w:sz w:val="22"/>
          <w:lang w:val="it-IT"/>
        </w:rPr>
        <w:t xml:space="preserve"> Server 2010 Branch Edition</w:t>
      </w:r>
      <w:bookmarkEnd w:id="1182"/>
    </w:p>
    <w:p w:rsidR="00A92422" w:rsidRPr="00D87B79" w:rsidRDefault="00A92422" w:rsidP="00A92422">
      <w:pPr>
        <w:rPr>
          <w:rFonts w:cs="Tahoma"/>
        </w:rPr>
      </w:pPr>
    </w:p>
    <w:bookmarkEnd w:id="1183"/>
    <w:p w:rsidR="00A92422" w:rsidRPr="00D87B79" w:rsidRDefault="00A92422" w:rsidP="00A92422">
      <w:pPr>
        <w:spacing w:after="60"/>
        <w:ind w:left="720"/>
        <w:rPr>
          <w:rFonts w:cs="Tahoma"/>
        </w:rPr>
      </w:pPr>
      <w:r w:rsidRPr="00D87B79">
        <w:rPr>
          <w:rFonts w:cs="Tahoma"/>
          <w:b/>
          <w:color w:val="000000"/>
          <w:lang w:val="it-IT"/>
        </w:rPr>
        <w:t>Diritti di Step-Up</w:t>
      </w:r>
    </w:p>
    <w:p w:rsidR="00A92422" w:rsidRPr="00D87B79" w:rsidRDefault="00A92422" w:rsidP="00A92422">
      <w:pPr>
        <w:ind w:left="720"/>
        <w:rPr>
          <w:rFonts w:cs="Tahoma"/>
        </w:rPr>
      </w:pPr>
      <w:r w:rsidRPr="00D87B79">
        <w:rPr>
          <w:rFonts w:cs="Tahoma"/>
          <w:lang w:val="it-IT"/>
        </w:rPr>
        <w:t xml:space="preserve">Le società che abbiano stipulato contratti Enterprise, Select o Open Value e che dispongano della copertura Software Assurance attiva su BizTalk Server 2009 Branch Edition potranno effettuare lo step-up a BizTalk Server 2009 Standard o Enterprise Edition dopo aver acquistato lo </w:t>
      </w:r>
      <w:hyperlink w:anchor="Step_Up" w:history="1">
        <w:r w:rsidRPr="00D87B79">
          <w:rPr>
            <w:rFonts w:cs="Tahoma"/>
            <w:color w:val="000000"/>
            <w:lang w:val="it-IT"/>
          </w:rPr>
          <w:t>SKU di Step-Up</w:t>
        </w:r>
      </w:hyperlink>
      <w:r w:rsidRPr="00D87B79">
        <w:rPr>
          <w:rFonts w:cs="Tahoma"/>
          <w:lang w:val="it-IT"/>
        </w:rPr>
        <w:t xml:space="preserve"> idoneo.</w:t>
      </w:r>
    </w:p>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color w:val="000000"/>
          <w:lang w:val="it-IT"/>
        </w:rPr>
        <w:t>Diritti di Downgrade</w:t>
      </w:r>
      <w:r w:rsidRPr="00D87B79">
        <w:rPr>
          <w:rFonts w:cs="Tahoma"/>
        </w:rPr>
        <w:t xml:space="preserve"> </w:t>
      </w:r>
    </w:p>
    <w:p w:rsidR="00A92422" w:rsidRPr="00D87B79" w:rsidRDefault="00A92422" w:rsidP="00A92422">
      <w:pPr>
        <w:ind w:left="720"/>
        <w:rPr>
          <w:rFonts w:cs="Tahoma"/>
        </w:rPr>
      </w:pPr>
      <w:r w:rsidRPr="00D87B79">
        <w:rPr>
          <w:rFonts w:cs="Tahoma"/>
          <w:color w:val="000000"/>
          <w:lang w:val="it-IT"/>
        </w:rPr>
        <w:t>Le società che abbiano stipulato contratti Volume License e che siano titolari di una licenza per BizTalk Server 2009 Branch Edition potranno utilizzare Host Integration Server 2006 e qualunque versione precedente di Host Integration Server Standard Edition.</w:t>
      </w:r>
    </w:p>
    <w:p w:rsidR="00A92422"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color w:val="000000"/>
          <w:lang w:val="it-IT"/>
        </w:rPr>
        <w:t>Percorso di Migrazione per società con Host Integration Server 2006 Iscritte a SA</w:t>
      </w:r>
    </w:p>
    <w:p w:rsidR="00A92422" w:rsidRPr="00D87B79" w:rsidRDefault="00A92422" w:rsidP="00A92422">
      <w:pPr>
        <w:ind w:left="720"/>
        <w:rPr>
          <w:rFonts w:cs="Tahoma"/>
        </w:rPr>
      </w:pPr>
      <w:r w:rsidRPr="00D87B79">
        <w:rPr>
          <w:rFonts w:cs="Tahoma"/>
          <w:color w:val="000000"/>
          <w:szCs w:val="20"/>
          <w:lang w:val="it-IT"/>
        </w:rPr>
        <w:t>Per ciascuna licenza di Host Integration Server 2006 (o versione precedente) che una società con contratto Volume License ha inserito nell’iscrizione per Software Assurance al 1 settembre 2007, la società sarà autorizzata a utilizzare BizTalk Server 2006 R2 Branch Edition (o qualunque versione successiva di tale prodotto) su un (1) processore al posto di Host Integration Server 2006. Il diritto di utilizzo di BizTalk Server 2006 R2 Branch Edition da parte della società cesserà alla cessione o risoluzione del diritto della società di utilizzare la copia corrispondente di Host Integration Server 2006. L’utilizzo di BizTalk Server 2006 R2 Branch Edition da parte della società ai sensi della presente offerta è soggetto ai diritti di utilizzo del prodotto e alle condizioni del contratto Volume License stipulato dalla società.</w:t>
      </w:r>
      <w:r w:rsidRPr="00D87B79">
        <w:rPr>
          <w:rFonts w:cs="Tahoma"/>
        </w:rPr>
        <w:t xml:space="preserve"> </w:t>
      </w:r>
      <w:r w:rsidRPr="00D87B79">
        <w:rPr>
          <w:rFonts w:cs="Tahoma"/>
          <w:color w:val="000000"/>
          <w:lang w:val="it-IT"/>
        </w:rPr>
        <w:t xml:space="preserve">Al termine del periodo di validità di Software </w:t>
      </w:r>
      <w:r w:rsidRPr="00D87B79">
        <w:rPr>
          <w:rFonts w:cs="Tahoma"/>
          <w:color w:val="000000"/>
          <w:lang w:val="it-IT"/>
        </w:rPr>
        <w:lastRenderedPageBreak/>
        <w:t>Assurance per Host Integration Server 2006, la società potrà rinnovare la protezione degli aggiornamenti per BizTalk Server 2006 R2 Branch Edition invece di Host Integration Server 2006.</w:t>
      </w:r>
    </w:p>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color w:val="000000"/>
          <w:lang w:val="it-IT"/>
        </w:rPr>
        <w:t>BizTalk RFID Mobile e RFID Mobile Standards Pack</w:t>
      </w:r>
    </w:p>
    <w:p w:rsidR="00A92422" w:rsidRPr="00D87B79" w:rsidRDefault="00A92422" w:rsidP="00A92422">
      <w:pPr>
        <w:ind w:left="720"/>
        <w:rPr>
          <w:rFonts w:cs="Tahoma"/>
        </w:rPr>
      </w:pPr>
      <w:r w:rsidRPr="00D87B79">
        <w:rPr>
          <w:rFonts w:cs="Tahoma"/>
          <w:color w:val="000000"/>
          <w:lang w:val="it-IT"/>
        </w:rPr>
        <w:t>Le società titolari di licenze Biz Talk Server Branch Edition con copertura Software Assurance attiva in data 31 ottobre 2008 sono idonee a utilizzare BizTalk RFID Mobile e BizTalk RFID Standards Pack. L’utilizzo di questo software è soggetto ai diritti di utilizzo di BizTalk Server 2006 R2 Branch Edition.</w:t>
      </w:r>
      <w:r w:rsidRPr="00D87B79">
        <w:rPr>
          <w:rFonts w:cs="Tahoma"/>
        </w:rPr>
        <w:t xml:space="preserve"> </w:t>
      </w:r>
      <w:r w:rsidRPr="00D87B79">
        <w:rPr>
          <w:rFonts w:cs="Tahoma"/>
          <w:color w:val="000000"/>
          <w:lang w:val="it-IT"/>
        </w:rPr>
        <w:t>Il diritto di utilizzo di questo componente da parte della società diventerà perpetuo quando il diritto di utilizzo di BizTalk Server Branch Edition diventerà anch’esso perpetuo.</w:t>
      </w:r>
    </w:p>
    <w:p w:rsidR="00A92422" w:rsidRPr="00D87B79" w:rsidRDefault="00A92422" w:rsidP="00A92422">
      <w:pPr>
        <w:ind w:left="540"/>
        <w:rPr>
          <w:rFonts w:cs="Tahoma"/>
        </w:rPr>
      </w:pPr>
    </w:p>
    <w:p w:rsidR="00A92422" w:rsidRPr="00D87B79" w:rsidRDefault="00A92422" w:rsidP="00A92422">
      <w:pPr>
        <w:ind w:left="540"/>
        <w:rPr>
          <w:rFonts w:cs="Tahoma"/>
        </w:rPr>
      </w:pPr>
    </w:p>
    <w:p w:rsidR="00A92422" w:rsidRPr="00D87B79" w:rsidRDefault="00A92422" w:rsidP="00A92422">
      <w:pPr>
        <w:pStyle w:val="Heading3"/>
        <w:rPr>
          <w:rFonts w:ascii="Tahoma" w:hAnsi="Tahoma" w:cs="Tahoma"/>
        </w:rPr>
      </w:pPr>
      <w:bookmarkStart w:id="1184" w:name="_29_BizTalk®_Server"/>
      <w:bookmarkStart w:id="1185" w:name="_Toc336338291"/>
      <w:bookmarkStart w:id="1186" w:name="_Toc342900340"/>
      <w:bookmarkStart w:id="1187" w:name="Srv_30BizTalk09EntEd"/>
      <w:bookmarkStart w:id="1188" w:name="Srv_27BizTalkSvr2009EntEd"/>
      <w:bookmarkEnd w:id="1184"/>
      <w:bookmarkEnd w:id="1185"/>
      <w:r w:rsidRPr="00D87B79">
        <w:rPr>
          <w:rFonts w:ascii="Tahoma" w:hAnsi="Tahoma" w:cs="Tahoma"/>
          <w:caps/>
          <w:color w:val="F66400"/>
          <w:sz w:val="22"/>
          <w:vertAlign w:val="superscript"/>
          <w:lang w:val="it-IT"/>
        </w:rPr>
        <w:t>30</w:t>
      </w:r>
      <w:r w:rsidRPr="00D87B79">
        <w:rPr>
          <w:rFonts w:ascii="Tahoma" w:hAnsi="Tahoma" w:cs="Tahoma"/>
          <w:color w:val="F66400"/>
          <w:sz w:val="22"/>
          <w:lang w:val="it-IT"/>
        </w:rPr>
        <w:t xml:space="preserve"> BizTalk</w:t>
      </w:r>
      <w:r w:rsidRPr="003A0F2F">
        <w:rPr>
          <w:rFonts w:ascii="Tahoma" w:hAnsi="Tahoma" w:cs="Tahoma"/>
          <w:color w:val="F66400"/>
          <w:sz w:val="22"/>
          <w:vertAlign w:val="superscript"/>
          <w:lang w:val="it-IT"/>
        </w:rPr>
        <w:t>®</w:t>
      </w:r>
      <w:r w:rsidRPr="00D87B79">
        <w:rPr>
          <w:rFonts w:ascii="Tahoma" w:hAnsi="Tahoma" w:cs="Tahoma"/>
          <w:color w:val="F66400"/>
          <w:sz w:val="22"/>
          <w:lang w:val="it-IT"/>
        </w:rPr>
        <w:t xml:space="preserve"> Server 2010 Enterprise Edition</w:t>
      </w:r>
      <w:bookmarkEnd w:id="1186"/>
    </w:p>
    <w:bookmarkEnd w:id="1187"/>
    <w:bookmarkEnd w:id="1188"/>
    <w:p w:rsidR="00A92422" w:rsidRPr="00D87B79" w:rsidRDefault="00A92422" w:rsidP="00A92422">
      <w:pPr>
        <w:rPr>
          <w:rFonts w:cs="Tahoma"/>
        </w:rPr>
      </w:pPr>
    </w:p>
    <w:p w:rsidR="00A92422" w:rsidRPr="00D87B79" w:rsidRDefault="00A92422" w:rsidP="00A92422">
      <w:pPr>
        <w:spacing w:after="60"/>
        <w:ind w:left="720"/>
        <w:rPr>
          <w:rFonts w:cs="Tahoma"/>
        </w:rPr>
      </w:pPr>
      <w:r w:rsidRPr="00D87B79">
        <w:rPr>
          <w:rFonts w:cs="Tahoma"/>
          <w:b/>
          <w:color w:val="000000"/>
          <w:lang w:val="it-IT"/>
        </w:rPr>
        <w:t>Diritti di Downgrade</w:t>
      </w:r>
    </w:p>
    <w:p w:rsidR="00A92422" w:rsidRPr="00D87B79" w:rsidRDefault="00A92422" w:rsidP="00A92422">
      <w:pPr>
        <w:ind w:left="720"/>
        <w:rPr>
          <w:rFonts w:cs="Tahoma"/>
        </w:rPr>
      </w:pPr>
      <w:r w:rsidRPr="00D87B79">
        <w:rPr>
          <w:rFonts w:cs="Tahoma"/>
          <w:szCs w:val="20"/>
          <w:lang w:val="it-IT"/>
        </w:rPr>
        <w:t>Le società che abbiano stipulato contratti Volume License e che siano titolari di una licenza per BizTalk Server 2009 Enterprise Edition potranno utilizzare qualunque versione precedente di BizTalk Server Enterprise Edition, Host Integration Server (qualunque versione), BizTalk Adapter for MQSeries 1.0, BizTalk SAP Adapter, BizTalk Accelerator for HIPAA Enterprise Edition, BizTalk Accelerator for RosettaNet Enterprise Edition, BizTalk Accelerator for SWIFT Enterprise Edition e BizTalk Accelerator for HL7 Enterprise Edition.</w:t>
      </w:r>
      <w:r w:rsidRPr="00D87B79">
        <w:rPr>
          <w:rFonts w:cs="Tahoma"/>
          <w:szCs w:val="20"/>
        </w:rPr>
        <w:t xml:space="preserve"> </w:t>
      </w:r>
    </w:p>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color w:val="000000"/>
          <w:lang w:val="it-IT"/>
        </w:rPr>
        <w:t>Percorso di Migrazione per Società con BizTalk Server Accelerator Iscritte a SA</w:t>
      </w:r>
    </w:p>
    <w:p w:rsidR="00A92422" w:rsidRPr="00D87B79" w:rsidRDefault="00A92422" w:rsidP="00A92422">
      <w:pPr>
        <w:ind w:left="720"/>
        <w:rPr>
          <w:rFonts w:cs="Tahoma"/>
        </w:rPr>
      </w:pPr>
      <w:r w:rsidRPr="00D87B79">
        <w:rPr>
          <w:rFonts w:cs="Tahoma"/>
          <w:szCs w:val="20"/>
          <w:lang w:val="it-IT"/>
        </w:rPr>
        <w:t>Ogni due (2) licenze per prodotti BizTalk Server Accelerator riportati nel seguente elenco che una società che abbia stipulato un contratto Volume License avrà aggiunto alla copertura Software Assurance entro il 1</w:t>
      </w:r>
      <w:r>
        <w:rPr>
          <w:rFonts w:cs="Tahoma"/>
          <w:szCs w:val="20"/>
          <w:lang w:val="it-IT"/>
        </w:rPr>
        <w:t> </w:t>
      </w:r>
      <w:r w:rsidRPr="00D87B79">
        <w:rPr>
          <w:rFonts w:cs="Tahoma"/>
          <w:szCs w:val="20"/>
          <w:lang w:val="it-IT"/>
        </w:rPr>
        <w:t>settembre 2007, la società sarà autorizzata a utilizzare la versione corrispondente di BizTalk Server 2006 R2 (o eventuali versioni successive di tale prodotto) su un (1) processore al posto di BizTalk Accelerator.</w:t>
      </w:r>
      <w:r w:rsidRPr="00D87B79">
        <w:rPr>
          <w:rFonts w:cs="Tahoma"/>
          <w:szCs w:val="20"/>
        </w:rPr>
        <w:t xml:space="preserve"> </w:t>
      </w:r>
      <w:r w:rsidRPr="00D87B79">
        <w:rPr>
          <w:rFonts w:cs="Tahoma"/>
          <w:szCs w:val="20"/>
          <w:lang w:val="it-IT"/>
        </w:rPr>
        <w:t>Il</w:t>
      </w:r>
      <w:r>
        <w:rPr>
          <w:rFonts w:cs="Tahoma"/>
          <w:szCs w:val="20"/>
          <w:lang w:val="it-IT"/>
        </w:rPr>
        <w:t> </w:t>
      </w:r>
      <w:r w:rsidRPr="00D87B79">
        <w:rPr>
          <w:rFonts w:cs="Tahoma"/>
          <w:szCs w:val="20"/>
          <w:lang w:val="it-IT"/>
        </w:rPr>
        <w:t>diritto di utilizzo di BizTalk Server 2006 R2 da parte della società cesserà alla scadenza o risoluzione del diritto di utilizzo della copia corrispondente di BizTalk Accelerator.</w:t>
      </w:r>
      <w:r w:rsidRPr="00D87B79">
        <w:rPr>
          <w:rFonts w:cs="Tahoma"/>
          <w:szCs w:val="20"/>
        </w:rPr>
        <w:t xml:space="preserve"> </w:t>
      </w:r>
      <w:r w:rsidRPr="00D87B79">
        <w:rPr>
          <w:rFonts w:cs="Tahoma"/>
          <w:szCs w:val="20"/>
          <w:lang w:val="it-IT"/>
        </w:rPr>
        <w:t>All’utilizzo da parte della società di BizTalk</w:t>
      </w:r>
      <w:r>
        <w:rPr>
          <w:rFonts w:cs="Tahoma"/>
          <w:szCs w:val="20"/>
          <w:lang w:val="it-IT"/>
        </w:rPr>
        <w:t> </w:t>
      </w:r>
      <w:r w:rsidRPr="00D87B79">
        <w:rPr>
          <w:rFonts w:cs="Tahoma"/>
          <w:szCs w:val="20"/>
          <w:lang w:val="it-IT"/>
        </w:rPr>
        <w:t>Server 2006 R2 ai sensi della presente offerta si applicheranno i diritti di utilizzo di tale prodotto e</w:t>
      </w:r>
      <w:r>
        <w:rPr>
          <w:rFonts w:cs="Tahoma"/>
          <w:szCs w:val="20"/>
          <w:lang w:val="it-IT"/>
        </w:rPr>
        <w:t> </w:t>
      </w:r>
      <w:r w:rsidRPr="00D87B79">
        <w:rPr>
          <w:rFonts w:cs="Tahoma"/>
          <w:szCs w:val="20"/>
          <w:lang w:val="it-IT"/>
        </w:rPr>
        <w:t>le</w:t>
      </w:r>
      <w:r>
        <w:rPr>
          <w:rFonts w:cs="Tahoma"/>
          <w:szCs w:val="20"/>
          <w:lang w:val="it-IT"/>
        </w:rPr>
        <w:t> </w:t>
      </w:r>
      <w:r w:rsidRPr="00D87B79">
        <w:rPr>
          <w:rFonts w:cs="Tahoma"/>
          <w:szCs w:val="20"/>
          <w:lang w:val="it-IT"/>
        </w:rPr>
        <w:t>condizioni del contratto Volume License della società.</w:t>
      </w:r>
      <w:r w:rsidRPr="00D87B79">
        <w:rPr>
          <w:rFonts w:cs="Tahoma"/>
        </w:rPr>
        <w:t xml:space="preserve"> </w:t>
      </w:r>
      <w:r w:rsidRPr="00D87B79">
        <w:rPr>
          <w:rFonts w:cs="Tahoma"/>
          <w:lang w:val="it-IT"/>
        </w:rPr>
        <w:t>Al termine del periodo di validità di Software Assurance per BizTalk Accelerator, la società potrà rinnovare la protezione degli aggiornamenti per BizTalk Server 2006 R2 invece che per BizTalk Accelerator.</w:t>
      </w:r>
    </w:p>
    <w:p w:rsidR="00A92422" w:rsidRPr="00D87B79" w:rsidRDefault="00A92422" w:rsidP="00A92422">
      <w:pPr>
        <w:ind w:left="540"/>
        <w:rPr>
          <w:rFonts w:cs="Tahoma"/>
        </w:rPr>
      </w:pPr>
    </w:p>
    <w:tbl>
      <w:tblPr>
        <w:tblW w:w="8100" w:type="dxa"/>
        <w:tblInd w:w="1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140"/>
      </w:tblGrid>
      <w:tr w:rsidR="00A92422" w:rsidRPr="00D87B79" w:rsidTr="00EA30FC">
        <w:tc>
          <w:tcPr>
            <w:tcW w:w="3960" w:type="dxa"/>
            <w:shd w:val="clear" w:color="auto" w:fill="FABF8F"/>
          </w:tcPr>
          <w:p w:rsidR="00A92422" w:rsidRPr="00D87B79" w:rsidRDefault="00A92422" w:rsidP="00EA30FC">
            <w:pPr>
              <w:ind w:left="252"/>
              <w:rPr>
                <w:rFonts w:cs="Tahoma"/>
                <w:b/>
                <w:szCs w:val="20"/>
              </w:rPr>
            </w:pPr>
            <w:r w:rsidRPr="00D87B79">
              <w:rPr>
                <w:rFonts w:cs="Tahoma"/>
                <w:b/>
                <w:szCs w:val="20"/>
                <w:lang w:val="it-IT"/>
              </w:rPr>
              <w:t>BizTalk Accelerator</w:t>
            </w:r>
          </w:p>
        </w:tc>
        <w:tc>
          <w:tcPr>
            <w:tcW w:w="4140" w:type="dxa"/>
            <w:shd w:val="clear" w:color="auto" w:fill="FABF8F"/>
          </w:tcPr>
          <w:p w:rsidR="00A92422" w:rsidRPr="00D87B79" w:rsidRDefault="00A92422" w:rsidP="00EA30FC">
            <w:pPr>
              <w:ind w:left="342"/>
              <w:rPr>
                <w:rFonts w:cs="Tahoma"/>
                <w:b/>
                <w:szCs w:val="20"/>
              </w:rPr>
            </w:pPr>
            <w:r w:rsidRPr="00D87B79">
              <w:rPr>
                <w:rFonts w:cs="Tahoma"/>
                <w:b/>
                <w:szCs w:val="20"/>
                <w:lang w:val="it-IT"/>
              </w:rPr>
              <w:t>Requisiti di Idoneità per Software Assurance</w:t>
            </w:r>
          </w:p>
        </w:tc>
      </w:tr>
      <w:tr w:rsidR="00A92422" w:rsidRPr="00D87B79" w:rsidTr="00EA30FC">
        <w:tc>
          <w:tcPr>
            <w:tcW w:w="3960" w:type="dxa"/>
          </w:tcPr>
          <w:p w:rsidR="00A92422" w:rsidRPr="00D87B79" w:rsidRDefault="00A92422" w:rsidP="00EA30FC">
            <w:pPr>
              <w:ind w:left="252"/>
              <w:rPr>
                <w:rFonts w:cs="Tahoma"/>
                <w:szCs w:val="20"/>
              </w:rPr>
            </w:pPr>
            <w:r w:rsidRPr="00D87B79">
              <w:rPr>
                <w:rFonts w:cs="Tahoma"/>
                <w:szCs w:val="20"/>
                <w:lang w:val="it-IT"/>
              </w:rPr>
              <w:t>BizTalk HIPAA Enterprise</w:t>
            </w:r>
          </w:p>
        </w:tc>
        <w:tc>
          <w:tcPr>
            <w:tcW w:w="4140" w:type="dxa"/>
          </w:tcPr>
          <w:p w:rsidR="00A92422" w:rsidRPr="00D87B79" w:rsidRDefault="00A92422" w:rsidP="00EA30FC">
            <w:pPr>
              <w:ind w:left="342"/>
              <w:rPr>
                <w:rFonts w:cs="Tahoma"/>
                <w:szCs w:val="20"/>
              </w:rPr>
            </w:pPr>
            <w:r w:rsidRPr="00D87B79">
              <w:rPr>
                <w:rFonts w:cs="Tahoma"/>
                <w:szCs w:val="20"/>
                <w:lang w:val="it-IT"/>
              </w:rPr>
              <w:t>BizTalk Server 2006 R2 Enterprise Edition</w:t>
            </w:r>
          </w:p>
        </w:tc>
      </w:tr>
      <w:tr w:rsidR="00A92422" w:rsidRPr="00D87B79" w:rsidTr="00EA30FC">
        <w:tc>
          <w:tcPr>
            <w:tcW w:w="3960" w:type="dxa"/>
          </w:tcPr>
          <w:p w:rsidR="00A92422" w:rsidRPr="00D87B79" w:rsidRDefault="00A92422" w:rsidP="00EA30FC">
            <w:pPr>
              <w:ind w:left="252"/>
              <w:rPr>
                <w:rFonts w:cs="Tahoma"/>
                <w:szCs w:val="20"/>
              </w:rPr>
            </w:pPr>
            <w:r w:rsidRPr="00D87B79">
              <w:rPr>
                <w:rFonts w:cs="Tahoma"/>
                <w:szCs w:val="20"/>
                <w:lang w:val="it-IT"/>
              </w:rPr>
              <w:t>BizTalk HL7 Enterprise</w:t>
            </w:r>
          </w:p>
        </w:tc>
        <w:tc>
          <w:tcPr>
            <w:tcW w:w="4140" w:type="dxa"/>
          </w:tcPr>
          <w:p w:rsidR="00A92422" w:rsidRPr="00D87B79" w:rsidRDefault="00A92422" w:rsidP="00EA30FC">
            <w:pPr>
              <w:ind w:left="342"/>
              <w:rPr>
                <w:rFonts w:cs="Tahoma"/>
                <w:szCs w:val="20"/>
              </w:rPr>
            </w:pPr>
            <w:r w:rsidRPr="00D87B79">
              <w:rPr>
                <w:rFonts w:cs="Tahoma"/>
                <w:szCs w:val="20"/>
                <w:lang w:val="it-IT"/>
              </w:rPr>
              <w:t>BizTalk Server 2006 R2 Enterprise Edition</w:t>
            </w:r>
          </w:p>
        </w:tc>
      </w:tr>
      <w:tr w:rsidR="00A92422" w:rsidRPr="00D87B79" w:rsidTr="00EA30FC">
        <w:tc>
          <w:tcPr>
            <w:tcW w:w="3960" w:type="dxa"/>
          </w:tcPr>
          <w:p w:rsidR="00A92422" w:rsidRPr="00D87B79" w:rsidRDefault="00A92422" w:rsidP="00EA30FC">
            <w:pPr>
              <w:ind w:left="252"/>
              <w:rPr>
                <w:rFonts w:cs="Tahoma"/>
                <w:szCs w:val="20"/>
              </w:rPr>
            </w:pPr>
            <w:r w:rsidRPr="00D87B79">
              <w:rPr>
                <w:rFonts w:cs="Tahoma"/>
                <w:szCs w:val="20"/>
                <w:lang w:val="it-IT"/>
              </w:rPr>
              <w:t>BizTalk RosettaNet Enterprise</w:t>
            </w:r>
          </w:p>
        </w:tc>
        <w:tc>
          <w:tcPr>
            <w:tcW w:w="4140" w:type="dxa"/>
          </w:tcPr>
          <w:p w:rsidR="00A92422" w:rsidRPr="00D87B79" w:rsidRDefault="00A92422" w:rsidP="00EA30FC">
            <w:pPr>
              <w:ind w:left="342"/>
              <w:rPr>
                <w:rFonts w:cs="Tahoma"/>
                <w:szCs w:val="20"/>
              </w:rPr>
            </w:pPr>
            <w:r w:rsidRPr="00D87B79">
              <w:rPr>
                <w:rFonts w:cs="Tahoma"/>
                <w:szCs w:val="20"/>
                <w:lang w:val="it-IT"/>
              </w:rPr>
              <w:t>BizTalk Server 2006 R2 Enterprise Edition</w:t>
            </w:r>
          </w:p>
        </w:tc>
      </w:tr>
      <w:tr w:rsidR="00A92422" w:rsidRPr="00D87B79" w:rsidTr="00EA30FC">
        <w:tc>
          <w:tcPr>
            <w:tcW w:w="3960" w:type="dxa"/>
          </w:tcPr>
          <w:p w:rsidR="00A92422" w:rsidRPr="00D87B79" w:rsidRDefault="00A92422" w:rsidP="00EA30FC">
            <w:pPr>
              <w:ind w:left="252"/>
              <w:rPr>
                <w:rFonts w:cs="Tahoma"/>
                <w:szCs w:val="20"/>
              </w:rPr>
            </w:pPr>
            <w:r w:rsidRPr="00D87B79">
              <w:rPr>
                <w:rFonts w:cs="Tahoma"/>
                <w:szCs w:val="20"/>
                <w:lang w:val="it-IT"/>
              </w:rPr>
              <w:t>BizTalk SWIFT Enterprise</w:t>
            </w:r>
          </w:p>
        </w:tc>
        <w:tc>
          <w:tcPr>
            <w:tcW w:w="4140" w:type="dxa"/>
          </w:tcPr>
          <w:p w:rsidR="00A92422" w:rsidRPr="00D87B79" w:rsidRDefault="00A92422" w:rsidP="00EA30FC">
            <w:pPr>
              <w:ind w:left="342"/>
              <w:rPr>
                <w:rFonts w:cs="Tahoma"/>
                <w:szCs w:val="20"/>
              </w:rPr>
            </w:pPr>
            <w:r w:rsidRPr="00D87B79">
              <w:rPr>
                <w:rFonts w:cs="Tahoma"/>
                <w:szCs w:val="20"/>
                <w:lang w:val="it-IT"/>
              </w:rPr>
              <w:t>BizTalk Server 2006 R2 Enterprise Edition</w:t>
            </w:r>
          </w:p>
        </w:tc>
      </w:tr>
    </w:tbl>
    <w:p w:rsidR="00A92422" w:rsidRPr="00D87B79" w:rsidRDefault="00A92422" w:rsidP="00A92422">
      <w:pPr>
        <w:rPr>
          <w:rFonts w:cs="Tahoma"/>
        </w:rPr>
      </w:pPr>
    </w:p>
    <w:p w:rsidR="00A92422" w:rsidRPr="00D87B79" w:rsidRDefault="00A92422" w:rsidP="00A92422">
      <w:pPr>
        <w:spacing w:after="60"/>
        <w:ind w:left="720"/>
        <w:rPr>
          <w:rFonts w:cs="Tahoma"/>
        </w:rPr>
      </w:pPr>
      <w:r w:rsidRPr="00D87B79">
        <w:rPr>
          <w:rFonts w:cs="Tahoma"/>
          <w:b/>
          <w:lang w:val="it-IT"/>
        </w:rPr>
        <w:t>BizTalk RFID Mobile e BizTalk RFID Mobile Standards Pack</w:t>
      </w:r>
    </w:p>
    <w:p w:rsidR="00A92422" w:rsidRPr="00D87B79" w:rsidRDefault="00A92422" w:rsidP="00A92422">
      <w:pPr>
        <w:ind w:left="720"/>
        <w:rPr>
          <w:rFonts w:cs="Tahoma"/>
        </w:rPr>
      </w:pPr>
      <w:r w:rsidRPr="00D87B79">
        <w:rPr>
          <w:rFonts w:cs="Tahoma"/>
          <w:lang w:val="it-IT"/>
        </w:rPr>
        <w:t>Le società titolari di licenze Biz Talk Server Enterprise Edition con copertura Software Assurance attiva in</w:t>
      </w:r>
      <w:r>
        <w:rPr>
          <w:rFonts w:cs="Tahoma"/>
          <w:lang w:val="it-IT"/>
        </w:rPr>
        <w:t> </w:t>
      </w:r>
      <w:r w:rsidRPr="00D87B79">
        <w:rPr>
          <w:rFonts w:cs="Tahoma"/>
          <w:lang w:val="it-IT"/>
        </w:rPr>
        <w:t>data 31 ottobre 2008 sono idonee a utilizzare BizTalk RFID Mobile e BizTalk RFID Standards Pack. L’utilizzo di questo software è soggetto ai diritti di utilizzo di BizTalk Server 2006 R2 Enterprise Edition.</w:t>
      </w:r>
      <w:r w:rsidRPr="00D87B79">
        <w:rPr>
          <w:rFonts w:cs="Tahoma"/>
        </w:rPr>
        <w:t xml:space="preserve"> </w:t>
      </w:r>
      <w:r w:rsidRPr="00D87B79">
        <w:rPr>
          <w:rFonts w:cs="Tahoma"/>
          <w:lang w:val="it-IT"/>
        </w:rPr>
        <w:t>Il</w:t>
      </w:r>
      <w:r>
        <w:rPr>
          <w:rFonts w:cs="Tahoma"/>
          <w:lang w:val="it-IT"/>
        </w:rPr>
        <w:t> </w:t>
      </w:r>
      <w:r w:rsidRPr="00D87B79">
        <w:rPr>
          <w:rFonts w:cs="Tahoma"/>
          <w:lang w:val="it-IT"/>
        </w:rPr>
        <w:t>diritto di utilizzo di questo componente da parte della società diventerà perpetuo quando il diritto di</w:t>
      </w:r>
      <w:r>
        <w:rPr>
          <w:rFonts w:cs="Tahoma"/>
          <w:lang w:val="it-IT"/>
        </w:rPr>
        <w:t> </w:t>
      </w:r>
      <w:r w:rsidRPr="00D87B79">
        <w:rPr>
          <w:rFonts w:cs="Tahoma"/>
          <w:lang w:val="it-IT"/>
        </w:rPr>
        <w:t>utilizzo di BizTalk Server Enterprise Edition diventerà anch’esso perpetuo.</w:t>
      </w:r>
    </w:p>
    <w:p w:rsidR="00A92422" w:rsidRPr="00D87B79" w:rsidRDefault="00A92422" w:rsidP="00A92422">
      <w:pPr>
        <w:rPr>
          <w:rFonts w:cs="Tahoma"/>
        </w:rPr>
      </w:pPr>
    </w:p>
    <w:p w:rsidR="00A92422" w:rsidRDefault="00A92422" w:rsidP="00A92422">
      <w:pPr>
        <w:rPr>
          <w:rFonts w:cs="Tahoma"/>
        </w:rPr>
      </w:pPr>
    </w:p>
    <w:p w:rsidR="00A92422" w:rsidRPr="00D87B79" w:rsidRDefault="00A92422" w:rsidP="00A92422">
      <w:pPr>
        <w:rPr>
          <w:rFonts w:cs="Tahoma"/>
        </w:rPr>
      </w:pPr>
    </w:p>
    <w:p w:rsidR="00A92422" w:rsidRPr="00D87B79" w:rsidRDefault="00A92422" w:rsidP="00A92422">
      <w:pPr>
        <w:pStyle w:val="Heading3"/>
        <w:rPr>
          <w:rFonts w:ascii="Tahoma" w:hAnsi="Tahoma" w:cs="Tahoma"/>
        </w:rPr>
      </w:pPr>
      <w:bookmarkStart w:id="1189" w:name="_Toc336338292"/>
      <w:bookmarkStart w:id="1190" w:name="Srv_31BizTalk09StandEd"/>
      <w:bookmarkStart w:id="1191" w:name="Srv_28BizTalkSvr2009StandEd"/>
      <w:bookmarkStart w:id="1192" w:name="_Toc342900341"/>
      <w:bookmarkEnd w:id="1189"/>
      <w:bookmarkEnd w:id="1190"/>
      <w:bookmarkEnd w:id="1191"/>
      <w:r w:rsidRPr="00D87B79">
        <w:rPr>
          <w:rFonts w:ascii="Tahoma" w:hAnsi="Tahoma" w:cs="Tahoma"/>
          <w:caps/>
          <w:color w:val="F66400"/>
          <w:sz w:val="22"/>
          <w:vertAlign w:val="superscript"/>
          <w:lang w:val="it-IT"/>
        </w:rPr>
        <w:t>31</w:t>
      </w:r>
      <w:r w:rsidRPr="0048232F">
        <w:rPr>
          <w:rFonts w:ascii="Tahoma" w:hAnsi="Tahoma" w:cs="Tahoma"/>
          <w:caps/>
          <w:color w:val="F66400"/>
          <w:sz w:val="22"/>
          <w:lang w:val="it-IT"/>
        </w:rPr>
        <w:t xml:space="preserve"> </w:t>
      </w:r>
      <w:r w:rsidRPr="00D87B79">
        <w:rPr>
          <w:rFonts w:ascii="Tahoma" w:hAnsi="Tahoma" w:cs="Tahoma"/>
          <w:color w:val="F66400"/>
          <w:sz w:val="22"/>
          <w:lang w:val="it-IT"/>
        </w:rPr>
        <w:t>BizTalk</w:t>
      </w:r>
      <w:r w:rsidRPr="003A0F2F">
        <w:rPr>
          <w:rFonts w:ascii="Tahoma" w:hAnsi="Tahoma" w:cs="Tahoma"/>
          <w:color w:val="F66400"/>
          <w:sz w:val="22"/>
          <w:vertAlign w:val="superscript"/>
          <w:lang w:val="it-IT"/>
        </w:rPr>
        <w:t>®</w:t>
      </w:r>
      <w:r w:rsidRPr="00D87B79">
        <w:rPr>
          <w:rFonts w:ascii="Tahoma" w:hAnsi="Tahoma" w:cs="Tahoma"/>
          <w:color w:val="F66400"/>
          <w:sz w:val="22"/>
          <w:lang w:val="it-IT"/>
        </w:rPr>
        <w:t xml:space="preserve"> Server 2010 Standard Edition</w:t>
      </w:r>
      <w:bookmarkEnd w:id="1192"/>
    </w:p>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lang w:val="it-IT"/>
        </w:rPr>
        <w:t>Diritti di Downgrade</w:t>
      </w:r>
      <w:r w:rsidRPr="00D87B79">
        <w:rPr>
          <w:rFonts w:cs="Tahoma"/>
        </w:rPr>
        <w:t xml:space="preserve"> </w:t>
      </w:r>
    </w:p>
    <w:p w:rsidR="00A92422" w:rsidRPr="00D87B79" w:rsidRDefault="00A92422" w:rsidP="00A92422">
      <w:pPr>
        <w:ind w:left="720"/>
        <w:rPr>
          <w:rFonts w:cs="Tahoma"/>
        </w:rPr>
      </w:pPr>
      <w:r w:rsidRPr="00D87B79">
        <w:rPr>
          <w:rFonts w:cs="Tahoma"/>
          <w:lang w:val="it-IT"/>
        </w:rPr>
        <w:t>Le società che hanno stipulato Contratti Multilicenza e che sono titolari di una licenza per BizTalk Server 2009 Standard Edition potranno utilizzare qualunque versione precedente di BizTalk Server Standard Edition, Host Integration Server (qualunque versione), BizTalk Adapter for MQSeries 1.0, BizTalk SAP Adapter, BizTalk Accelerator for HIPAA Standard Edition, BizTalk Accelerator for RosettaNet Standard Edition, BizTalk</w:t>
      </w:r>
      <w:r>
        <w:rPr>
          <w:rFonts w:cs="Tahoma"/>
          <w:lang w:val="it-IT"/>
        </w:rPr>
        <w:t> </w:t>
      </w:r>
      <w:r w:rsidRPr="00D87B79">
        <w:rPr>
          <w:rFonts w:cs="Tahoma"/>
          <w:lang w:val="it-IT"/>
        </w:rPr>
        <w:t>Accelerator for SWIFT Standard Edition e BizTalk Accelerator for HL7 Standard Edition.</w:t>
      </w:r>
      <w:r w:rsidRPr="00D87B79">
        <w:rPr>
          <w:rFonts w:cs="Tahoma"/>
        </w:rPr>
        <w:t xml:space="preserve"> </w:t>
      </w:r>
    </w:p>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lang w:val="it-IT"/>
        </w:rPr>
        <w:lastRenderedPageBreak/>
        <w:t>Percorso di Migrazione per Società con BizTalk Server Accelerator Iscritte a SA</w:t>
      </w:r>
    </w:p>
    <w:p w:rsidR="00A92422" w:rsidRPr="00D87B79" w:rsidRDefault="00A92422" w:rsidP="00A92422">
      <w:pPr>
        <w:ind w:left="720"/>
        <w:rPr>
          <w:rFonts w:cs="Tahoma"/>
        </w:rPr>
      </w:pPr>
      <w:r w:rsidRPr="00D87B79">
        <w:rPr>
          <w:rFonts w:cs="Tahoma"/>
          <w:szCs w:val="20"/>
          <w:lang w:val="it-IT"/>
        </w:rPr>
        <w:t>Ogni due (2) licenze per prodotti BizTalk Server Accelerator riportati nel seguente elenco che una società che abbia stipulato un contratto Volume License avrà aggiunto alla copertura Software Assurance entro il 1</w:t>
      </w:r>
      <w:r>
        <w:rPr>
          <w:rFonts w:cs="Tahoma"/>
          <w:szCs w:val="20"/>
          <w:lang w:val="it-IT"/>
        </w:rPr>
        <w:t> </w:t>
      </w:r>
      <w:r w:rsidRPr="00D87B79">
        <w:rPr>
          <w:rFonts w:cs="Tahoma"/>
          <w:szCs w:val="20"/>
          <w:lang w:val="it-IT"/>
        </w:rPr>
        <w:t>settembre 2007, la società sarà autorizzata a utilizzare la versione corrispondente di BizTalk Server 2006 R2 (o eventuali versioni successive di tale prodotto) su un (1) processore al posto di BizTalk Accelerator.</w:t>
      </w:r>
      <w:r w:rsidRPr="00D87B79">
        <w:rPr>
          <w:rFonts w:cs="Tahoma"/>
          <w:szCs w:val="20"/>
        </w:rPr>
        <w:t xml:space="preserve"> </w:t>
      </w:r>
      <w:r w:rsidRPr="00D87B79">
        <w:rPr>
          <w:rFonts w:cs="Tahoma"/>
          <w:szCs w:val="20"/>
          <w:lang w:val="it-IT"/>
        </w:rPr>
        <w:t>Il</w:t>
      </w:r>
      <w:r>
        <w:rPr>
          <w:rFonts w:cs="Tahoma"/>
          <w:szCs w:val="20"/>
          <w:lang w:val="it-IT"/>
        </w:rPr>
        <w:t> </w:t>
      </w:r>
      <w:r w:rsidRPr="00D87B79">
        <w:rPr>
          <w:rFonts w:cs="Tahoma"/>
          <w:szCs w:val="20"/>
          <w:lang w:val="it-IT"/>
        </w:rPr>
        <w:t>diritto di utilizzo di BizTalk Server 2006 R2 da parte della società cesserà alla scadenza o risoluzione del diritto di utilizzo della copia corrispondente di BizTalk Accelerator.</w:t>
      </w:r>
      <w:r w:rsidRPr="00D87B79">
        <w:rPr>
          <w:rFonts w:cs="Tahoma"/>
          <w:szCs w:val="20"/>
        </w:rPr>
        <w:t xml:space="preserve"> </w:t>
      </w:r>
      <w:r w:rsidRPr="00D87B79">
        <w:rPr>
          <w:rFonts w:cs="Tahoma"/>
          <w:szCs w:val="20"/>
          <w:lang w:val="it-IT"/>
        </w:rPr>
        <w:t>All’utilizzo da parte della società di BizTalk</w:t>
      </w:r>
      <w:r>
        <w:rPr>
          <w:rFonts w:cs="Tahoma"/>
          <w:szCs w:val="20"/>
          <w:lang w:val="it-IT"/>
        </w:rPr>
        <w:t> </w:t>
      </w:r>
      <w:r w:rsidRPr="00D87B79">
        <w:rPr>
          <w:rFonts w:cs="Tahoma"/>
          <w:szCs w:val="20"/>
          <w:lang w:val="it-IT"/>
        </w:rPr>
        <w:t>Server 2006 R2 ai sensi della presente offerta si applicheranno i diritti di utilizzo di tale prodotto e</w:t>
      </w:r>
      <w:r>
        <w:rPr>
          <w:rFonts w:cs="Tahoma"/>
          <w:szCs w:val="20"/>
          <w:lang w:val="it-IT"/>
        </w:rPr>
        <w:t> </w:t>
      </w:r>
      <w:r w:rsidRPr="00D87B79">
        <w:rPr>
          <w:rFonts w:cs="Tahoma"/>
          <w:szCs w:val="20"/>
          <w:lang w:val="it-IT"/>
        </w:rPr>
        <w:t>le</w:t>
      </w:r>
      <w:r>
        <w:rPr>
          <w:rFonts w:cs="Tahoma"/>
          <w:szCs w:val="20"/>
          <w:lang w:val="it-IT"/>
        </w:rPr>
        <w:t> </w:t>
      </w:r>
      <w:r w:rsidRPr="00D87B79">
        <w:rPr>
          <w:rFonts w:cs="Tahoma"/>
          <w:szCs w:val="20"/>
          <w:lang w:val="it-IT"/>
        </w:rPr>
        <w:t>condizioni del contratto Volume License della società.</w:t>
      </w:r>
      <w:r w:rsidRPr="00D87B79">
        <w:rPr>
          <w:rFonts w:cs="Tahoma"/>
        </w:rPr>
        <w:t xml:space="preserve"> </w:t>
      </w:r>
      <w:r w:rsidRPr="00D87B79">
        <w:rPr>
          <w:rFonts w:cs="Tahoma"/>
          <w:lang w:val="it-IT"/>
        </w:rPr>
        <w:t>Al termine del periodo di validità di Software Assurance per BizTalk Accelerator, la società potrà rinnovare la protezione degli aggiornamenti per BizTalk Server 2006 R2 invece che per BizTalk Accelerator.</w:t>
      </w:r>
    </w:p>
    <w:p w:rsidR="00A92422" w:rsidRPr="00D87B79" w:rsidRDefault="00A92422" w:rsidP="00A92422">
      <w:pPr>
        <w:rPr>
          <w:rFonts w:cs="Tahoma"/>
        </w:rPr>
      </w:pPr>
    </w:p>
    <w:tbl>
      <w:tblPr>
        <w:tblW w:w="7787" w:type="dxa"/>
        <w:tblInd w:w="1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17"/>
        <w:gridCol w:w="3870"/>
      </w:tblGrid>
      <w:tr w:rsidR="00A92422" w:rsidRPr="00D87B79" w:rsidTr="00EA30FC">
        <w:tc>
          <w:tcPr>
            <w:tcW w:w="3917" w:type="dxa"/>
            <w:shd w:val="clear" w:color="auto" w:fill="FABF8F"/>
          </w:tcPr>
          <w:p w:rsidR="00A92422" w:rsidRPr="00D87B79" w:rsidRDefault="00A92422" w:rsidP="00EA30FC">
            <w:pPr>
              <w:ind w:left="299"/>
              <w:rPr>
                <w:rFonts w:cs="Tahoma"/>
                <w:b/>
                <w:szCs w:val="20"/>
              </w:rPr>
            </w:pPr>
            <w:r w:rsidRPr="00D87B79">
              <w:rPr>
                <w:rFonts w:cs="Tahoma"/>
                <w:b/>
                <w:szCs w:val="20"/>
                <w:lang w:val="it-IT"/>
              </w:rPr>
              <w:t>BizTalk Accelerator</w:t>
            </w:r>
          </w:p>
        </w:tc>
        <w:tc>
          <w:tcPr>
            <w:tcW w:w="3870" w:type="dxa"/>
            <w:shd w:val="clear" w:color="auto" w:fill="FABF8F"/>
          </w:tcPr>
          <w:p w:rsidR="00A92422" w:rsidRPr="00D87B79" w:rsidRDefault="00A92422" w:rsidP="00EA30FC">
            <w:pPr>
              <w:ind w:left="252"/>
              <w:rPr>
                <w:rFonts w:cs="Tahoma"/>
                <w:b/>
                <w:szCs w:val="20"/>
              </w:rPr>
            </w:pPr>
            <w:r w:rsidRPr="00D87B79">
              <w:rPr>
                <w:rFonts w:cs="Tahoma"/>
                <w:b/>
                <w:szCs w:val="20"/>
                <w:lang w:val="it-IT"/>
              </w:rPr>
              <w:t>Requisiti di Idoneità per Software</w:t>
            </w:r>
            <w:r>
              <w:rPr>
                <w:rFonts w:cs="Tahoma"/>
                <w:b/>
                <w:szCs w:val="20"/>
                <w:lang w:val="it-IT"/>
              </w:rPr>
              <w:t> </w:t>
            </w:r>
            <w:r w:rsidRPr="00D87B79">
              <w:rPr>
                <w:rFonts w:cs="Tahoma"/>
                <w:b/>
                <w:szCs w:val="20"/>
                <w:lang w:val="it-IT"/>
              </w:rPr>
              <w:t>Assurance</w:t>
            </w:r>
          </w:p>
        </w:tc>
      </w:tr>
      <w:tr w:rsidR="00A92422" w:rsidRPr="00D87B79" w:rsidTr="00EA30FC">
        <w:tc>
          <w:tcPr>
            <w:tcW w:w="3917" w:type="dxa"/>
          </w:tcPr>
          <w:p w:rsidR="00A92422" w:rsidRPr="00D87B79" w:rsidRDefault="00A92422" w:rsidP="00EA30FC">
            <w:pPr>
              <w:ind w:left="299"/>
              <w:rPr>
                <w:rFonts w:cs="Tahoma"/>
                <w:szCs w:val="20"/>
              </w:rPr>
            </w:pPr>
            <w:r w:rsidRPr="00D87B79">
              <w:rPr>
                <w:rFonts w:cs="Tahoma"/>
                <w:szCs w:val="20"/>
                <w:lang w:val="it-IT"/>
              </w:rPr>
              <w:t>BizTalk HIPAA Standard</w:t>
            </w:r>
          </w:p>
        </w:tc>
        <w:tc>
          <w:tcPr>
            <w:tcW w:w="3870" w:type="dxa"/>
          </w:tcPr>
          <w:p w:rsidR="00A92422" w:rsidRPr="00D87B79" w:rsidRDefault="00A92422" w:rsidP="00EA30FC">
            <w:pPr>
              <w:ind w:left="252"/>
              <w:rPr>
                <w:rFonts w:cs="Tahoma"/>
                <w:szCs w:val="20"/>
              </w:rPr>
            </w:pPr>
            <w:r w:rsidRPr="00D87B79">
              <w:rPr>
                <w:rFonts w:cs="Tahoma"/>
                <w:szCs w:val="20"/>
                <w:lang w:val="it-IT"/>
              </w:rPr>
              <w:t>BizTalk Server 2006 R2 Standard Edition</w:t>
            </w:r>
          </w:p>
        </w:tc>
      </w:tr>
      <w:tr w:rsidR="00A92422" w:rsidRPr="00D87B79" w:rsidTr="00EA30FC">
        <w:tc>
          <w:tcPr>
            <w:tcW w:w="3917" w:type="dxa"/>
          </w:tcPr>
          <w:p w:rsidR="00A92422" w:rsidRPr="00D87B79" w:rsidRDefault="00A92422" w:rsidP="00EA30FC">
            <w:pPr>
              <w:ind w:left="299"/>
              <w:rPr>
                <w:rFonts w:cs="Tahoma"/>
                <w:szCs w:val="20"/>
              </w:rPr>
            </w:pPr>
            <w:r w:rsidRPr="00D87B79">
              <w:rPr>
                <w:rFonts w:cs="Tahoma"/>
                <w:szCs w:val="20"/>
                <w:lang w:val="it-IT"/>
              </w:rPr>
              <w:t>BizTalk HL7 Standard</w:t>
            </w:r>
          </w:p>
        </w:tc>
        <w:tc>
          <w:tcPr>
            <w:tcW w:w="3870" w:type="dxa"/>
          </w:tcPr>
          <w:p w:rsidR="00A92422" w:rsidRPr="00D87B79" w:rsidRDefault="00A92422" w:rsidP="00EA30FC">
            <w:pPr>
              <w:ind w:left="252"/>
              <w:rPr>
                <w:rFonts w:cs="Tahoma"/>
                <w:szCs w:val="20"/>
              </w:rPr>
            </w:pPr>
            <w:r w:rsidRPr="00D87B79">
              <w:rPr>
                <w:rFonts w:cs="Tahoma"/>
                <w:szCs w:val="20"/>
                <w:lang w:val="it-IT"/>
              </w:rPr>
              <w:t>BizTalk Server 2006 R2 Standard Edition</w:t>
            </w:r>
          </w:p>
        </w:tc>
      </w:tr>
      <w:tr w:rsidR="00A92422" w:rsidRPr="00D87B79" w:rsidTr="00EA30FC">
        <w:tc>
          <w:tcPr>
            <w:tcW w:w="3917" w:type="dxa"/>
          </w:tcPr>
          <w:p w:rsidR="00A92422" w:rsidRPr="00D87B79" w:rsidRDefault="00A92422" w:rsidP="00EA30FC">
            <w:pPr>
              <w:ind w:left="299"/>
              <w:rPr>
                <w:rFonts w:cs="Tahoma"/>
                <w:szCs w:val="20"/>
              </w:rPr>
            </w:pPr>
            <w:r w:rsidRPr="00D87B79">
              <w:rPr>
                <w:rFonts w:cs="Tahoma"/>
                <w:szCs w:val="20"/>
                <w:lang w:val="it-IT"/>
              </w:rPr>
              <w:t>BizTalk RosettaNet Standard</w:t>
            </w:r>
          </w:p>
        </w:tc>
        <w:tc>
          <w:tcPr>
            <w:tcW w:w="3870" w:type="dxa"/>
          </w:tcPr>
          <w:p w:rsidR="00A92422" w:rsidRPr="00D87B79" w:rsidRDefault="00A92422" w:rsidP="00EA30FC">
            <w:pPr>
              <w:ind w:left="252"/>
              <w:rPr>
                <w:rFonts w:cs="Tahoma"/>
                <w:szCs w:val="20"/>
              </w:rPr>
            </w:pPr>
            <w:r w:rsidRPr="00D87B79">
              <w:rPr>
                <w:rFonts w:cs="Tahoma"/>
                <w:szCs w:val="20"/>
                <w:lang w:val="it-IT"/>
              </w:rPr>
              <w:t>BizTalk Server 2006 R2 Standard Edition</w:t>
            </w:r>
          </w:p>
        </w:tc>
      </w:tr>
      <w:tr w:rsidR="00A92422" w:rsidRPr="00D87B79" w:rsidTr="00EA30FC">
        <w:tc>
          <w:tcPr>
            <w:tcW w:w="3917" w:type="dxa"/>
          </w:tcPr>
          <w:p w:rsidR="00A92422" w:rsidRPr="00D87B79" w:rsidRDefault="00A92422" w:rsidP="00EA30FC">
            <w:pPr>
              <w:ind w:left="299"/>
              <w:rPr>
                <w:rFonts w:cs="Tahoma"/>
                <w:szCs w:val="20"/>
              </w:rPr>
            </w:pPr>
            <w:r w:rsidRPr="00D87B79">
              <w:rPr>
                <w:rFonts w:cs="Tahoma"/>
                <w:szCs w:val="20"/>
                <w:lang w:val="it-IT"/>
              </w:rPr>
              <w:t>BizTalk SWIFT Standard</w:t>
            </w:r>
          </w:p>
        </w:tc>
        <w:tc>
          <w:tcPr>
            <w:tcW w:w="3870" w:type="dxa"/>
          </w:tcPr>
          <w:p w:rsidR="00A92422" w:rsidRPr="00D87B79" w:rsidRDefault="00A92422" w:rsidP="00EA30FC">
            <w:pPr>
              <w:ind w:left="252"/>
              <w:rPr>
                <w:rFonts w:cs="Tahoma"/>
                <w:szCs w:val="20"/>
              </w:rPr>
            </w:pPr>
            <w:r w:rsidRPr="00D87B79">
              <w:rPr>
                <w:rFonts w:cs="Tahoma"/>
                <w:szCs w:val="20"/>
                <w:lang w:val="it-IT"/>
              </w:rPr>
              <w:t>BizTalk Server 2006 R2 Standard Edition</w:t>
            </w:r>
          </w:p>
        </w:tc>
      </w:tr>
    </w:tbl>
    <w:p w:rsidR="00A92422" w:rsidRPr="00D87B79" w:rsidRDefault="00A92422" w:rsidP="00A92422">
      <w:pPr>
        <w:rPr>
          <w:rFonts w:cs="Tahoma"/>
        </w:rPr>
      </w:pPr>
    </w:p>
    <w:p w:rsidR="00A92422" w:rsidRPr="00D87B79" w:rsidRDefault="00A92422" w:rsidP="00A92422">
      <w:pPr>
        <w:spacing w:after="60"/>
        <w:ind w:left="720"/>
        <w:rPr>
          <w:rFonts w:cs="Tahoma"/>
        </w:rPr>
      </w:pPr>
      <w:r w:rsidRPr="00D87B79">
        <w:rPr>
          <w:rFonts w:cs="Tahoma"/>
          <w:b/>
          <w:lang w:val="it-IT"/>
        </w:rPr>
        <w:t>BizTalk RFID Mobile e RFID Mobile Standards Pack</w:t>
      </w:r>
    </w:p>
    <w:p w:rsidR="00A92422" w:rsidRPr="00D87B79" w:rsidRDefault="00A92422" w:rsidP="00A92422">
      <w:pPr>
        <w:ind w:left="720"/>
        <w:rPr>
          <w:rFonts w:cs="Tahoma"/>
        </w:rPr>
      </w:pPr>
      <w:r w:rsidRPr="00D87B79">
        <w:rPr>
          <w:rFonts w:cs="Tahoma"/>
          <w:lang w:val="it-IT"/>
        </w:rPr>
        <w:t>Le società titolari di licenze Biz Talk Server Standard Edition con copertura Software Assurance attiva in data</w:t>
      </w:r>
      <w:r>
        <w:rPr>
          <w:rFonts w:cs="Tahoma"/>
          <w:lang w:val="it-IT"/>
        </w:rPr>
        <w:t> </w:t>
      </w:r>
      <w:r w:rsidRPr="00D87B79">
        <w:rPr>
          <w:rFonts w:cs="Tahoma"/>
          <w:lang w:val="it-IT"/>
        </w:rPr>
        <w:t>31 ottobre 2008 sono idonee a utilizzare BizTalk RFID Mobile e BizTalk RFID Standards Pack. L’utilizzo di questo software è soggetto ai diritti di utilizzo di BizTalk Server 2006 R2 Standard Edition.</w:t>
      </w:r>
      <w:r w:rsidRPr="00D87B79">
        <w:rPr>
          <w:rFonts w:cs="Tahoma"/>
        </w:rPr>
        <w:t xml:space="preserve"> </w:t>
      </w:r>
      <w:r w:rsidRPr="00D87B79">
        <w:rPr>
          <w:rFonts w:cs="Tahoma"/>
          <w:lang w:val="it-IT"/>
        </w:rPr>
        <w:t>Il diritto di utilizzo di questo componente da parte della società diventerà perpetuo quando il diritto di utilizzo di BizTalk</w:t>
      </w:r>
      <w:r>
        <w:rPr>
          <w:rFonts w:cs="Tahoma"/>
          <w:lang w:val="it-IT"/>
        </w:rPr>
        <w:t> </w:t>
      </w:r>
      <w:r w:rsidRPr="00D87B79">
        <w:rPr>
          <w:rFonts w:cs="Tahoma"/>
          <w:lang w:val="it-IT"/>
        </w:rPr>
        <w:t>Server Standard Edition diventerà anch’esso perpetuo.</w:t>
      </w:r>
    </w:p>
    <w:p w:rsidR="00A92422" w:rsidRPr="00D87B79" w:rsidRDefault="00A92422" w:rsidP="00A92422">
      <w:pPr>
        <w:ind w:left="540"/>
        <w:rPr>
          <w:rFonts w:cs="Tahoma"/>
        </w:rPr>
      </w:pPr>
    </w:p>
    <w:p w:rsidR="00A92422" w:rsidRPr="00D87B79" w:rsidRDefault="00A92422" w:rsidP="00A92422">
      <w:pPr>
        <w:pStyle w:val="Heading3"/>
        <w:ind w:left="270" w:hanging="270"/>
        <w:rPr>
          <w:rFonts w:ascii="Tahoma" w:hAnsi="Tahoma" w:cs="Tahoma"/>
        </w:rPr>
      </w:pPr>
      <w:bookmarkStart w:id="1193" w:name="_Toc336338293"/>
      <w:bookmarkStart w:id="1194" w:name="Srv_35BusinessIntellApp2012"/>
      <w:bookmarkStart w:id="1195" w:name="Srv_35CoreCALBridgeWinIntune"/>
      <w:bookmarkStart w:id="1196" w:name="_Toc342900342"/>
      <w:bookmarkEnd w:id="1193"/>
      <w:bookmarkEnd w:id="1194"/>
      <w:bookmarkEnd w:id="1195"/>
      <w:r w:rsidRPr="00D87B79">
        <w:rPr>
          <w:rFonts w:ascii="Tahoma" w:hAnsi="Tahoma" w:cs="Tahoma"/>
          <w:caps/>
          <w:color w:val="F66400"/>
          <w:sz w:val="22"/>
          <w:vertAlign w:val="superscript"/>
          <w:lang w:val="it-IT"/>
        </w:rPr>
        <w:t>32</w:t>
      </w:r>
      <w:r w:rsidRPr="0048232F">
        <w:rPr>
          <w:rFonts w:ascii="Tahoma" w:hAnsi="Tahoma" w:cs="Tahoma"/>
          <w:caps/>
          <w:color w:val="F66400"/>
          <w:sz w:val="22"/>
          <w:lang w:val="it-IT"/>
        </w:rPr>
        <w:t xml:space="preserve"> </w:t>
      </w:r>
      <w:r w:rsidRPr="00D87B79">
        <w:rPr>
          <w:rFonts w:ascii="Tahoma" w:hAnsi="Tahoma" w:cs="Tahoma"/>
          <w:color w:val="F66400"/>
          <w:sz w:val="22"/>
          <w:lang w:val="it-IT"/>
        </w:rPr>
        <w:t>Business Intelligence Appliance 2012</w:t>
      </w:r>
      <w:bookmarkEnd w:id="1196"/>
      <w:r w:rsidRPr="00D87B79">
        <w:rPr>
          <w:rFonts w:ascii="Tahoma" w:hAnsi="Tahoma" w:cs="Tahoma"/>
        </w:rPr>
        <w:t xml:space="preserve"> </w:t>
      </w:r>
    </w:p>
    <w:p w:rsidR="00A92422" w:rsidRPr="00D87B79" w:rsidRDefault="00A92422" w:rsidP="00A92422">
      <w:pPr>
        <w:rPr>
          <w:rFonts w:cs="Tahoma"/>
        </w:rPr>
      </w:pPr>
    </w:p>
    <w:p w:rsidR="00A92422" w:rsidRPr="00D87B79" w:rsidRDefault="00A92422" w:rsidP="00A92422">
      <w:pPr>
        <w:ind w:left="720"/>
        <w:rPr>
          <w:rFonts w:cs="Tahoma"/>
        </w:rPr>
      </w:pPr>
      <w:r w:rsidRPr="00D87B79">
        <w:rPr>
          <w:rFonts w:cs="Tahoma"/>
          <w:szCs w:val="18"/>
          <w:lang w:val="it-IT"/>
        </w:rPr>
        <w:t>Il software Business Intelligence Appliance 2012, che incorpora SQL Server 2008 R2 e SharePoint Server 2010, è disponibile solo nelle configurazioni hardware e software approvate da Microsoft.</w:t>
      </w:r>
      <w:r w:rsidRPr="00D87B79">
        <w:rPr>
          <w:rFonts w:cs="Tahoma"/>
          <w:szCs w:val="18"/>
        </w:rPr>
        <w:t xml:space="preserve"> </w:t>
      </w:r>
      <w:r w:rsidRPr="00D87B79">
        <w:rPr>
          <w:rFonts w:cs="Tahoma"/>
          <w:szCs w:val="18"/>
          <w:lang w:val="it-IT"/>
        </w:rPr>
        <w:t>L’utilizzo del software in altre configurazioni non è supportato e potrà influire sulle prestazioni.</w:t>
      </w:r>
      <w:r w:rsidRPr="00D87B79">
        <w:rPr>
          <w:rFonts w:cs="Tahoma"/>
        </w:rPr>
        <w:t xml:space="preserve"> </w:t>
      </w:r>
      <w:r w:rsidRPr="00D87B79">
        <w:rPr>
          <w:rFonts w:cs="Tahoma"/>
          <w:lang w:val="it-IT"/>
        </w:rPr>
        <w:t xml:space="preserve">Per ulteriori informazioni, visitare la pagina </w:t>
      </w:r>
      <w:hyperlink r:id="rId34" w:tooltip="http://www.microsoft.com/sqlserver/en/us/get-sql-server/how-to-buy.aspx" w:history="1">
        <w:r w:rsidRPr="00D87B79">
          <w:rPr>
            <w:rStyle w:val="Hyperlink"/>
            <w:rFonts w:cs="Tahoma"/>
            <w:lang w:val="it-IT"/>
          </w:rPr>
          <w:t>http://www.microsoft.com/sqlserver/en/us/get-sql-server/how-to-buy.aspx</w:t>
        </w:r>
      </w:hyperlink>
      <w:r w:rsidRPr="00D87B79">
        <w:rPr>
          <w:rFonts w:cs="Tahoma"/>
          <w:lang w:val="it-IT"/>
        </w:rPr>
        <w:t>.</w:t>
      </w:r>
      <w:r w:rsidRPr="00D87B79">
        <w:rPr>
          <w:rFonts w:cs="Tahoma"/>
        </w:rPr>
        <w:t xml:space="preserve"> </w:t>
      </w:r>
    </w:p>
    <w:p w:rsidR="00A92422" w:rsidRPr="00D87B79" w:rsidRDefault="00A92422" w:rsidP="00A92422">
      <w:pPr>
        <w:rPr>
          <w:rFonts w:cs="Tahoma"/>
        </w:rPr>
      </w:pPr>
    </w:p>
    <w:p w:rsidR="00A92422" w:rsidRPr="00D87B79" w:rsidRDefault="00A92422" w:rsidP="00A92422">
      <w:pPr>
        <w:rPr>
          <w:rFonts w:cs="Tahoma"/>
        </w:rPr>
      </w:pPr>
    </w:p>
    <w:p w:rsidR="00A92422" w:rsidRPr="00D87B79" w:rsidRDefault="00A92422" w:rsidP="00A92422">
      <w:pPr>
        <w:pStyle w:val="Heading3"/>
        <w:ind w:left="270" w:hanging="270"/>
        <w:rPr>
          <w:rFonts w:ascii="Tahoma" w:hAnsi="Tahoma" w:cs="Tahoma"/>
        </w:rPr>
      </w:pPr>
      <w:bookmarkStart w:id="1197" w:name="_Toc336338294"/>
      <w:bookmarkStart w:id="1198" w:name="_33_Core_CAL"/>
      <w:bookmarkStart w:id="1199" w:name="_Toc342900343"/>
      <w:bookmarkEnd w:id="1197"/>
      <w:bookmarkEnd w:id="1198"/>
      <w:r w:rsidRPr="00D87B79">
        <w:rPr>
          <w:rFonts w:ascii="Tahoma" w:hAnsi="Tahoma" w:cs="Tahoma"/>
          <w:caps/>
          <w:color w:val="F66400"/>
          <w:sz w:val="22"/>
          <w:vertAlign w:val="superscript"/>
          <w:lang w:val="it-IT"/>
        </w:rPr>
        <w:t>33</w:t>
      </w:r>
      <w:r w:rsidRPr="0048232F">
        <w:rPr>
          <w:rFonts w:ascii="Tahoma" w:hAnsi="Tahoma" w:cs="Tahoma"/>
          <w:caps/>
          <w:color w:val="F66400"/>
          <w:sz w:val="22"/>
          <w:lang w:val="it-IT"/>
        </w:rPr>
        <w:t xml:space="preserve"> </w:t>
      </w:r>
      <w:r w:rsidRPr="00D87B79">
        <w:rPr>
          <w:rFonts w:ascii="Tahoma" w:hAnsi="Tahoma" w:cs="Tahoma"/>
          <w:color w:val="F66400"/>
          <w:sz w:val="22"/>
          <w:lang w:val="it-IT"/>
        </w:rPr>
        <w:t>Core CAL Suite Bridge per Office 365, Core CAL Suite Bridge per Office 365 e</w:t>
      </w:r>
      <w:r>
        <w:rPr>
          <w:rFonts w:ascii="Tahoma" w:hAnsi="Tahoma" w:cs="Tahoma"/>
          <w:color w:val="F66400"/>
          <w:sz w:val="22"/>
          <w:lang w:val="it-IT"/>
        </w:rPr>
        <w:t> </w:t>
      </w:r>
      <w:r w:rsidRPr="00D87B79">
        <w:rPr>
          <w:rFonts w:ascii="Tahoma" w:hAnsi="Tahoma" w:cs="Tahoma"/>
          <w:color w:val="F66400"/>
          <w:sz w:val="22"/>
          <w:lang w:val="it-IT"/>
        </w:rPr>
        <w:t>Windows Intune e Core CAL Suite Bridge per Windows Intune</w:t>
      </w:r>
      <w:bookmarkEnd w:id="1199"/>
    </w:p>
    <w:p w:rsidR="00A92422" w:rsidRPr="00D87B79" w:rsidRDefault="00A92422" w:rsidP="00A92422">
      <w:pPr>
        <w:ind w:left="540"/>
        <w:rPr>
          <w:rFonts w:cs="Tahoma"/>
        </w:rPr>
      </w:pPr>
    </w:p>
    <w:p w:rsidR="00A92422" w:rsidRPr="00D87B79" w:rsidRDefault="00A92422" w:rsidP="00A92422">
      <w:pPr>
        <w:spacing w:after="60"/>
        <w:ind w:left="720"/>
        <w:rPr>
          <w:rFonts w:cs="Tahoma"/>
        </w:rPr>
      </w:pPr>
      <w:r w:rsidRPr="00D87B79">
        <w:rPr>
          <w:rFonts w:cs="Tahoma"/>
          <w:b/>
          <w:lang w:val="it-IT"/>
        </w:rPr>
        <w:t>Definizione</w:t>
      </w:r>
    </w:p>
    <w:p w:rsidR="00A92422" w:rsidRDefault="00A92422" w:rsidP="00A92422">
      <w:pPr>
        <w:ind w:left="720"/>
        <w:rPr>
          <w:rFonts w:cs="Tahoma"/>
        </w:rPr>
      </w:pPr>
      <w:r w:rsidRPr="00D87B79">
        <w:rPr>
          <w:rFonts w:cs="Tahoma"/>
          <w:lang w:val="it-IT"/>
        </w:rPr>
        <w:t>“Transizione” indica la conversione di una Licenza con la copertura Software Assurance attiva in una licenza “Subscription” o viceversa.</w:t>
      </w:r>
      <w:r w:rsidRPr="00D87B79">
        <w:rPr>
          <w:rFonts w:cs="Tahoma"/>
        </w:rPr>
        <w:t xml:space="preserve"> </w:t>
      </w:r>
    </w:p>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lang w:val="it-IT"/>
        </w:rPr>
        <w:t>Diritti sull'Utilizzo applicabili</w:t>
      </w:r>
      <w:r w:rsidRPr="00D87B79">
        <w:rPr>
          <w:rFonts w:cs="Tahoma"/>
        </w:rPr>
        <w:t xml:space="preserve"> </w:t>
      </w:r>
    </w:p>
    <w:p w:rsidR="00A92422" w:rsidRPr="00D87B79" w:rsidRDefault="00A92422" w:rsidP="00A92422">
      <w:pPr>
        <w:spacing w:line="276" w:lineRule="auto"/>
        <w:ind w:left="720"/>
        <w:rPr>
          <w:rFonts w:cs="Tahoma"/>
        </w:rPr>
      </w:pPr>
      <w:r w:rsidRPr="00D87B79">
        <w:rPr>
          <w:rFonts w:cs="Tahoma"/>
          <w:lang w:val="it-IT"/>
        </w:rPr>
        <w:t>Una licenza CAL Suite Bridge non dispone di versioni e i Diritti di Utilizzo del Prodotto sono determinati dallo stato della copertura Software Assurance per tale licenza. Qualora la copertura Software Assurance sia scaduta, i diritti di accesso attribuiti da Licenze perpetue sono determinati sulla base dei Diritti di Utilizzo del Prodotto in vigore prima della scadenza della copertura. Una Licenza per una CAL Suite Bridge è una licenza singola che dovrà essere ceduta a un utente o dispositivo singolo.</w:t>
      </w:r>
    </w:p>
    <w:p w:rsidR="00A92422" w:rsidRPr="00D87B79" w:rsidRDefault="00A92422" w:rsidP="00A92422">
      <w:pPr>
        <w:spacing w:after="60"/>
        <w:ind w:left="720"/>
        <w:rPr>
          <w:rFonts w:cs="Tahoma"/>
        </w:rPr>
      </w:pPr>
      <w:r w:rsidRPr="00D87B79">
        <w:rPr>
          <w:rFonts w:cs="Tahoma"/>
          <w:b/>
          <w:lang w:val="it-IT"/>
        </w:rPr>
        <w:t>Requisiti</w:t>
      </w:r>
    </w:p>
    <w:p w:rsidR="00A92422" w:rsidRPr="00D87B79" w:rsidRDefault="00A92422" w:rsidP="00A92422">
      <w:pPr>
        <w:spacing w:line="276" w:lineRule="auto"/>
        <w:ind w:left="720"/>
        <w:rPr>
          <w:rFonts w:cs="Tahoma"/>
        </w:rPr>
      </w:pPr>
      <w:r w:rsidRPr="00D87B79">
        <w:rPr>
          <w:rFonts w:cs="Tahoma"/>
          <w:lang w:val="it-IT"/>
        </w:rPr>
        <w:t>Una CAL Suite Bridge potrà essere richiesta durante la Transizione da una CAL Suite a una combinazione di</w:t>
      </w:r>
      <w:r>
        <w:rPr>
          <w:rFonts w:cs="Tahoma"/>
          <w:lang w:val="it-IT"/>
        </w:rPr>
        <w:t> </w:t>
      </w:r>
      <w:r w:rsidRPr="00D87B79">
        <w:rPr>
          <w:rFonts w:cs="Tahoma"/>
          <w:lang w:val="it-IT"/>
        </w:rPr>
        <w:t>Servizi Online e Prodotti paragonabili. Quando una Transizione richiede una CAL Suite Bridge e la Licenza qualificante è stata pagata totalmente dalla Società, l’acquisto di una Licenza per la CAL Suite Bridge non sarà necessario. La copertura Software Assurance potrà invece essere acquistata per la CAL Suite Bridge in</w:t>
      </w:r>
      <w:r>
        <w:rPr>
          <w:rFonts w:cs="Tahoma"/>
          <w:lang w:val="it-IT"/>
        </w:rPr>
        <w:t> </w:t>
      </w:r>
      <w:r w:rsidRPr="00D87B79">
        <w:rPr>
          <w:rFonts w:cs="Tahoma"/>
          <w:lang w:val="it-IT"/>
        </w:rPr>
        <w:t xml:space="preserve">occasione della ricorrenza dell’Iscrizione durante la quale la Transizione è in vigore. In tali circostanze il rapporto della Transizione potrà essere solo di una copertura Software Assurance per CAL Suite Bridge per </w:t>
      </w:r>
      <w:r w:rsidRPr="00D87B79">
        <w:rPr>
          <w:rFonts w:cs="Tahoma"/>
          <w:lang w:val="it-IT"/>
        </w:rPr>
        <w:lastRenderedPageBreak/>
        <w:t>una copertura Software Assurance per CAL Suite e per la stessa Licenza per utente o dispositivo della CAL Suite qualificante.</w:t>
      </w:r>
      <w:r w:rsidRPr="00D87B79">
        <w:rPr>
          <w:rFonts w:cs="Tahoma"/>
        </w:rPr>
        <w:t xml:space="preserve"> </w:t>
      </w:r>
    </w:p>
    <w:p w:rsidR="00A92422" w:rsidRPr="00D87B79" w:rsidRDefault="00A92422" w:rsidP="00A92422">
      <w:pPr>
        <w:spacing w:line="276" w:lineRule="auto"/>
        <w:ind w:left="720"/>
        <w:rPr>
          <w:rFonts w:cs="Tahoma"/>
        </w:rPr>
      </w:pPr>
    </w:p>
    <w:p w:rsidR="00A92422" w:rsidRDefault="00A92422" w:rsidP="00A92422">
      <w:pPr>
        <w:spacing w:line="276" w:lineRule="auto"/>
        <w:ind w:left="720"/>
        <w:rPr>
          <w:rFonts w:cs="Tahoma"/>
          <w:lang w:val="it-IT"/>
        </w:rPr>
      </w:pPr>
      <w:r w:rsidRPr="00D87B79">
        <w:rPr>
          <w:rFonts w:cs="Tahoma"/>
          <w:lang w:val="it-IT"/>
        </w:rPr>
        <w:t>Una CAL Suite Bridge è un Prodotto Enterprise e potrà essere ottenuto in licenza solo insieme al Servizio Online qualificante per soddisfare il requisito a livello aziendale sia della CAL Suite Bridge che della CAL Suite</w:t>
      </w:r>
      <w:r>
        <w:rPr>
          <w:rFonts w:cs="Tahoma"/>
          <w:lang w:val="it-IT"/>
        </w:rPr>
        <w:t> </w:t>
      </w:r>
      <w:r w:rsidRPr="00D87B79">
        <w:rPr>
          <w:rFonts w:cs="Tahoma"/>
          <w:lang w:val="it-IT"/>
        </w:rPr>
        <w:t>principale.</w:t>
      </w:r>
    </w:p>
    <w:p w:rsidR="00A92422" w:rsidRPr="00D87B79" w:rsidRDefault="00A92422" w:rsidP="00A92422">
      <w:pPr>
        <w:spacing w:line="276" w:lineRule="auto"/>
        <w:ind w:left="720"/>
        <w:rPr>
          <w:rFonts w:cs="Tahoma"/>
        </w:rPr>
      </w:pP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A92422" w:rsidRPr="00D87B79" w:rsidTr="00EA30FC">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tcPr>
          <w:p w:rsidR="00A92422" w:rsidRPr="00D87B79" w:rsidRDefault="00A92422" w:rsidP="00EA30FC">
            <w:pPr>
              <w:spacing w:before="80" w:after="200" w:line="276" w:lineRule="auto"/>
              <w:jc w:val="center"/>
              <w:rPr>
                <w:rFonts w:eastAsia="Times New Roman" w:cs="Tahoma"/>
                <w:b/>
                <w:bCs/>
                <w:color w:val="000000"/>
                <w:szCs w:val="18"/>
                <w:lang w:eastAsia="ja-JP"/>
              </w:rPr>
            </w:pPr>
            <w:r w:rsidRPr="00D87B79">
              <w:rPr>
                <w:rFonts w:cs="Tahoma"/>
                <w:b/>
                <w:lang w:val="it-IT"/>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tcPr>
          <w:p w:rsidR="00A92422" w:rsidRPr="00D87B79" w:rsidRDefault="00A92422" w:rsidP="00EA30FC">
            <w:pPr>
              <w:spacing w:before="80" w:after="200" w:line="276" w:lineRule="auto"/>
              <w:jc w:val="center"/>
              <w:rPr>
                <w:rFonts w:eastAsia="Times New Roman" w:cs="Tahoma"/>
                <w:b/>
                <w:bCs/>
                <w:color w:val="000000"/>
                <w:szCs w:val="18"/>
                <w:lang w:eastAsia="ja-JP"/>
              </w:rPr>
            </w:pPr>
            <w:r w:rsidRPr="00D87B79">
              <w:rPr>
                <w:rFonts w:cs="Tahoma"/>
                <w:b/>
                <w:lang w:val="it-IT"/>
              </w:rPr>
              <w:t>CAL Suite Principale</w:t>
            </w:r>
          </w:p>
        </w:tc>
        <w:tc>
          <w:tcPr>
            <w:tcW w:w="1703" w:type="pct"/>
            <w:tcBorders>
              <w:top w:val="single" w:sz="8" w:space="0" w:color="auto"/>
              <w:left w:val="nil"/>
              <w:bottom w:val="single" w:sz="8" w:space="0" w:color="auto"/>
              <w:right w:val="single" w:sz="8" w:space="0" w:color="auto"/>
            </w:tcBorders>
            <w:shd w:val="clear" w:color="auto" w:fill="FABF8F"/>
          </w:tcPr>
          <w:p w:rsidR="00A92422" w:rsidRPr="00D87B79" w:rsidRDefault="00A92422" w:rsidP="00EA30FC">
            <w:pPr>
              <w:spacing w:before="80" w:after="200" w:line="276" w:lineRule="auto"/>
              <w:ind w:left="180" w:right="180"/>
              <w:jc w:val="center"/>
              <w:rPr>
                <w:rFonts w:eastAsia="Times New Roman" w:cs="Tahoma"/>
                <w:b/>
                <w:bCs/>
                <w:color w:val="000000"/>
                <w:szCs w:val="18"/>
                <w:lang w:eastAsia="ja-JP"/>
              </w:rPr>
            </w:pPr>
            <w:r w:rsidRPr="00D87B79">
              <w:rPr>
                <w:rFonts w:cs="Tahoma"/>
                <w:b/>
                <w:lang w:val="it-IT"/>
              </w:rPr>
              <w:t>Servizi Online Qualificanti</w:t>
            </w:r>
          </w:p>
        </w:tc>
      </w:tr>
      <w:tr w:rsidR="00A92422" w:rsidRPr="00D87B79" w:rsidTr="00EA30FC">
        <w:trPr>
          <w:trHeight w:val="576"/>
        </w:trPr>
        <w:tc>
          <w:tcPr>
            <w:tcW w:w="1704" w:type="pct"/>
            <w:tcBorders>
              <w:top w:val="nil"/>
              <w:left w:val="single" w:sz="8" w:space="0" w:color="auto"/>
              <w:bottom w:val="single" w:sz="8" w:space="0" w:color="auto"/>
              <w:right w:val="single" w:sz="8" w:space="0" w:color="auto"/>
            </w:tcBorders>
          </w:tcPr>
          <w:p w:rsidR="00A92422" w:rsidRPr="00D87B79" w:rsidRDefault="00A92422" w:rsidP="00A92422">
            <w:pPr>
              <w:numPr>
                <w:ilvl w:val="0"/>
                <w:numId w:val="82"/>
              </w:numPr>
              <w:spacing w:before="120" w:after="200" w:line="276" w:lineRule="auto"/>
              <w:ind w:left="679" w:right="181" w:hanging="450"/>
              <w:rPr>
                <w:rFonts w:eastAsia="Times New Roman" w:cs="Tahoma"/>
                <w:color w:val="000000"/>
                <w:szCs w:val="18"/>
              </w:rPr>
            </w:pPr>
            <w:r w:rsidRPr="00D87B79">
              <w:rPr>
                <w:rFonts w:eastAsia="Times New Roman" w:cs="Tahoma"/>
                <w:color w:val="000000"/>
                <w:szCs w:val="18"/>
                <w:lang w:val="it-IT"/>
              </w:rPr>
              <w:t>Core CAL Suite Bridge per Office 365</w:t>
            </w:r>
          </w:p>
        </w:tc>
        <w:tc>
          <w:tcPr>
            <w:tcW w:w="1593" w:type="pct"/>
            <w:tcBorders>
              <w:top w:val="nil"/>
              <w:left w:val="nil"/>
              <w:bottom w:val="single" w:sz="8" w:space="0" w:color="auto"/>
              <w:right w:val="single" w:sz="8" w:space="0" w:color="auto"/>
            </w:tcBorders>
          </w:tcPr>
          <w:p w:rsidR="00A92422" w:rsidRPr="00D87B79" w:rsidRDefault="00A92422" w:rsidP="00A92422">
            <w:pPr>
              <w:numPr>
                <w:ilvl w:val="0"/>
                <w:numId w:val="83"/>
              </w:numPr>
              <w:spacing w:before="120" w:after="200" w:line="276" w:lineRule="auto"/>
              <w:ind w:left="682" w:hanging="450"/>
              <w:rPr>
                <w:rFonts w:eastAsia="Times New Roman" w:cs="Tahoma"/>
                <w:color w:val="000000"/>
                <w:szCs w:val="18"/>
              </w:rPr>
            </w:pPr>
            <w:r w:rsidRPr="00D87B79">
              <w:rPr>
                <w:rFonts w:eastAsia="Times New Roman" w:cs="Tahoma"/>
                <w:color w:val="000000"/>
                <w:szCs w:val="18"/>
                <w:lang w:val="it-IT"/>
              </w:rPr>
              <w:t>Core CAL Suite</w:t>
            </w:r>
          </w:p>
        </w:tc>
        <w:tc>
          <w:tcPr>
            <w:tcW w:w="1703" w:type="pct"/>
            <w:tcBorders>
              <w:top w:val="nil"/>
              <w:left w:val="nil"/>
              <w:bottom w:val="single" w:sz="8" w:space="0" w:color="auto"/>
              <w:right w:val="single" w:sz="8" w:space="0" w:color="auto"/>
            </w:tcBorders>
          </w:tcPr>
          <w:p w:rsidR="00A92422" w:rsidRPr="00D87B79" w:rsidRDefault="00A92422" w:rsidP="00A92422">
            <w:pPr>
              <w:numPr>
                <w:ilvl w:val="0"/>
                <w:numId w:val="84"/>
              </w:numPr>
              <w:spacing w:before="120" w:after="200" w:line="276" w:lineRule="auto"/>
              <w:ind w:left="684" w:right="181" w:hanging="450"/>
              <w:rPr>
                <w:rFonts w:cs="Tahoma"/>
              </w:rPr>
            </w:pPr>
            <w:r w:rsidRPr="00D87B79">
              <w:rPr>
                <w:rFonts w:cs="Tahoma"/>
                <w:color w:val="000000"/>
                <w:lang w:val="it-IT"/>
              </w:rPr>
              <w:t>Office 365 Piano E1 o</w:t>
            </w:r>
          </w:p>
          <w:p w:rsidR="00A92422" w:rsidRPr="00D87B79" w:rsidRDefault="00A92422" w:rsidP="00A92422">
            <w:pPr>
              <w:numPr>
                <w:ilvl w:val="0"/>
                <w:numId w:val="84"/>
              </w:numPr>
              <w:spacing w:before="120" w:after="200" w:line="276" w:lineRule="auto"/>
              <w:ind w:left="684" w:right="181" w:hanging="450"/>
              <w:rPr>
                <w:rFonts w:cs="Tahoma"/>
              </w:rPr>
            </w:pPr>
            <w:r w:rsidRPr="00D87B79">
              <w:rPr>
                <w:rFonts w:cs="Tahoma"/>
                <w:color w:val="000000"/>
                <w:lang w:val="it-IT"/>
              </w:rPr>
              <w:t>Office 365 Piano E2, o</w:t>
            </w:r>
          </w:p>
          <w:p w:rsidR="00A92422" w:rsidRPr="00D87B79" w:rsidRDefault="00A92422" w:rsidP="00A92422">
            <w:pPr>
              <w:numPr>
                <w:ilvl w:val="0"/>
                <w:numId w:val="84"/>
              </w:numPr>
              <w:spacing w:before="120" w:after="200" w:line="276" w:lineRule="auto"/>
              <w:ind w:left="684" w:right="181" w:hanging="450"/>
              <w:rPr>
                <w:rFonts w:cs="Tahoma"/>
              </w:rPr>
            </w:pPr>
            <w:r w:rsidRPr="00D87B79">
              <w:rPr>
                <w:rFonts w:cs="Tahoma"/>
                <w:color w:val="000000"/>
                <w:lang w:val="it-IT"/>
              </w:rPr>
              <w:t>Office 365 Piano E3, o</w:t>
            </w:r>
          </w:p>
          <w:p w:rsidR="00A92422" w:rsidRPr="00D87B79" w:rsidRDefault="00A92422" w:rsidP="00A92422">
            <w:pPr>
              <w:numPr>
                <w:ilvl w:val="0"/>
                <w:numId w:val="84"/>
              </w:numPr>
              <w:spacing w:before="120" w:after="200" w:line="276" w:lineRule="auto"/>
              <w:ind w:left="684" w:right="181" w:hanging="450"/>
              <w:rPr>
                <w:rFonts w:eastAsia="Times New Roman" w:cs="Tahoma"/>
                <w:color w:val="000000"/>
                <w:szCs w:val="18"/>
              </w:rPr>
            </w:pPr>
            <w:r w:rsidRPr="00D87B79">
              <w:rPr>
                <w:rFonts w:eastAsia="Times New Roman" w:cs="Tahoma"/>
                <w:color w:val="000000"/>
                <w:szCs w:val="18"/>
                <w:lang w:val="it-IT"/>
              </w:rPr>
              <w:t>Office 365 Piano E4</w:t>
            </w:r>
          </w:p>
        </w:tc>
      </w:tr>
      <w:tr w:rsidR="00A92422" w:rsidRPr="00D87B79" w:rsidTr="00EA30FC">
        <w:trPr>
          <w:trHeight w:val="576"/>
        </w:trPr>
        <w:tc>
          <w:tcPr>
            <w:tcW w:w="1704" w:type="pct"/>
            <w:tcBorders>
              <w:top w:val="nil"/>
              <w:left w:val="single" w:sz="8" w:space="0" w:color="auto"/>
              <w:bottom w:val="single" w:sz="8" w:space="0" w:color="auto"/>
              <w:right w:val="single" w:sz="8" w:space="0" w:color="auto"/>
            </w:tcBorders>
          </w:tcPr>
          <w:p w:rsidR="00A92422" w:rsidRPr="00D87B79" w:rsidRDefault="00A92422" w:rsidP="00A92422">
            <w:pPr>
              <w:numPr>
                <w:ilvl w:val="0"/>
                <w:numId w:val="82"/>
              </w:numPr>
              <w:spacing w:before="120" w:after="200" w:line="276" w:lineRule="auto"/>
              <w:ind w:left="679" w:right="181" w:hanging="450"/>
              <w:rPr>
                <w:rFonts w:eastAsia="Times New Roman" w:cs="Tahoma"/>
                <w:color w:val="000000"/>
                <w:szCs w:val="18"/>
              </w:rPr>
            </w:pPr>
            <w:r w:rsidRPr="00D87B79">
              <w:rPr>
                <w:rFonts w:eastAsia="Times New Roman" w:cs="Tahoma"/>
                <w:color w:val="000000"/>
                <w:szCs w:val="18"/>
                <w:lang w:val="it-IT"/>
              </w:rPr>
              <w:t>Core CAL Suite Bridge per Office 365 e Windows Intune</w:t>
            </w:r>
          </w:p>
        </w:tc>
        <w:tc>
          <w:tcPr>
            <w:tcW w:w="1593" w:type="pct"/>
            <w:tcBorders>
              <w:top w:val="nil"/>
              <w:left w:val="nil"/>
              <w:bottom w:val="single" w:sz="8" w:space="0" w:color="auto"/>
              <w:right w:val="single" w:sz="8" w:space="0" w:color="auto"/>
            </w:tcBorders>
          </w:tcPr>
          <w:p w:rsidR="00A92422" w:rsidRPr="00D87B79" w:rsidRDefault="00A92422" w:rsidP="00A92422">
            <w:pPr>
              <w:numPr>
                <w:ilvl w:val="0"/>
                <w:numId w:val="83"/>
              </w:numPr>
              <w:spacing w:before="120" w:after="200" w:line="276" w:lineRule="auto"/>
              <w:ind w:left="682" w:hanging="450"/>
              <w:rPr>
                <w:rFonts w:eastAsia="Times New Roman" w:cs="Tahoma"/>
                <w:color w:val="000000"/>
                <w:szCs w:val="18"/>
              </w:rPr>
            </w:pPr>
            <w:r w:rsidRPr="00D87B79">
              <w:rPr>
                <w:rFonts w:eastAsia="Times New Roman" w:cs="Tahoma"/>
                <w:color w:val="000000"/>
                <w:szCs w:val="18"/>
                <w:lang w:val="it-IT"/>
              </w:rPr>
              <w:t>Core CAL Suite</w:t>
            </w:r>
          </w:p>
        </w:tc>
        <w:tc>
          <w:tcPr>
            <w:tcW w:w="1703" w:type="pct"/>
            <w:tcBorders>
              <w:top w:val="nil"/>
              <w:left w:val="nil"/>
              <w:bottom w:val="single" w:sz="8" w:space="0" w:color="auto"/>
              <w:right w:val="single" w:sz="8" w:space="0" w:color="auto"/>
            </w:tcBorders>
          </w:tcPr>
          <w:p w:rsidR="00A92422" w:rsidRPr="00D87B79" w:rsidRDefault="00A92422" w:rsidP="00A92422">
            <w:pPr>
              <w:numPr>
                <w:ilvl w:val="0"/>
                <w:numId w:val="84"/>
              </w:numPr>
              <w:spacing w:before="120" w:after="200" w:line="276" w:lineRule="auto"/>
              <w:ind w:left="684" w:right="181" w:hanging="450"/>
              <w:rPr>
                <w:rFonts w:cs="Tahoma"/>
              </w:rPr>
            </w:pPr>
            <w:r w:rsidRPr="00D87B79">
              <w:rPr>
                <w:rFonts w:cs="Tahoma"/>
                <w:color w:val="000000"/>
                <w:lang w:val="it-IT"/>
              </w:rPr>
              <w:t>Office 365 Piano E1 e</w:t>
            </w:r>
            <w:r>
              <w:rPr>
                <w:rFonts w:cs="Tahoma"/>
                <w:color w:val="000000"/>
                <w:lang w:val="it-IT"/>
              </w:rPr>
              <w:t> </w:t>
            </w:r>
            <w:r w:rsidRPr="00D87B79">
              <w:rPr>
                <w:rFonts w:cs="Tahoma"/>
                <w:color w:val="000000"/>
                <w:lang w:val="it-IT"/>
              </w:rPr>
              <w:t>Windows Intune, o</w:t>
            </w:r>
          </w:p>
          <w:p w:rsidR="00A92422" w:rsidRPr="00D87B79" w:rsidRDefault="00A92422" w:rsidP="00A92422">
            <w:pPr>
              <w:numPr>
                <w:ilvl w:val="0"/>
                <w:numId w:val="84"/>
              </w:numPr>
              <w:spacing w:before="120" w:after="200" w:line="276" w:lineRule="auto"/>
              <w:ind w:left="684" w:right="181" w:hanging="450"/>
              <w:rPr>
                <w:rFonts w:cs="Tahoma"/>
              </w:rPr>
            </w:pPr>
            <w:r w:rsidRPr="00D87B79">
              <w:rPr>
                <w:rFonts w:cs="Tahoma"/>
                <w:color w:val="000000"/>
                <w:lang w:val="it-IT"/>
              </w:rPr>
              <w:t>Office 365 Piano E2 e</w:t>
            </w:r>
            <w:r>
              <w:rPr>
                <w:rFonts w:cs="Tahoma"/>
                <w:color w:val="000000"/>
                <w:lang w:val="it-IT"/>
              </w:rPr>
              <w:t> </w:t>
            </w:r>
            <w:r w:rsidRPr="00D87B79">
              <w:rPr>
                <w:rFonts w:cs="Tahoma"/>
                <w:color w:val="000000"/>
                <w:lang w:val="it-IT"/>
              </w:rPr>
              <w:t>Windows Intune o</w:t>
            </w:r>
          </w:p>
          <w:p w:rsidR="00A92422" w:rsidRPr="00D87B79" w:rsidRDefault="00A92422" w:rsidP="00A92422">
            <w:pPr>
              <w:numPr>
                <w:ilvl w:val="0"/>
                <w:numId w:val="84"/>
              </w:numPr>
              <w:spacing w:before="120" w:after="200" w:line="276" w:lineRule="auto"/>
              <w:ind w:left="684" w:right="181" w:hanging="450"/>
              <w:rPr>
                <w:rFonts w:cs="Tahoma"/>
              </w:rPr>
            </w:pPr>
            <w:r w:rsidRPr="00D87B79">
              <w:rPr>
                <w:rFonts w:cs="Tahoma"/>
                <w:color w:val="000000"/>
                <w:lang w:val="it-IT"/>
              </w:rPr>
              <w:t>Office 365 Piano E3 e</w:t>
            </w:r>
            <w:r>
              <w:rPr>
                <w:rFonts w:cs="Tahoma"/>
                <w:color w:val="000000"/>
                <w:lang w:val="it-IT"/>
              </w:rPr>
              <w:t> </w:t>
            </w:r>
            <w:r w:rsidRPr="00D87B79">
              <w:rPr>
                <w:rFonts w:cs="Tahoma"/>
                <w:color w:val="000000"/>
                <w:lang w:val="it-IT"/>
              </w:rPr>
              <w:t>Windows Intune o</w:t>
            </w:r>
          </w:p>
          <w:p w:rsidR="00A92422" w:rsidRPr="00D87B79" w:rsidRDefault="00A92422" w:rsidP="00A92422">
            <w:pPr>
              <w:numPr>
                <w:ilvl w:val="0"/>
                <w:numId w:val="84"/>
              </w:numPr>
              <w:spacing w:before="120" w:after="200" w:line="276" w:lineRule="auto"/>
              <w:ind w:left="684" w:right="181" w:hanging="450"/>
              <w:rPr>
                <w:rFonts w:eastAsia="Times New Roman" w:cs="Tahoma"/>
                <w:color w:val="000000"/>
                <w:szCs w:val="18"/>
              </w:rPr>
            </w:pPr>
            <w:r w:rsidRPr="00D87B79">
              <w:rPr>
                <w:rFonts w:eastAsia="Times New Roman" w:cs="Tahoma"/>
                <w:color w:val="000000"/>
                <w:szCs w:val="18"/>
                <w:lang w:val="it-IT"/>
              </w:rPr>
              <w:t>Office 365 Piano E4 e</w:t>
            </w:r>
            <w:r>
              <w:rPr>
                <w:rFonts w:eastAsia="Times New Roman" w:cs="Tahoma"/>
                <w:color w:val="000000"/>
                <w:szCs w:val="18"/>
                <w:lang w:val="it-IT"/>
              </w:rPr>
              <w:t> </w:t>
            </w:r>
            <w:r w:rsidRPr="00D87B79">
              <w:rPr>
                <w:rFonts w:eastAsia="Times New Roman" w:cs="Tahoma"/>
                <w:color w:val="000000"/>
                <w:szCs w:val="18"/>
                <w:lang w:val="it-IT"/>
              </w:rPr>
              <w:t>Windows Intune</w:t>
            </w:r>
          </w:p>
        </w:tc>
      </w:tr>
      <w:tr w:rsidR="00A92422" w:rsidRPr="00D87B79" w:rsidTr="00EA30FC">
        <w:trPr>
          <w:trHeight w:val="576"/>
        </w:trPr>
        <w:tc>
          <w:tcPr>
            <w:tcW w:w="1704" w:type="pct"/>
            <w:tcBorders>
              <w:top w:val="single" w:sz="8" w:space="0" w:color="auto"/>
              <w:left w:val="single" w:sz="8" w:space="0" w:color="auto"/>
              <w:bottom w:val="single" w:sz="8" w:space="0" w:color="auto"/>
              <w:right w:val="single" w:sz="8" w:space="0" w:color="auto"/>
            </w:tcBorders>
          </w:tcPr>
          <w:p w:rsidR="00A92422" w:rsidRPr="00D87B79" w:rsidRDefault="00A92422" w:rsidP="00A92422">
            <w:pPr>
              <w:numPr>
                <w:ilvl w:val="0"/>
                <w:numId w:val="82"/>
              </w:numPr>
              <w:spacing w:before="120" w:after="200" w:line="276" w:lineRule="auto"/>
              <w:ind w:left="679" w:right="181" w:hanging="450"/>
              <w:rPr>
                <w:rFonts w:eastAsia="Times New Roman" w:cs="Tahoma"/>
                <w:color w:val="000000"/>
                <w:szCs w:val="18"/>
              </w:rPr>
            </w:pPr>
            <w:r w:rsidRPr="00D87B79">
              <w:rPr>
                <w:rFonts w:cs="Tahoma"/>
                <w:color w:val="000000"/>
                <w:lang w:val="it-IT"/>
              </w:rPr>
              <w:t>Core CAL Suite Bridge per Windows Intune</w:t>
            </w:r>
          </w:p>
        </w:tc>
        <w:tc>
          <w:tcPr>
            <w:tcW w:w="1593" w:type="pct"/>
            <w:tcBorders>
              <w:top w:val="single" w:sz="8" w:space="0" w:color="auto"/>
              <w:left w:val="nil"/>
              <w:bottom w:val="single" w:sz="8" w:space="0" w:color="auto"/>
              <w:right w:val="single" w:sz="8" w:space="0" w:color="auto"/>
            </w:tcBorders>
          </w:tcPr>
          <w:p w:rsidR="00A92422" w:rsidRPr="00D87B79" w:rsidRDefault="00A92422" w:rsidP="00A92422">
            <w:pPr>
              <w:numPr>
                <w:ilvl w:val="0"/>
                <w:numId w:val="83"/>
              </w:numPr>
              <w:spacing w:before="120" w:after="200" w:line="276" w:lineRule="auto"/>
              <w:ind w:left="682" w:hanging="450"/>
              <w:rPr>
                <w:rFonts w:eastAsia="Times New Roman" w:cs="Tahoma"/>
                <w:color w:val="000000"/>
                <w:szCs w:val="18"/>
              </w:rPr>
            </w:pPr>
            <w:r w:rsidRPr="00D87B79">
              <w:rPr>
                <w:rFonts w:cs="Tahoma"/>
                <w:color w:val="000000"/>
                <w:lang w:val="it-IT"/>
              </w:rPr>
              <w:t>Core CAL Suite</w:t>
            </w:r>
          </w:p>
        </w:tc>
        <w:tc>
          <w:tcPr>
            <w:tcW w:w="1703" w:type="pct"/>
            <w:tcBorders>
              <w:top w:val="single" w:sz="8" w:space="0" w:color="auto"/>
              <w:left w:val="nil"/>
              <w:bottom w:val="single" w:sz="8" w:space="0" w:color="auto"/>
              <w:right w:val="single" w:sz="8" w:space="0" w:color="auto"/>
            </w:tcBorders>
          </w:tcPr>
          <w:p w:rsidR="00A92422" w:rsidRPr="00D87B79" w:rsidRDefault="00A92422" w:rsidP="00A92422">
            <w:pPr>
              <w:numPr>
                <w:ilvl w:val="0"/>
                <w:numId w:val="84"/>
              </w:numPr>
              <w:spacing w:before="120" w:after="200" w:line="276" w:lineRule="auto"/>
              <w:ind w:left="684" w:right="181" w:hanging="450"/>
              <w:rPr>
                <w:rFonts w:eastAsia="Times New Roman" w:cs="Tahoma"/>
                <w:color w:val="000000"/>
                <w:szCs w:val="18"/>
              </w:rPr>
            </w:pPr>
            <w:r w:rsidRPr="00D87B79">
              <w:rPr>
                <w:rFonts w:cs="Tahoma"/>
                <w:color w:val="000000"/>
                <w:lang w:val="it-IT"/>
              </w:rPr>
              <w:t>Windows Intune</w:t>
            </w:r>
          </w:p>
        </w:tc>
      </w:tr>
    </w:tbl>
    <w:p w:rsidR="00A92422" w:rsidRDefault="00A92422" w:rsidP="00A92422">
      <w:bookmarkStart w:id="1200" w:name="_Toc336338295"/>
    </w:p>
    <w:p w:rsidR="00A92422" w:rsidRPr="003216C4" w:rsidRDefault="00A92422" w:rsidP="00A92422"/>
    <w:p w:rsidR="00A92422" w:rsidRPr="00D87B79" w:rsidRDefault="00A92422" w:rsidP="00A92422">
      <w:pPr>
        <w:pStyle w:val="Heading3"/>
        <w:rPr>
          <w:rFonts w:ascii="Tahoma" w:hAnsi="Tahoma" w:cs="Tahoma"/>
        </w:rPr>
      </w:pPr>
      <w:bookmarkStart w:id="1201" w:name="Srv_34CoreCALSuite"/>
      <w:bookmarkStart w:id="1202" w:name="Srv_31CoreCALSuite"/>
      <w:bookmarkStart w:id="1203" w:name="_34_Core_CAL"/>
      <w:bookmarkStart w:id="1204" w:name="_Toc342900344"/>
      <w:bookmarkEnd w:id="1200"/>
      <w:bookmarkEnd w:id="1201"/>
      <w:bookmarkEnd w:id="1202"/>
      <w:bookmarkEnd w:id="1203"/>
      <w:r w:rsidRPr="00D87B79">
        <w:rPr>
          <w:rFonts w:ascii="Tahoma" w:hAnsi="Tahoma" w:cs="Tahoma"/>
          <w:caps/>
          <w:color w:val="F66400"/>
          <w:sz w:val="22"/>
          <w:vertAlign w:val="superscript"/>
          <w:lang w:val="it-IT"/>
        </w:rPr>
        <w:t>34</w:t>
      </w:r>
      <w:r w:rsidRPr="00D87B79">
        <w:rPr>
          <w:rFonts w:ascii="Tahoma" w:hAnsi="Tahoma" w:cs="Tahoma"/>
          <w:color w:val="F66400"/>
          <w:sz w:val="22"/>
          <w:lang w:val="it-IT"/>
        </w:rPr>
        <w:t xml:space="preserve"> Core CAL Suite</w:t>
      </w:r>
      <w:bookmarkEnd w:id="1204"/>
    </w:p>
    <w:p w:rsidR="00A92422" w:rsidRPr="00D87B79" w:rsidRDefault="00A92422" w:rsidP="00A92422">
      <w:pPr>
        <w:ind w:firstLine="540"/>
        <w:rPr>
          <w:rFonts w:cs="Tahoma"/>
        </w:rPr>
      </w:pPr>
    </w:p>
    <w:p w:rsidR="00A92422" w:rsidRPr="00D87B79" w:rsidRDefault="00A92422" w:rsidP="00A92422">
      <w:pPr>
        <w:ind w:left="720"/>
        <w:rPr>
          <w:rFonts w:cs="Tahoma"/>
        </w:rPr>
      </w:pPr>
      <w:r w:rsidRPr="00D87B79">
        <w:rPr>
          <w:rFonts w:cs="Tahoma"/>
          <w:lang w:val="it-IT"/>
        </w:rPr>
        <w:t>Core CAL Suite non dispone di versioni e i diritti di utilizzo del prodotto sono determinati dallo stato della copertura Software Assurance per Core CAL Suite. Qualora la copertura sia scaduta, i diritti di accesso attribuiti da licenze perpetue sono determinati sulla base dei diritti di utilizzo del prodotto in vigore prima della scadenza della copertura. A partire dal 1 dicembre 2012 una licenza per Core CAL Suite con copertura Software Assurance attiva concede diritti equivalenti ai seguenti prodotti:</w:t>
      </w:r>
      <w:r w:rsidRPr="00D87B79">
        <w:rPr>
          <w:rFonts w:cs="Tahoma"/>
          <w:color w:val="000000"/>
          <w:szCs w:val="20"/>
        </w:rPr>
        <w:t xml:space="preserve"> </w:t>
      </w:r>
      <w:r w:rsidRPr="00D87B79">
        <w:rPr>
          <w:rFonts w:cs="Tahoma"/>
          <w:lang w:val="it-IT"/>
        </w:rPr>
        <w:t>CAL per Windows Server 2012, Standard CAL per Exchange Server 2013, Standard CAL per Lync Server 2013, Standard CAL per SharePoint Server 2013, Licenza di Gestione Client per System Center 2012 Configuration Manager e System Center 2012 Endpoint Protection.</w:t>
      </w:r>
      <w:r w:rsidRPr="00D87B79">
        <w:rPr>
          <w:rFonts w:cs="Tahoma"/>
        </w:rPr>
        <w:t xml:space="preserve"> </w:t>
      </w:r>
      <w:r w:rsidRPr="00D87B79">
        <w:rPr>
          <w:rFonts w:cs="Tahoma"/>
          <w:color w:val="000000"/>
          <w:lang w:val="it-IT"/>
        </w:rPr>
        <w:t>Una licenza per Core CAL Suite è una licenza singola che deve essere assegnata a</w:t>
      </w:r>
      <w:r>
        <w:rPr>
          <w:rFonts w:cs="Tahoma"/>
          <w:color w:val="000000"/>
          <w:lang w:val="it-IT"/>
        </w:rPr>
        <w:t> </w:t>
      </w:r>
      <w:r w:rsidRPr="00D87B79">
        <w:rPr>
          <w:rFonts w:cs="Tahoma"/>
          <w:color w:val="000000"/>
          <w:lang w:val="it-IT"/>
        </w:rPr>
        <w:t>un singolo utente o dispositivo. Secondo quanto previsto nel relativo contratto Volume License, le società non sono autorizzate a separare i diritti di Core CAL Suite per consentire a due o più utenti o dispositivi di</w:t>
      </w:r>
      <w:r>
        <w:rPr>
          <w:rFonts w:cs="Tahoma"/>
          <w:color w:val="000000"/>
          <w:lang w:val="it-IT"/>
        </w:rPr>
        <w:t> </w:t>
      </w:r>
      <w:r w:rsidRPr="00D87B79">
        <w:rPr>
          <w:rFonts w:cs="Tahoma"/>
          <w:color w:val="000000"/>
          <w:lang w:val="it-IT"/>
        </w:rPr>
        <w:t>accedere contemporaneamente ai diversi componenti.</w:t>
      </w:r>
      <w:r w:rsidRPr="00D87B79">
        <w:rPr>
          <w:rFonts w:cs="Tahoma"/>
        </w:rPr>
        <w:t> </w:t>
      </w:r>
    </w:p>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color w:val="000000"/>
          <w:lang w:val="it-IT"/>
        </w:rPr>
        <w:t>CAL Solo per Studenti (Academic Open License e Academic Select)</w:t>
      </w:r>
    </w:p>
    <w:p w:rsidR="00A92422" w:rsidRPr="00D87B79" w:rsidRDefault="00A92422" w:rsidP="00A92422">
      <w:pPr>
        <w:ind w:left="720"/>
        <w:rPr>
          <w:rFonts w:cs="Tahoma"/>
        </w:rPr>
      </w:pPr>
      <w:r w:rsidRPr="00D87B79">
        <w:rPr>
          <w:rFonts w:cs="Tahoma"/>
          <w:lang w:val="it-IT"/>
        </w:rPr>
        <w:t>Le CAL Solo per Studenti sono limitate ai PC di proprietà dello studente titolare della licenza o ai PC di</w:t>
      </w:r>
      <w:r>
        <w:rPr>
          <w:rFonts w:cs="Tahoma"/>
          <w:lang w:val="it-IT"/>
        </w:rPr>
        <w:t> </w:t>
      </w:r>
      <w:r w:rsidRPr="00D87B79">
        <w:rPr>
          <w:rFonts w:cs="Tahoma"/>
          <w:lang w:val="it-IT"/>
        </w:rPr>
        <w:t>proprietà dell’Istituto che siano assegnati a un singolo studente e NON siano utilizzati nei laboratori o</w:t>
      </w:r>
      <w:r>
        <w:rPr>
          <w:rFonts w:cs="Tahoma"/>
          <w:lang w:val="it-IT"/>
        </w:rPr>
        <w:t> </w:t>
      </w:r>
      <w:r w:rsidRPr="00D87B79">
        <w:rPr>
          <w:rFonts w:cs="Tahoma"/>
          <w:lang w:val="it-IT"/>
        </w:rPr>
        <w:t>in</w:t>
      </w:r>
      <w:r>
        <w:rPr>
          <w:rFonts w:cs="Tahoma"/>
          <w:lang w:val="it-IT"/>
        </w:rPr>
        <w:t> </w:t>
      </w:r>
      <w:r w:rsidRPr="00D87B79">
        <w:rPr>
          <w:rFonts w:cs="Tahoma"/>
          <w:lang w:val="it-IT"/>
        </w:rPr>
        <w:t>classe.</w:t>
      </w:r>
    </w:p>
    <w:p w:rsidR="00A92422" w:rsidRPr="00D87B79" w:rsidRDefault="00A92422" w:rsidP="00A92422">
      <w:pPr>
        <w:ind w:left="540"/>
        <w:rPr>
          <w:rFonts w:cs="Tahoma"/>
        </w:rPr>
      </w:pPr>
    </w:p>
    <w:p w:rsidR="00A92422" w:rsidRPr="00D87B79" w:rsidRDefault="00A92422" w:rsidP="00A92422">
      <w:pPr>
        <w:ind w:left="900"/>
        <w:rPr>
          <w:rFonts w:cs="Tahoma"/>
        </w:rPr>
      </w:pPr>
    </w:p>
    <w:p w:rsidR="00A92422" w:rsidRPr="00D87B79" w:rsidRDefault="00A92422" w:rsidP="00A92422">
      <w:pPr>
        <w:pStyle w:val="Heading3"/>
        <w:rPr>
          <w:rFonts w:ascii="Tahoma" w:hAnsi="Tahoma" w:cs="Tahoma"/>
        </w:rPr>
      </w:pPr>
      <w:bookmarkStart w:id="1205" w:name="_Toc336338296"/>
      <w:bookmarkStart w:id="1206" w:name="Srv_35CoreInfraServerSuiteStd"/>
      <w:bookmarkStart w:id="1207" w:name="Srv_32CoreInfraServerSuiteStd"/>
      <w:bookmarkStart w:id="1208" w:name="Srv_35DynCRMWorkProEnt"/>
      <w:bookmarkStart w:id="1209" w:name="_35_Core_Infrastructure"/>
      <w:bookmarkStart w:id="1210" w:name="_Toc342900345"/>
      <w:bookmarkEnd w:id="1205"/>
      <w:bookmarkEnd w:id="1206"/>
      <w:bookmarkEnd w:id="1207"/>
      <w:bookmarkEnd w:id="1208"/>
      <w:bookmarkEnd w:id="1209"/>
      <w:r w:rsidRPr="00D87B79">
        <w:rPr>
          <w:rFonts w:ascii="Tahoma" w:hAnsi="Tahoma" w:cs="Tahoma"/>
          <w:caps/>
          <w:color w:val="F66400"/>
          <w:sz w:val="22"/>
          <w:vertAlign w:val="superscript"/>
          <w:lang w:val="it-IT"/>
        </w:rPr>
        <w:t>35</w:t>
      </w:r>
      <w:r w:rsidRPr="00D87B79">
        <w:rPr>
          <w:rFonts w:ascii="Tahoma" w:hAnsi="Tahoma" w:cs="Tahoma"/>
          <w:color w:val="F66400"/>
          <w:sz w:val="22"/>
          <w:lang w:val="it-IT"/>
        </w:rPr>
        <w:t xml:space="preserve"> Core Infrastructure Server Suite Standard</w:t>
      </w:r>
      <w:bookmarkEnd w:id="1210"/>
    </w:p>
    <w:p w:rsidR="00A92422" w:rsidRPr="00D87B79" w:rsidRDefault="00A92422" w:rsidP="00A92422">
      <w:pPr>
        <w:rPr>
          <w:rFonts w:cs="Tahoma"/>
        </w:rPr>
      </w:pPr>
    </w:p>
    <w:p w:rsidR="00A92422" w:rsidRPr="00D87B79" w:rsidRDefault="00A92422" w:rsidP="00A92422">
      <w:pPr>
        <w:spacing w:after="60"/>
        <w:ind w:left="720"/>
        <w:rPr>
          <w:rFonts w:cs="Tahoma"/>
        </w:rPr>
      </w:pPr>
      <w:r w:rsidRPr="00D87B79">
        <w:rPr>
          <w:rFonts w:cs="Tahoma"/>
          <w:b/>
          <w:lang w:val="it-IT"/>
        </w:rPr>
        <w:t>Migrazione al Nuovo Modello di Licenza</w:t>
      </w:r>
    </w:p>
    <w:p w:rsidR="00A92422" w:rsidRPr="00D87B79" w:rsidRDefault="00A92422" w:rsidP="00A92422">
      <w:pPr>
        <w:ind w:left="720"/>
        <w:rPr>
          <w:rFonts w:cs="Tahoma"/>
        </w:rPr>
      </w:pPr>
      <w:r w:rsidRPr="00D87B79">
        <w:rPr>
          <w:rFonts w:cs="Tahoma"/>
          <w:lang w:val="it-IT"/>
        </w:rPr>
        <w:t>In data 1 aprile 2012 il modello di licenza per CIS è cambiato.</w:t>
      </w:r>
      <w:r w:rsidRPr="00D87B79">
        <w:rPr>
          <w:rFonts w:cs="Tahoma"/>
        </w:rPr>
        <w:t xml:space="preserve"> </w:t>
      </w:r>
      <w:r w:rsidRPr="00D87B79">
        <w:rPr>
          <w:rFonts w:cs="Tahoma"/>
          <w:lang w:val="it-IT"/>
        </w:rPr>
        <w:t>Le licenze acquistate ai sensi di nuove iscrizioni in vigore dopo il 1 aprile 2012 possono coprire fino a due processori fisici.</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lang w:val="it-IT"/>
        </w:rPr>
        <w:t>Le società con iscrizioni esistenti in data 1 aprile 2012 (in vigore in data 1 aprile 2012 o antecedente) possono continuare a effettuare il true-up delle licenze acquistate ai sensi del modello precedente in base al</w:t>
      </w:r>
      <w:r>
        <w:rPr>
          <w:rFonts w:cs="Tahoma"/>
          <w:lang w:val="it-IT"/>
        </w:rPr>
        <w:t> </w:t>
      </w:r>
      <w:r w:rsidRPr="00D87B79">
        <w:rPr>
          <w:rFonts w:cs="Tahoma"/>
          <w:lang w:val="it-IT"/>
        </w:rPr>
        <w:t>quale ciascuna licenza può autorizzare un solo processore.</w:t>
      </w:r>
      <w:r w:rsidRPr="00D87B79">
        <w:rPr>
          <w:rFonts w:cs="Tahoma"/>
        </w:rPr>
        <w:t xml:space="preserve"> </w:t>
      </w:r>
      <w:r w:rsidRPr="00D87B79">
        <w:rPr>
          <w:rFonts w:cs="Tahoma"/>
          <w:lang w:val="it-IT"/>
        </w:rPr>
        <w:t>I seguenti diritti di migrazione si applicano alle</w:t>
      </w:r>
      <w:r>
        <w:rPr>
          <w:rFonts w:cs="Tahoma"/>
          <w:lang w:val="it-IT"/>
        </w:rPr>
        <w:t> </w:t>
      </w:r>
      <w:r w:rsidRPr="00D87B79">
        <w:rPr>
          <w:rFonts w:cs="Tahoma"/>
          <w:lang w:val="it-IT"/>
        </w:rPr>
        <w:t>licenze di queste società:</w:t>
      </w:r>
    </w:p>
    <w:p w:rsidR="00A92422" w:rsidRPr="00DC72BD" w:rsidRDefault="00A92422" w:rsidP="00A92422">
      <w:pPr>
        <w:pStyle w:val="ListParagraph"/>
        <w:contextualSpacing w:val="0"/>
        <w:rPr>
          <w:rFonts w:ascii="Tahoma" w:hAnsi="Tahoma" w:cs="Tahoma"/>
          <w:sz w:val="18"/>
          <w:szCs w:val="18"/>
        </w:rPr>
      </w:pPr>
      <w:r w:rsidRPr="00DC72BD">
        <w:rPr>
          <w:rFonts w:ascii="Tahoma" w:hAnsi="Tahoma" w:cs="Tahoma"/>
          <w:sz w:val="18"/>
          <w:szCs w:val="18"/>
          <w:lang w:val="it-IT"/>
        </w:rPr>
        <w:t>Per la durata dell’iscrizione in essere le licenze nuove ed esistenti delle società, acquistate ai sensi del modello precedente, saranno considerate equivalenti alle licenze previste dal nuovo modello in percentuale di 1:1.</w:t>
      </w:r>
      <w:r w:rsidRPr="00DC72BD">
        <w:rPr>
          <w:rFonts w:ascii="Tahoma" w:hAnsi="Tahoma" w:cs="Tahoma"/>
          <w:sz w:val="18"/>
          <w:szCs w:val="18"/>
        </w:rPr>
        <w:t xml:space="preserve"> </w:t>
      </w:r>
      <w:r w:rsidRPr="00DC72BD">
        <w:rPr>
          <w:rFonts w:ascii="Tahoma" w:hAnsi="Tahoma" w:cs="Tahoma"/>
          <w:sz w:val="18"/>
          <w:szCs w:val="18"/>
          <w:lang w:val="it-IT"/>
        </w:rPr>
        <w:t>In occasione del rinnovo le società possono rinnovare la copertura Software Assurance per le licenze del nuovo modello.</w:t>
      </w:r>
    </w:p>
    <w:p w:rsidR="00A92422" w:rsidRPr="00DC72BD" w:rsidRDefault="00A92422" w:rsidP="00A92422">
      <w:pPr>
        <w:pStyle w:val="ListParagraph"/>
        <w:contextualSpacing w:val="0"/>
        <w:rPr>
          <w:rFonts w:ascii="Tahoma" w:hAnsi="Tahoma" w:cs="Tahoma"/>
          <w:sz w:val="18"/>
          <w:szCs w:val="18"/>
        </w:rPr>
      </w:pPr>
    </w:p>
    <w:p w:rsidR="00A92422" w:rsidRPr="00D87B79" w:rsidRDefault="00A92422" w:rsidP="00A92422">
      <w:pPr>
        <w:spacing w:after="60"/>
        <w:ind w:left="720"/>
        <w:rPr>
          <w:rFonts w:cs="Tahoma"/>
        </w:rPr>
      </w:pPr>
      <w:r w:rsidRPr="00D87B79">
        <w:rPr>
          <w:rFonts w:cs="Tahoma"/>
          <w:b/>
          <w:lang w:val="it-IT"/>
        </w:rPr>
        <w:t>Rilascio di una Nuova Versione di Windows Server</w:t>
      </w:r>
    </w:p>
    <w:p w:rsidR="00A92422" w:rsidRPr="00D87B79" w:rsidRDefault="00A92422" w:rsidP="00A92422">
      <w:pPr>
        <w:ind w:left="720"/>
        <w:rPr>
          <w:rFonts w:cs="Tahoma"/>
        </w:rPr>
      </w:pPr>
      <w:r w:rsidRPr="00D87B79">
        <w:rPr>
          <w:rFonts w:cs="Tahoma"/>
          <w:lang w:val="it-IT"/>
        </w:rPr>
        <w:t>Le società titolari di licenze per Core Infrastructure Server Suite Standard con copertura Software Assurance attiva in data 1 settembre 2012 avranno il diritto di utilizzare i seguenti prodotti in conformità ai diritti di utilizzo del prodotto per Core Infrastructure Server Suite Standard:</w:t>
      </w:r>
    </w:p>
    <w:p w:rsidR="00A92422" w:rsidRPr="00D87B79" w:rsidRDefault="00A92422" w:rsidP="00A92422">
      <w:pPr>
        <w:ind w:left="720"/>
        <w:rPr>
          <w:rFonts w:cs="Tahoma"/>
        </w:rPr>
      </w:pPr>
    </w:p>
    <w:p w:rsidR="00A92422" w:rsidRPr="00D87B79" w:rsidRDefault="00A92422" w:rsidP="00A92422">
      <w:pPr>
        <w:numPr>
          <w:ilvl w:val="0"/>
          <w:numId w:val="72"/>
        </w:numPr>
        <w:tabs>
          <w:tab w:val="left" w:pos="1440"/>
          <w:tab w:val="left" w:pos="3510"/>
        </w:tabs>
        <w:spacing w:after="60"/>
        <w:rPr>
          <w:rFonts w:cs="Tahoma"/>
        </w:rPr>
      </w:pPr>
      <w:r w:rsidRPr="00D87B79">
        <w:rPr>
          <w:rFonts w:cs="Tahoma"/>
          <w:lang w:val="it-IT"/>
        </w:rPr>
        <w:t>Windows Server 2012 Standard</w:t>
      </w:r>
    </w:p>
    <w:p w:rsidR="00A92422" w:rsidRPr="00D87B79" w:rsidRDefault="00A92422" w:rsidP="00A92422">
      <w:pPr>
        <w:numPr>
          <w:ilvl w:val="0"/>
          <w:numId w:val="72"/>
        </w:numPr>
        <w:tabs>
          <w:tab w:val="left" w:pos="1440"/>
          <w:tab w:val="left" w:pos="3510"/>
        </w:tabs>
        <w:spacing w:after="60"/>
        <w:rPr>
          <w:rFonts w:cs="Tahoma"/>
        </w:rPr>
      </w:pPr>
      <w:r w:rsidRPr="00D87B79">
        <w:rPr>
          <w:rFonts w:cs="Tahoma"/>
          <w:lang w:val="it-IT"/>
        </w:rPr>
        <w:t>System Center 2012 Standard</w:t>
      </w:r>
    </w:p>
    <w:p w:rsidR="00A92422" w:rsidRPr="00D87B79" w:rsidRDefault="00A92422" w:rsidP="00A92422">
      <w:pPr>
        <w:tabs>
          <w:tab w:val="left" w:pos="1440"/>
          <w:tab w:val="left" w:pos="3510"/>
        </w:tabs>
        <w:rPr>
          <w:rFonts w:cs="Tahoma"/>
        </w:rPr>
      </w:pPr>
    </w:p>
    <w:p w:rsidR="00A92422" w:rsidRPr="00D87B79" w:rsidRDefault="00A92422" w:rsidP="00A92422">
      <w:pPr>
        <w:ind w:left="720"/>
        <w:rPr>
          <w:rFonts w:cs="Tahoma"/>
        </w:rPr>
      </w:pPr>
      <w:r w:rsidRPr="00D87B79">
        <w:rPr>
          <w:rFonts w:cs="Tahoma"/>
          <w:lang w:val="it-IT"/>
        </w:rPr>
        <w:t>Per i server che dispongono di una licenza valida per Core Infrastructure Server Suite Standard le società potranno eseguire un’istanza di Windows Server 2008 R2 Enterprise anziché di Windows Server Standard.</w:t>
      </w:r>
    </w:p>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lang w:val="it-IT"/>
        </w:rPr>
        <w:t>Offerta di Rinnovo di Software Assurance per le Società Titolari di Windows Server Standard e</w:t>
      </w:r>
      <w:r>
        <w:rPr>
          <w:rFonts w:cs="Tahoma"/>
          <w:b/>
          <w:lang w:val="it-IT"/>
        </w:rPr>
        <w:t> </w:t>
      </w:r>
      <w:r w:rsidRPr="00D87B79">
        <w:rPr>
          <w:rFonts w:cs="Tahoma"/>
          <w:b/>
          <w:lang w:val="it-IT"/>
        </w:rPr>
        <w:t>System Center Standard e per le Società Titolari di Windows Server Enterprise e System Center Standard</w:t>
      </w:r>
    </w:p>
    <w:p w:rsidR="00A92422" w:rsidRPr="00D87B79" w:rsidRDefault="00A92422" w:rsidP="00A92422">
      <w:pPr>
        <w:ind w:left="720"/>
        <w:rPr>
          <w:rFonts w:cs="Tahoma"/>
        </w:rPr>
      </w:pPr>
      <w:r w:rsidRPr="00D87B79">
        <w:rPr>
          <w:rFonts w:cs="Tahoma"/>
          <w:lang w:val="it-IT"/>
        </w:rPr>
        <w:t>Le società titolari di licenze con copertura Software Assurance attiva per tutti i prodotti indicati nella Tabella</w:t>
      </w:r>
      <w:r>
        <w:rPr>
          <w:rFonts w:cs="Tahoma"/>
          <w:lang w:val="it-IT"/>
        </w:rPr>
        <w:t> </w:t>
      </w:r>
      <w:r w:rsidRPr="00D87B79">
        <w:rPr>
          <w:rFonts w:cs="Tahoma"/>
          <w:lang w:val="it-IT"/>
        </w:rPr>
        <w:t>A che segue potranno, alla scadenza di tale copertura, acquistare Software Assurance per Core Infrastructure Server Suite Standard senza dover acquistare la sottostante licenza per Core Infrastructure Server Suite Standard.</w:t>
      </w:r>
    </w:p>
    <w:p w:rsidR="00A92422" w:rsidRDefault="00A92422" w:rsidP="00A92422">
      <w:pPr>
        <w:ind w:left="720"/>
        <w:rPr>
          <w:rFonts w:cs="Tahoma"/>
        </w:rPr>
      </w:pPr>
    </w:p>
    <w:p w:rsidR="00A92422" w:rsidRDefault="00A92422" w:rsidP="00A92422">
      <w:pPr>
        <w:ind w:left="720"/>
        <w:rPr>
          <w:rFonts w:cs="Tahoma"/>
        </w:rPr>
      </w:pPr>
    </w:p>
    <w:p w:rsidR="00A92422" w:rsidRDefault="00A92422" w:rsidP="00A92422">
      <w:pPr>
        <w:ind w:left="720"/>
        <w:rPr>
          <w:rFonts w:cs="Tahoma"/>
        </w:rPr>
      </w:pPr>
    </w:p>
    <w:p w:rsidR="00A92422" w:rsidRPr="00D87B79" w:rsidRDefault="00A92422" w:rsidP="00A92422">
      <w:pPr>
        <w:ind w:left="720"/>
        <w:rPr>
          <w:rFonts w:cs="Tahoma"/>
        </w:rPr>
      </w:pP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A92422" w:rsidRPr="00D87B79" w:rsidTr="00EA30FC">
        <w:tc>
          <w:tcPr>
            <w:tcW w:w="6588" w:type="dxa"/>
            <w:shd w:val="clear" w:color="auto" w:fill="FABF8F"/>
          </w:tcPr>
          <w:p w:rsidR="00A92422" w:rsidRPr="00D87B79" w:rsidRDefault="00A92422" w:rsidP="00EA30FC">
            <w:pPr>
              <w:tabs>
                <w:tab w:val="left" w:pos="3120"/>
                <w:tab w:val="center" w:pos="3591"/>
              </w:tabs>
              <w:spacing w:after="200" w:line="276" w:lineRule="auto"/>
              <w:jc w:val="center"/>
              <w:rPr>
                <w:rFonts w:eastAsia="Times New Roman" w:cs="Tahoma"/>
                <w:b/>
                <w:szCs w:val="18"/>
              </w:rPr>
            </w:pPr>
            <w:r w:rsidRPr="00D87B79">
              <w:rPr>
                <w:rFonts w:eastAsia="Times New Roman" w:cs="Tahoma"/>
                <w:b/>
                <w:szCs w:val="18"/>
                <w:lang w:val="it-IT"/>
              </w:rPr>
              <w:t>Tabella A</w:t>
            </w:r>
          </w:p>
        </w:tc>
      </w:tr>
      <w:tr w:rsidR="00A92422" w:rsidRPr="00D87B79" w:rsidTr="00EA30FC">
        <w:tc>
          <w:tcPr>
            <w:tcW w:w="6588" w:type="dxa"/>
            <w:vAlign w:val="center"/>
          </w:tcPr>
          <w:p w:rsidR="00A92422" w:rsidRPr="00D87B79" w:rsidRDefault="00A92422" w:rsidP="00EA30FC">
            <w:pPr>
              <w:spacing w:after="200" w:line="276" w:lineRule="auto"/>
              <w:rPr>
                <w:rFonts w:eastAsia="Times New Roman" w:cs="Tahoma"/>
                <w:szCs w:val="18"/>
              </w:rPr>
            </w:pPr>
            <w:r w:rsidRPr="00D87B79">
              <w:rPr>
                <w:rFonts w:eastAsia="Times New Roman" w:cs="Tahoma"/>
                <w:szCs w:val="18"/>
                <w:lang w:val="it-IT"/>
              </w:rPr>
              <w:t>Windows Server Standard</w:t>
            </w:r>
          </w:p>
        </w:tc>
      </w:tr>
      <w:tr w:rsidR="00A92422" w:rsidRPr="00D87B79" w:rsidTr="00EA30FC">
        <w:tc>
          <w:tcPr>
            <w:tcW w:w="6588" w:type="dxa"/>
            <w:vAlign w:val="center"/>
          </w:tcPr>
          <w:p w:rsidR="00A92422" w:rsidRPr="00D87B79" w:rsidRDefault="00A92422" w:rsidP="00EA30FC">
            <w:pPr>
              <w:spacing w:after="200" w:line="276" w:lineRule="auto"/>
              <w:rPr>
                <w:rFonts w:eastAsia="Times New Roman" w:cs="Tahoma"/>
                <w:szCs w:val="18"/>
              </w:rPr>
            </w:pPr>
            <w:r w:rsidRPr="00D87B79">
              <w:rPr>
                <w:rFonts w:eastAsia="Times New Roman" w:cs="Tahoma"/>
                <w:szCs w:val="18"/>
                <w:lang w:val="it-IT"/>
              </w:rPr>
              <w:t>System Center Standard</w:t>
            </w:r>
          </w:p>
        </w:tc>
      </w:tr>
    </w:tbl>
    <w:p w:rsidR="00A92422" w:rsidRPr="00D87B79" w:rsidRDefault="00A92422" w:rsidP="00A92422">
      <w:pPr>
        <w:ind w:left="547"/>
        <w:rPr>
          <w:rFonts w:cs="Tahoma"/>
        </w:rPr>
      </w:pPr>
    </w:p>
    <w:p w:rsidR="00A92422" w:rsidRPr="00D87B79" w:rsidRDefault="00A92422" w:rsidP="00A92422">
      <w:pPr>
        <w:ind w:left="720"/>
        <w:rPr>
          <w:rFonts w:cs="Tahoma"/>
        </w:rPr>
      </w:pPr>
      <w:r w:rsidRPr="00D87B79">
        <w:rPr>
          <w:rFonts w:eastAsia="Times New Roman" w:cs="Tahoma"/>
          <w:szCs w:val="18"/>
          <w:lang w:val="it-IT"/>
        </w:rPr>
        <w:t>Per ogni gruppo composto da una di ciascuna delle licenze qualificanti della Tabella A, le società potranno acquistare Software Assurance per una licenza di Core Infrastructure Server Suite Standard.</w:t>
      </w:r>
      <w:r w:rsidRPr="00D87B79">
        <w:rPr>
          <w:rFonts w:eastAsia="Times New Roman" w:cs="Tahoma"/>
          <w:szCs w:val="18"/>
        </w:rPr>
        <w:t xml:space="preserve"> </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eastAsia="Times New Roman" w:cs="Tahoma"/>
          <w:szCs w:val="18"/>
          <w:lang w:val="it-IT"/>
        </w:rPr>
        <w:t>Le società che ricevono in licenza e utilizzano Core Infrastructure Server Suite Standard in base alla presente offerta non potranno più utilizzare il software ai sensi delle relative licenze qualificanti.</w:t>
      </w:r>
      <w:r w:rsidRPr="00D87B79">
        <w:rPr>
          <w:rFonts w:cs="Tahoma"/>
        </w:rPr>
        <w:t xml:space="preserve"> </w:t>
      </w:r>
      <w:r w:rsidRPr="00D87B79">
        <w:rPr>
          <w:rFonts w:cs="Tahoma"/>
          <w:lang w:val="it-IT"/>
        </w:rPr>
        <w:t>Le licenze e</w:t>
      </w:r>
      <w:r>
        <w:rPr>
          <w:rFonts w:cs="Tahoma"/>
          <w:lang w:val="it-IT"/>
        </w:rPr>
        <w:t> </w:t>
      </w:r>
      <w:r w:rsidRPr="00D87B79">
        <w:rPr>
          <w:rFonts w:cs="Tahoma"/>
          <w:lang w:val="it-IT"/>
        </w:rPr>
        <w:t>Software Assurance acquistate nell’ambito di un contratto “subscription” non si qualificano ai fini di</w:t>
      </w:r>
      <w:r>
        <w:rPr>
          <w:rFonts w:cs="Tahoma"/>
          <w:lang w:val="it-IT"/>
        </w:rPr>
        <w:t> </w:t>
      </w:r>
      <w:r w:rsidRPr="00D87B79">
        <w:rPr>
          <w:rFonts w:cs="Tahoma"/>
          <w:lang w:val="it-IT"/>
        </w:rPr>
        <w:t>questa</w:t>
      </w:r>
      <w:r>
        <w:rPr>
          <w:rFonts w:cs="Tahoma"/>
          <w:lang w:val="it-IT"/>
        </w:rPr>
        <w:t> </w:t>
      </w:r>
      <w:r w:rsidRPr="00D87B79">
        <w:rPr>
          <w:rFonts w:cs="Tahoma"/>
          <w:lang w:val="it-IT"/>
        </w:rPr>
        <w:t>offerta.</w:t>
      </w:r>
    </w:p>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lang w:val="it-IT"/>
        </w:rPr>
        <w:t>Step-Up da Windows Server Standard o da System Center Standard a Core Infrastructure Server Suite Standard</w:t>
      </w:r>
    </w:p>
    <w:p w:rsidR="00A92422" w:rsidRPr="00D87B79" w:rsidRDefault="00A92422" w:rsidP="00A92422">
      <w:pPr>
        <w:ind w:left="720"/>
        <w:rPr>
          <w:rFonts w:cs="Tahoma"/>
        </w:rPr>
      </w:pPr>
      <w:r w:rsidRPr="00D87B79">
        <w:rPr>
          <w:rFonts w:cs="Tahoma"/>
          <w:lang w:val="it-IT"/>
        </w:rPr>
        <w:t xml:space="preserve">Le società potranno eseguire lo step-up da Windows Server Standard o System Center Standard a Core Infrastructure Server Suite Standard acquistando la licenza di Step-Up appropriata per Core Infrastructure </w:t>
      </w:r>
      <w:r w:rsidRPr="00D87B79">
        <w:rPr>
          <w:rFonts w:cs="Tahoma"/>
          <w:lang w:val="it-IT"/>
        </w:rPr>
        <w:lastRenderedPageBreak/>
        <w:t>Server Suite Standard. Le società dovranno disporre di una copertura Software Assurance attiva per la loro licenza per Windows Server Standard o System Center Standard, al fine di acquistare tale licenza di Step-Up.</w:t>
      </w:r>
      <w:r w:rsidRPr="00D87B79">
        <w:rPr>
          <w:rFonts w:cs="Tahoma"/>
        </w:rPr>
        <w:t xml:space="preserve"> </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lang w:val="it-IT"/>
        </w:rPr>
        <w:t>Per ogni licenza qualificante per Windows Server Standard in possesso della società, la società potrà acquistare una licenza Step-Up per Core Infrastructure Server Suite Standard.</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lang w:val="it-IT"/>
        </w:rPr>
        <w:t>Per ogni licenza qualificante per System Center Standard in possesso della società, la società potrà acquistare una licenza Step-Up per Core Infrastructure Server Suite Standard.</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lang w:val="it-IT"/>
        </w:rPr>
        <w:t>Il diritto delle società di utilizzare il software ai sensi della licenza per Core Infrastructure Server Suite Standard è condizionato dall’adempimento da parte delle società delle obbligazioni di pagamento residue della licenza per il prodotto qualificante. La licenza per Core Infrastructure Server Suite Standard delle società prevalgono e sostituiscono la licenza sottostante per il prodotto qualificante.</w:t>
      </w:r>
    </w:p>
    <w:p w:rsidR="00A92422" w:rsidRPr="00D87B79" w:rsidRDefault="00A92422" w:rsidP="00A92422">
      <w:pPr>
        <w:ind w:left="720"/>
        <w:rPr>
          <w:rFonts w:cs="Tahoma"/>
        </w:rPr>
      </w:pPr>
    </w:p>
    <w:tbl>
      <w:tblPr>
        <w:tblW w:w="8190" w:type="dxa"/>
        <w:tblInd w:w="1205"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A92422" w:rsidRPr="00D87B79" w:rsidTr="00EA30FC">
        <w:trPr>
          <w:tblHeader/>
        </w:trPr>
        <w:tc>
          <w:tcPr>
            <w:tcW w:w="4140" w:type="dxa"/>
            <w:tcBorders>
              <w:top w:val="single" w:sz="12" w:space="0" w:color="auto"/>
            </w:tcBorders>
            <w:shd w:val="clear" w:color="auto" w:fill="FABF8F"/>
            <w:tcMar>
              <w:top w:w="0" w:type="dxa"/>
              <w:left w:w="108" w:type="dxa"/>
              <w:bottom w:w="0" w:type="dxa"/>
              <w:right w:w="108" w:type="dxa"/>
            </w:tcMar>
          </w:tcPr>
          <w:p w:rsidR="00A92422" w:rsidRPr="00D87B79" w:rsidRDefault="00A92422" w:rsidP="00EA30FC">
            <w:pPr>
              <w:spacing w:after="200" w:line="276" w:lineRule="auto"/>
              <w:jc w:val="center"/>
              <w:rPr>
                <w:rFonts w:eastAsia="Times New Roman" w:cs="Tahoma"/>
                <w:b/>
                <w:szCs w:val="18"/>
              </w:rPr>
            </w:pPr>
            <w:r w:rsidRPr="00D87B79">
              <w:rPr>
                <w:rFonts w:eastAsia="Times New Roman" w:cs="Tahoma"/>
                <w:b/>
                <w:szCs w:val="18"/>
                <w:lang w:val="it-IT"/>
              </w:rPr>
              <w:t>Prodotto Qualificante</w:t>
            </w:r>
          </w:p>
        </w:tc>
        <w:tc>
          <w:tcPr>
            <w:tcW w:w="4050" w:type="dxa"/>
            <w:tcBorders>
              <w:top w:val="single" w:sz="12" w:space="0" w:color="auto"/>
            </w:tcBorders>
            <w:shd w:val="clear" w:color="auto" w:fill="FABF8F"/>
            <w:tcMar>
              <w:top w:w="0" w:type="dxa"/>
              <w:left w:w="108" w:type="dxa"/>
              <w:bottom w:w="0" w:type="dxa"/>
              <w:right w:w="108" w:type="dxa"/>
            </w:tcMar>
          </w:tcPr>
          <w:p w:rsidR="00A92422" w:rsidRPr="00D87B79" w:rsidRDefault="00A92422" w:rsidP="00EA30FC">
            <w:pPr>
              <w:spacing w:after="200" w:line="276" w:lineRule="auto"/>
              <w:jc w:val="center"/>
              <w:rPr>
                <w:rFonts w:eastAsia="Times New Roman" w:cs="Tahoma"/>
                <w:b/>
                <w:szCs w:val="18"/>
              </w:rPr>
            </w:pPr>
            <w:r w:rsidRPr="00D87B79">
              <w:rPr>
                <w:rFonts w:eastAsia="Times New Roman" w:cs="Tahoma"/>
                <w:b/>
                <w:szCs w:val="18"/>
                <w:lang w:val="it-IT"/>
              </w:rPr>
              <w:t>Step-Up A</w:t>
            </w:r>
          </w:p>
        </w:tc>
      </w:tr>
      <w:tr w:rsidR="00A92422" w:rsidRPr="00D87B79" w:rsidTr="00EA30FC">
        <w:tc>
          <w:tcPr>
            <w:tcW w:w="4140" w:type="dxa"/>
            <w:tcMar>
              <w:top w:w="0" w:type="dxa"/>
              <w:left w:w="108" w:type="dxa"/>
              <w:bottom w:w="0" w:type="dxa"/>
              <w:right w:w="108" w:type="dxa"/>
            </w:tcMar>
          </w:tcPr>
          <w:p w:rsidR="00A92422" w:rsidRPr="00D87B79" w:rsidRDefault="00A92422" w:rsidP="00EA30FC">
            <w:pPr>
              <w:spacing w:after="200" w:line="276" w:lineRule="auto"/>
              <w:rPr>
                <w:rFonts w:eastAsia="Times New Roman" w:cs="Tahoma"/>
                <w:szCs w:val="18"/>
              </w:rPr>
            </w:pPr>
            <w:r w:rsidRPr="00D87B79">
              <w:rPr>
                <w:rFonts w:eastAsia="Times New Roman" w:cs="Tahoma"/>
                <w:szCs w:val="18"/>
                <w:lang w:val="it-IT"/>
              </w:rPr>
              <w:t>Windows Server Standard</w:t>
            </w:r>
          </w:p>
        </w:tc>
        <w:tc>
          <w:tcPr>
            <w:tcW w:w="4050" w:type="dxa"/>
            <w:tcMar>
              <w:top w:w="0" w:type="dxa"/>
              <w:left w:w="108" w:type="dxa"/>
              <w:bottom w:w="0" w:type="dxa"/>
              <w:right w:w="108" w:type="dxa"/>
            </w:tcMar>
          </w:tcPr>
          <w:p w:rsidR="00A92422" w:rsidRPr="00D87B79" w:rsidRDefault="00A92422" w:rsidP="00EA30FC">
            <w:pPr>
              <w:spacing w:after="200" w:line="276" w:lineRule="auto"/>
              <w:rPr>
                <w:rFonts w:eastAsia="Times New Roman" w:cs="Tahoma"/>
                <w:szCs w:val="18"/>
                <w:lang w:val="fr-FR"/>
              </w:rPr>
            </w:pPr>
            <w:r w:rsidRPr="00D87B79">
              <w:rPr>
                <w:rFonts w:eastAsia="Times New Roman" w:cs="Tahoma"/>
                <w:szCs w:val="18"/>
                <w:lang w:val="it-IT"/>
              </w:rPr>
              <w:t>Core Infrastructure Server Suite Standard</w:t>
            </w:r>
          </w:p>
        </w:tc>
      </w:tr>
      <w:tr w:rsidR="00A92422" w:rsidRPr="00D87B79" w:rsidTr="00EA30FC">
        <w:tc>
          <w:tcPr>
            <w:tcW w:w="4140" w:type="dxa"/>
            <w:tcBorders>
              <w:bottom w:val="single" w:sz="12" w:space="0" w:color="auto"/>
            </w:tcBorders>
            <w:tcMar>
              <w:top w:w="0" w:type="dxa"/>
              <w:left w:w="108" w:type="dxa"/>
              <w:bottom w:w="0" w:type="dxa"/>
              <w:right w:w="108" w:type="dxa"/>
            </w:tcMar>
          </w:tcPr>
          <w:p w:rsidR="00A92422" w:rsidRPr="00D87B79" w:rsidRDefault="00A92422" w:rsidP="00EA30FC">
            <w:pPr>
              <w:spacing w:after="200" w:line="276" w:lineRule="auto"/>
              <w:rPr>
                <w:rFonts w:eastAsia="Times New Roman" w:cs="Tahoma"/>
                <w:szCs w:val="18"/>
              </w:rPr>
            </w:pPr>
            <w:r w:rsidRPr="00D87B79">
              <w:rPr>
                <w:rFonts w:cs="Tahoma"/>
                <w:lang w:val="it-IT"/>
              </w:rPr>
              <w:t>System Center Standard</w:t>
            </w:r>
          </w:p>
        </w:tc>
        <w:tc>
          <w:tcPr>
            <w:tcW w:w="4050" w:type="dxa"/>
            <w:tcBorders>
              <w:bottom w:val="single" w:sz="12" w:space="0" w:color="auto"/>
            </w:tcBorders>
            <w:tcMar>
              <w:top w:w="0" w:type="dxa"/>
              <w:left w:w="108" w:type="dxa"/>
              <w:bottom w:w="0" w:type="dxa"/>
              <w:right w:w="108" w:type="dxa"/>
            </w:tcMar>
          </w:tcPr>
          <w:p w:rsidR="00A92422" w:rsidRPr="00D87B79" w:rsidRDefault="00A92422" w:rsidP="00EA30FC">
            <w:pPr>
              <w:spacing w:after="200" w:line="276" w:lineRule="auto"/>
              <w:rPr>
                <w:rFonts w:eastAsia="Times New Roman" w:cs="Tahoma"/>
                <w:szCs w:val="18"/>
                <w:lang w:val="fr-FR"/>
              </w:rPr>
            </w:pPr>
            <w:r w:rsidRPr="00D87B79">
              <w:rPr>
                <w:rFonts w:eastAsia="Times New Roman" w:cs="Tahoma"/>
                <w:szCs w:val="18"/>
                <w:lang w:val="it-IT"/>
              </w:rPr>
              <w:t>Core Infrastructure Server Suite Standard</w:t>
            </w:r>
          </w:p>
        </w:tc>
      </w:tr>
    </w:tbl>
    <w:p w:rsidR="00A92422" w:rsidRPr="00D87B79" w:rsidRDefault="00A92422" w:rsidP="00A92422">
      <w:pPr>
        <w:rPr>
          <w:rFonts w:cs="Tahoma"/>
        </w:rPr>
      </w:pPr>
    </w:p>
    <w:p w:rsidR="00A92422" w:rsidRPr="00D87B79" w:rsidRDefault="00A92422" w:rsidP="00A92422">
      <w:pPr>
        <w:rPr>
          <w:rFonts w:cs="Tahoma"/>
        </w:rPr>
      </w:pPr>
    </w:p>
    <w:p w:rsidR="00A92422" w:rsidRPr="00D87B79" w:rsidRDefault="00A92422" w:rsidP="00A92422">
      <w:pPr>
        <w:pStyle w:val="Heading3"/>
        <w:rPr>
          <w:rFonts w:ascii="Tahoma" w:hAnsi="Tahoma" w:cs="Tahoma"/>
        </w:rPr>
      </w:pPr>
      <w:bookmarkStart w:id="1211" w:name="_Toc336338297"/>
      <w:bookmarkStart w:id="1212" w:name="Srv_36CoreInfraServerSuiteEnt"/>
      <w:bookmarkStart w:id="1213" w:name="Srv_33CoreInfrastructureSvrSuiteEnt"/>
      <w:bookmarkStart w:id="1214" w:name="_36_Core_Infrastructure"/>
      <w:bookmarkStart w:id="1215" w:name="_Toc342900346"/>
      <w:bookmarkEnd w:id="1211"/>
      <w:bookmarkEnd w:id="1212"/>
      <w:bookmarkEnd w:id="1213"/>
      <w:bookmarkEnd w:id="1214"/>
      <w:r w:rsidRPr="00D87B79">
        <w:rPr>
          <w:rFonts w:ascii="Tahoma" w:hAnsi="Tahoma" w:cs="Tahoma"/>
          <w:caps/>
          <w:color w:val="F66400"/>
          <w:sz w:val="22"/>
          <w:vertAlign w:val="superscript"/>
          <w:lang w:val="it-IT"/>
        </w:rPr>
        <w:t>36</w:t>
      </w:r>
      <w:r w:rsidRPr="00D87B79">
        <w:rPr>
          <w:rFonts w:ascii="Tahoma" w:hAnsi="Tahoma" w:cs="Tahoma"/>
          <w:color w:val="F66400"/>
          <w:sz w:val="22"/>
          <w:lang w:val="it-IT"/>
        </w:rPr>
        <w:t xml:space="preserve"> Core Infrastructure Server Suite Enterprise</w:t>
      </w:r>
      <w:bookmarkEnd w:id="1215"/>
    </w:p>
    <w:p w:rsidR="00A92422" w:rsidRPr="00D87B79" w:rsidRDefault="00A92422" w:rsidP="00A92422">
      <w:pPr>
        <w:rPr>
          <w:rFonts w:cs="Tahoma"/>
        </w:rPr>
      </w:pPr>
    </w:p>
    <w:p w:rsidR="00A92422" w:rsidRPr="00D87B79" w:rsidRDefault="00A92422" w:rsidP="00A92422">
      <w:pPr>
        <w:ind w:left="720"/>
        <w:rPr>
          <w:rFonts w:cs="Tahoma"/>
        </w:rPr>
      </w:pPr>
      <w:r w:rsidRPr="00D87B79">
        <w:rPr>
          <w:rFonts w:eastAsia="Times New Roman" w:cs="Tahoma"/>
          <w:szCs w:val="18"/>
          <w:lang w:val="it-IT"/>
        </w:rPr>
        <w:t>A partire dal 1 aprile 2012 Microsoft interromperà l’offerta di Core Infrastructure Server Suite Enterprise.</w:t>
      </w:r>
      <w:r w:rsidRPr="00D87B79">
        <w:rPr>
          <w:rFonts w:eastAsia="Times New Roman" w:cs="Tahoma"/>
          <w:szCs w:val="18"/>
        </w:rPr>
        <w:t xml:space="preserve"> </w:t>
      </w:r>
      <w:r w:rsidRPr="00D87B79">
        <w:rPr>
          <w:rFonts w:eastAsia="Times New Roman" w:cs="Tahoma"/>
          <w:szCs w:val="18"/>
          <w:lang w:val="it-IT"/>
        </w:rPr>
        <w:t>Le</w:t>
      </w:r>
      <w:r>
        <w:rPr>
          <w:rFonts w:eastAsia="Times New Roman" w:cs="Tahoma"/>
          <w:szCs w:val="18"/>
          <w:lang w:val="it-IT"/>
        </w:rPr>
        <w:t> </w:t>
      </w:r>
      <w:r w:rsidRPr="00D87B79">
        <w:rPr>
          <w:rFonts w:eastAsia="Times New Roman" w:cs="Tahoma"/>
          <w:szCs w:val="18"/>
          <w:lang w:val="it-IT"/>
        </w:rPr>
        <w:t>società titolari di licenze Core Infrastructure Server Suite Enterprise con copertura Software Assurance attiva a partire dal 1 aprile 2012 saranno idonee a ricevere una licenza per Core Infrastructure Server Standard per ciascuna licenza per Core Infrastructure Server Suite Enterprise con Software Assurance in</w:t>
      </w:r>
      <w:r>
        <w:rPr>
          <w:rFonts w:eastAsia="Times New Roman" w:cs="Tahoma"/>
          <w:szCs w:val="18"/>
          <w:lang w:val="it-IT"/>
        </w:rPr>
        <w:t> </w:t>
      </w:r>
      <w:r w:rsidRPr="00D87B79">
        <w:rPr>
          <w:rFonts w:eastAsia="Times New Roman" w:cs="Tahoma"/>
          <w:szCs w:val="18"/>
          <w:lang w:val="it-IT"/>
        </w:rPr>
        <w:t>loro</w:t>
      </w:r>
      <w:r>
        <w:rPr>
          <w:rFonts w:eastAsia="Times New Roman" w:cs="Tahoma"/>
          <w:szCs w:val="18"/>
          <w:lang w:val="it-IT"/>
        </w:rPr>
        <w:t> </w:t>
      </w:r>
      <w:r w:rsidRPr="00D87B79">
        <w:rPr>
          <w:rFonts w:eastAsia="Times New Roman" w:cs="Tahoma"/>
          <w:szCs w:val="18"/>
          <w:lang w:val="it-IT"/>
        </w:rPr>
        <w:t>possesso a partire da quella data.</w:t>
      </w:r>
      <w:r w:rsidRPr="00D87B79">
        <w:rPr>
          <w:rFonts w:eastAsia="Times New Roman" w:cs="Tahoma"/>
          <w:szCs w:val="18"/>
        </w:rPr>
        <w:t xml:space="preserve"> </w:t>
      </w:r>
      <w:r w:rsidRPr="00D87B79">
        <w:rPr>
          <w:rFonts w:eastAsia="Times New Roman" w:cs="Tahoma"/>
          <w:szCs w:val="18"/>
          <w:lang w:val="it-IT"/>
        </w:rPr>
        <w:t>Le licenze per Core Infrastructure Server Suite Standard concesse in base alla presente offerta includeranno la copertura Software Assurance che cesserà alla scadenza della copertura per le licenze qualificanti per Core Infrastructure Server Suite Enterprise.</w:t>
      </w:r>
      <w:r w:rsidRPr="00D87B79">
        <w:rPr>
          <w:rFonts w:eastAsia="Times New Roman" w:cs="Tahoma"/>
          <w:szCs w:val="18"/>
        </w:rPr>
        <w:t xml:space="preserve"> </w:t>
      </w:r>
      <w:r w:rsidRPr="00D87B79">
        <w:rPr>
          <w:rFonts w:eastAsia="Times New Roman" w:cs="Tahoma"/>
          <w:szCs w:val="18"/>
          <w:lang w:val="it-IT"/>
        </w:rPr>
        <w:t>Le società che utilizzano Core Infrastructure Server Suite Standard in base alla presente offerta non potranno più utilizzare il software ai sensi delle relative licenze qualificanti.</w:t>
      </w:r>
      <w:r w:rsidRPr="00D87B79">
        <w:rPr>
          <w:rFonts w:eastAsia="Times New Roman" w:cs="Tahoma"/>
          <w:szCs w:val="18"/>
        </w:rPr>
        <w:t xml:space="preserve"> </w:t>
      </w:r>
      <w:r w:rsidRPr="00D87B79">
        <w:rPr>
          <w:rFonts w:eastAsia="Times New Roman" w:cs="Tahoma"/>
          <w:szCs w:val="18"/>
          <w:lang w:val="it-IT"/>
        </w:rPr>
        <w:t>La nota relativa al prodotto e la documentazione delle licenze qualificanti della società attestano il diritto della società di utilizzare Core Infrastructure Server Suite Standard in base alla presente offerta.</w:t>
      </w:r>
      <w:r w:rsidRPr="00D87B79">
        <w:rPr>
          <w:rFonts w:cs="Tahoma"/>
        </w:rPr>
        <w:t xml:space="preserve"> </w:t>
      </w:r>
      <w:bookmarkStart w:id="1216" w:name="Srv_34CoreInfraSvrSuiteDatacenter"/>
      <w:r w:rsidRPr="00D87B79">
        <w:rPr>
          <w:rFonts w:cs="Tahoma"/>
          <w:lang w:val="it-IT"/>
        </w:rPr>
        <w:t>Tale diritto cesserà alla scadenza delle licenze qualificanti.</w:t>
      </w:r>
    </w:p>
    <w:p w:rsidR="00A92422" w:rsidRPr="00D87B79" w:rsidRDefault="00A92422" w:rsidP="00A92422">
      <w:pPr>
        <w:rPr>
          <w:rFonts w:cs="Tahoma"/>
        </w:rPr>
      </w:pPr>
    </w:p>
    <w:p w:rsidR="00A92422" w:rsidRDefault="00A92422" w:rsidP="00A92422">
      <w:pPr>
        <w:rPr>
          <w:rFonts w:cs="Tahoma"/>
        </w:rPr>
      </w:pPr>
    </w:p>
    <w:p w:rsidR="00A92422" w:rsidRPr="00D87B79" w:rsidRDefault="00A92422" w:rsidP="00A92422">
      <w:pPr>
        <w:rPr>
          <w:rFonts w:cs="Tahoma"/>
        </w:rPr>
      </w:pPr>
    </w:p>
    <w:p w:rsidR="00A92422" w:rsidRPr="00D87B79" w:rsidRDefault="00A92422" w:rsidP="00A92422">
      <w:pPr>
        <w:pStyle w:val="Heading3"/>
        <w:rPr>
          <w:rFonts w:ascii="Tahoma" w:hAnsi="Tahoma" w:cs="Tahoma"/>
        </w:rPr>
      </w:pPr>
      <w:bookmarkStart w:id="1217" w:name="_Toc336338298"/>
      <w:bookmarkStart w:id="1218" w:name="_37_Core_Infrastructure"/>
      <w:bookmarkStart w:id="1219" w:name="_Toc342900347"/>
      <w:bookmarkStart w:id="1220" w:name="Srv_37CoreInfraServerSuiteData"/>
      <w:bookmarkEnd w:id="1216"/>
      <w:bookmarkEnd w:id="1217"/>
      <w:bookmarkEnd w:id="1218"/>
      <w:r w:rsidRPr="00D87B79">
        <w:rPr>
          <w:rFonts w:ascii="Tahoma" w:hAnsi="Tahoma" w:cs="Tahoma"/>
          <w:caps/>
          <w:color w:val="F66400"/>
          <w:sz w:val="22"/>
          <w:vertAlign w:val="superscript"/>
          <w:lang w:val="it-IT"/>
        </w:rPr>
        <w:t>37</w:t>
      </w:r>
      <w:r w:rsidRPr="0048232F">
        <w:rPr>
          <w:rFonts w:ascii="Tahoma" w:hAnsi="Tahoma" w:cs="Tahoma"/>
          <w:caps/>
          <w:color w:val="F66400"/>
          <w:sz w:val="22"/>
          <w:lang w:val="it-IT"/>
        </w:rPr>
        <w:t xml:space="preserve"> </w:t>
      </w:r>
      <w:r w:rsidRPr="00D87B79">
        <w:rPr>
          <w:rFonts w:ascii="Tahoma" w:hAnsi="Tahoma" w:cs="Tahoma"/>
          <w:color w:val="F66400"/>
          <w:sz w:val="22"/>
          <w:lang w:val="it-IT"/>
        </w:rPr>
        <w:t>Core Infrastructure Server Suite Datacenter</w:t>
      </w:r>
      <w:bookmarkEnd w:id="1219"/>
    </w:p>
    <w:bookmarkEnd w:id="1220"/>
    <w:p w:rsidR="00A92422" w:rsidRPr="00D87B79" w:rsidRDefault="00A92422" w:rsidP="00A92422">
      <w:pPr>
        <w:rPr>
          <w:rFonts w:cs="Tahoma"/>
        </w:rPr>
      </w:pPr>
    </w:p>
    <w:p w:rsidR="00A92422" w:rsidRPr="00D87B79" w:rsidRDefault="00A92422" w:rsidP="00A92422">
      <w:pPr>
        <w:spacing w:after="60"/>
        <w:ind w:left="720"/>
        <w:rPr>
          <w:rFonts w:cs="Tahoma"/>
        </w:rPr>
      </w:pPr>
      <w:r w:rsidRPr="00D87B79">
        <w:rPr>
          <w:rFonts w:cs="Tahoma"/>
          <w:b/>
          <w:lang w:val="it-IT"/>
        </w:rPr>
        <w:t>Migrazione al Nuovo Modello di Licenza</w:t>
      </w:r>
    </w:p>
    <w:p w:rsidR="00A92422" w:rsidRPr="00D87B79" w:rsidRDefault="00A92422" w:rsidP="00A92422">
      <w:pPr>
        <w:ind w:left="720"/>
        <w:rPr>
          <w:rFonts w:cs="Tahoma"/>
        </w:rPr>
      </w:pPr>
      <w:r w:rsidRPr="00D87B79">
        <w:rPr>
          <w:rFonts w:cs="Tahoma"/>
          <w:lang w:val="it-IT"/>
        </w:rPr>
        <w:t>In data 1 aprile 2012 il modello di licenza per CIS è cambiato.</w:t>
      </w:r>
      <w:r w:rsidRPr="00D87B79">
        <w:rPr>
          <w:rFonts w:cs="Tahoma"/>
        </w:rPr>
        <w:t xml:space="preserve"> </w:t>
      </w:r>
      <w:r w:rsidRPr="00D87B79">
        <w:rPr>
          <w:rFonts w:cs="Tahoma"/>
          <w:lang w:val="it-IT"/>
        </w:rPr>
        <w:t>Le licenze acquistate ai sensi di nuove iscrizioni in vigore dopo il 1 aprile 2012 possono coprire fino a due processori fisici.</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lang w:val="it-IT"/>
        </w:rPr>
        <w:t>Le società con iscrizioni esistenti in data 1 aprile 2012 (in vigore in data 1 aprile 2012 o antecedente) possono continuare a effettuare il true-up delle licenze acquistate ai sensi del modello precedente in base al</w:t>
      </w:r>
      <w:r>
        <w:rPr>
          <w:rFonts w:cs="Tahoma"/>
          <w:lang w:val="it-IT"/>
        </w:rPr>
        <w:t> </w:t>
      </w:r>
      <w:r w:rsidRPr="00D87B79">
        <w:rPr>
          <w:rFonts w:cs="Tahoma"/>
          <w:lang w:val="it-IT"/>
        </w:rPr>
        <w:t>quale ciascuna licenza può autorizzare un solo processore.</w:t>
      </w:r>
      <w:r w:rsidRPr="00D87B79">
        <w:rPr>
          <w:rFonts w:cs="Tahoma"/>
        </w:rPr>
        <w:t xml:space="preserve"> </w:t>
      </w:r>
      <w:r w:rsidRPr="00D87B79">
        <w:rPr>
          <w:rFonts w:cs="Tahoma"/>
          <w:lang w:val="it-IT"/>
        </w:rPr>
        <w:t>I seguenti diritti di migrazione si applicano alle</w:t>
      </w:r>
      <w:r>
        <w:rPr>
          <w:rFonts w:cs="Tahoma"/>
          <w:lang w:val="it-IT"/>
        </w:rPr>
        <w:t> </w:t>
      </w:r>
      <w:r w:rsidRPr="00D87B79">
        <w:rPr>
          <w:rFonts w:cs="Tahoma"/>
          <w:lang w:val="it-IT"/>
        </w:rPr>
        <w:t>licenze di queste società:</w:t>
      </w:r>
    </w:p>
    <w:p w:rsidR="00A92422" w:rsidRPr="00D87B79" w:rsidRDefault="00A92422" w:rsidP="00A92422">
      <w:pPr>
        <w:ind w:left="720"/>
        <w:rPr>
          <w:rFonts w:cs="Tahoma"/>
        </w:rPr>
      </w:pPr>
    </w:p>
    <w:p w:rsidR="00A92422" w:rsidRPr="00D87B79" w:rsidRDefault="00A92422" w:rsidP="00A92422">
      <w:pPr>
        <w:pStyle w:val="ListParagraph"/>
        <w:contextualSpacing w:val="0"/>
        <w:rPr>
          <w:rFonts w:ascii="Tahoma" w:hAnsi="Tahoma" w:cs="Tahoma"/>
        </w:rPr>
      </w:pPr>
      <w:r w:rsidRPr="00D87B79">
        <w:rPr>
          <w:rFonts w:ascii="Tahoma" w:hAnsi="Tahoma" w:cs="Tahoma"/>
          <w:sz w:val="18"/>
          <w:lang w:val="it-IT"/>
        </w:rPr>
        <w:t>Per la durata dell’iscrizione in essere le licenze nuove ed esistenti delle società, acquistate ai sensi del modello precedente, saranno considerate equivalenti alle licenze previste dal nuovo modello in percentuale di 2:1, vale a dire due licenze ai sensi del modello precedente saranno equivalenti a una licenza ai sensi del nuovo modello.</w:t>
      </w:r>
      <w:r w:rsidRPr="00D87B79">
        <w:rPr>
          <w:rFonts w:ascii="Tahoma" w:hAnsi="Tahoma" w:cs="Tahoma"/>
        </w:rPr>
        <w:t xml:space="preserve"> </w:t>
      </w:r>
      <w:r w:rsidRPr="00D87B79">
        <w:rPr>
          <w:rFonts w:ascii="Tahoma" w:hAnsi="Tahoma" w:cs="Tahoma"/>
          <w:sz w:val="18"/>
          <w:lang w:val="it-IT"/>
        </w:rPr>
        <w:t>In occasione del rinnovo le società possono rinnovare la copertura Software Assurance per</w:t>
      </w:r>
      <w:r>
        <w:rPr>
          <w:rFonts w:ascii="Tahoma" w:hAnsi="Tahoma" w:cs="Tahoma"/>
          <w:sz w:val="18"/>
          <w:lang w:val="it-IT"/>
        </w:rPr>
        <w:t> </w:t>
      </w:r>
      <w:r w:rsidRPr="00D87B79">
        <w:rPr>
          <w:rFonts w:ascii="Tahoma" w:hAnsi="Tahoma" w:cs="Tahoma"/>
          <w:sz w:val="18"/>
          <w:lang w:val="it-IT"/>
        </w:rPr>
        <w:t>le licenze del nuovo modello.</w:t>
      </w:r>
    </w:p>
    <w:p w:rsidR="00A92422" w:rsidRPr="00D87B79" w:rsidRDefault="00A92422" w:rsidP="00A92422">
      <w:pPr>
        <w:ind w:left="720"/>
        <w:rPr>
          <w:rFonts w:cs="Tahoma"/>
        </w:rPr>
      </w:pPr>
    </w:p>
    <w:p w:rsidR="00A92422" w:rsidRDefault="00A92422" w:rsidP="00A92422">
      <w:pPr>
        <w:rPr>
          <w:rFonts w:cs="Tahoma"/>
          <w:b/>
          <w:lang w:val="it-IT"/>
        </w:rPr>
      </w:pPr>
      <w:r>
        <w:rPr>
          <w:rFonts w:cs="Tahoma"/>
          <w:b/>
          <w:lang w:val="it-IT"/>
        </w:rPr>
        <w:br w:type="page"/>
      </w:r>
    </w:p>
    <w:p w:rsidR="00A92422" w:rsidRPr="00D87B79" w:rsidRDefault="00A92422" w:rsidP="00A92422">
      <w:pPr>
        <w:spacing w:after="60"/>
        <w:ind w:left="720"/>
        <w:rPr>
          <w:rFonts w:cs="Tahoma"/>
        </w:rPr>
      </w:pPr>
      <w:r w:rsidRPr="00D87B79">
        <w:rPr>
          <w:rFonts w:cs="Tahoma"/>
          <w:b/>
          <w:lang w:val="it-IT"/>
        </w:rPr>
        <w:lastRenderedPageBreak/>
        <w:t>Rilascio di una Nuova Versione di Windows Server</w:t>
      </w:r>
    </w:p>
    <w:p w:rsidR="00A92422" w:rsidRPr="00D87B79" w:rsidRDefault="00A92422" w:rsidP="00A92422">
      <w:pPr>
        <w:ind w:left="720"/>
        <w:rPr>
          <w:rFonts w:cs="Tahoma"/>
        </w:rPr>
      </w:pPr>
      <w:r w:rsidRPr="00D87B79">
        <w:rPr>
          <w:rFonts w:cs="Tahoma"/>
          <w:lang w:val="it-IT"/>
        </w:rPr>
        <w:t>Le società titolari di licenze per Core Infrastructure Server Suite Datacenter con copertura Software Assurance attiva il 1 settembre 2012 avranno il diritto di utilizzare i seguenti prodotti in conformità ai</w:t>
      </w:r>
      <w:r>
        <w:rPr>
          <w:rFonts w:cs="Tahoma"/>
          <w:lang w:val="it-IT"/>
        </w:rPr>
        <w:t> </w:t>
      </w:r>
      <w:r w:rsidRPr="00D87B79">
        <w:rPr>
          <w:rFonts w:cs="Tahoma"/>
          <w:lang w:val="it-IT"/>
        </w:rPr>
        <w:t>diritti</w:t>
      </w:r>
      <w:r>
        <w:rPr>
          <w:rFonts w:cs="Tahoma"/>
          <w:lang w:val="it-IT"/>
        </w:rPr>
        <w:t> </w:t>
      </w:r>
      <w:r w:rsidRPr="00D87B79">
        <w:rPr>
          <w:rFonts w:cs="Tahoma"/>
          <w:lang w:val="it-IT"/>
        </w:rPr>
        <w:t>di utilizzo del prodotto per Core Infrastructure Server Suite Datacenter:</w:t>
      </w:r>
    </w:p>
    <w:p w:rsidR="00A92422" w:rsidRPr="00D87B79" w:rsidRDefault="00A92422" w:rsidP="00A92422">
      <w:pPr>
        <w:ind w:left="720"/>
        <w:rPr>
          <w:rFonts w:cs="Tahoma"/>
        </w:rPr>
      </w:pPr>
    </w:p>
    <w:p w:rsidR="00A92422" w:rsidRPr="00D87B79" w:rsidRDefault="00A92422" w:rsidP="00A92422">
      <w:pPr>
        <w:numPr>
          <w:ilvl w:val="0"/>
          <w:numId w:val="119"/>
        </w:numPr>
        <w:spacing w:after="60"/>
        <w:ind w:left="1440"/>
        <w:rPr>
          <w:rFonts w:cs="Tahoma"/>
        </w:rPr>
      </w:pPr>
      <w:r w:rsidRPr="00D87B79">
        <w:rPr>
          <w:rFonts w:cs="Tahoma"/>
          <w:lang w:val="it-IT"/>
        </w:rPr>
        <w:t>Windows Server 2012 Datacenter</w:t>
      </w:r>
    </w:p>
    <w:p w:rsidR="00A92422" w:rsidRPr="00D87B79" w:rsidRDefault="00A92422" w:rsidP="00A92422">
      <w:pPr>
        <w:numPr>
          <w:ilvl w:val="0"/>
          <w:numId w:val="119"/>
        </w:numPr>
        <w:spacing w:after="60"/>
        <w:ind w:left="1440"/>
        <w:rPr>
          <w:rFonts w:cs="Tahoma"/>
        </w:rPr>
      </w:pPr>
      <w:r w:rsidRPr="00D87B79">
        <w:rPr>
          <w:rFonts w:cs="Tahoma"/>
          <w:lang w:val="it-IT"/>
        </w:rPr>
        <w:t>System Center 2012 Datacenter</w:t>
      </w:r>
    </w:p>
    <w:p w:rsidR="00A92422" w:rsidRPr="00D87B79" w:rsidRDefault="00A92422" w:rsidP="00A92422">
      <w:pPr>
        <w:rPr>
          <w:rFonts w:cs="Tahoma"/>
        </w:rPr>
      </w:pPr>
    </w:p>
    <w:p w:rsidR="00A92422" w:rsidRPr="00D87B79" w:rsidRDefault="00A92422" w:rsidP="00A92422">
      <w:pPr>
        <w:spacing w:after="60"/>
        <w:ind w:left="720"/>
        <w:rPr>
          <w:rFonts w:cs="Tahoma"/>
        </w:rPr>
      </w:pPr>
      <w:r w:rsidRPr="00D87B79">
        <w:rPr>
          <w:rFonts w:cs="Tahoma"/>
          <w:b/>
          <w:lang w:val="it-IT"/>
        </w:rPr>
        <w:t>Offerta di Rinnovo di Software Assurance per le Società Titolari di Windows Server Datacenter e System Center Datacenter</w:t>
      </w:r>
    </w:p>
    <w:p w:rsidR="00A92422" w:rsidRPr="00D87B79" w:rsidRDefault="00A92422" w:rsidP="00A92422">
      <w:pPr>
        <w:ind w:left="720"/>
        <w:rPr>
          <w:rFonts w:cs="Tahoma"/>
        </w:rPr>
      </w:pPr>
      <w:r w:rsidRPr="00D87B79">
        <w:rPr>
          <w:rFonts w:cs="Tahoma"/>
          <w:lang w:val="it-IT"/>
        </w:rPr>
        <w:t>Le società titolari di licenze con copertura Software Assurance attiva per i tutti prodotti indicati nella Tabella C che segue potranno, all’atto della scadenza di tale copertura, acquistare Software Assurance per Core Infrastructure Server Suite Datacenter senza dover acquistare le sottostanti licenze per Core Infrastructure Server Suite Datacenter.</w:t>
      </w:r>
    </w:p>
    <w:p w:rsidR="00A92422" w:rsidRPr="00D87B79" w:rsidRDefault="00A92422" w:rsidP="00A92422">
      <w:pPr>
        <w:ind w:left="720"/>
        <w:rPr>
          <w:rFonts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A92422" w:rsidRPr="00D87B79" w:rsidTr="00EA30FC">
        <w:tc>
          <w:tcPr>
            <w:tcW w:w="4788" w:type="dxa"/>
            <w:shd w:val="clear" w:color="auto" w:fill="FABF8F"/>
          </w:tcPr>
          <w:p w:rsidR="00A92422" w:rsidRPr="00D87B79" w:rsidRDefault="00A92422" w:rsidP="00EA30FC">
            <w:pPr>
              <w:spacing w:after="200" w:line="276" w:lineRule="auto"/>
              <w:jc w:val="center"/>
              <w:rPr>
                <w:rFonts w:eastAsia="Times New Roman" w:cs="Tahoma"/>
                <w:b/>
                <w:szCs w:val="18"/>
              </w:rPr>
            </w:pPr>
            <w:r w:rsidRPr="00D87B79">
              <w:rPr>
                <w:rFonts w:eastAsia="Times New Roman" w:cs="Tahoma"/>
                <w:b/>
                <w:szCs w:val="18"/>
                <w:lang w:val="it-IT"/>
              </w:rPr>
              <w:t>Tabella C</w:t>
            </w:r>
          </w:p>
        </w:tc>
      </w:tr>
      <w:tr w:rsidR="00A92422" w:rsidRPr="00D87B79" w:rsidTr="00EA30FC">
        <w:tc>
          <w:tcPr>
            <w:tcW w:w="4788" w:type="dxa"/>
            <w:vAlign w:val="center"/>
          </w:tcPr>
          <w:p w:rsidR="00A92422" w:rsidRPr="00D87B79" w:rsidRDefault="00A92422" w:rsidP="00EA30FC">
            <w:pPr>
              <w:spacing w:after="200" w:line="276" w:lineRule="auto"/>
              <w:rPr>
                <w:rFonts w:eastAsia="Times New Roman" w:cs="Tahoma"/>
                <w:szCs w:val="18"/>
              </w:rPr>
            </w:pPr>
            <w:r w:rsidRPr="00D87B79">
              <w:rPr>
                <w:rFonts w:eastAsia="Times New Roman" w:cs="Tahoma"/>
                <w:szCs w:val="18"/>
                <w:lang w:val="it-IT"/>
              </w:rPr>
              <w:t>Windows Server Datacenter</w:t>
            </w:r>
          </w:p>
        </w:tc>
      </w:tr>
      <w:tr w:rsidR="00A92422" w:rsidRPr="00D87B79" w:rsidTr="00EA30FC">
        <w:tc>
          <w:tcPr>
            <w:tcW w:w="4788" w:type="dxa"/>
            <w:vAlign w:val="center"/>
          </w:tcPr>
          <w:p w:rsidR="00A92422" w:rsidRPr="00D87B79" w:rsidRDefault="00A92422" w:rsidP="00EA30FC">
            <w:pPr>
              <w:spacing w:after="200" w:line="276" w:lineRule="auto"/>
              <w:rPr>
                <w:rFonts w:eastAsia="Times New Roman" w:cs="Tahoma"/>
                <w:szCs w:val="18"/>
              </w:rPr>
            </w:pPr>
            <w:r w:rsidRPr="00D87B79">
              <w:rPr>
                <w:rFonts w:eastAsia="Times New Roman" w:cs="Tahoma"/>
                <w:szCs w:val="18"/>
                <w:lang w:val="it-IT"/>
              </w:rPr>
              <w:t>System Center Datacenter</w:t>
            </w:r>
          </w:p>
        </w:tc>
      </w:tr>
    </w:tbl>
    <w:p w:rsidR="00A92422" w:rsidRPr="00D87B79" w:rsidRDefault="00A92422" w:rsidP="00A92422">
      <w:pPr>
        <w:ind w:left="547"/>
        <w:rPr>
          <w:rFonts w:cs="Tahoma"/>
        </w:rPr>
      </w:pPr>
    </w:p>
    <w:p w:rsidR="00A92422" w:rsidRPr="00D87B79" w:rsidRDefault="00A92422" w:rsidP="00A92422">
      <w:pPr>
        <w:ind w:left="720"/>
        <w:rPr>
          <w:rFonts w:cs="Tahoma"/>
        </w:rPr>
      </w:pPr>
      <w:r w:rsidRPr="00D87B79">
        <w:rPr>
          <w:rFonts w:cs="Tahoma"/>
          <w:color w:val="000000"/>
          <w:lang w:val="it-IT"/>
        </w:rPr>
        <w:t>Per ogni gruppo composto da una licenza qualificante per Windows Server Datacenter e da una licenza qualificante per System Center Datacenter le società potranno acquistare Software Assurance per una licenza di Core Infrastructure Server Suite Datacenter.</w:t>
      </w:r>
      <w:r w:rsidRPr="00D87B79">
        <w:rPr>
          <w:rFonts w:cs="Tahoma"/>
        </w:rPr>
        <w:t xml:space="preserve"> </w:t>
      </w:r>
      <w:r w:rsidRPr="00D87B79">
        <w:rPr>
          <w:rFonts w:cs="Tahoma"/>
          <w:color w:val="000000"/>
          <w:lang w:val="it-IT"/>
        </w:rPr>
        <w:t>Le società che ricevono in licenza e utilizzano Core Infrastructure Server Suite Datacenter in base alla presente offerta non potranno più utilizzare il software ai sensi delle relative licenze qualificanti.</w:t>
      </w:r>
      <w:r w:rsidRPr="00D87B79">
        <w:rPr>
          <w:rFonts w:cs="Tahoma"/>
        </w:rPr>
        <w:t xml:space="preserve"> </w:t>
      </w:r>
      <w:r w:rsidRPr="00D87B79">
        <w:rPr>
          <w:rFonts w:cs="Tahoma"/>
          <w:color w:val="000000"/>
          <w:lang w:val="it-IT"/>
        </w:rPr>
        <w:t>Le licenze e Software Assurance acquistate nell’ambito di un contratto “subscription” non si qualificano ai fini di questa offerta.</w:t>
      </w:r>
    </w:p>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lang w:val="it-IT"/>
        </w:rPr>
        <w:t>Step-Up da Windows Server Datacenter o System Center Datacenter a Core Infrastructure Server Suite Datacenter</w:t>
      </w:r>
    </w:p>
    <w:p w:rsidR="00A92422" w:rsidRPr="00D87B79" w:rsidRDefault="00A92422" w:rsidP="00A92422">
      <w:pPr>
        <w:ind w:left="720"/>
        <w:rPr>
          <w:rFonts w:cs="Tahoma"/>
        </w:rPr>
      </w:pPr>
      <w:r w:rsidRPr="00D87B79">
        <w:rPr>
          <w:rFonts w:cs="Tahoma"/>
          <w:lang w:val="it-IT"/>
        </w:rPr>
        <w:t>Le società potranno eseguire lo step-up da Windows Server Datacenter o System Center Datacenter a Core Infrastructure Server Suite Datacenter acquistando la licenza di Step-Up appropriata per Core Infrastructure Server Suite Datacenter. Le società dovranno disporre di una copertura Software Assurance attiva per la loro</w:t>
      </w:r>
      <w:r>
        <w:rPr>
          <w:rFonts w:cs="Tahoma"/>
          <w:lang w:val="it-IT"/>
        </w:rPr>
        <w:t> </w:t>
      </w:r>
      <w:r w:rsidRPr="00D87B79">
        <w:rPr>
          <w:rFonts w:cs="Tahoma"/>
          <w:lang w:val="it-IT"/>
        </w:rPr>
        <w:t>licenza per Windows Server Datacenter o System Center Datacenter, al fine di acquistare tale licenza di</w:t>
      </w:r>
      <w:r>
        <w:rPr>
          <w:rFonts w:cs="Tahoma"/>
          <w:lang w:val="it-IT"/>
        </w:rPr>
        <w:t> </w:t>
      </w:r>
      <w:r w:rsidRPr="00D87B79">
        <w:rPr>
          <w:rFonts w:cs="Tahoma"/>
          <w:lang w:val="it-IT"/>
        </w:rPr>
        <w:t>Step-Up.</w:t>
      </w:r>
      <w:r w:rsidRPr="00D87B79">
        <w:rPr>
          <w:rFonts w:cs="Tahoma"/>
        </w:rPr>
        <w:t xml:space="preserve"> </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lang w:val="it-IT"/>
        </w:rPr>
        <w:t>Per ogni licenza qualificante di Windows Server Datacenter in suo possesso, la società potrà acquistare una</w:t>
      </w:r>
      <w:r>
        <w:rPr>
          <w:rFonts w:cs="Tahoma"/>
          <w:lang w:val="it-IT"/>
        </w:rPr>
        <w:t> </w:t>
      </w:r>
      <w:r w:rsidRPr="00D87B79">
        <w:rPr>
          <w:rFonts w:cs="Tahoma"/>
          <w:lang w:val="it-IT"/>
        </w:rPr>
        <w:t>licenza Step-Up per Core Infrastructure Server Suite Datacenter.</w:t>
      </w:r>
      <w:r w:rsidRPr="00D87B79">
        <w:rPr>
          <w:rFonts w:cs="Tahoma"/>
        </w:rPr>
        <w:t xml:space="preserve"> </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eastAsia="Times New Roman" w:cs="Tahoma"/>
          <w:szCs w:val="18"/>
          <w:lang w:val="it-IT"/>
        </w:rPr>
        <w:t>Per ogni licenza qualificante di Systems Center Datacenter in suo possesso, la società potrà acquistare una</w:t>
      </w:r>
      <w:r>
        <w:rPr>
          <w:rFonts w:eastAsia="Times New Roman" w:cs="Tahoma"/>
          <w:szCs w:val="18"/>
          <w:lang w:val="it-IT"/>
        </w:rPr>
        <w:t> </w:t>
      </w:r>
      <w:r w:rsidRPr="00D87B79">
        <w:rPr>
          <w:rFonts w:eastAsia="Times New Roman" w:cs="Tahoma"/>
          <w:szCs w:val="18"/>
          <w:lang w:val="it-IT"/>
        </w:rPr>
        <w:t>licenza Step-Up per Core Infrastructure Server Suite Datacenter.</w:t>
      </w:r>
      <w:r w:rsidRPr="00D87B79">
        <w:rPr>
          <w:rFonts w:eastAsia="Times New Roman" w:cs="Tahoma"/>
          <w:szCs w:val="18"/>
        </w:rPr>
        <w:t xml:space="preserve"> </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lang w:val="it-IT"/>
        </w:rPr>
        <w:t>Il diritto delle società di utilizzare il software ai sensi della licenza per Core Infrastructure Server Suite Datacenter, è condizionato dall’adempimento da parte delle società delle obbligazioni di pagamento residue della licenza per il prodotto qualificante. La licenza per Core Infrastructure Server Suite Datacenter delle società prevalgono e sostituiscono la licenza sottostante per il prodotto qualificante.</w:t>
      </w:r>
    </w:p>
    <w:p w:rsidR="00A92422" w:rsidRPr="00D87B79" w:rsidRDefault="00A92422" w:rsidP="00A92422">
      <w:pPr>
        <w:ind w:left="720"/>
        <w:rPr>
          <w:rFonts w:cs="Tahoma"/>
        </w:rPr>
      </w:pPr>
    </w:p>
    <w:tbl>
      <w:tblPr>
        <w:tblW w:w="7740" w:type="dxa"/>
        <w:tblInd w:w="120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A92422" w:rsidRPr="00D87B79" w:rsidTr="00EA30FC">
        <w:trPr>
          <w:tblHeader/>
        </w:trPr>
        <w:tc>
          <w:tcPr>
            <w:tcW w:w="3870" w:type="dxa"/>
            <w:tcBorders>
              <w:top w:val="single" w:sz="12" w:space="0" w:color="auto"/>
            </w:tcBorders>
            <w:shd w:val="clear" w:color="auto" w:fill="FABF8F"/>
            <w:tcMar>
              <w:top w:w="0" w:type="dxa"/>
              <w:left w:w="108" w:type="dxa"/>
              <w:bottom w:w="0" w:type="dxa"/>
              <w:right w:w="108" w:type="dxa"/>
            </w:tcMar>
          </w:tcPr>
          <w:p w:rsidR="00A92422" w:rsidRPr="00D87B79" w:rsidRDefault="00A92422" w:rsidP="00EA30FC">
            <w:pPr>
              <w:spacing w:after="200" w:line="276" w:lineRule="auto"/>
              <w:jc w:val="center"/>
              <w:rPr>
                <w:rFonts w:eastAsia="Times New Roman" w:cs="Tahoma"/>
                <w:b/>
                <w:szCs w:val="18"/>
              </w:rPr>
            </w:pPr>
            <w:r w:rsidRPr="00D87B79">
              <w:rPr>
                <w:rFonts w:eastAsia="Times New Roman" w:cs="Tahoma"/>
                <w:b/>
                <w:szCs w:val="18"/>
                <w:lang w:val="it-IT"/>
              </w:rPr>
              <w:t>Prodotto Qualificante</w:t>
            </w:r>
          </w:p>
        </w:tc>
        <w:tc>
          <w:tcPr>
            <w:tcW w:w="3870" w:type="dxa"/>
            <w:tcBorders>
              <w:top w:val="single" w:sz="12" w:space="0" w:color="auto"/>
            </w:tcBorders>
            <w:shd w:val="clear" w:color="auto" w:fill="FABF8F"/>
            <w:tcMar>
              <w:top w:w="0" w:type="dxa"/>
              <w:left w:w="108" w:type="dxa"/>
              <w:bottom w:w="0" w:type="dxa"/>
              <w:right w:w="108" w:type="dxa"/>
            </w:tcMar>
          </w:tcPr>
          <w:p w:rsidR="00A92422" w:rsidRPr="00D87B79" w:rsidRDefault="00A92422" w:rsidP="00EA30FC">
            <w:pPr>
              <w:spacing w:after="200" w:line="276" w:lineRule="auto"/>
              <w:jc w:val="center"/>
              <w:rPr>
                <w:rFonts w:eastAsia="Times New Roman" w:cs="Tahoma"/>
                <w:b/>
                <w:szCs w:val="18"/>
              </w:rPr>
            </w:pPr>
            <w:r w:rsidRPr="00D87B79">
              <w:rPr>
                <w:rFonts w:eastAsia="Times New Roman" w:cs="Tahoma"/>
                <w:b/>
                <w:szCs w:val="18"/>
                <w:lang w:val="it-IT"/>
              </w:rPr>
              <w:t>Step-Up A</w:t>
            </w:r>
          </w:p>
        </w:tc>
      </w:tr>
      <w:tr w:rsidR="00A92422" w:rsidRPr="00D87B79" w:rsidTr="00EA30FC">
        <w:tc>
          <w:tcPr>
            <w:tcW w:w="3870" w:type="dxa"/>
            <w:tcMar>
              <w:top w:w="0" w:type="dxa"/>
              <w:left w:w="108" w:type="dxa"/>
              <w:bottom w:w="0" w:type="dxa"/>
              <w:right w:w="108" w:type="dxa"/>
            </w:tcMar>
          </w:tcPr>
          <w:p w:rsidR="00A92422" w:rsidRPr="00D87B79" w:rsidRDefault="00A92422" w:rsidP="00EA30FC">
            <w:pPr>
              <w:spacing w:after="200" w:line="276" w:lineRule="auto"/>
              <w:rPr>
                <w:rFonts w:eastAsia="Times New Roman" w:cs="Tahoma"/>
                <w:szCs w:val="18"/>
              </w:rPr>
            </w:pPr>
            <w:r w:rsidRPr="00D87B79">
              <w:rPr>
                <w:rFonts w:eastAsia="Times New Roman" w:cs="Tahoma"/>
                <w:szCs w:val="18"/>
                <w:lang w:val="it-IT"/>
              </w:rPr>
              <w:t>Windows Server Datacenter</w:t>
            </w:r>
          </w:p>
        </w:tc>
        <w:tc>
          <w:tcPr>
            <w:tcW w:w="3870" w:type="dxa"/>
            <w:tcMar>
              <w:top w:w="0" w:type="dxa"/>
              <w:left w:w="108" w:type="dxa"/>
              <w:bottom w:w="0" w:type="dxa"/>
              <w:right w:w="108" w:type="dxa"/>
            </w:tcMar>
          </w:tcPr>
          <w:p w:rsidR="00A92422" w:rsidRPr="00D87B79" w:rsidRDefault="00A92422" w:rsidP="00EA30FC">
            <w:pPr>
              <w:spacing w:after="200" w:line="276" w:lineRule="auto"/>
              <w:rPr>
                <w:rFonts w:eastAsia="Times New Roman" w:cs="Tahoma"/>
                <w:szCs w:val="18"/>
                <w:lang w:val="fr-FR"/>
              </w:rPr>
            </w:pPr>
            <w:r w:rsidRPr="00D87B79">
              <w:rPr>
                <w:rFonts w:eastAsia="Times New Roman" w:cs="Tahoma"/>
                <w:szCs w:val="18"/>
                <w:lang w:val="it-IT"/>
              </w:rPr>
              <w:t>Core Infrastructure Server Suite Datacenter</w:t>
            </w:r>
          </w:p>
        </w:tc>
      </w:tr>
      <w:tr w:rsidR="00A92422" w:rsidRPr="00D87B79" w:rsidTr="00EA30FC">
        <w:tc>
          <w:tcPr>
            <w:tcW w:w="3870" w:type="dxa"/>
            <w:tcBorders>
              <w:bottom w:val="single" w:sz="12" w:space="0" w:color="auto"/>
            </w:tcBorders>
            <w:tcMar>
              <w:top w:w="0" w:type="dxa"/>
              <w:left w:w="108" w:type="dxa"/>
              <w:bottom w:w="0" w:type="dxa"/>
              <w:right w:w="108" w:type="dxa"/>
            </w:tcMar>
          </w:tcPr>
          <w:p w:rsidR="00A92422" w:rsidRPr="00D87B79" w:rsidRDefault="00A92422" w:rsidP="00EA30FC">
            <w:pPr>
              <w:spacing w:after="200" w:line="276" w:lineRule="auto"/>
              <w:rPr>
                <w:rFonts w:eastAsia="Times New Roman" w:cs="Tahoma"/>
                <w:szCs w:val="18"/>
              </w:rPr>
            </w:pPr>
            <w:r w:rsidRPr="00D87B79">
              <w:rPr>
                <w:rFonts w:cs="Tahoma"/>
                <w:lang w:val="it-IT"/>
              </w:rPr>
              <w:t>System Center Datacenter</w:t>
            </w:r>
          </w:p>
        </w:tc>
        <w:tc>
          <w:tcPr>
            <w:tcW w:w="3870" w:type="dxa"/>
            <w:tcBorders>
              <w:bottom w:val="single" w:sz="12" w:space="0" w:color="auto"/>
            </w:tcBorders>
            <w:tcMar>
              <w:top w:w="0" w:type="dxa"/>
              <w:left w:w="108" w:type="dxa"/>
              <w:bottom w:w="0" w:type="dxa"/>
              <w:right w:w="108" w:type="dxa"/>
            </w:tcMar>
          </w:tcPr>
          <w:p w:rsidR="00A92422" w:rsidRPr="00D87B79" w:rsidRDefault="00A92422" w:rsidP="00EA30FC">
            <w:pPr>
              <w:spacing w:after="200" w:line="276" w:lineRule="auto"/>
              <w:rPr>
                <w:rFonts w:eastAsia="Times New Roman" w:cs="Tahoma"/>
                <w:szCs w:val="18"/>
                <w:lang w:val="fr-FR"/>
              </w:rPr>
            </w:pPr>
            <w:r w:rsidRPr="00D87B79">
              <w:rPr>
                <w:rFonts w:eastAsia="Times New Roman" w:cs="Tahoma"/>
                <w:szCs w:val="18"/>
                <w:lang w:val="it-IT"/>
              </w:rPr>
              <w:t>Core Infrastructure Server Suite Datacenter</w:t>
            </w:r>
          </w:p>
        </w:tc>
      </w:tr>
    </w:tbl>
    <w:p w:rsidR="00A92422" w:rsidRPr="00255F3A" w:rsidRDefault="00A92422" w:rsidP="00A92422">
      <w:pPr>
        <w:ind w:left="907"/>
        <w:rPr>
          <w:rFonts w:cs="Tahoma"/>
          <w:sz w:val="20"/>
          <w:szCs w:val="20"/>
        </w:rPr>
      </w:pPr>
      <w:bookmarkStart w:id="1221" w:name="Srv_38DynCRMWorkProEnt"/>
    </w:p>
    <w:p w:rsidR="00A92422" w:rsidRPr="00255F3A" w:rsidRDefault="00A92422" w:rsidP="00A92422">
      <w:pPr>
        <w:ind w:left="907"/>
        <w:rPr>
          <w:rFonts w:cs="Tahoma"/>
          <w:sz w:val="20"/>
          <w:szCs w:val="20"/>
        </w:rPr>
      </w:pPr>
    </w:p>
    <w:p w:rsidR="00A92422" w:rsidRPr="00D87B79" w:rsidRDefault="00A92422" w:rsidP="00A92422">
      <w:pPr>
        <w:pStyle w:val="Heading3"/>
        <w:rPr>
          <w:rFonts w:ascii="Tahoma" w:hAnsi="Tahoma" w:cs="Tahoma"/>
        </w:rPr>
      </w:pPr>
      <w:bookmarkStart w:id="1222" w:name="_Toc336338299"/>
      <w:bookmarkStart w:id="1223" w:name="_38_Data_Warehouse"/>
      <w:bookmarkStart w:id="1224" w:name="_Toc342900348"/>
      <w:bookmarkStart w:id="1225" w:name="Srv_41DataWarehouseConsApp2012"/>
      <w:bookmarkEnd w:id="1221"/>
      <w:bookmarkEnd w:id="1222"/>
      <w:bookmarkEnd w:id="1223"/>
      <w:r w:rsidRPr="00D87B79">
        <w:rPr>
          <w:rFonts w:ascii="Tahoma" w:hAnsi="Tahoma" w:cs="Tahoma"/>
          <w:caps/>
          <w:color w:val="F66400"/>
          <w:sz w:val="22"/>
          <w:vertAlign w:val="superscript"/>
          <w:lang w:val="it-IT"/>
        </w:rPr>
        <w:lastRenderedPageBreak/>
        <w:t>38</w:t>
      </w:r>
      <w:r w:rsidRPr="00D87B79">
        <w:rPr>
          <w:rFonts w:ascii="Tahoma" w:hAnsi="Tahoma" w:cs="Tahoma"/>
          <w:color w:val="F66400"/>
          <w:sz w:val="22"/>
          <w:lang w:val="it-IT"/>
        </w:rPr>
        <w:t xml:space="preserve"> Data Warehouse Appliance 2012</w:t>
      </w:r>
      <w:bookmarkEnd w:id="1224"/>
    </w:p>
    <w:bookmarkEnd w:id="1225"/>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szCs w:val="18"/>
          <w:lang w:val="it-IT"/>
        </w:rPr>
        <w:t>Il software Data Warehouse Appliance 2012, che incorpora SQL Server 2008 R2, è disponibile solo nelle configurazioni hardware e software approvate da Microsoft.</w:t>
      </w:r>
      <w:r w:rsidRPr="00D87B79">
        <w:rPr>
          <w:rFonts w:cs="Tahoma"/>
          <w:szCs w:val="18"/>
        </w:rPr>
        <w:t xml:space="preserve"> </w:t>
      </w:r>
      <w:r w:rsidRPr="00D87B79">
        <w:rPr>
          <w:rFonts w:cs="Tahoma"/>
          <w:szCs w:val="18"/>
          <w:lang w:val="it-IT"/>
        </w:rPr>
        <w:t>L’utilizzo del software in altre configurazioni non</w:t>
      </w:r>
      <w:r>
        <w:rPr>
          <w:rFonts w:cs="Tahoma"/>
          <w:szCs w:val="18"/>
          <w:lang w:val="it-IT"/>
        </w:rPr>
        <w:t> </w:t>
      </w:r>
      <w:r w:rsidRPr="00D87B79">
        <w:rPr>
          <w:rFonts w:cs="Tahoma"/>
          <w:szCs w:val="18"/>
          <w:lang w:val="it-IT"/>
        </w:rPr>
        <w:t>è supportato e potrà influire sulle prestazioni.</w:t>
      </w:r>
      <w:r w:rsidRPr="00D87B79">
        <w:rPr>
          <w:rFonts w:cs="Tahoma"/>
        </w:rPr>
        <w:t xml:space="preserve"> </w:t>
      </w:r>
      <w:bookmarkStart w:id="1226" w:name="Srv_38DynamicsCRMOnline"/>
      <w:bookmarkStart w:id="1227" w:name="Srv_37DynamicsCRMOnline"/>
      <w:bookmarkStart w:id="1228" w:name="Srv_37EntCALSuite"/>
      <w:bookmarkEnd w:id="1226"/>
      <w:bookmarkEnd w:id="1227"/>
      <w:bookmarkEnd w:id="1228"/>
      <w:r w:rsidRPr="00D87B79">
        <w:rPr>
          <w:rFonts w:cs="Tahoma"/>
          <w:lang w:val="it-IT"/>
        </w:rPr>
        <w:t xml:space="preserve">Per ulteriori informazioni, visitare la pagina </w:t>
      </w:r>
      <w:hyperlink r:id="rId35" w:tooltip="http://www.microsoft.com/sqlserver/en/us/get-sql-server/how-to-buy.aspx" w:history="1">
        <w:r w:rsidRPr="00D87B79">
          <w:rPr>
            <w:rStyle w:val="Hyperlink"/>
            <w:rFonts w:cs="Tahoma"/>
            <w:lang w:val="it-IT"/>
          </w:rPr>
          <w:t>http://www.microsoft.com/sqlserver/en/us/get-sql-server/how-to-buy.aspx</w:t>
        </w:r>
      </w:hyperlink>
      <w:r w:rsidRPr="00D87B79">
        <w:rPr>
          <w:rFonts w:cs="Tahoma"/>
          <w:lang w:val="it-IT"/>
        </w:rPr>
        <w:t>.</w:t>
      </w:r>
      <w:r w:rsidRPr="00D87B79">
        <w:rPr>
          <w:rFonts w:cs="Tahoma"/>
        </w:rPr>
        <w:t xml:space="preserve"> </w:t>
      </w:r>
    </w:p>
    <w:p w:rsidR="00A92422" w:rsidRPr="00D87B79" w:rsidRDefault="00A92422" w:rsidP="00A92422">
      <w:pPr>
        <w:rPr>
          <w:rFonts w:cs="Tahoma"/>
        </w:rPr>
      </w:pPr>
    </w:p>
    <w:p w:rsidR="00A92422" w:rsidRPr="00D87B79" w:rsidRDefault="00A92422" w:rsidP="00A92422">
      <w:pPr>
        <w:rPr>
          <w:rFonts w:cs="Tahoma"/>
        </w:rPr>
      </w:pPr>
    </w:p>
    <w:p w:rsidR="00A92422" w:rsidRPr="00D87B79" w:rsidRDefault="00A92422" w:rsidP="00A92422">
      <w:pPr>
        <w:pStyle w:val="Heading3"/>
        <w:rPr>
          <w:rFonts w:ascii="Tahoma" w:hAnsi="Tahoma" w:cs="Tahoma"/>
        </w:rPr>
      </w:pPr>
      <w:bookmarkStart w:id="1229" w:name="_40_Dynamics_CRM"/>
      <w:bookmarkStart w:id="1230" w:name="_40_39_Dynamics"/>
      <w:bookmarkStart w:id="1231" w:name="_Toc336338300"/>
      <w:bookmarkStart w:id="1232" w:name="_39_Dynamics_CRM"/>
      <w:bookmarkStart w:id="1233" w:name="_Toc342900349"/>
      <w:bookmarkEnd w:id="1229"/>
      <w:bookmarkEnd w:id="1230"/>
      <w:bookmarkEnd w:id="1231"/>
      <w:bookmarkEnd w:id="1232"/>
      <w:r w:rsidRPr="0048232F">
        <w:rPr>
          <w:rFonts w:ascii="Tahoma" w:hAnsi="Tahoma" w:cs="Tahoma"/>
          <w:caps/>
          <w:color w:val="F66400"/>
          <w:sz w:val="22"/>
          <w:vertAlign w:val="superscript"/>
          <w:lang w:val="it-IT"/>
        </w:rPr>
        <w:t>39</w:t>
      </w:r>
      <w:r w:rsidRPr="00D87B79">
        <w:rPr>
          <w:rFonts w:ascii="Tahoma" w:hAnsi="Tahoma" w:cs="Tahoma"/>
          <w:color w:val="F66400"/>
          <w:sz w:val="22"/>
          <w:lang w:val="it-IT"/>
        </w:rPr>
        <w:t xml:space="preserve"> Dynamics CRM Online</w:t>
      </w:r>
      <w:bookmarkEnd w:id="1233"/>
    </w:p>
    <w:p w:rsidR="00A92422" w:rsidRPr="00D87B79" w:rsidRDefault="00A92422" w:rsidP="00A92422">
      <w:pPr>
        <w:pStyle w:val="Heading3"/>
        <w:rPr>
          <w:rFonts w:ascii="Tahoma" w:hAnsi="Tahoma" w:cs="Tahoma"/>
        </w:rPr>
      </w:pPr>
    </w:p>
    <w:p w:rsidR="00A92422" w:rsidRPr="00D87B79" w:rsidRDefault="00A92422" w:rsidP="00A92422">
      <w:pPr>
        <w:ind w:left="720"/>
        <w:rPr>
          <w:rFonts w:cs="Tahoma"/>
        </w:rPr>
      </w:pPr>
      <w:r w:rsidRPr="00D87B79">
        <w:rPr>
          <w:rFonts w:cs="Tahoma"/>
          <w:b/>
          <w:color w:val="000000"/>
          <w:lang w:val="it-IT"/>
        </w:rPr>
        <w:t>Paesi Dove Dynamics CRM Online è Disponibile</w:t>
      </w:r>
    </w:p>
    <w:p w:rsidR="00A92422" w:rsidRPr="00D87B79" w:rsidRDefault="00A92422" w:rsidP="00A92422">
      <w:pPr>
        <w:ind w:left="540"/>
        <w:rPr>
          <w:rFonts w:cs="Tahoma"/>
        </w:rPr>
      </w:pPr>
    </w:p>
    <w:tbl>
      <w:tblPr>
        <w:tblW w:w="8020" w:type="dxa"/>
        <w:tblInd w:w="1458" w:type="dxa"/>
        <w:tblCellMar>
          <w:left w:w="0" w:type="dxa"/>
          <w:right w:w="0" w:type="dxa"/>
        </w:tblCellMar>
        <w:tblLook w:val="04A0" w:firstRow="1" w:lastRow="0" w:firstColumn="1" w:lastColumn="0" w:noHBand="0" w:noVBand="1"/>
      </w:tblPr>
      <w:tblGrid>
        <w:gridCol w:w="2680"/>
        <w:gridCol w:w="2670"/>
        <w:gridCol w:w="2670"/>
      </w:tblGrid>
      <w:tr w:rsidR="00A92422" w:rsidRPr="00D87B79" w:rsidTr="00EA30FC">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A92422" w:rsidRPr="00D87B79" w:rsidRDefault="00A92422" w:rsidP="00EA30FC">
            <w:pPr>
              <w:jc w:val="center"/>
              <w:rPr>
                <w:rFonts w:cs="Tahoma"/>
                <w:b/>
                <w:bCs/>
                <w:szCs w:val="20"/>
              </w:rPr>
            </w:pPr>
            <w:r w:rsidRPr="00D87B79">
              <w:rPr>
                <w:rFonts w:cs="Tahoma"/>
                <w:b/>
                <w:bCs/>
                <w:szCs w:val="20"/>
                <w:lang w:val="it-IT"/>
              </w:rPr>
              <w:t>Americhe</w:t>
            </w:r>
          </w:p>
        </w:tc>
        <w:tc>
          <w:tcPr>
            <w:tcW w:w="2670" w:type="dxa"/>
            <w:tcBorders>
              <w:top w:val="single" w:sz="8" w:space="0" w:color="000000"/>
              <w:left w:val="nil"/>
              <w:bottom w:val="single" w:sz="8" w:space="0" w:color="000000"/>
              <w:right w:val="single" w:sz="4" w:space="0" w:color="auto"/>
            </w:tcBorders>
            <w:shd w:val="clear" w:color="auto" w:fill="FABF8F"/>
          </w:tcPr>
          <w:p w:rsidR="00A92422" w:rsidRPr="00D87B79" w:rsidRDefault="00A92422" w:rsidP="00EA30FC">
            <w:pPr>
              <w:jc w:val="center"/>
              <w:rPr>
                <w:rFonts w:cs="Tahoma"/>
                <w:b/>
                <w:bCs/>
                <w:szCs w:val="20"/>
              </w:rPr>
            </w:pPr>
            <w:r w:rsidRPr="00D87B79">
              <w:rPr>
                <w:rFonts w:cs="Tahoma"/>
                <w:b/>
                <w:bCs/>
                <w:szCs w:val="20"/>
                <w:lang w:val="it-IT"/>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A92422" w:rsidRPr="00D87B79" w:rsidRDefault="00A92422" w:rsidP="00EA30FC">
            <w:pPr>
              <w:jc w:val="center"/>
              <w:rPr>
                <w:rFonts w:cs="Tahoma"/>
                <w:b/>
                <w:bCs/>
                <w:szCs w:val="20"/>
              </w:rPr>
            </w:pPr>
            <w:r w:rsidRPr="00D87B79">
              <w:rPr>
                <w:rFonts w:cs="Tahoma"/>
                <w:b/>
                <w:bCs/>
                <w:szCs w:val="20"/>
                <w:lang w:val="it-IT"/>
              </w:rPr>
              <w:t>Asia, Area del Pacifico</w:t>
            </w:r>
          </w:p>
        </w:tc>
      </w:tr>
      <w:tr w:rsidR="00A92422" w:rsidRPr="00D87B79" w:rsidTr="00EA30FC">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A92422" w:rsidRPr="00D87B79" w:rsidRDefault="00A92422" w:rsidP="00EA30FC">
            <w:pPr>
              <w:jc w:val="center"/>
              <w:rPr>
                <w:rFonts w:cs="Tahoma"/>
                <w:color w:val="000000"/>
                <w:szCs w:val="20"/>
              </w:rPr>
            </w:pPr>
            <w:r w:rsidRPr="00D87B79">
              <w:rPr>
                <w:rFonts w:cs="Tahoma"/>
                <w:lang w:val="it-IT"/>
              </w:rPr>
              <w:t>Brasile</w:t>
            </w:r>
          </w:p>
        </w:tc>
        <w:tc>
          <w:tcPr>
            <w:tcW w:w="2670" w:type="dxa"/>
            <w:tcBorders>
              <w:top w:val="nil"/>
              <w:left w:val="nil"/>
              <w:bottom w:val="single" w:sz="4" w:space="0" w:color="000000"/>
              <w:right w:val="single" w:sz="4" w:space="0" w:color="auto"/>
            </w:tcBorders>
          </w:tcPr>
          <w:p w:rsidR="00A92422" w:rsidRPr="00D87B79" w:rsidRDefault="00A92422" w:rsidP="00EA30FC">
            <w:pPr>
              <w:pStyle w:val="ColorfulList-Accent11"/>
              <w:spacing w:line="276" w:lineRule="auto"/>
              <w:ind w:left="0"/>
              <w:jc w:val="center"/>
              <w:rPr>
                <w:rFonts w:ascii="Tahoma" w:hAnsi="Tahoma" w:cs="Tahoma"/>
                <w:color w:val="000000"/>
                <w:sz w:val="18"/>
                <w:szCs w:val="18"/>
              </w:rPr>
            </w:pPr>
            <w:r w:rsidRPr="00D87B79">
              <w:rPr>
                <w:rFonts w:ascii="Tahoma" w:hAnsi="Tahoma" w:cs="Tahoma"/>
                <w:sz w:val="18"/>
                <w:lang w:val="it-IT"/>
              </w:rPr>
              <w:t>Austria</w:t>
            </w:r>
          </w:p>
        </w:tc>
        <w:tc>
          <w:tcPr>
            <w:tcW w:w="2670" w:type="dxa"/>
            <w:tcBorders>
              <w:top w:val="nil"/>
              <w:left w:val="single" w:sz="4" w:space="0" w:color="auto"/>
              <w:bottom w:val="single" w:sz="4" w:space="0" w:color="000000"/>
              <w:right w:val="single" w:sz="8" w:space="0" w:color="000000"/>
            </w:tcBorders>
          </w:tcPr>
          <w:p w:rsidR="00A92422" w:rsidRPr="00D87B79" w:rsidRDefault="00A92422" w:rsidP="00EA30FC">
            <w:pPr>
              <w:pStyle w:val="ColorfulList-Accent11"/>
              <w:spacing w:line="276" w:lineRule="auto"/>
              <w:ind w:left="0"/>
              <w:jc w:val="center"/>
              <w:rPr>
                <w:rFonts w:ascii="Tahoma" w:hAnsi="Tahoma" w:cs="Tahoma"/>
                <w:color w:val="000000"/>
                <w:sz w:val="18"/>
                <w:szCs w:val="18"/>
              </w:rPr>
            </w:pPr>
            <w:r w:rsidRPr="00D87B79">
              <w:rPr>
                <w:rFonts w:ascii="Tahoma" w:hAnsi="Tahoma" w:cs="Tahoma"/>
                <w:sz w:val="18"/>
                <w:lang w:val="it-IT"/>
              </w:rPr>
              <w:t>Australia</w:t>
            </w:r>
          </w:p>
        </w:tc>
      </w:tr>
      <w:tr w:rsidR="00A92422" w:rsidRPr="00D87B79"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A92422" w:rsidRPr="00D87B79" w:rsidRDefault="00A92422" w:rsidP="00EA30FC">
            <w:pPr>
              <w:jc w:val="center"/>
              <w:rPr>
                <w:rFonts w:cs="Tahoma"/>
                <w:color w:val="000000"/>
                <w:szCs w:val="20"/>
              </w:rPr>
            </w:pPr>
            <w:r w:rsidRPr="00D87B79">
              <w:rPr>
                <w:rFonts w:cs="Tahoma"/>
                <w:lang w:val="it-IT"/>
              </w:rPr>
              <w:t>Canada</w:t>
            </w:r>
          </w:p>
        </w:tc>
        <w:tc>
          <w:tcPr>
            <w:tcW w:w="2670" w:type="dxa"/>
            <w:tcBorders>
              <w:top w:val="single" w:sz="4" w:space="0" w:color="000000"/>
              <w:left w:val="nil"/>
              <w:bottom w:val="single" w:sz="4" w:space="0" w:color="000000"/>
              <w:right w:val="single" w:sz="4" w:space="0" w:color="auto"/>
            </w:tcBorders>
          </w:tcPr>
          <w:p w:rsidR="00A92422" w:rsidRPr="00D87B79" w:rsidRDefault="00A92422" w:rsidP="00EA30FC">
            <w:pPr>
              <w:pStyle w:val="ColorfulList-Accent11"/>
              <w:spacing w:line="276" w:lineRule="auto"/>
              <w:ind w:left="0"/>
              <w:jc w:val="center"/>
              <w:rPr>
                <w:rFonts w:ascii="Tahoma" w:hAnsi="Tahoma" w:cs="Tahoma"/>
                <w:color w:val="000000"/>
                <w:sz w:val="18"/>
                <w:szCs w:val="18"/>
              </w:rPr>
            </w:pPr>
            <w:r w:rsidRPr="00D87B79">
              <w:rPr>
                <w:rFonts w:ascii="Tahoma" w:hAnsi="Tahoma" w:cs="Tahoma"/>
                <w:sz w:val="18"/>
                <w:lang w:val="it-IT"/>
              </w:rPr>
              <w:t>Belgio</w:t>
            </w:r>
          </w:p>
        </w:tc>
        <w:tc>
          <w:tcPr>
            <w:tcW w:w="2670" w:type="dxa"/>
            <w:tcBorders>
              <w:top w:val="single" w:sz="4" w:space="0" w:color="000000"/>
              <w:left w:val="single" w:sz="4" w:space="0" w:color="auto"/>
              <w:bottom w:val="single" w:sz="4" w:space="0" w:color="000000"/>
              <w:right w:val="single" w:sz="4" w:space="0" w:color="000000"/>
            </w:tcBorders>
          </w:tcPr>
          <w:p w:rsidR="00A92422" w:rsidRPr="00D87B79" w:rsidRDefault="00A92422" w:rsidP="00EA30FC">
            <w:pPr>
              <w:pStyle w:val="ColorfulList-Accent11"/>
              <w:spacing w:line="276" w:lineRule="auto"/>
              <w:ind w:left="0"/>
              <w:jc w:val="center"/>
              <w:rPr>
                <w:rFonts w:ascii="Tahoma" w:hAnsi="Tahoma" w:cs="Tahoma"/>
                <w:color w:val="000000"/>
                <w:sz w:val="18"/>
                <w:szCs w:val="18"/>
              </w:rPr>
            </w:pPr>
            <w:r w:rsidRPr="00D87B79">
              <w:rPr>
                <w:rFonts w:ascii="Tahoma" w:hAnsi="Tahoma" w:cs="Tahoma"/>
                <w:sz w:val="18"/>
                <w:lang w:val="it-IT"/>
              </w:rPr>
              <w:t>Hong Kong</w:t>
            </w:r>
          </w:p>
        </w:tc>
      </w:tr>
      <w:tr w:rsidR="00A92422" w:rsidRPr="00D87B79"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A92422" w:rsidRPr="00D87B79" w:rsidRDefault="00A92422" w:rsidP="00EA30FC">
            <w:pPr>
              <w:jc w:val="center"/>
              <w:rPr>
                <w:rFonts w:cs="Tahoma"/>
                <w:color w:val="000000"/>
                <w:szCs w:val="20"/>
              </w:rPr>
            </w:pPr>
            <w:r w:rsidRPr="00D87B79">
              <w:rPr>
                <w:rFonts w:cs="Tahoma"/>
                <w:lang w:val="it-IT"/>
              </w:rPr>
              <w:t>Colombia</w:t>
            </w:r>
          </w:p>
        </w:tc>
        <w:tc>
          <w:tcPr>
            <w:tcW w:w="2670" w:type="dxa"/>
            <w:tcBorders>
              <w:top w:val="single" w:sz="4" w:space="0" w:color="000000"/>
              <w:left w:val="nil"/>
              <w:bottom w:val="single" w:sz="4" w:space="0" w:color="000000"/>
              <w:right w:val="single" w:sz="4" w:space="0" w:color="auto"/>
            </w:tcBorders>
          </w:tcPr>
          <w:p w:rsidR="00A92422" w:rsidRPr="00D87B79" w:rsidRDefault="00A92422" w:rsidP="00EA30FC">
            <w:pPr>
              <w:pStyle w:val="ColorfulList-Accent11"/>
              <w:spacing w:line="276" w:lineRule="auto"/>
              <w:ind w:left="0"/>
              <w:jc w:val="center"/>
              <w:rPr>
                <w:rFonts w:ascii="Tahoma" w:hAnsi="Tahoma" w:cs="Tahoma"/>
                <w:color w:val="000000"/>
                <w:sz w:val="18"/>
                <w:szCs w:val="18"/>
              </w:rPr>
            </w:pPr>
            <w:r w:rsidRPr="00D87B79">
              <w:rPr>
                <w:rFonts w:ascii="Tahoma" w:hAnsi="Tahoma" w:cs="Tahoma"/>
                <w:sz w:val="18"/>
                <w:lang w:val="it-IT"/>
              </w:rPr>
              <w:t>Cipro</w:t>
            </w:r>
          </w:p>
        </w:tc>
        <w:tc>
          <w:tcPr>
            <w:tcW w:w="2670" w:type="dxa"/>
            <w:tcBorders>
              <w:top w:val="single" w:sz="4" w:space="0" w:color="000000"/>
              <w:left w:val="single" w:sz="4" w:space="0" w:color="auto"/>
              <w:bottom w:val="single" w:sz="4" w:space="0" w:color="000000"/>
              <w:right w:val="single" w:sz="4" w:space="0" w:color="000000"/>
            </w:tcBorders>
          </w:tcPr>
          <w:p w:rsidR="00A92422" w:rsidRPr="00D87B79" w:rsidRDefault="00A92422" w:rsidP="00EA30FC">
            <w:pPr>
              <w:pStyle w:val="ColorfulList-Accent11"/>
              <w:spacing w:line="276" w:lineRule="auto"/>
              <w:ind w:left="0"/>
              <w:jc w:val="center"/>
              <w:rPr>
                <w:rFonts w:ascii="Tahoma" w:hAnsi="Tahoma" w:cs="Tahoma"/>
                <w:color w:val="000000"/>
                <w:sz w:val="18"/>
                <w:szCs w:val="18"/>
              </w:rPr>
            </w:pPr>
            <w:r w:rsidRPr="00D87B79">
              <w:rPr>
                <w:rFonts w:ascii="Tahoma" w:hAnsi="Tahoma" w:cs="Tahoma"/>
                <w:sz w:val="18"/>
                <w:lang w:val="it-IT"/>
              </w:rPr>
              <w:t>India</w:t>
            </w:r>
          </w:p>
        </w:tc>
      </w:tr>
      <w:tr w:rsidR="00A92422" w:rsidRPr="00D87B79"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A92422" w:rsidRPr="00D87B79" w:rsidRDefault="00A92422" w:rsidP="00EA30FC">
            <w:pPr>
              <w:jc w:val="center"/>
              <w:rPr>
                <w:rFonts w:cs="Tahoma"/>
              </w:rPr>
            </w:pPr>
            <w:r w:rsidRPr="00D87B79">
              <w:rPr>
                <w:rFonts w:cs="Tahoma"/>
                <w:lang w:val="it-IT"/>
              </w:rPr>
              <w:t>Costa Rica</w:t>
            </w:r>
          </w:p>
        </w:tc>
        <w:tc>
          <w:tcPr>
            <w:tcW w:w="2670" w:type="dxa"/>
            <w:tcBorders>
              <w:top w:val="single" w:sz="4" w:space="0" w:color="000000"/>
              <w:left w:val="nil"/>
              <w:bottom w:val="single" w:sz="4" w:space="0" w:color="000000"/>
              <w:right w:val="single" w:sz="4" w:space="0" w:color="auto"/>
            </w:tcBorders>
          </w:tcPr>
          <w:p w:rsidR="00A92422" w:rsidRPr="00D87B79" w:rsidRDefault="00A92422" w:rsidP="00EA30FC">
            <w:pPr>
              <w:pStyle w:val="ColorfulList-Accent11"/>
              <w:spacing w:line="276" w:lineRule="auto"/>
              <w:ind w:left="0"/>
              <w:jc w:val="center"/>
              <w:rPr>
                <w:rFonts w:ascii="Tahoma" w:hAnsi="Tahoma" w:cs="Tahoma"/>
                <w:color w:val="000000"/>
                <w:sz w:val="18"/>
                <w:szCs w:val="18"/>
              </w:rPr>
            </w:pPr>
            <w:r w:rsidRPr="00D87B79">
              <w:rPr>
                <w:rFonts w:ascii="Tahoma" w:hAnsi="Tahoma" w:cs="Tahoma"/>
                <w:sz w:val="18"/>
                <w:lang w:val="it-IT"/>
              </w:rPr>
              <w:t>Repubblica Ceca</w:t>
            </w:r>
          </w:p>
        </w:tc>
        <w:tc>
          <w:tcPr>
            <w:tcW w:w="2670" w:type="dxa"/>
            <w:tcBorders>
              <w:top w:val="single" w:sz="4" w:space="0" w:color="000000"/>
              <w:left w:val="single" w:sz="4" w:space="0" w:color="auto"/>
              <w:bottom w:val="single" w:sz="4" w:space="0" w:color="000000"/>
              <w:right w:val="single" w:sz="4" w:space="0" w:color="000000"/>
            </w:tcBorders>
          </w:tcPr>
          <w:p w:rsidR="00A92422" w:rsidRPr="00D87B79" w:rsidRDefault="00A92422" w:rsidP="00EA30FC">
            <w:pPr>
              <w:pStyle w:val="ColorfulList-Accent11"/>
              <w:spacing w:line="276" w:lineRule="auto"/>
              <w:ind w:left="0"/>
              <w:jc w:val="center"/>
              <w:rPr>
                <w:rFonts w:ascii="Tahoma" w:hAnsi="Tahoma" w:cs="Tahoma"/>
                <w:color w:val="000000"/>
                <w:sz w:val="18"/>
                <w:szCs w:val="18"/>
              </w:rPr>
            </w:pPr>
            <w:r w:rsidRPr="00D87B79">
              <w:rPr>
                <w:rFonts w:ascii="Tahoma" w:hAnsi="Tahoma" w:cs="Tahoma"/>
                <w:sz w:val="18"/>
                <w:lang w:val="it-IT"/>
              </w:rPr>
              <w:t>Giappone</w:t>
            </w:r>
          </w:p>
        </w:tc>
      </w:tr>
      <w:tr w:rsidR="00A92422" w:rsidRPr="00D87B79"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A92422" w:rsidRPr="00D87B79" w:rsidRDefault="00A92422" w:rsidP="00EA30FC">
            <w:pPr>
              <w:jc w:val="center"/>
              <w:rPr>
                <w:rFonts w:cs="Tahoma"/>
              </w:rPr>
            </w:pPr>
            <w:r w:rsidRPr="00D87B79">
              <w:rPr>
                <w:rFonts w:cs="Tahoma"/>
                <w:lang w:val="it-IT"/>
              </w:rPr>
              <w:t>Cile</w:t>
            </w:r>
          </w:p>
        </w:tc>
        <w:tc>
          <w:tcPr>
            <w:tcW w:w="2670" w:type="dxa"/>
            <w:tcBorders>
              <w:top w:val="single" w:sz="4" w:space="0" w:color="000000"/>
              <w:left w:val="nil"/>
              <w:bottom w:val="single" w:sz="4" w:space="0" w:color="000000"/>
              <w:right w:val="single" w:sz="4" w:space="0" w:color="auto"/>
            </w:tcBorders>
          </w:tcPr>
          <w:p w:rsidR="00A92422" w:rsidRPr="00D87B79" w:rsidRDefault="00A92422" w:rsidP="00EA30FC">
            <w:pPr>
              <w:pStyle w:val="ColorfulList-Accent11"/>
              <w:spacing w:line="276" w:lineRule="auto"/>
              <w:ind w:left="0"/>
              <w:jc w:val="center"/>
              <w:rPr>
                <w:rFonts w:ascii="Tahoma" w:hAnsi="Tahoma" w:cs="Tahoma"/>
                <w:color w:val="000000"/>
                <w:sz w:val="18"/>
                <w:szCs w:val="18"/>
              </w:rPr>
            </w:pPr>
            <w:r w:rsidRPr="00D87B79">
              <w:rPr>
                <w:rFonts w:ascii="Tahoma" w:hAnsi="Tahoma" w:cs="Tahoma"/>
                <w:sz w:val="18"/>
                <w:lang w:val="it-IT"/>
              </w:rPr>
              <w:t>Danimarca</w:t>
            </w:r>
          </w:p>
        </w:tc>
        <w:tc>
          <w:tcPr>
            <w:tcW w:w="2670" w:type="dxa"/>
            <w:tcBorders>
              <w:top w:val="single" w:sz="4" w:space="0" w:color="000000"/>
              <w:left w:val="single" w:sz="4" w:space="0" w:color="auto"/>
              <w:bottom w:val="single" w:sz="4" w:space="0" w:color="000000"/>
              <w:right w:val="single" w:sz="4" w:space="0" w:color="000000"/>
            </w:tcBorders>
          </w:tcPr>
          <w:p w:rsidR="00A92422" w:rsidRPr="00D87B79" w:rsidRDefault="00A92422" w:rsidP="00EA30FC">
            <w:pPr>
              <w:pStyle w:val="ColorfulList-Accent11"/>
              <w:spacing w:line="276" w:lineRule="auto"/>
              <w:ind w:left="0"/>
              <w:jc w:val="center"/>
              <w:rPr>
                <w:rFonts w:ascii="Tahoma" w:hAnsi="Tahoma" w:cs="Tahoma"/>
                <w:color w:val="000000"/>
                <w:sz w:val="18"/>
                <w:szCs w:val="18"/>
              </w:rPr>
            </w:pPr>
            <w:r w:rsidRPr="00D87B79">
              <w:rPr>
                <w:rFonts w:ascii="Tahoma" w:hAnsi="Tahoma" w:cs="Tahoma"/>
                <w:sz w:val="18"/>
                <w:lang w:val="it-IT"/>
              </w:rPr>
              <w:t>Corea</w:t>
            </w:r>
          </w:p>
        </w:tc>
      </w:tr>
      <w:tr w:rsidR="00A92422" w:rsidRPr="00D87B79"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A92422" w:rsidRPr="00D87B79" w:rsidRDefault="00A92422" w:rsidP="00EA30FC">
            <w:pPr>
              <w:jc w:val="center"/>
              <w:rPr>
                <w:rFonts w:cs="Tahoma"/>
              </w:rPr>
            </w:pPr>
            <w:r w:rsidRPr="00D87B79">
              <w:rPr>
                <w:rFonts w:cs="Tahoma"/>
                <w:lang w:val="it-IT"/>
              </w:rPr>
              <w:t>Messico</w:t>
            </w:r>
          </w:p>
        </w:tc>
        <w:tc>
          <w:tcPr>
            <w:tcW w:w="2670" w:type="dxa"/>
            <w:tcBorders>
              <w:top w:val="single" w:sz="4" w:space="0" w:color="000000"/>
              <w:left w:val="nil"/>
              <w:bottom w:val="single" w:sz="4" w:space="0" w:color="000000"/>
              <w:right w:val="single" w:sz="4" w:space="0" w:color="auto"/>
            </w:tcBorders>
          </w:tcPr>
          <w:p w:rsidR="00A92422" w:rsidRPr="00D87B79" w:rsidRDefault="00A92422" w:rsidP="00EA30FC">
            <w:pPr>
              <w:pStyle w:val="ColorfulList-Accent11"/>
              <w:spacing w:line="276" w:lineRule="auto"/>
              <w:ind w:left="0"/>
              <w:jc w:val="center"/>
              <w:rPr>
                <w:rFonts w:ascii="Tahoma" w:hAnsi="Tahoma" w:cs="Tahoma"/>
                <w:color w:val="000000"/>
                <w:sz w:val="18"/>
                <w:szCs w:val="18"/>
              </w:rPr>
            </w:pPr>
            <w:r w:rsidRPr="00D87B79">
              <w:rPr>
                <w:rFonts w:ascii="Tahoma" w:hAnsi="Tahoma" w:cs="Tahoma"/>
                <w:sz w:val="18"/>
                <w:lang w:val="it-IT"/>
              </w:rPr>
              <w:t>Finlandia</w:t>
            </w:r>
          </w:p>
        </w:tc>
        <w:tc>
          <w:tcPr>
            <w:tcW w:w="2670" w:type="dxa"/>
            <w:tcBorders>
              <w:top w:val="single" w:sz="4" w:space="0" w:color="000000"/>
              <w:left w:val="single" w:sz="4" w:space="0" w:color="auto"/>
              <w:bottom w:val="single" w:sz="4" w:space="0" w:color="000000"/>
              <w:right w:val="single" w:sz="4" w:space="0" w:color="000000"/>
            </w:tcBorders>
          </w:tcPr>
          <w:p w:rsidR="00A92422" w:rsidRPr="00D87B79" w:rsidRDefault="00A92422" w:rsidP="00EA30FC">
            <w:pPr>
              <w:pStyle w:val="ColorfulList-Accent11"/>
              <w:spacing w:line="276" w:lineRule="auto"/>
              <w:ind w:left="0"/>
              <w:jc w:val="center"/>
              <w:rPr>
                <w:rFonts w:ascii="Tahoma" w:hAnsi="Tahoma" w:cs="Tahoma"/>
                <w:color w:val="000000"/>
                <w:sz w:val="18"/>
                <w:szCs w:val="18"/>
              </w:rPr>
            </w:pPr>
            <w:r w:rsidRPr="00D87B79">
              <w:rPr>
                <w:rFonts w:ascii="Tahoma" w:hAnsi="Tahoma" w:cs="Tahoma"/>
                <w:sz w:val="18"/>
                <w:lang w:val="it-IT"/>
              </w:rPr>
              <w:t>Malaysia</w:t>
            </w:r>
          </w:p>
        </w:tc>
      </w:tr>
      <w:tr w:rsidR="00A92422" w:rsidRPr="00D87B79"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A92422" w:rsidRPr="00D87B79" w:rsidRDefault="00A92422" w:rsidP="00EA30FC">
            <w:pPr>
              <w:jc w:val="center"/>
              <w:rPr>
                <w:rFonts w:cs="Tahoma"/>
              </w:rPr>
            </w:pPr>
            <w:r w:rsidRPr="00D87B79">
              <w:rPr>
                <w:rFonts w:cs="Tahoma"/>
                <w:lang w:val="it-IT"/>
              </w:rPr>
              <w:t>Perù</w:t>
            </w:r>
          </w:p>
        </w:tc>
        <w:tc>
          <w:tcPr>
            <w:tcW w:w="2670" w:type="dxa"/>
            <w:tcBorders>
              <w:top w:val="single" w:sz="4" w:space="0" w:color="000000"/>
              <w:left w:val="nil"/>
              <w:bottom w:val="single" w:sz="4" w:space="0" w:color="000000"/>
              <w:right w:val="single" w:sz="4" w:space="0" w:color="auto"/>
            </w:tcBorders>
          </w:tcPr>
          <w:p w:rsidR="00A92422" w:rsidRPr="00D87B79" w:rsidRDefault="00A92422" w:rsidP="00EA30FC">
            <w:pPr>
              <w:pStyle w:val="ColorfulList-Accent11"/>
              <w:spacing w:line="276" w:lineRule="auto"/>
              <w:ind w:left="0"/>
              <w:jc w:val="center"/>
              <w:rPr>
                <w:rFonts w:ascii="Tahoma" w:hAnsi="Tahoma" w:cs="Tahoma"/>
                <w:color w:val="000000"/>
                <w:sz w:val="18"/>
                <w:szCs w:val="18"/>
              </w:rPr>
            </w:pPr>
            <w:r w:rsidRPr="00D87B79">
              <w:rPr>
                <w:rFonts w:ascii="Tahoma" w:hAnsi="Tahoma" w:cs="Tahoma"/>
                <w:sz w:val="18"/>
                <w:lang w:val="it-IT"/>
              </w:rPr>
              <w:t>Francia</w:t>
            </w:r>
          </w:p>
        </w:tc>
        <w:tc>
          <w:tcPr>
            <w:tcW w:w="2670" w:type="dxa"/>
            <w:tcBorders>
              <w:top w:val="single" w:sz="4" w:space="0" w:color="000000"/>
              <w:left w:val="single" w:sz="4" w:space="0" w:color="auto"/>
              <w:bottom w:val="single" w:sz="4" w:space="0" w:color="000000"/>
              <w:right w:val="single" w:sz="4" w:space="0" w:color="000000"/>
            </w:tcBorders>
          </w:tcPr>
          <w:p w:rsidR="00A92422" w:rsidRPr="00D87B79" w:rsidRDefault="00A92422" w:rsidP="00EA30FC">
            <w:pPr>
              <w:pStyle w:val="ColorfulList-Accent11"/>
              <w:spacing w:line="276" w:lineRule="auto"/>
              <w:ind w:left="0"/>
              <w:jc w:val="center"/>
              <w:rPr>
                <w:rFonts w:ascii="Tahoma" w:hAnsi="Tahoma" w:cs="Tahoma"/>
                <w:color w:val="000000"/>
                <w:sz w:val="18"/>
                <w:szCs w:val="18"/>
              </w:rPr>
            </w:pPr>
            <w:r w:rsidRPr="00D87B79">
              <w:rPr>
                <w:rFonts w:ascii="Tahoma" w:hAnsi="Tahoma" w:cs="Tahoma"/>
                <w:sz w:val="18"/>
                <w:lang w:val="it-IT"/>
              </w:rPr>
              <w:t>Nuova Zelanda</w:t>
            </w:r>
          </w:p>
        </w:tc>
      </w:tr>
      <w:tr w:rsidR="00A92422" w:rsidRPr="00D87B79"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A92422" w:rsidRPr="00D87B79" w:rsidRDefault="00A92422" w:rsidP="00EA30FC">
            <w:pPr>
              <w:jc w:val="center"/>
              <w:rPr>
                <w:rFonts w:cs="Tahoma"/>
              </w:rPr>
            </w:pPr>
            <w:r w:rsidRPr="00D87B79">
              <w:rPr>
                <w:rFonts w:cs="Tahoma"/>
                <w:lang w:val="it-IT"/>
              </w:rPr>
              <w:t>Portorico</w:t>
            </w:r>
          </w:p>
        </w:tc>
        <w:tc>
          <w:tcPr>
            <w:tcW w:w="2670" w:type="dxa"/>
            <w:tcBorders>
              <w:top w:val="single" w:sz="4" w:space="0" w:color="000000"/>
              <w:left w:val="nil"/>
              <w:bottom w:val="single" w:sz="4" w:space="0" w:color="000000"/>
              <w:right w:val="single" w:sz="4" w:space="0" w:color="auto"/>
            </w:tcBorders>
          </w:tcPr>
          <w:p w:rsidR="00A92422" w:rsidRPr="00D87B79" w:rsidRDefault="00A92422" w:rsidP="00EA30FC">
            <w:pPr>
              <w:pStyle w:val="ColorfulList-Accent11"/>
              <w:spacing w:line="276" w:lineRule="auto"/>
              <w:ind w:left="0"/>
              <w:jc w:val="center"/>
              <w:rPr>
                <w:rFonts w:ascii="Tahoma" w:hAnsi="Tahoma" w:cs="Tahoma"/>
                <w:color w:val="000000"/>
                <w:sz w:val="18"/>
                <w:szCs w:val="18"/>
              </w:rPr>
            </w:pPr>
            <w:r w:rsidRPr="00D87B79">
              <w:rPr>
                <w:rFonts w:ascii="Tahoma" w:hAnsi="Tahoma" w:cs="Tahoma"/>
                <w:sz w:val="18"/>
                <w:lang w:val="it-IT"/>
              </w:rPr>
              <w:t>Germania</w:t>
            </w:r>
          </w:p>
        </w:tc>
        <w:tc>
          <w:tcPr>
            <w:tcW w:w="2670" w:type="dxa"/>
            <w:tcBorders>
              <w:top w:val="single" w:sz="4" w:space="0" w:color="000000"/>
              <w:left w:val="single" w:sz="4" w:space="0" w:color="auto"/>
              <w:bottom w:val="single" w:sz="4" w:space="0" w:color="000000"/>
              <w:right w:val="single" w:sz="4" w:space="0" w:color="000000"/>
            </w:tcBorders>
          </w:tcPr>
          <w:p w:rsidR="00A92422" w:rsidRPr="00D87B79" w:rsidRDefault="00A92422" w:rsidP="00EA30FC">
            <w:pPr>
              <w:pStyle w:val="ColorfulList-Accent11"/>
              <w:spacing w:line="276" w:lineRule="auto"/>
              <w:ind w:left="540"/>
              <w:jc w:val="center"/>
              <w:rPr>
                <w:rFonts w:ascii="Tahoma" w:hAnsi="Tahoma" w:cs="Tahoma"/>
                <w:color w:val="000000"/>
                <w:sz w:val="18"/>
                <w:szCs w:val="20"/>
              </w:rPr>
            </w:pPr>
            <w:r w:rsidRPr="00D87B79">
              <w:rPr>
                <w:rFonts w:ascii="Tahoma" w:hAnsi="Tahoma" w:cs="Tahoma"/>
                <w:color w:val="000000"/>
                <w:sz w:val="18"/>
                <w:szCs w:val="20"/>
                <w:lang w:val="it-IT"/>
              </w:rPr>
              <w:t>Singapore</w:t>
            </w:r>
          </w:p>
        </w:tc>
      </w:tr>
      <w:tr w:rsidR="00A92422" w:rsidRPr="00D87B79"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A92422" w:rsidRPr="00D87B79" w:rsidRDefault="00A92422" w:rsidP="00EA30FC">
            <w:pPr>
              <w:jc w:val="center"/>
              <w:rPr>
                <w:rFonts w:cs="Tahoma"/>
              </w:rPr>
            </w:pPr>
            <w:r w:rsidRPr="00D87B79">
              <w:rPr>
                <w:rFonts w:cs="Tahoma"/>
                <w:lang w:val="it-IT"/>
              </w:rPr>
              <w:t>Trinidad e Tobago</w:t>
            </w:r>
          </w:p>
        </w:tc>
        <w:tc>
          <w:tcPr>
            <w:tcW w:w="2670" w:type="dxa"/>
            <w:tcBorders>
              <w:top w:val="single" w:sz="4" w:space="0" w:color="000000"/>
              <w:left w:val="nil"/>
              <w:bottom w:val="single" w:sz="4" w:space="0" w:color="000000"/>
              <w:right w:val="single" w:sz="4" w:space="0" w:color="auto"/>
            </w:tcBorders>
          </w:tcPr>
          <w:p w:rsidR="00A92422" w:rsidRPr="00D87B79" w:rsidRDefault="00A92422" w:rsidP="00EA30FC">
            <w:pPr>
              <w:pStyle w:val="ColorfulList-Accent11"/>
              <w:spacing w:line="276" w:lineRule="auto"/>
              <w:ind w:left="0"/>
              <w:jc w:val="center"/>
              <w:rPr>
                <w:rFonts w:ascii="Tahoma" w:hAnsi="Tahoma" w:cs="Tahoma"/>
                <w:color w:val="000000"/>
                <w:sz w:val="18"/>
                <w:szCs w:val="18"/>
              </w:rPr>
            </w:pPr>
            <w:r w:rsidRPr="00D87B79">
              <w:rPr>
                <w:rFonts w:ascii="Tahoma" w:hAnsi="Tahoma" w:cs="Tahoma"/>
                <w:sz w:val="18"/>
                <w:lang w:val="it-IT"/>
              </w:rPr>
              <w:t>Grecia</w:t>
            </w:r>
          </w:p>
        </w:tc>
        <w:tc>
          <w:tcPr>
            <w:tcW w:w="2670" w:type="dxa"/>
            <w:tcBorders>
              <w:top w:val="single" w:sz="4" w:space="0" w:color="000000"/>
              <w:left w:val="single" w:sz="4" w:space="0" w:color="auto"/>
              <w:bottom w:val="single" w:sz="4" w:space="0" w:color="000000"/>
              <w:right w:val="single" w:sz="4" w:space="0" w:color="000000"/>
            </w:tcBorders>
          </w:tcPr>
          <w:p w:rsidR="00A92422" w:rsidRPr="00D87B79" w:rsidRDefault="00A92422" w:rsidP="00EA30FC">
            <w:pPr>
              <w:pStyle w:val="ColorfulList-Accent11"/>
              <w:spacing w:line="276" w:lineRule="auto"/>
              <w:ind w:left="540"/>
              <w:jc w:val="center"/>
              <w:rPr>
                <w:rFonts w:ascii="Tahoma" w:hAnsi="Tahoma" w:cs="Tahoma"/>
                <w:color w:val="000000"/>
                <w:sz w:val="18"/>
                <w:szCs w:val="20"/>
              </w:rPr>
            </w:pPr>
          </w:p>
        </w:tc>
      </w:tr>
      <w:tr w:rsidR="00A92422" w:rsidRPr="00D87B79"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A92422" w:rsidRPr="00D87B79" w:rsidRDefault="00A92422" w:rsidP="00EA30FC">
            <w:pPr>
              <w:jc w:val="center"/>
              <w:rPr>
                <w:rFonts w:cs="Tahoma"/>
              </w:rPr>
            </w:pPr>
            <w:r w:rsidRPr="00D87B79">
              <w:rPr>
                <w:rFonts w:cs="Tahoma"/>
                <w:lang w:val="it-IT"/>
              </w:rPr>
              <w:t>Stati Uniti</w:t>
            </w:r>
          </w:p>
        </w:tc>
        <w:tc>
          <w:tcPr>
            <w:tcW w:w="2670" w:type="dxa"/>
            <w:tcBorders>
              <w:top w:val="single" w:sz="4" w:space="0" w:color="000000"/>
              <w:left w:val="nil"/>
              <w:bottom w:val="single" w:sz="4" w:space="0" w:color="000000"/>
              <w:right w:val="single" w:sz="4" w:space="0" w:color="auto"/>
            </w:tcBorders>
          </w:tcPr>
          <w:p w:rsidR="00A92422" w:rsidRPr="00D87B79" w:rsidRDefault="00A92422" w:rsidP="00EA30FC">
            <w:pPr>
              <w:pStyle w:val="ColorfulList-Accent11"/>
              <w:spacing w:line="276" w:lineRule="auto"/>
              <w:ind w:left="0"/>
              <w:jc w:val="center"/>
              <w:rPr>
                <w:rFonts w:ascii="Tahoma" w:hAnsi="Tahoma" w:cs="Tahoma"/>
                <w:color w:val="000000"/>
                <w:sz w:val="18"/>
                <w:szCs w:val="18"/>
              </w:rPr>
            </w:pPr>
            <w:r w:rsidRPr="00D87B79">
              <w:rPr>
                <w:rFonts w:ascii="Tahoma" w:hAnsi="Tahoma" w:cs="Tahoma"/>
                <w:sz w:val="18"/>
                <w:lang w:val="it-IT"/>
              </w:rPr>
              <w:t>Ungheria</w:t>
            </w:r>
          </w:p>
        </w:tc>
        <w:tc>
          <w:tcPr>
            <w:tcW w:w="2670" w:type="dxa"/>
            <w:tcBorders>
              <w:top w:val="single" w:sz="4" w:space="0" w:color="000000"/>
              <w:left w:val="single" w:sz="4" w:space="0" w:color="auto"/>
              <w:bottom w:val="single" w:sz="4" w:space="0" w:color="000000"/>
              <w:right w:val="single" w:sz="4" w:space="0" w:color="000000"/>
            </w:tcBorders>
          </w:tcPr>
          <w:p w:rsidR="00A92422" w:rsidRPr="00D87B79" w:rsidRDefault="00A92422" w:rsidP="00EA30FC">
            <w:pPr>
              <w:pStyle w:val="ColorfulList-Accent11"/>
              <w:spacing w:line="276" w:lineRule="auto"/>
              <w:ind w:left="540"/>
              <w:jc w:val="center"/>
              <w:rPr>
                <w:rFonts w:ascii="Tahoma" w:hAnsi="Tahoma" w:cs="Tahoma"/>
                <w:color w:val="000000"/>
                <w:sz w:val="18"/>
                <w:szCs w:val="20"/>
              </w:rPr>
            </w:pPr>
          </w:p>
        </w:tc>
      </w:tr>
      <w:tr w:rsidR="00A92422" w:rsidRPr="00D87B79"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A92422" w:rsidRPr="00D87B79" w:rsidRDefault="00A92422" w:rsidP="00EA30FC">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A92422" w:rsidRPr="00D87B79" w:rsidRDefault="00A92422" w:rsidP="00EA30FC">
            <w:pPr>
              <w:pStyle w:val="ColorfulList-Accent11"/>
              <w:spacing w:line="276" w:lineRule="auto"/>
              <w:ind w:left="0"/>
              <w:jc w:val="center"/>
              <w:rPr>
                <w:rFonts w:ascii="Tahoma" w:hAnsi="Tahoma" w:cs="Tahoma"/>
                <w:sz w:val="18"/>
                <w:szCs w:val="18"/>
              </w:rPr>
            </w:pPr>
            <w:r w:rsidRPr="00D87B79">
              <w:rPr>
                <w:rFonts w:ascii="Tahoma" w:hAnsi="Tahoma" w:cs="Tahoma"/>
                <w:sz w:val="18"/>
                <w:szCs w:val="18"/>
                <w:lang w:val="it-IT"/>
              </w:rPr>
              <w:t>Irlanda</w:t>
            </w:r>
          </w:p>
        </w:tc>
        <w:tc>
          <w:tcPr>
            <w:tcW w:w="2670" w:type="dxa"/>
            <w:tcBorders>
              <w:top w:val="single" w:sz="4" w:space="0" w:color="000000"/>
              <w:left w:val="single" w:sz="4" w:space="0" w:color="auto"/>
              <w:bottom w:val="single" w:sz="4" w:space="0" w:color="000000"/>
              <w:right w:val="single" w:sz="4" w:space="0" w:color="000000"/>
            </w:tcBorders>
          </w:tcPr>
          <w:p w:rsidR="00A92422" w:rsidRPr="00D87B79" w:rsidRDefault="00A92422" w:rsidP="00EA30FC">
            <w:pPr>
              <w:pStyle w:val="ColorfulList-Accent11"/>
              <w:spacing w:line="276" w:lineRule="auto"/>
              <w:ind w:left="540"/>
              <w:jc w:val="center"/>
              <w:rPr>
                <w:rFonts w:ascii="Tahoma" w:hAnsi="Tahoma" w:cs="Tahoma"/>
                <w:color w:val="000000"/>
                <w:sz w:val="18"/>
                <w:szCs w:val="20"/>
              </w:rPr>
            </w:pPr>
          </w:p>
        </w:tc>
      </w:tr>
      <w:tr w:rsidR="00A92422" w:rsidRPr="00D87B79"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A92422" w:rsidRPr="00D87B79" w:rsidRDefault="00A92422" w:rsidP="00EA30FC">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A92422" w:rsidRPr="00D87B79" w:rsidRDefault="00A92422" w:rsidP="00EA30FC">
            <w:pPr>
              <w:pStyle w:val="ColorfulList-Accent11"/>
              <w:spacing w:line="276" w:lineRule="auto"/>
              <w:ind w:left="0"/>
              <w:jc w:val="center"/>
              <w:rPr>
                <w:rFonts w:ascii="Tahoma" w:hAnsi="Tahoma" w:cs="Tahoma"/>
                <w:sz w:val="18"/>
                <w:szCs w:val="18"/>
              </w:rPr>
            </w:pPr>
            <w:r w:rsidRPr="00D87B79">
              <w:rPr>
                <w:rFonts w:ascii="Tahoma" w:hAnsi="Tahoma" w:cs="Tahoma"/>
                <w:sz w:val="18"/>
                <w:szCs w:val="18"/>
                <w:lang w:val="it-IT"/>
              </w:rPr>
              <w:t>Israele</w:t>
            </w:r>
          </w:p>
        </w:tc>
        <w:tc>
          <w:tcPr>
            <w:tcW w:w="2670" w:type="dxa"/>
            <w:tcBorders>
              <w:top w:val="single" w:sz="4" w:space="0" w:color="000000"/>
              <w:left w:val="single" w:sz="4" w:space="0" w:color="auto"/>
              <w:bottom w:val="single" w:sz="4" w:space="0" w:color="000000"/>
              <w:right w:val="single" w:sz="4" w:space="0" w:color="000000"/>
            </w:tcBorders>
          </w:tcPr>
          <w:p w:rsidR="00A92422" w:rsidRPr="00D87B79" w:rsidRDefault="00A92422" w:rsidP="00EA30FC">
            <w:pPr>
              <w:pStyle w:val="ColorfulList-Accent11"/>
              <w:spacing w:line="276" w:lineRule="auto"/>
              <w:ind w:left="540"/>
              <w:jc w:val="center"/>
              <w:rPr>
                <w:rFonts w:ascii="Tahoma" w:hAnsi="Tahoma" w:cs="Tahoma"/>
                <w:color w:val="000000"/>
                <w:sz w:val="18"/>
                <w:szCs w:val="20"/>
              </w:rPr>
            </w:pPr>
          </w:p>
        </w:tc>
      </w:tr>
      <w:tr w:rsidR="00A92422" w:rsidRPr="00D87B79"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A92422" w:rsidRPr="00D87B79" w:rsidRDefault="00A92422" w:rsidP="00EA30FC">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A92422" w:rsidRPr="00D87B79" w:rsidRDefault="00A92422" w:rsidP="00EA30FC">
            <w:pPr>
              <w:pStyle w:val="ColorfulList-Accent11"/>
              <w:spacing w:line="276" w:lineRule="auto"/>
              <w:ind w:left="0"/>
              <w:jc w:val="center"/>
              <w:rPr>
                <w:rFonts w:ascii="Tahoma" w:hAnsi="Tahoma" w:cs="Tahoma"/>
                <w:sz w:val="18"/>
                <w:szCs w:val="18"/>
              </w:rPr>
            </w:pPr>
            <w:r w:rsidRPr="00D87B79">
              <w:rPr>
                <w:rFonts w:ascii="Tahoma" w:hAnsi="Tahoma" w:cs="Tahoma"/>
                <w:sz w:val="18"/>
                <w:szCs w:val="18"/>
                <w:lang w:val="it-IT"/>
              </w:rPr>
              <w:t>Italia</w:t>
            </w:r>
          </w:p>
        </w:tc>
        <w:tc>
          <w:tcPr>
            <w:tcW w:w="2670" w:type="dxa"/>
            <w:tcBorders>
              <w:top w:val="single" w:sz="4" w:space="0" w:color="000000"/>
              <w:left w:val="single" w:sz="4" w:space="0" w:color="auto"/>
              <w:bottom w:val="single" w:sz="4" w:space="0" w:color="000000"/>
              <w:right w:val="single" w:sz="4" w:space="0" w:color="000000"/>
            </w:tcBorders>
          </w:tcPr>
          <w:p w:rsidR="00A92422" w:rsidRPr="00D87B79" w:rsidRDefault="00A92422" w:rsidP="00EA30FC">
            <w:pPr>
              <w:pStyle w:val="ColorfulList-Accent11"/>
              <w:spacing w:line="276" w:lineRule="auto"/>
              <w:ind w:left="540"/>
              <w:jc w:val="center"/>
              <w:rPr>
                <w:rFonts w:ascii="Tahoma" w:hAnsi="Tahoma" w:cs="Tahoma"/>
                <w:color w:val="000000"/>
                <w:sz w:val="18"/>
                <w:szCs w:val="20"/>
              </w:rPr>
            </w:pPr>
          </w:p>
        </w:tc>
      </w:tr>
      <w:tr w:rsidR="00A92422" w:rsidRPr="00D87B79"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A92422" w:rsidRPr="00D87B79" w:rsidRDefault="00A92422" w:rsidP="00EA30FC">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A92422" w:rsidRPr="00D87B79" w:rsidRDefault="00A92422" w:rsidP="00EA30FC">
            <w:pPr>
              <w:pStyle w:val="ColorfulList-Accent11"/>
              <w:spacing w:line="276" w:lineRule="auto"/>
              <w:ind w:left="0"/>
              <w:jc w:val="center"/>
              <w:rPr>
                <w:rFonts w:ascii="Tahoma" w:hAnsi="Tahoma" w:cs="Tahoma"/>
                <w:sz w:val="18"/>
                <w:szCs w:val="18"/>
              </w:rPr>
            </w:pPr>
            <w:r w:rsidRPr="00D87B79">
              <w:rPr>
                <w:rFonts w:ascii="Tahoma" w:hAnsi="Tahoma" w:cs="Tahoma"/>
                <w:sz w:val="18"/>
                <w:szCs w:val="18"/>
                <w:lang w:val="it-IT"/>
              </w:rPr>
              <w:t>Lussemburgo</w:t>
            </w:r>
          </w:p>
        </w:tc>
        <w:tc>
          <w:tcPr>
            <w:tcW w:w="2670" w:type="dxa"/>
            <w:tcBorders>
              <w:top w:val="single" w:sz="4" w:space="0" w:color="000000"/>
              <w:left w:val="single" w:sz="4" w:space="0" w:color="auto"/>
              <w:bottom w:val="single" w:sz="4" w:space="0" w:color="000000"/>
              <w:right w:val="single" w:sz="4" w:space="0" w:color="000000"/>
            </w:tcBorders>
          </w:tcPr>
          <w:p w:rsidR="00A92422" w:rsidRPr="00D87B79" w:rsidRDefault="00A92422" w:rsidP="00EA30FC">
            <w:pPr>
              <w:pStyle w:val="ColorfulList-Accent11"/>
              <w:spacing w:line="276" w:lineRule="auto"/>
              <w:ind w:left="540"/>
              <w:jc w:val="center"/>
              <w:rPr>
                <w:rFonts w:ascii="Tahoma" w:hAnsi="Tahoma" w:cs="Tahoma"/>
                <w:color w:val="000000"/>
                <w:sz w:val="18"/>
                <w:szCs w:val="20"/>
              </w:rPr>
            </w:pPr>
          </w:p>
        </w:tc>
      </w:tr>
      <w:tr w:rsidR="00A92422" w:rsidRPr="00D87B79"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A92422" w:rsidRPr="00D87B79" w:rsidRDefault="00A92422" w:rsidP="00EA30FC">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A92422" w:rsidRPr="00D87B79" w:rsidRDefault="00A92422" w:rsidP="00EA30FC">
            <w:pPr>
              <w:pStyle w:val="ColorfulList-Accent11"/>
              <w:spacing w:line="276" w:lineRule="auto"/>
              <w:ind w:left="0"/>
              <w:jc w:val="center"/>
              <w:rPr>
                <w:rFonts w:ascii="Tahoma" w:hAnsi="Tahoma" w:cs="Tahoma"/>
                <w:sz w:val="18"/>
                <w:szCs w:val="18"/>
              </w:rPr>
            </w:pPr>
            <w:r w:rsidRPr="00D87B79">
              <w:rPr>
                <w:rFonts w:ascii="Tahoma" w:hAnsi="Tahoma" w:cs="Tahoma"/>
                <w:sz w:val="18"/>
                <w:szCs w:val="18"/>
                <w:lang w:val="it-IT"/>
              </w:rPr>
              <w:t>Paesi Bassi</w:t>
            </w:r>
          </w:p>
        </w:tc>
        <w:tc>
          <w:tcPr>
            <w:tcW w:w="2670" w:type="dxa"/>
            <w:tcBorders>
              <w:top w:val="single" w:sz="4" w:space="0" w:color="000000"/>
              <w:left w:val="single" w:sz="4" w:space="0" w:color="auto"/>
              <w:bottom w:val="single" w:sz="4" w:space="0" w:color="000000"/>
              <w:right w:val="single" w:sz="4" w:space="0" w:color="000000"/>
            </w:tcBorders>
          </w:tcPr>
          <w:p w:rsidR="00A92422" w:rsidRPr="00D87B79" w:rsidRDefault="00A92422" w:rsidP="00EA30FC">
            <w:pPr>
              <w:pStyle w:val="ColorfulList-Accent11"/>
              <w:spacing w:line="276" w:lineRule="auto"/>
              <w:ind w:left="540"/>
              <w:jc w:val="center"/>
              <w:rPr>
                <w:rFonts w:ascii="Tahoma" w:hAnsi="Tahoma" w:cs="Tahoma"/>
                <w:color w:val="000000"/>
                <w:sz w:val="18"/>
                <w:szCs w:val="20"/>
              </w:rPr>
            </w:pPr>
          </w:p>
        </w:tc>
      </w:tr>
      <w:tr w:rsidR="00A92422" w:rsidRPr="00D87B79"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A92422" w:rsidRPr="00D87B79" w:rsidRDefault="00A92422" w:rsidP="00EA30FC">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A92422" w:rsidRPr="00D87B79" w:rsidRDefault="00A92422" w:rsidP="00EA30FC">
            <w:pPr>
              <w:pStyle w:val="ColorfulList-Accent11"/>
              <w:spacing w:line="276" w:lineRule="auto"/>
              <w:ind w:left="0"/>
              <w:jc w:val="center"/>
              <w:rPr>
                <w:rFonts w:ascii="Tahoma" w:hAnsi="Tahoma" w:cs="Tahoma"/>
                <w:sz w:val="18"/>
                <w:szCs w:val="18"/>
              </w:rPr>
            </w:pPr>
            <w:r w:rsidRPr="00D87B79">
              <w:rPr>
                <w:rFonts w:ascii="Tahoma" w:hAnsi="Tahoma" w:cs="Tahoma"/>
                <w:sz w:val="18"/>
                <w:szCs w:val="18"/>
                <w:lang w:val="it-IT"/>
              </w:rPr>
              <w:t>Norvegia</w:t>
            </w:r>
          </w:p>
        </w:tc>
        <w:tc>
          <w:tcPr>
            <w:tcW w:w="2670" w:type="dxa"/>
            <w:tcBorders>
              <w:top w:val="single" w:sz="4" w:space="0" w:color="000000"/>
              <w:left w:val="single" w:sz="4" w:space="0" w:color="auto"/>
              <w:bottom w:val="single" w:sz="4" w:space="0" w:color="000000"/>
              <w:right w:val="single" w:sz="4" w:space="0" w:color="000000"/>
            </w:tcBorders>
          </w:tcPr>
          <w:p w:rsidR="00A92422" w:rsidRPr="00D87B79" w:rsidRDefault="00A92422" w:rsidP="00EA30FC">
            <w:pPr>
              <w:pStyle w:val="ColorfulList-Accent11"/>
              <w:spacing w:line="276" w:lineRule="auto"/>
              <w:ind w:left="540"/>
              <w:jc w:val="center"/>
              <w:rPr>
                <w:rFonts w:ascii="Tahoma" w:hAnsi="Tahoma" w:cs="Tahoma"/>
                <w:color w:val="000000"/>
                <w:sz w:val="18"/>
                <w:szCs w:val="20"/>
              </w:rPr>
            </w:pPr>
          </w:p>
        </w:tc>
      </w:tr>
      <w:tr w:rsidR="00A92422" w:rsidRPr="00D87B79"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A92422" w:rsidRPr="00D87B79" w:rsidRDefault="00A92422" w:rsidP="00EA30FC">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A92422" w:rsidRPr="00D87B79" w:rsidRDefault="00A92422" w:rsidP="00EA30FC">
            <w:pPr>
              <w:pStyle w:val="ColorfulList-Accent11"/>
              <w:spacing w:line="276" w:lineRule="auto"/>
              <w:ind w:left="0"/>
              <w:jc w:val="center"/>
              <w:rPr>
                <w:rFonts w:ascii="Tahoma" w:hAnsi="Tahoma" w:cs="Tahoma"/>
                <w:sz w:val="18"/>
                <w:szCs w:val="18"/>
              </w:rPr>
            </w:pPr>
            <w:r w:rsidRPr="00D87B79">
              <w:rPr>
                <w:rFonts w:ascii="Tahoma" w:hAnsi="Tahoma" w:cs="Tahoma"/>
                <w:sz w:val="18"/>
                <w:szCs w:val="18"/>
                <w:lang w:val="it-IT"/>
              </w:rPr>
              <w:t>Polonia</w:t>
            </w:r>
          </w:p>
        </w:tc>
        <w:tc>
          <w:tcPr>
            <w:tcW w:w="2670" w:type="dxa"/>
            <w:tcBorders>
              <w:top w:val="single" w:sz="4" w:space="0" w:color="000000"/>
              <w:left w:val="single" w:sz="4" w:space="0" w:color="auto"/>
              <w:bottom w:val="single" w:sz="4" w:space="0" w:color="000000"/>
              <w:right w:val="single" w:sz="4" w:space="0" w:color="000000"/>
            </w:tcBorders>
          </w:tcPr>
          <w:p w:rsidR="00A92422" w:rsidRPr="00D87B79" w:rsidRDefault="00A92422" w:rsidP="00EA30FC">
            <w:pPr>
              <w:pStyle w:val="ColorfulList-Accent11"/>
              <w:spacing w:line="276" w:lineRule="auto"/>
              <w:ind w:left="540"/>
              <w:jc w:val="center"/>
              <w:rPr>
                <w:rFonts w:ascii="Tahoma" w:hAnsi="Tahoma" w:cs="Tahoma"/>
                <w:color w:val="000000"/>
                <w:sz w:val="18"/>
                <w:szCs w:val="20"/>
              </w:rPr>
            </w:pPr>
          </w:p>
        </w:tc>
      </w:tr>
      <w:tr w:rsidR="00A92422" w:rsidRPr="00D87B79"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A92422" w:rsidRPr="00D87B79" w:rsidRDefault="00A92422" w:rsidP="00EA30FC">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A92422" w:rsidRPr="00D87B79" w:rsidRDefault="00A92422" w:rsidP="00EA30FC">
            <w:pPr>
              <w:pStyle w:val="ColorfulList-Accent11"/>
              <w:spacing w:line="276" w:lineRule="auto"/>
              <w:ind w:left="0"/>
              <w:jc w:val="center"/>
              <w:rPr>
                <w:rFonts w:ascii="Tahoma" w:hAnsi="Tahoma" w:cs="Tahoma"/>
                <w:sz w:val="18"/>
                <w:szCs w:val="18"/>
              </w:rPr>
            </w:pPr>
            <w:r w:rsidRPr="00D87B79">
              <w:rPr>
                <w:rFonts w:ascii="Tahoma" w:hAnsi="Tahoma" w:cs="Tahoma"/>
                <w:sz w:val="18"/>
                <w:szCs w:val="18"/>
                <w:lang w:val="it-IT"/>
              </w:rPr>
              <w:t>Portogallo</w:t>
            </w:r>
          </w:p>
        </w:tc>
        <w:tc>
          <w:tcPr>
            <w:tcW w:w="2670" w:type="dxa"/>
            <w:tcBorders>
              <w:top w:val="single" w:sz="4" w:space="0" w:color="000000"/>
              <w:left w:val="single" w:sz="4" w:space="0" w:color="auto"/>
              <w:bottom w:val="single" w:sz="4" w:space="0" w:color="000000"/>
              <w:right w:val="single" w:sz="4" w:space="0" w:color="000000"/>
            </w:tcBorders>
          </w:tcPr>
          <w:p w:rsidR="00A92422" w:rsidRPr="00D87B79" w:rsidRDefault="00A92422" w:rsidP="00EA30FC">
            <w:pPr>
              <w:pStyle w:val="ColorfulList-Accent11"/>
              <w:spacing w:line="276" w:lineRule="auto"/>
              <w:ind w:left="540"/>
              <w:jc w:val="center"/>
              <w:rPr>
                <w:rFonts w:ascii="Tahoma" w:hAnsi="Tahoma" w:cs="Tahoma"/>
                <w:color w:val="000000"/>
                <w:sz w:val="18"/>
                <w:szCs w:val="20"/>
              </w:rPr>
            </w:pPr>
          </w:p>
        </w:tc>
      </w:tr>
      <w:tr w:rsidR="00A92422" w:rsidRPr="00D87B79"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A92422" w:rsidRPr="00D87B79" w:rsidRDefault="00A92422" w:rsidP="00EA30FC">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A92422" w:rsidRPr="00D87B79" w:rsidRDefault="00A92422" w:rsidP="00EA30FC">
            <w:pPr>
              <w:pStyle w:val="ColorfulList-Accent11"/>
              <w:spacing w:line="276" w:lineRule="auto"/>
              <w:ind w:left="0"/>
              <w:jc w:val="center"/>
              <w:rPr>
                <w:rFonts w:ascii="Tahoma" w:hAnsi="Tahoma" w:cs="Tahoma"/>
                <w:sz w:val="18"/>
                <w:szCs w:val="18"/>
              </w:rPr>
            </w:pPr>
            <w:r w:rsidRPr="00D87B79">
              <w:rPr>
                <w:rFonts w:ascii="Tahoma" w:hAnsi="Tahoma" w:cs="Tahoma"/>
                <w:sz w:val="18"/>
                <w:szCs w:val="18"/>
                <w:lang w:val="it-IT"/>
              </w:rPr>
              <w:t>Romania</w:t>
            </w:r>
          </w:p>
        </w:tc>
        <w:tc>
          <w:tcPr>
            <w:tcW w:w="2670" w:type="dxa"/>
            <w:tcBorders>
              <w:top w:val="single" w:sz="4" w:space="0" w:color="000000"/>
              <w:left w:val="single" w:sz="4" w:space="0" w:color="auto"/>
              <w:bottom w:val="single" w:sz="4" w:space="0" w:color="000000"/>
              <w:right w:val="single" w:sz="4" w:space="0" w:color="000000"/>
            </w:tcBorders>
          </w:tcPr>
          <w:p w:rsidR="00A92422" w:rsidRPr="00D87B79" w:rsidRDefault="00A92422" w:rsidP="00EA30FC">
            <w:pPr>
              <w:pStyle w:val="ColorfulList-Accent11"/>
              <w:spacing w:line="276" w:lineRule="auto"/>
              <w:ind w:left="540"/>
              <w:jc w:val="center"/>
              <w:rPr>
                <w:rFonts w:ascii="Tahoma" w:hAnsi="Tahoma" w:cs="Tahoma"/>
                <w:color w:val="000000"/>
                <w:sz w:val="18"/>
                <w:szCs w:val="20"/>
              </w:rPr>
            </w:pPr>
          </w:p>
        </w:tc>
      </w:tr>
      <w:tr w:rsidR="00A92422" w:rsidRPr="00D87B79"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A92422" w:rsidRPr="00D87B79" w:rsidRDefault="00A92422" w:rsidP="00EA30FC">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A92422" w:rsidRPr="00D87B79" w:rsidRDefault="00A92422" w:rsidP="00EA30FC">
            <w:pPr>
              <w:pStyle w:val="ColorfulList-Accent11"/>
              <w:spacing w:line="276" w:lineRule="auto"/>
              <w:ind w:left="0"/>
              <w:jc w:val="center"/>
              <w:rPr>
                <w:rFonts w:ascii="Tahoma" w:hAnsi="Tahoma" w:cs="Tahoma"/>
                <w:sz w:val="18"/>
                <w:szCs w:val="18"/>
              </w:rPr>
            </w:pPr>
            <w:r w:rsidRPr="00D87B79">
              <w:rPr>
                <w:rFonts w:ascii="Tahoma" w:hAnsi="Tahoma" w:cs="Tahoma"/>
                <w:sz w:val="18"/>
                <w:lang w:val="it-IT"/>
              </w:rPr>
              <w:t>Russia</w:t>
            </w:r>
          </w:p>
        </w:tc>
        <w:tc>
          <w:tcPr>
            <w:tcW w:w="2670" w:type="dxa"/>
            <w:tcBorders>
              <w:top w:val="single" w:sz="4" w:space="0" w:color="000000"/>
              <w:left w:val="single" w:sz="4" w:space="0" w:color="auto"/>
              <w:bottom w:val="single" w:sz="4" w:space="0" w:color="000000"/>
              <w:right w:val="single" w:sz="4" w:space="0" w:color="000000"/>
            </w:tcBorders>
          </w:tcPr>
          <w:p w:rsidR="00A92422" w:rsidRPr="00D87B79" w:rsidRDefault="00A92422" w:rsidP="00EA30FC">
            <w:pPr>
              <w:pStyle w:val="ColorfulList-Accent11"/>
              <w:spacing w:line="276" w:lineRule="auto"/>
              <w:ind w:left="540"/>
              <w:jc w:val="center"/>
              <w:rPr>
                <w:rFonts w:ascii="Tahoma" w:hAnsi="Tahoma" w:cs="Tahoma"/>
                <w:color w:val="000000"/>
                <w:sz w:val="18"/>
                <w:szCs w:val="20"/>
              </w:rPr>
            </w:pPr>
          </w:p>
        </w:tc>
      </w:tr>
      <w:tr w:rsidR="00A92422" w:rsidRPr="00D87B79"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A92422" w:rsidRPr="00D87B79" w:rsidRDefault="00A92422" w:rsidP="00EA30FC">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A92422" w:rsidRPr="00D87B79" w:rsidRDefault="00A92422" w:rsidP="00EA30FC">
            <w:pPr>
              <w:pStyle w:val="ColorfulList-Accent11"/>
              <w:spacing w:line="276" w:lineRule="auto"/>
              <w:ind w:left="0"/>
              <w:jc w:val="center"/>
              <w:rPr>
                <w:rFonts w:ascii="Tahoma" w:hAnsi="Tahoma" w:cs="Tahoma"/>
                <w:sz w:val="18"/>
                <w:szCs w:val="18"/>
              </w:rPr>
            </w:pPr>
            <w:r w:rsidRPr="00D87B79">
              <w:rPr>
                <w:rFonts w:ascii="Tahoma" w:hAnsi="Tahoma" w:cs="Tahoma"/>
                <w:sz w:val="18"/>
                <w:szCs w:val="18"/>
                <w:lang w:val="it-IT"/>
              </w:rPr>
              <w:t>Spagna</w:t>
            </w:r>
          </w:p>
        </w:tc>
        <w:tc>
          <w:tcPr>
            <w:tcW w:w="2670" w:type="dxa"/>
            <w:tcBorders>
              <w:top w:val="single" w:sz="4" w:space="0" w:color="000000"/>
              <w:left w:val="single" w:sz="4" w:space="0" w:color="auto"/>
              <w:bottom w:val="single" w:sz="4" w:space="0" w:color="000000"/>
              <w:right w:val="single" w:sz="4" w:space="0" w:color="000000"/>
            </w:tcBorders>
          </w:tcPr>
          <w:p w:rsidR="00A92422" w:rsidRPr="00D87B79" w:rsidRDefault="00A92422" w:rsidP="00EA30FC">
            <w:pPr>
              <w:pStyle w:val="ColorfulList-Accent11"/>
              <w:spacing w:line="276" w:lineRule="auto"/>
              <w:ind w:left="540"/>
              <w:jc w:val="center"/>
              <w:rPr>
                <w:rFonts w:ascii="Tahoma" w:hAnsi="Tahoma" w:cs="Tahoma"/>
                <w:color w:val="000000"/>
                <w:sz w:val="18"/>
                <w:szCs w:val="20"/>
              </w:rPr>
            </w:pPr>
          </w:p>
        </w:tc>
      </w:tr>
      <w:tr w:rsidR="00A92422" w:rsidRPr="00D87B79"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A92422" w:rsidRPr="00D87B79" w:rsidRDefault="00A92422" w:rsidP="00EA30FC">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A92422" w:rsidRPr="00D87B79" w:rsidRDefault="00A92422" w:rsidP="00EA30FC">
            <w:pPr>
              <w:pStyle w:val="ColorfulList-Accent11"/>
              <w:spacing w:line="276" w:lineRule="auto"/>
              <w:ind w:left="0"/>
              <w:jc w:val="center"/>
              <w:rPr>
                <w:rFonts w:ascii="Tahoma" w:hAnsi="Tahoma" w:cs="Tahoma"/>
                <w:sz w:val="18"/>
                <w:szCs w:val="18"/>
              </w:rPr>
            </w:pPr>
            <w:r w:rsidRPr="00D87B79">
              <w:rPr>
                <w:rFonts w:ascii="Tahoma" w:hAnsi="Tahoma" w:cs="Tahoma"/>
                <w:sz w:val="18"/>
                <w:szCs w:val="18"/>
                <w:lang w:val="it-IT"/>
              </w:rPr>
              <w:t>Svezia</w:t>
            </w:r>
          </w:p>
        </w:tc>
        <w:tc>
          <w:tcPr>
            <w:tcW w:w="2670" w:type="dxa"/>
            <w:tcBorders>
              <w:top w:val="single" w:sz="4" w:space="0" w:color="000000"/>
              <w:left w:val="single" w:sz="4" w:space="0" w:color="auto"/>
              <w:bottom w:val="single" w:sz="4" w:space="0" w:color="000000"/>
              <w:right w:val="single" w:sz="4" w:space="0" w:color="000000"/>
            </w:tcBorders>
          </w:tcPr>
          <w:p w:rsidR="00A92422" w:rsidRPr="00D87B79" w:rsidRDefault="00A92422" w:rsidP="00EA30FC">
            <w:pPr>
              <w:pStyle w:val="ColorfulList-Accent11"/>
              <w:spacing w:line="276" w:lineRule="auto"/>
              <w:ind w:left="540"/>
              <w:jc w:val="center"/>
              <w:rPr>
                <w:rFonts w:ascii="Tahoma" w:hAnsi="Tahoma" w:cs="Tahoma"/>
                <w:color w:val="000000"/>
                <w:sz w:val="18"/>
                <w:szCs w:val="20"/>
              </w:rPr>
            </w:pPr>
          </w:p>
        </w:tc>
      </w:tr>
      <w:tr w:rsidR="00A92422" w:rsidRPr="00D87B79"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A92422" w:rsidRPr="00D87B79" w:rsidRDefault="00A92422" w:rsidP="00EA30FC">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A92422" w:rsidRPr="00D87B79" w:rsidRDefault="00A92422" w:rsidP="00EA30FC">
            <w:pPr>
              <w:pStyle w:val="ColorfulList-Accent11"/>
              <w:spacing w:line="276" w:lineRule="auto"/>
              <w:ind w:left="0"/>
              <w:jc w:val="center"/>
              <w:rPr>
                <w:rFonts w:ascii="Tahoma" w:hAnsi="Tahoma" w:cs="Tahoma"/>
                <w:sz w:val="18"/>
                <w:szCs w:val="18"/>
              </w:rPr>
            </w:pPr>
            <w:r w:rsidRPr="00D87B79">
              <w:rPr>
                <w:rFonts w:ascii="Tahoma" w:hAnsi="Tahoma" w:cs="Tahoma"/>
                <w:sz w:val="18"/>
                <w:szCs w:val="18"/>
                <w:lang w:val="it-IT"/>
              </w:rPr>
              <w:t>Svizzera</w:t>
            </w:r>
          </w:p>
        </w:tc>
        <w:tc>
          <w:tcPr>
            <w:tcW w:w="2670" w:type="dxa"/>
            <w:tcBorders>
              <w:top w:val="single" w:sz="4" w:space="0" w:color="000000"/>
              <w:left w:val="single" w:sz="4" w:space="0" w:color="auto"/>
              <w:bottom w:val="single" w:sz="4" w:space="0" w:color="000000"/>
              <w:right w:val="single" w:sz="4" w:space="0" w:color="000000"/>
            </w:tcBorders>
          </w:tcPr>
          <w:p w:rsidR="00A92422" w:rsidRPr="00D87B79" w:rsidRDefault="00A92422" w:rsidP="00EA30FC">
            <w:pPr>
              <w:pStyle w:val="ColorfulList-Accent11"/>
              <w:spacing w:line="276" w:lineRule="auto"/>
              <w:ind w:left="540"/>
              <w:jc w:val="center"/>
              <w:rPr>
                <w:rFonts w:ascii="Tahoma" w:hAnsi="Tahoma" w:cs="Tahoma"/>
                <w:color w:val="000000"/>
                <w:sz w:val="18"/>
                <w:szCs w:val="20"/>
              </w:rPr>
            </w:pPr>
          </w:p>
        </w:tc>
      </w:tr>
      <w:tr w:rsidR="00A92422" w:rsidRPr="00D87B79"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A92422" w:rsidRPr="00D87B79" w:rsidRDefault="00A92422" w:rsidP="00EA30FC">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A92422" w:rsidRPr="00D87B79" w:rsidRDefault="00A92422" w:rsidP="00EA30FC">
            <w:pPr>
              <w:pStyle w:val="ColorfulList-Accent11"/>
              <w:spacing w:line="276" w:lineRule="auto"/>
              <w:ind w:left="0"/>
              <w:jc w:val="center"/>
              <w:rPr>
                <w:rFonts w:ascii="Tahoma" w:hAnsi="Tahoma" w:cs="Tahoma"/>
                <w:sz w:val="18"/>
                <w:szCs w:val="18"/>
              </w:rPr>
            </w:pPr>
            <w:r w:rsidRPr="00D87B79">
              <w:rPr>
                <w:rFonts w:ascii="Tahoma" w:hAnsi="Tahoma" w:cs="Tahoma"/>
                <w:sz w:val="18"/>
                <w:szCs w:val="18"/>
                <w:lang w:val="it-IT"/>
              </w:rPr>
              <w:t>Regno Unito</w:t>
            </w:r>
          </w:p>
        </w:tc>
        <w:tc>
          <w:tcPr>
            <w:tcW w:w="2670" w:type="dxa"/>
            <w:tcBorders>
              <w:top w:val="single" w:sz="4" w:space="0" w:color="000000"/>
              <w:left w:val="single" w:sz="4" w:space="0" w:color="auto"/>
              <w:bottom w:val="single" w:sz="4" w:space="0" w:color="000000"/>
              <w:right w:val="single" w:sz="4" w:space="0" w:color="000000"/>
            </w:tcBorders>
          </w:tcPr>
          <w:p w:rsidR="00A92422" w:rsidRPr="00D87B79" w:rsidRDefault="00A92422" w:rsidP="00EA30FC">
            <w:pPr>
              <w:pStyle w:val="ColorfulList-Accent11"/>
              <w:spacing w:line="276" w:lineRule="auto"/>
              <w:ind w:left="540"/>
              <w:jc w:val="center"/>
              <w:rPr>
                <w:rFonts w:ascii="Tahoma" w:hAnsi="Tahoma" w:cs="Tahoma"/>
                <w:color w:val="000000"/>
                <w:sz w:val="18"/>
                <w:szCs w:val="20"/>
              </w:rPr>
            </w:pPr>
          </w:p>
        </w:tc>
      </w:tr>
    </w:tbl>
    <w:p w:rsidR="00A92422" w:rsidRDefault="00A92422" w:rsidP="00A92422">
      <w:pPr>
        <w:spacing w:after="60"/>
        <w:ind w:left="720"/>
        <w:rPr>
          <w:rFonts w:cs="Tahoma"/>
          <w:b/>
          <w:color w:val="000000"/>
          <w:lang w:val="it-IT"/>
        </w:rPr>
      </w:pPr>
    </w:p>
    <w:p w:rsidR="00A92422" w:rsidRPr="00D87B79" w:rsidRDefault="00A92422" w:rsidP="00A92422">
      <w:pPr>
        <w:spacing w:after="60"/>
        <w:ind w:left="720"/>
        <w:rPr>
          <w:rFonts w:cs="Tahoma"/>
        </w:rPr>
      </w:pPr>
      <w:r w:rsidRPr="00D87B79">
        <w:rPr>
          <w:rFonts w:cs="Tahoma"/>
          <w:b/>
          <w:color w:val="000000"/>
          <w:lang w:val="it-IT"/>
        </w:rPr>
        <w:t>Contratto Campus e School</w:t>
      </w:r>
    </w:p>
    <w:p w:rsidR="00A92422" w:rsidRPr="00D87B79" w:rsidRDefault="00A92422" w:rsidP="00A92422">
      <w:pPr>
        <w:ind w:left="720"/>
        <w:rPr>
          <w:rFonts w:cs="Tahoma"/>
        </w:rPr>
      </w:pPr>
      <w:bookmarkStart w:id="1234" w:name="Srv_41DuetEnterpriseforOfficeandSAP"/>
      <w:r w:rsidRPr="00D87B79">
        <w:rPr>
          <w:rFonts w:cs="Tahoma"/>
          <w:color w:val="000000"/>
          <w:lang w:val="it-IT"/>
        </w:rPr>
        <w:t>Le licenze “Subscription” per Dynamics CRM online vendute nel quadro del contratto CASA possono essere acquistate per l’intero Istituto oppure non per l’intero Istituto. Le licenze “Subscription” devono essere concesse nella modalità Per Utente. Qualora occorressero Licenze “Subscription” per Utente per accedere a</w:t>
      </w:r>
      <w:r>
        <w:rPr>
          <w:rFonts w:cs="Tahoma"/>
          <w:color w:val="000000"/>
          <w:lang w:val="it-IT"/>
        </w:rPr>
        <w:t> </w:t>
      </w:r>
      <w:r w:rsidRPr="00D87B79">
        <w:rPr>
          <w:rFonts w:cs="Tahoma"/>
          <w:color w:val="000000"/>
          <w:lang w:val="it-IT"/>
        </w:rPr>
        <w:t>Dynamics CRM, si dovrà ordinare lo stesso numero di Licenze “Subscription” per Utente.</w:t>
      </w:r>
    </w:p>
    <w:bookmarkEnd w:id="1234"/>
    <w:p w:rsidR="00A92422" w:rsidRPr="00957C8B" w:rsidRDefault="00A92422" w:rsidP="00A92422">
      <w:pPr>
        <w:pStyle w:val="EndnoteText"/>
        <w:ind w:left="720"/>
        <w:rPr>
          <w:rFonts w:ascii="Tahoma" w:hAnsi="Tahoma" w:cs="Tahoma"/>
          <w:sz w:val="18"/>
          <w:szCs w:val="18"/>
        </w:rPr>
      </w:pPr>
    </w:p>
    <w:p w:rsidR="00A92422" w:rsidRPr="00D87B79" w:rsidRDefault="00A92422" w:rsidP="00A92422">
      <w:pPr>
        <w:ind w:left="720"/>
        <w:rPr>
          <w:rFonts w:cs="Tahoma"/>
        </w:rPr>
      </w:pPr>
    </w:p>
    <w:p w:rsidR="00A92422" w:rsidRPr="00D87B79" w:rsidRDefault="00A92422" w:rsidP="00A92422">
      <w:pPr>
        <w:pStyle w:val="Heading3"/>
        <w:ind w:left="261" w:hanging="261"/>
        <w:rPr>
          <w:rFonts w:ascii="Tahoma" w:hAnsi="Tahoma" w:cs="Tahoma"/>
        </w:rPr>
      </w:pPr>
      <w:bookmarkStart w:id="1235" w:name="_Toc336338303"/>
      <w:bookmarkStart w:id="1236" w:name="Srv_38EntCALSuite"/>
      <w:bookmarkStart w:id="1237" w:name="Srv_45EntCALBridgeWinIntune"/>
      <w:bookmarkStart w:id="1238" w:name="_40_Enterprise_CAL"/>
      <w:bookmarkStart w:id="1239" w:name="_Toc342900350"/>
      <w:bookmarkEnd w:id="1235"/>
      <w:bookmarkEnd w:id="1236"/>
      <w:bookmarkEnd w:id="1237"/>
      <w:bookmarkEnd w:id="1238"/>
      <w:r w:rsidRPr="00D87B79">
        <w:rPr>
          <w:rFonts w:ascii="Tahoma" w:hAnsi="Tahoma" w:cs="Tahoma"/>
          <w:caps/>
          <w:color w:val="F66400"/>
          <w:sz w:val="22"/>
          <w:vertAlign w:val="superscript"/>
          <w:lang w:val="it-IT"/>
        </w:rPr>
        <w:t>40</w:t>
      </w:r>
      <w:r w:rsidRPr="00D87B79">
        <w:rPr>
          <w:rFonts w:ascii="Tahoma" w:hAnsi="Tahoma" w:cs="Tahoma"/>
          <w:color w:val="F66400"/>
          <w:sz w:val="22"/>
          <w:lang w:val="it-IT"/>
        </w:rPr>
        <w:t xml:space="preserve"> Enterprise CAL Suite Bridge per Office 365, Enterprise CAL Suite Bridge per Office</w:t>
      </w:r>
      <w:r>
        <w:rPr>
          <w:rFonts w:ascii="Tahoma" w:hAnsi="Tahoma" w:cs="Tahoma"/>
          <w:color w:val="F66400"/>
          <w:sz w:val="22"/>
          <w:lang w:val="it-IT"/>
        </w:rPr>
        <w:t> </w:t>
      </w:r>
      <w:r w:rsidRPr="00D87B79">
        <w:rPr>
          <w:rFonts w:ascii="Tahoma" w:hAnsi="Tahoma" w:cs="Tahoma"/>
          <w:color w:val="F66400"/>
          <w:sz w:val="22"/>
          <w:lang w:val="it-IT"/>
        </w:rPr>
        <w:t>365 e Windows Intune ed Enterprise CAL Suite Bridge per Windows Intune</w:t>
      </w:r>
      <w:bookmarkEnd w:id="1239"/>
      <w:r w:rsidRPr="00D87B79">
        <w:rPr>
          <w:rFonts w:ascii="Tahoma" w:hAnsi="Tahoma" w:cs="Tahoma"/>
        </w:rPr>
        <w:t xml:space="preserve"> </w:t>
      </w:r>
    </w:p>
    <w:p w:rsidR="00A92422" w:rsidRPr="00D87B79" w:rsidRDefault="00A92422" w:rsidP="00A92422">
      <w:pPr>
        <w:rPr>
          <w:rFonts w:cs="Tahoma"/>
        </w:rPr>
      </w:pPr>
    </w:p>
    <w:p w:rsidR="00A92422" w:rsidRPr="00D87B79" w:rsidRDefault="00A92422" w:rsidP="00A92422">
      <w:pPr>
        <w:spacing w:after="60"/>
        <w:ind w:left="720"/>
        <w:rPr>
          <w:rFonts w:cs="Tahoma"/>
        </w:rPr>
      </w:pPr>
      <w:r w:rsidRPr="00D87B79">
        <w:rPr>
          <w:rFonts w:cs="Tahoma"/>
          <w:b/>
          <w:lang w:val="it-IT"/>
        </w:rPr>
        <w:t>Definizione</w:t>
      </w:r>
    </w:p>
    <w:p w:rsidR="00A92422" w:rsidRPr="00D87B79" w:rsidRDefault="00A92422" w:rsidP="00A92422">
      <w:pPr>
        <w:ind w:left="720"/>
        <w:rPr>
          <w:rFonts w:cs="Tahoma"/>
        </w:rPr>
      </w:pPr>
      <w:r w:rsidRPr="00D87B79">
        <w:rPr>
          <w:rFonts w:cs="Tahoma"/>
          <w:szCs w:val="18"/>
          <w:lang w:val="it-IT"/>
        </w:rPr>
        <w:t>“Transizione” indica la conversione di una Licenza con la copertura Software Assurance attiva in una licenza “Subscription” o viceversa.</w:t>
      </w:r>
      <w:r w:rsidRPr="00D87B79">
        <w:rPr>
          <w:rFonts w:cs="Tahoma"/>
          <w:szCs w:val="18"/>
        </w:rPr>
        <w:t xml:space="preserve"> </w:t>
      </w:r>
    </w:p>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lang w:val="it-IT"/>
        </w:rPr>
        <w:lastRenderedPageBreak/>
        <w:t>Diritti sull'Utilizzo applicabili</w:t>
      </w:r>
    </w:p>
    <w:p w:rsidR="00A92422" w:rsidRPr="00D87B79" w:rsidRDefault="00A92422" w:rsidP="00A92422">
      <w:pPr>
        <w:ind w:left="720"/>
        <w:rPr>
          <w:rFonts w:cs="Tahoma"/>
        </w:rPr>
      </w:pPr>
      <w:r w:rsidRPr="00D87B79">
        <w:rPr>
          <w:rFonts w:cs="Tahoma"/>
          <w:lang w:val="it-IT"/>
        </w:rPr>
        <w:t>Una licenza CAL Suite Bridge non dispone di versioni e i Diritti di Utilizzo del Prodotto sono determinati dallo</w:t>
      </w:r>
      <w:r>
        <w:rPr>
          <w:rFonts w:cs="Tahoma"/>
          <w:lang w:val="it-IT"/>
        </w:rPr>
        <w:t> </w:t>
      </w:r>
      <w:r w:rsidRPr="00D87B79">
        <w:rPr>
          <w:rFonts w:cs="Tahoma"/>
          <w:lang w:val="it-IT"/>
        </w:rPr>
        <w:t>stato della copertura Software Assurance per tale licenza. Qualora la copertura Software Assurance sia</w:t>
      </w:r>
      <w:r>
        <w:rPr>
          <w:rFonts w:cs="Tahoma"/>
          <w:lang w:val="it-IT"/>
        </w:rPr>
        <w:t> </w:t>
      </w:r>
      <w:r w:rsidRPr="00D87B79">
        <w:rPr>
          <w:rFonts w:cs="Tahoma"/>
          <w:lang w:val="it-IT"/>
        </w:rPr>
        <w:t>scaduta, i diritti di accesso attribuiti da Licenze perpetue sono determinati sulla base dei Diritti di Utilizzo del Prodotto in vigore prima della scadenza della copertura. Una Licenza per una CAL Suite Bridge è una licenza singola che dovrà essere ceduta a un utente o dispositivo singolo.</w:t>
      </w:r>
    </w:p>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lang w:val="it-IT"/>
        </w:rPr>
        <w:t>Requisiti</w:t>
      </w:r>
    </w:p>
    <w:p w:rsidR="00A92422" w:rsidRPr="00D87B79" w:rsidRDefault="00A92422" w:rsidP="00A92422">
      <w:pPr>
        <w:ind w:left="720"/>
        <w:rPr>
          <w:rFonts w:cs="Tahoma"/>
        </w:rPr>
      </w:pPr>
      <w:r w:rsidRPr="00D87B79">
        <w:rPr>
          <w:rFonts w:cs="Tahoma"/>
          <w:lang w:val="it-IT"/>
        </w:rPr>
        <w:t>Una CAL Suite Bridge potrà essere richiesta durante la Transizione da una CAL Suite a una combinazione di</w:t>
      </w:r>
      <w:r>
        <w:rPr>
          <w:rFonts w:cs="Tahoma"/>
          <w:lang w:val="it-IT"/>
        </w:rPr>
        <w:t> </w:t>
      </w:r>
      <w:r w:rsidRPr="00D87B79">
        <w:rPr>
          <w:rFonts w:cs="Tahoma"/>
          <w:lang w:val="it-IT"/>
        </w:rPr>
        <w:t>Servizi Online e Prodotti paragonabili. Quando una Transizione richiede una CAL Suite Bridge e la Licenza qualificante è stata pagata totalmente dalla Società, l’acquisto di una Licenza per la CAL Suite Bridge non sarà necessario. La copertura Software Assurance potrà invece essere acquistata per la CAL Suite Bridge in</w:t>
      </w:r>
      <w:r>
        <w:rPr>
          <w:rFonts w:cs="Tahoma"/>
          <w:lang w:val="it-IT"/>
        </w:rPr>
        <w:t> </w:t>
      </w:r>
      <w:r w:rsidRPr="00D87B79">
        <w:rPr>
          <w:rFonts w:cs="Tahoma"/>
          <w:lang w:val="it-IT"/>
        </w:rPr>
        <w:t>occasione della ricorrenza dell’Iscrizione durante la quale la Transizione è in vigore. In tali circostanze il</w:t>
      </w:r>
      <w:r>
        <w:rPr>
          <w:rFonts w:cs="Tahoma"/>
          <w:lang w:val="it-IT"/>
        </w:rPr>
        <w:t> </w:t>
      </w:r>
      <w:r w:rsidRPr="00D87B79">
        <w:rPr>
          <w:rFonts w:cs="Tahoma"/>
          <w:lang w:val="it-IT"/>
        </w:rPr>
        <w:t>rapporto della Transizione potrà essere solo di una copertura Software Assurance per CAL Suite Bridge per</w:t>
      </w:r>
      <w:r>
        <w:rPr>
          <w:rFonts w:cs="Tahoma"/>
          <w:lang w:val="it-IT"/>
        </w:rPr>
        <w:t> </w:t>
      </w:r>
      <w:r w:rsidRPr="00D87B79">
        <w:rPr>
          <w:rFonts w:cs="Tahoma"/>
          <w:lang w:val="it-IT"/>
        </w:rPr>
        <w:t>una copertura Software Assurance per CAL Suite e per la stessa Licenza per utente o dispositivo della CAL Suite qualificante.</w:t>
      </w:r>
      <w:r w:rsidRPr="00D87B79">
        <w:rPr>
          <w:rFonts w:cs="Tahoma"/>
        </w:rPr>
        <w:t xml:space="preserve"> </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lang w:val="it-IT"/>
        </w:rPr>
        <w:t>Una CAL Suite Bridge è un Prodotto Enterprise e potrà essere ottenuto in licenza solo insieme al Servizio Online qualificante per soddisfare il requisito a livello aziendale sia della CAL Suite Bridge che della CAL Suite</w:t>
      </w:r>
      <w:r>
        <w:rPr>
          <w:rFonts w:cs="Tahoma"/>
          <w:lang w:val="it-IT"/>
        </w:rPr>
        <w:t> </w:t>
      </w:r>
      <w:r w:rsidRPr="00D87B79">
        <w:rPr>
          <w:rFonts w:cs="Tahoma"/>
          <w:lang w:val="it-IT"/>
        </w:rPr>
        <w:t>principale.</w:t>
      </w:r>
    </w:p>
    <w:p w:rsidR="00A92422" w:rsidRPr="00D87B79" w:rsidRDefault="00A92422" w:rsidP="00A92422">
      <w:pPr>
        <w:ind w:left="720"/>
        <w:rPr>
          <w:rFonts w:cs="Tahoma"/>
        </w:rPr>
      </w:pPr>
    </w:p>
    <w:p w:rsidR="00A92422" w:rsidRPr="00D87B79" w:rsidRDefault="00A92422" w:rsidP="00A92422">
      <w:pPr>
        <w:ind w:left="720"/>
        <w:rPr>
          <w:rFonts w:cs="Tahoma"/>
        </w:rPr>
      </w:pPr>
    </w:p>
    <w:tbl>
      <w:tblPr>
        <w:tblW w:w="4350" w:type="pct"/>
        <w:jc w:val="center"/>
        <w:tblCellMar>
          <w:left w:w="0" w:type="dxa"/>
          <w:right w:w="0" w:type="dxa"/>
        </w:tblCellMar>
        <w:tblLook w:val="04A0" w:firstRow="1" w:lastRow="0" w:firstColumn="1" w:lastColumn="0" w:noHBand="0" w:noVBand="1"/>
      </w:tblPr>
      <w:tblGrid>
        <w:gridCol w:w="2641"/>
        <w:gridCol w:w="2703"/>
        <w:gridCol w:w="2817"/>
      </w:tblGrid>
      <w:tr w:rsidR="00A92422" w:rsidRPr="00D87B79" w:rsidTr="00EA30FC">
        <w:trPr>
          <w:tblHeader/>
          <w:jc w:val="center"/>
        </w:trPr>
        <w:tc>
          <w:tcPr>
            <w:tcW w:w="1618" w:type="pct"/>
            <w:tcBorders>
              <w:top w:val="single" w:sz="8" w:space="0" w:color="auto"/>
              <w:left w:val="single" w:sz="8" w:space="0" w:color="auto"/>
              <w:bottom w:val="single" w:sz="8" w:space="0" w:color="auto"/>
              <w:right w:val="single" w:sz="8" w:space="0" w:color="auto"/>
            </w:tcBorders>
            <w:shd w:val="clear" w:color="auto" w:fill="FABF8F"/>
            <w:vAlign w:val="center"/>
          </w:tcPr>
          <w:p w:rsidR="00A92422" w:rsidRPr="00D87B79" w:rsidRDefault="00A92422" w:rsidP="00EA30FC">
            <w:pPr>
              <w:spacing w:before="80" w:after="200" w:line="276" w:lineRule="auto"/>
              <w:ind w:left="175"/>
              <w:rPr>
                <w:rFonts w:eastAsia="Times New Roman" w:cs="Tahoma"/>
                <w:b/>
                <w:bCs/>
                <w:color w:val="000000"/>
                <w:szCs w:val="18"/>
                <w:lang w:eastAsia="ja-JP"/>
              </w:rPr>
            </w:pPr>
            <w:r w:rsidRPr="00D87B79">
              <w:rPr>
                <w:rFonts w:cs="Tahoma"/>
                <w:b/>
                <w:lang w:val="it-IT"/>
              </w:rPr>
              <w:t>CAL Suite Bridge</w:t>
            </w:r>
          </w:p>
        </w:tc>
        <w:tc>
          <w:tcPr>
            <w:tcW w:w="1656" w:type="pct"/>
            <w:tcBorders>
              <w:top w:val="single" w:sz="8" w:space="0" w:color="auto"/>
              <w:left w:val="nil"/>
              <w:bottom w:val="single" w:sz="8" w:space="0" w:color="auto"/>
              <w:right w:val="single" w:sz="8" w:space="0" w:color="auto"/>
            </w:tcBorders>
            <w:shd w:val="clear" w:color="auto" w:fill="FABF8F"/>
            <w:vAlign w:val="center"/>
          </w:tcPr>
          <w:p w:rsidR="00A92422" w:rsidRPr="00D87B79" w:rsidRDefault="00A92422" w:rsidP="00EA30FC">
            <w:pPr>
              <w:spacing w:before="80" w:after="200" w:line="276" w:lineRule="auto"/>
              <w:ind w:left="180"/>
              <w:rPr>
                <w:rFonts w:eastAsia="Times New Roman" w:cs="Tahoma"/>
                <w:b/>
                <w:bCs/>
                <w:color w:val="000000"/>
                <w:szCs w:val="18"/>
                <w:lang w:eastAsia="ja-JP"/>
              </w:rPr>
            </w:pPr>
            <w:r w:rsidRPr="00D87B79">
              <w:rPr>
                <w:rFonts w:cs="Tahoma"/>
                <w:b/>
                <w:lang w:val="it-IT"/>
              </w:rPr>
              <w:t>CAL Suite Principale</w:t>
            </w:r>
          </w:p>
        </w:tc>
        <w:tc>
          <w:tcPr>
            <w:tcW w:w="1726" w:type="pct"/>
            <w:tcBorders>
              <w:top w:val="single" w:sz="8" w:space="0" w:color="auto"/>
              <w:left w:val="nil"/>
              <w:bottom w:val="single" w:sz="8" w:space="0" w:color="auto"/>
              <w:right w:val="single" w:sz="8" w:space="0" w:color="auto"/>
            </w:tcBorders>
            <w:shd w:val="clear" w:color="auto" w:fill="FABF8F"/>
          </w:tcPr>
          <w:p w:rsidR="00A92422" w:rsidRPr="00D87B79" w:rsidRDefault="00A92422" w:rsidP="00EA30FC">
            <w:pPr>
              <w:spacing w:before="80" w:after="200" w:line="276" w:lineRule="auto"/>
              <w:ind w:left="180" w:right="247"/>
              <w:jc w:val="center"/>
              <w:rPr>
                <w:rFonts w:eastAsia="Times New Roman" w:cs="Tahoma"/>
                <w:b/>
                <w:bCs/>
                <w:color w:val="000000"/>
                <w:szCs w:val="18"/>
                <w:lang w:eastAsia="ja-JP"/>
              </w:rPr>
            </w:pPr>
            <w:r w:rsidRPr="00D87B79">
              <w:rPr>
                <w:rFonts w:cs="Tahoma"/>
                <w:b/>
                <w:lang w:val="it-IT"/>
              </w:rPr>
              <w:t>Servizi Online Qualificanti</w:t>
            </w:r>
          </w:p>
        </w:tc>
      </w:tr>
      <w:tr w:rsidR="00A92422" w:rsidRPr="00D87B79" w:rsidTr="00EA30FC">
        <w:trPr>
          <w:trHeight w:val="576"/>
          <w:jc w:val="center"/>
        </w:trPr>
        <w:tc>
          <w:tcPr>
            <w:tcW w:w="1618" w:type="pct"/>
            <w:tcBorders>
              <w:top w:val="nil"/>
              <w:left w:val="single" w:sz="8" w:space="0" w:color="auto"/>
              <w:bottom w:val="single" w:sz="8" w:space="0" w:color="auto"/>
              <w:right w:val="single" w:sz="8" w:space="0" w:color="auto"/>
            </w:tcBorders>
          </w:tcPr>
          <w:p w:rsidR="00A92422" w:rsidRPr="00D87B79" w:rsidRDefault="00A92422" w:rsidP="00A92422">
            <w:pPr>
              <w:numPr>
                <w:ilvl w:val="0"/>
                <w:numId w:val="85"/>
              </w:numPr>
              <w:spacing w:before="60" w:after="60" w:line="276" w:lineRule="auto"/>
              <w:ind w:left="535" w:right="180"/>
              <w:rPr>
                <w:rFonts w:eastAsia="Times New Roman" w:cs="Tahoma"/>
                <w:szCs w:val="18"/>
              </w:rPr>
            </w:pPr>
            <w:r w:rsidRPr="00D87B79">
              <w:rPr>
                <w:rFonts w:cs="Tahoma"/>
                <w:color w:val="000000"/>
                <w:lang w:val="it-IT"/>
              </w:rPr>
              <w:t>Enterprise CAL Suite Bridge per Office 365</w:t>
            </w:r>
          </w:p>
        </w:tc>
        <w:tc>
          <w:tcPr>
            <w:tcW w:w="1656" w:type="pct"/>
            <w:tcBorders>
              <w:top w:val="nil"/>
              <w:left w:val="nil"/>
              <w:bottom w:val="single" w:sz="8" w:space="0" w:color="auto"/>
              <w:right w:val="single" w:sz="8" w:space="0" w:color="auto"/>
            </w:tcBorders>
          </w:tcPr>
          <w:p w:rsidR="00A92422" w:rsidRPr="00D87B79" w:rsidRDefault="00A92422" w:rsidP="00A92422">
            <w:pPr>
              <w:numPr>
                <w:ilvl w:val="0"/>
                <w:numId w:val="86"/>
              </w:numPr>
              <w:spacing w:before="80" w:after="200" w:line="276" w:lineRule="auto"/>
              <w:ind w:left="449" w:hanging="270"/>
              <w:jc w:val="both"/>
              <w:rPr>
                <w:rFonts w:eastAsia="Times New Roman" w:cs="Tahoma"/>
                <w:szCs w:val="18"/>
              </w:rPr>
            </w:pPr>
            <w:r w:rsidRPr="00D87B79">
              <w:rPr>
                <w:rFonts w:cs="Tahoma"/>
                <w:color w:val="000000"/>
                <w:lang w:val="it-IT"/>
              </w:rPr>
              <w:t>Enterprise CAL Suite</w:t>
            </w:r>
          </w:p>
        </w:tc>
        <w:tc>
          <w:tcPr>
            <w:tcW w:w="1726" w:type="pct"/>
            <w:tcBorders>
              <w:top w:val="nil"/>
              <w:left w:val="nil"/>
              <w:bottom w:val="single" w:sz="8" w:space="0" w:color="auto"/>
              <w:right w:val="single" w:sz="8" w:space="0" w:color="auto"/>
            </w:tcBorders>
          </w:tcPr>
          <w:p w:rsidR="00A92422" w:rsidRPr="00D87B79" w:rsidRDefault="00A92422" w:rsidP="00A92422">
            <w:pPr>
              <w:numPr>
                <w:ilvl w:val="0"/>
                <w:numId w:val="87"/>
              </w:numPr>
              <w:spacing w:before="80" w:after="200" w:line="276" w:lineRule="auto"/>
              <w:ind w:left="630"/>
              <w:rPr>
                <w:rFonts w:cs="Tahoma"/>
              </w:rPr>
            </w:pPr>
            <w:r w:rsidRPr="00D87B79">
              <w:rPr>
                <w:rFonts w:cs="Tahoma"/>
                <w:color w:val="000000"/>
                <w:lang w:val="it-IT"/>
              </w:rPr>
              <w:t>Office 365 Piano E3, o</w:t>
            </w:r>
          </w:p>
          <w:p w:rsidR="00A92422" w:rsidRPr="00D87B79" w:rsidRDefault="00A92422" w:rsidP="00A92422">
            <w:pPr>
              <w:numPr>
                <w:ilvl w:val="0"/>
                <w:numId w:val="87"/>
              </w:numPr>
              <w:spacing w:before="80" w:after="200" w:line="276" w:lineRule="auto"/>
              <w:ind w:left="630"/>
              <w:rPr>
                <w:rFonts w:eastAsia="Times New Roman" w:cs="Tahoma"/>
                <w:color w:val="000000"/>
                <w:szCs w:val="18"/>
              </w:rPr>
            </w:pPr>
            <w:r w:rsidRPr="00D87B79">
              <w:rPr>
                <w:rFonts w:eastAsia="Times New Roman" w:cs="Tahoma"/>
                <w:color w:val="000000"/>
                <w:szCs w:val="18"/>
                <w:lang w:val="it-IT"/>
              </w:rPr>
              <w:t>Office 365 Piano E4</w:t>
            </w:r>
          </w:p>
        </w:tc>
      </w:tr>
      <w:tr w:rsidR="00A92422" w:rsidRPr="00D87B79" w:rsidTr="00EA30FC">
        <w:trPr>
          <w:trHeight w:val="576"/>
          <w:jc w:val="center"/>
        </w:trPr>
        <w:tc>
          <w:tcPr>
            <w:tcW w:w="1618" w:type="pct"/>
            <w:tcBorders>
              <w:top w:val="nil"/>
              <w:left w:val="single" w:sz="8" w:space="0" w:color="auto"/>
              <w:bottom w:val="single" w:sz="8" w:space="0" w:color="auto"/>
              <w:right w:val="single" w:sz="8" w:space="0" w:color="auto"/>
            </w:tcBorders>
          </w:tcPr>
          <w:p w:rsidR="00A92422" w:rsidRPr="00D87B79" w:rsidRDefault="00A92422" w:rsidP="00A92422">
            <w:pPr>
              <w:numPr>
                <w:ilvl w:val="0"/>
                <w:numId w:val="85"/>
              </w:numPr>
              <w:spacing w:before="60" w:after="60" w:line="276" w:lineRule="auto"/>
              <w:ind w:left="535" w:right="180"/>
              <w:rPr>
                <w:rFonts w:eastAsia="Times New Roman" w:cs="Tahoma"/>
                <w:szCs w:val="18"/>
              </w:rPr>
            </w:pPr>
            <w:r w:rsidRPr="00D87B79">
              <w:rPr>
                <w:rFonts w:cs="Tahoma"/>
                <w:color w:val="000000"/>
                <w:lang w:val="it-IT"/>
              </w:rPr>
              <w:t>Enterprise CAL Suite Bridge per Office 365 e</w:t>
            </w:r>
            <w:r>
              <w:rPr>
                <w:rFonts w:cs="Tahoma"/>
                <w:color w:val="000000"/>
                <w:lang w:val="it-IT"/>
              </w:rPr>
              <w:t> </w:t>
            </w:r>
            <w:r w:rsidRPr="00D87B79">
              <w:rPr>
                <w:rFonts w:cs="Tahoma"/>
                <w:color w:val="000000"/>
                <w:lang w:val="it-IT"/>
              </w:rPr>
              <w:t>Windows Intune</w:t>
            </w:r>
          </w:p>
        </w:tc>
        <w:tc>
          <w:tcPr>
            <w:tcW w:w="1656" w:type="pct"/>
            <w:tcBorders>
              <w:top w:val="nil"/>
              <w:left w:val="nil"/>
              <w:bottom w:val="single" w:sz="8" w:space="0" w:color="auto"/>
              <w:right w:val="single" w:sz="8" w:space="0" w:color="auto"/>
            </w:tcBorders>
          </w:tcPr>
          <w:p w:rsidR="00A92422" w:rsidRPr="00D87B79" w:rsidRDefault="00A92422" w:rsidP="00A92422">
            <w:pPr>
              <w:numPr>
                <w:ilvl w:val="0"/>
                <w:numId w:val="86"/>
              </w:numPr>
              <w:spacing w:before="80" w:after="200" w:line="276" w:lineRule="auto"/>
              <w:ind w:left="449" w:hanging="270"/>
              <w:jc w:val="both"/>
              <w:rPr>
                <w:rFonts w:eastAsia="Times New Roman" w:cs="Tahoma"/>
                <w:szCs w:val="18"/>
              </w:rPr>
            </w:pPr>
            <w:r w:rsidRPr="00D87B79">
              <w:rPr>
                <w:rFonts w:cs="Tahoma"/>
                <w:color w:val="000000"/>
                <w:lang w:val="it-IT"/>
              </w:rPr>
              <w:t>Enterprise CAL Suite</w:t>
            </w:r>
          </w:p>
        </w:tc>
        <w:tc>
          <w:tcPr>
            <w:tcW w:w="1726" w:type="pct"/>
            <w:tcBorders>
              <w:top w:val="nil"/>
              <w:left w:val="nil"/>
              <w:bottom w:val="single" w:sz="8" w:space="0" w:color="auto"/>
              <w:right w:val="single" w:sz="8" w:space="0" w:color="auto"/>
            </w:tcBorders>
          </w:tcPr>
          <w:p w:rsidR="00A92422" w:rsidRPr="00D87B79" w:rsidRDefault="00A92422" w:rsidP="00A92422">
            <w:pPr>
              <w:numPr>
                <w:ilvl w:val="0"/>
                <w:numId w:val="87"/>
              </w:numPr>
              <w:spacing w:before="80" w:after="200" w:line="276" w:lineRule="auto"/>
              <w:ind w:left="630"/>
              <w:rPr>
                <w:rFonts w:cs="Tahoma"/>
              </w:rPr>
            </w:pPr>
            <w:r w:rsidRPr="00D87B79">
              <w:rPr>
                <w:rFonts w:cs="Tahoma"/>
                <w:color w:val="000000"/>
                <w:lang w:val="it-IT"/>
              </w:rPr>
              <w:t>Office 365 Piano E3 e</w:t>
            </w:r>
            <w:r>
              <w:rPr>
                <w:rFonts w:cs="Tahoma"/>
                <w:color w:val="000000"/>
                <w:lang w:val="it-IT"/>
              </w:rPr>
              <w:t> </w:t>
            </w:r>
            <w:r w:rsidRPr="00D87B79">
              <w:rPr>
                <w:rFonts w:cs="Tahoma"/>
                <w:color w:val="000000"/>
                <w:lang w:val="it-IT"/>
              </w:rPr>
              <w:t>Windows Intune o</w:t>
            </w:r>
          </w:p>
          <w:p w:rsidR="00A92422" w:rsidRPr="00D87B79" w:rsidRDefault="00A92422" w:rsidP="00A92422">
            <w:pPr>
              <w:numPr>
                <w:ilvl w:val="0"/>
                <w:numId w:val="87"/>
              </w:numPr>
              <w:spacing w:before="80" w:after="200" w:line="276" w:lineRule="auto"/>
              <w:ind w:left="630"/>
              <w:rPr>
                <w:rFonts w:eastAsia="Times New Roman" w:cs="Tahoma"/>
                <w:color w:val="000000"/>
                <w:szCs w:val="18"/>
              </w:rPr>
            </w:pPr>
            <w:r w:rsidRPr="00D87B79">
              <w:rPr>
                <w:rFonts w:eastAsia="Times New Roman" w:cs="Tahoma"/>
                <w:color w:val="000000"/>
                <w:szCs w:val="18"/>
                <w:lang w:val="it-IT"/>
              </w:rPr>
              <w:t>Office 365 Piano E4 e</w:t>
            </w:r>
            <w:r>
              <w:rPr>
                <w:rFonts w:eastAsia="Times New Roman" w:cs="Tahoma"/>
                <w:color w:val="000000"/>
                <w:szCs w:val="18"/>
                <w:lang w:val="it-IT"/>
              </w:rPr>
              <w:t> </w:t>
            </w:r>
            <w:r w:rsidRPr="00D87B79">
              <w:rPr>
                <w:rFonts w:eastAsia="Times New Roman" w:cs="Tahoma"/>
                <w:color w:val="000000"/>
                <w:szCs w:val="18"/>
                <w:lang w:val="it-IT"/>
              </w:rPr>
              <w:t>Windows Intune</w:t>
            </w:r>
          </w:p>
        </w:tc>
      </w:tr>
      <w:tr w:rsidR="00A92422" w:rsidRPr="00D87B79" w:rsidTr="00EA30FC">
        <w:trPr>
          <w:trHeight w:val="576"/>
          <w:jc w:val="center"/>
        </w:trPr>
        <w:tc>
          <w:tcPr>
            <w:tcW w:w="1618" w:type="pct"/>
            <w:tcBorders>
              <w:top w:val="nil"/>
              <w:left w:val="single" w:sz="8" w:space="0" w:color="auto"/>
              <w:bottom w:val="single" w:sz="8" w:space="0" w:color="auto"/>
              <w:right w:val="single" w:sz="8" w:space="0" w:color="auto"/>
            </w:tcBorders>
          </w:tcPr>
          <w:p w:rsidR="00A92422" w:rsidRPr="00D87B79" w:rsidRDefault="00A92422" w:rsidP="00A92422">
            <w:pPr>
              <w:numPr>
                <w:ilvl w:val="0"/>
                <w:numId w:val="85"/>
              </w:numPr>
              <w:spacing w:before="60" w:after="60" w:line="276" w:lineRule="auto"/>
              <w:ind w:left="535" w:right="180"/>
              <w:rPr>
                <w:rFonts w:eastAsia="Times New Roman" w:cs="Tahoma"/>
                <w:color w:val="000000"/>
                <w:szCs w:val="18"/>
                <w:lang w:eastAsia="ja-JP"/>
              </w:rPr>
            </w:pPr>
            <w:r w:rsidRPr="00D87B79">
              <w:rPr>
                <w:rFonts w:cs="Tahoma"/>
                <w:lang w:val="it-IT"/>
              </w:rPr>
              <w:t>Enterprise CAL Suite Bridge per Windows Intune</w:t>
            </w:r>
          </w:p>
        </w:tc>
        <w:tc>
          <w:tcPr>
            <w:tcW w:w="1656" w:type="pct"/>
            <w:tcBorders>
              <w:top w:val="nil"/>
              <w:left w:val="nil"/>
              <w:bottom w:val="single" w:sz="8" w:space="0" w:color="auto"/>
              <w:right w:val="single" w:sz="8" w:space="0" w:color="auto"/>
            </w:tcBorders>
          </w:tcPr>
          <w:p w:rsidR="00A92422" w:rsidRPr="00D87B79" w:rsidRDefault="00A92422" w:rsidP="00A92422">
            <w:pPr>
              <w:numPr>
                <w:ilvl w:val="0"/>
                <w:numId w:val="86"/>
              </w:numPr>
              <w:spacing w:before="80" w:after="200" w:line="276" w:lineRule="auto"/>
              <w:ind w:left="449" w:hanging="270"/>
              <w:jc w:val="both"/>
              <w:rPr>
                <w:rFonts w:eastAsia="Times New Roman" w:cs="Tahoma"/>
                <w:color w:val="000000"/>
                <w:szCs w:val="18"/>
                <w:lang w:eastAsia="ja-JP"/>
              </w:rPr>
            </w:pPr>
            <w:r w:rsidRPr="00D87B79">
              <w:rPr>
                <w:rFonts w:cs="Tahoma"/>
                <w:lang w:val="it-IT"/>
              </w:rPr>
              <w:t>Enterprise CAL Suite</w:t>
            </w:r>
          </w:p>
        </w:tc>
        <w:tc>
          <w:tcPr>
            <w:tcW w:w="1726" w:type="pct"/>
            <w:tcBorders>
              <w:top w:val="nil"/>
              <w:left w:val="nil"/>
              <w:bottom w:val="single" w:sz="8" w:space="0" w:color="auto"/>
              <w:right w:val="single" w:sz="8" w:space="0" w:color="auto"/>
            </w:tcBorders>
          </w:tcPr>
          <w:p w:rsidR="00A92422" w:rsidRPr="00D87B79" w:rsidRDefault="00A92422" w:rsidP="00A92422">
            <w:pPr>
              <w:numPr>
                <w:ilvl w:val="0"/>
                <w:numId w:val="87"/>
              </w:numPr>
              <w:spacing w:before="80" w:after="200" w:line="276" w:lineRule="auto"/>
              <w:ind w:left="630"/>
              <w:rPr>
                <w:rFonts w:cs="Tahoma"/>
                <w:color w:val="000000"/>
                <w:szCs w:val="18"/>
              </w:rPr>
            </w:pPr>
            <w:r w:rsidRPr="00D87B79">
              <w:rPr>
                <w:rFonts w:cs="Tahoma"/>
                <w:color w:val="000000"/>
                <w:lang w:val="it-IT"/>
              </w:rPr>
              <w:t>Windows Intune</w:t>
            </w:r>
          </w:p>
        </w:tc>
      </w:tr>
    </w:tbl>
    <w:p w:rsidR="00A92422" w:rsidRPr="00D87B79" w:rsidRDefault="00A92422" w:rsidP="00A92422">
      <w:pPr>
        <w:pStyle w:val="Heading3"/>
        <w:rPr>
          <w:rFonts w:ascii="Tahoma" w:hAnsi="Tahoma" w:cs="Tahoma"/>
        </w:rPr>
      </w:pPr>
      <w:bookmarkStart w:id="1240" w:name="_Toc336338304"/>
      <w:bookmarkStart w:id="1241" w:name="Srv_43EnterpriseCALSuite"/>
    </w:p>
    <w:p w:rsidR="00A92422" w:rsidRDefault="00A92422" w:rsidP="00A92422">
      <w:pPr>
        <w:rPr>
          <w:rFonts w:cs="Tahoma"/>
        </w:rPr>
      </w:pPr>
    </w:p>
    <w:p w:rsidR="00A92422" w:rsidRPr="00D87B79" w:rsidRDefault="00A92422" w:rsidP="00A92422">
      <w:pPr>
        <w:rPr>
          <w:rFonts w:cs="Tahoma"/>
        </w:rPr>
      </w:pPr>
    </w:p>
    <w:p w:rsidR="00A92422" w:rsidRPr="00D87B79" w:rsidRDefault="00A92422" w:rsidP="00A92422">
      <w:pPr>
        <w:pStyle w:val="Heading3"/>
        <w:rPr>
          <w:rFonts w:ascii="Tahoma" w:hAnsi="Tahoma" w:cs="Tahoma"/>
        </w:rPr>
      </w:pPr>
      <w:bookmarkStart w:id="1242" w:name="_41_Enterprise_CAL"/>
      <w:bookmarkStart w:id="1243" w:name="_Toc342900351"/>
      <w:bookmarkEnd w:id="1240"/>
      <w:bookmarkEnd w:id="1242"/>
      <w:r w:rsidRPr="00D87B79">
        <w:rPr>
          <w:rFonts w:ascii="Tahoma" w:hAnsi="Tahoma" w:cs="Tahoma"/>
          <w:caps/>
          <w:color w:val="F66400"/>
          <w:sz w:val="22"/>
          <w:vertAlign w:val="superscript"/>
          <w:lang w:val="it-IT"/>
        </w:rPr>
        <w:t>41</w:t>
      </w:r>
      <w:r w:rsidRPr="00D87B79">
        <w:rPr>
          <w:rFonts w:ascii="Tahoma" w:hAnsi="Tahoma" w:cs="Tahoma"/>
          <w:color w:val="F66400"/>
          <w:sz w:val="22"/>
          <w:lang w:val="it-IT"/>
        </w:rPr>
        <w:t xml:space="preserve"> Enterprise CAL Suite</w:t>
      </w:r>
      <w:bookmarkEnd w:id="1243"/>
      <w:r w:rsidRPr="00D87B79">
        <w:rPr>
          <w:rFonts w:ascii="Tahoma" w:hAnsi="Tahoma" w:cs="Tahoma"/>
        </w:rPr>
        <w:t xml:space="preserve"> </w:t>
      </w:r>
    </w:p>
    <w:bookmarkEnd w:id="1241"/>
    <w:p w:rsidR="00A92422" w:rsidRPr="00D87B79" w:rsidRDefault="00A92422" w:rsidP="00A92422">
      <w:pPr>
        <w:rPr>
          <w:rFonts w:cs="Tahoma"/>
        </w:rPr>
      </w:pPr>
    </w:p>
    <w:p w:rsidR="00A92422" w:rsidRPr="00D87B79" w:rsidRDefault="00A92422" w:rsidP="00A92422">
      <w:pPr>
        <w:ind w:left="720"/>
        <w:rPr>
          <w:rFonts w:cs="Tahoma"/>
        </w:rPr>
      </w:pPr>
      <w:r w:rsidRPr="00D87B79">
        <w:rPr>
          <w:rFonts w:cs="Tahoma"/>
          <w:szCs w:val="20"/>
          <w:lang w:val="it-IT"/>
        </w:rPr>
        <w:t>Enterprise CAL Suite non dispone di versioni e i diritti di utilizzo del prodotto sono determinati dallo stato della copertura Software Assurance per Enterprise CAL Suite.</w:t>
      </w:r>
      <w:r w:rsidRPr="00D87B79">
        <w:rPr>
          <w:rFonts w:cs="Tahoma"/>
          <w:szCs w:val="20"/>
        </w:rPr>
        <w:t xml:space="preserve"> </w:t>
      </w:r>
      <w:r w:rsidRPr="00D87B79">
        <w:rPr>
          <w:rFonts w:cs="Tahoma"/>
          <w:szCs w:val="20"/>
          <w:lang w:val="it-IT"/>
        </w:rPr>
        <w:t>Qualora la copertura sia scaduta, i diritti di accesso attribuiti da licenze perpetue sono determinati sulla base dei diritti di utilizzo del prodotto in vigore prima della scadenza della copertura.</w:t>
      </w:r>
      <w:r w:rsidRPr="00D87B79">
        <w:rPr>
          <w:rFonts w:cs="Tahoma"/>
          <w:szCs w:val="20"/>
        </w:rPr>
        <w:t xml:space="preserve"> </w:t>
      </w:r>
      <w:r w:rsidRPr="00D87B79">
        <w:rPr>
          <w:rFonts w:cs="Tahoma"/>
          <w:szCs w:val="20"/>
          <w:lang w:val="it-IT"/>
        </w:rPr>
        <w:t>I diritti associati alle offerte dei Servizi Online cesseranno alla scadenza della copertura Software Assurance, indipendentemente dal fatto che l’Enterprise CAL suite sia perpetua o meno.</w:t>
      </w:r>
      <w:r w:rsidRPr="00D87B79">
        <w:rPr>
          <w:rFonts w:cs="Tahoma"/>
        </w:rPr>
        <w:t xml:space="preserve"> </w:t>
      </w:r>
      <w:r w:rsidRPr="00D87B79">
        <w:rPr>
          <w:rFonts w:cs="Tahoma"/>
          <w:lang w:val="it-IT"/>
        </w:rPr>
        <w:t>Al 1 dicembre 2012 una licenza per Enterprise CAL Suite con copertura Software Assurance attiva concede diritti equivalenti ai seguenti prodotti:</w:t>
      </w:r>
      <w:r w:rsidRPr="00D87B79">
        <w:rPr>
          <w:rFonts w:cs="Tahoma"/>
          <w:szCs w:val="20"/>
        </w:rPr>
        <w:t xml:space="preserve"> </w:t>
      </w:r>
      <w:r w:rsidRPr="00D87B79">
        <w:rPr>
          <w:rFonts w:cs="Tahoma"/>
          <w:lang w:val="it-IT"/>
        </w:rPr>
        <w:t>tutti i componenti attuali di Core CAL Suite, Enterprise CAL per Exchange Server 2013, Enterprise CAL per SharePoint Server 2013, Enterprise CAL per Lync Server 2013, CAL per Windows Server 2012 Rights Management Services e tutti i componenti attuali di</w:t>
      </w:r>
      <w:r>
        <w:rPr>
          <w:rFonts w:cs="Tahoma"/>
          <w:lang w:val="it-IT"/>
        </w:rPr>
        <w:t> </w:t>
      </w:r>
      <w:r w:rsidRPr="00D87B79">
        <w:rPr>
          <w:rFonts w:cs="Tahoma"/>
          <w:lang w:val="it-IT"/>
        </w:rPr>
        <w:t>System Center 2012 Client Management Suite.</w:t>
      </w:r>
      <w:r w:rsidRPr="00D87B79">
        <w:rPr>
          <w:rFonts w:cs="Tahoma"/>
        </w:rPr>
        <w:t xml:space="preserve"> </w:t>
      </w:r>
      <w:r w:rsidRPr="00D87B79">
        <w:rPr>
          <w:rFonts w:cs="Tahoma"/>
          <w:color w:val="000000"/>
          <w:lang w:val="it-IT"/>
        </w:rPr>
        <w:t>Per un elenco dei componenti di una licenza Enterprise CAL Suite acquistata prima del 1 dicembre 2012, consultare la Lista dei Prodotti in vigore al momento dell'acquisto o nel periodo di validità della copertura Software Assurance.</w:t>
      </w:r>
      <w:r w:rsidRPr="00D87B79">
        <w:rPr>
          <w:rFonts w:cs="Tahoma"/>
        </w:rPr>
        <w:t xml:space="preserve"> </w:t>
      </w:r>
      <w:r w:rsidRPr="00D87B79">
        <w:rPr>
          <w:rFonts w:cs="Tahoma"/>
          <w:lang w:val="it-IT"/>
        </w:rPr>
        <w:t>Una licenza per Enterprise CAL Suite è una licenza singola che deve essere assegnata a un singolo utente o dispositivo.</w:t>
      </w:r>
      <w:r w:rsidRPr="00D87B79">
        <w:rPr>
          <w:rFonts w:cs="Tahoma"/>
        </w:rPr>
        <w:t xml:space="preserve"> </w:t>
      </w:r>
      <w:r w:rsidRPr="00D87B79">
        <w:rPr>
          <w:rFonts w:cs="Tahoma"/>
          <w:lang w:val="it-IT"/>
        </w:rPr>
        <w:t xml:space="preserve">Secondo quanto </w:t>
      </w:r>
      <w:r w:rsidRPr="00D87B79">
        <w:rPr>
          <w:rFonts w:cs="Tahoma"/>
          <w:lang w:val="it-IT"/>
        </w:rPr>
        <w:lastRenderedPageBreak/>
        <w:t>previsto nel relativo contratto multilicenza (Volume License), le società non sono autorizzate a separare i</w:t>
      </w:r>
      <w:r>
        <w:rPr>
          <w:rFonts w:cs="Tahoma"/>
          <w:lang w:val="it-IT"/>
        </w:rPr>
        <w:t> </w:t>
      </w:r>
      <w:r w:rsidRPr="00D87B79">
        <w:rPr>
          <w:rFonts w:cs="Tahoma"/>
          <w:lang w:val="it-IT"/>
        </w:rPr>
        <w:t>diritti di Enterprise CAL Suite per consentire a due o più utenti o dispositivi di accedere contemporaneamente ai diversi componenti.</w:t>
      </w:r>
      <w:r w:rsidRPr="00D87B79">
        <w:rPr>
          <w:rFonts w:cs="Tahoma"/>
        </w:rPr>
        <w:t xml:space="preserve"> </w:t>
      </w:r>
    </w:p>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color w:val="000000"/>
          <w:lang w:val="it-IT"/>
        </w:rPr>
        <w:t>Diritti di True-Up</w:t>
      </w:r>
    </w:p>
    <w:p w:rsidR="00A92422" w:rsidRPr="00D87B79" w:rsidRDefault="00A92422" w:rsidP="00A92422">
      <w:pPr>
        <w:ind w:left="720"/>
        <w:rPr>
          <w:rFonts w:cs="Tahoma"/>
        </w:rPr>
      </w:pPr>
      <w:r w:rsidRPr="00D87B79">
        <w:rPr>
          <w:rFonts w:cs="Tahoma"/>
          <w:color w:val="000000"/>
          <w:lang w:val="it-IT"/>
        </w:rPr>
        <w:t>Nonostante eventuali disposizioni contrarie dei Diritti di Utilizzo del Prodotto per Forefront Unified Access Gateway 2010 dal 1 dicembre 2012, per le Società Qualificanti, le licenze Enterprise CAL Suite acquistate ai sensi dei diritti di true-up dopo il 1 dicembre 2012 consentono l'accesso a Forefront Unified Access Gateway 2010. Le “Società Qualificanti” sono società titolari di iscrizioni Enterprise o Enterprise Subscription, società titolari di contratti Open Value Subscription (OVS) o società titolari di contratti Enrollment for Education Solutions che hanno acquistato Enterprise CAL Suite per la prima volta in data precedente al 1 dicembre 2012 e godono del diritto, attribuito dalla medesima iscrizione o dal medesimo contratto OVS, di acquistare licenze aggiuntive dopo il 1 dicembre 2012 ai sensi della procedura di true-up. Tale eccezione si applica solo</w:t>
      </w:r>
      <w:r>
        <w:rPr>
          <w:rFonts w:cs="Tahoma"/>
          <w:color w:val="000000"/>
          <w:lang w:val="it-IT"/>
        </w:rPr>
        <w:t> </w:t>
      </w:r>
      <w:r w:rsidRPr="00D87B79">
        <w:rPr>
          <w:rFonts w:cs="Tahoma"/>
          <w:color w:val="000000"/>
          <w:lang w:val="it-IT"/>
        </w:rPr>
        <w:t>alle licenze acquistate ai sensi di diritti di true-up prima del primo rinnovo effettuato dalla Società Qualificante successivamente al 1 dicembre 2012. Vedere l'articolo “Diritti sull'Utilizzo Estesi per i prodotti Forefront” di seguito per informazioni sui diritti sull'utilizzo estesi ai sensi della Enterprise CAL Suite per i componenti della Forefront Protection Suite (parte della Enterprise CAL Suite fino al 30 novembre 2012).</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color w:val="000000"/>
          <w:lang w:val="it-IT"/>
        </w:rPr>
        <w:t>Rinnovo della copertura Software Assurance per Forefront Unified Access Gateway al di fuori della Enterprise CAL Suite</w:t>
      </w:r>
    </w:p>
    <w:p w:rsidR="00A92422" w:rsidRPr="00D87B79" w:rsidRDefault="00A92422" w:rsidP="00A92422">
      <w:pPr>
        <w:ind w:left="720"/>
        <w:rPr>
          <w:rFonts w:cs="Tahoma"/>
        </w:rPr>
      </w:pPr>
      <w:r w:rsidRPr="00D87B79">
        <w:rPr>
          <w:rFonts w:cs="Tahoma"/>
          <w:color w:val="000000"/>
          <w:lang w:val="it-IT"/>
        </w:rPr>
        <w:t>Le società autorizzate all'utilizzo di Forefront Unified Access Gateway ai sensi di licenze Enterprise CAL Suite con copertura Software Assurance (con licenze acquistate prima del 1 dicembre 2012 o con diritti di true-up, come descritto in precedenza), al primo rinnovo di tale copertura a partire dal 1 dicembre 2012 dispongono dell'opzione di acquistare la copertura Software Assurance per Forefront Unified Access Gateway al di fuori della Enterprise CAL Suite senza prima acquistare una licenza separata per Forefront Unified Access Gateway.</w:t>
      </w:r>
      <w:r w:rsidRPr="00D87B79">
        <w:rPr>
          <w:rFonts w:cs="Tahoma"/>
        </w:rPr>
        <w:t xml:space="preserve"> </w:t>
      </w:r>
      <w:r w:rsidRPr="00D87B79">
        <w:rPr>
          <w:rFonts w:cs="Tahoma"/>
          <w:color w:val="000000"/>
          <w:lang w:val="it-IT"/>
        </w:rPr>
        <w:t>Tale offerta di acquisto di Forefront Unified Access Gateway è valida per un numero massimo di licenze pari al numero totale di licenze Enterprise CAL Suite con copertura Software Assurance in possesso della società immediatamente prima del rinnovo.</w:t>
      </w:r>
      <w:r w:rsidRPr="00D87B79">
        <w:rPr>
          <w:rFonts w:cs="Tahoma"/>
        </w:rPr>
        <w:t xml:space="preserve"> </w:t>
      </w:r>
    </w:p>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color w:val="000000"/>
          <w:lang w:val="it-IT"/>
        </w:rPr>
        <w:t>Diritti sull’Utilizzo Estesi per i prodotti Forefront</w:t>
      </w:r>
    </w:p>
    <w:p w:rsidR="00A92422" w:rsidRPr="00D87B79" w:rsidRDefault="00A92422" w:rsidP="00A92422">
      <w:pPr>
        <w:ind w:left="720"/>
        <w:rPr>
          <w:rFonts w:cs="Tahoma"/>
        </w:rPr>
      </w:pPr>
      <w:r w:rsidRPr="00D87B79">
        <w:rPr>
          <w:rFonts w:cs="Tahoma"/>
          <w:color w:val="000000"/>
          <w:lang w:val="it-IT"/>
        </w:rPr>
        <w:t>Le società con copertura Software Assurance attiva per Enterprise CAL Suite a partire dal 30 novembre 2012</w:t>
      </w:r>
      <w:r>
        <w:rPr>
          <w:rFonts w:cs="Tahoma"/>
          <w:color w:val="000000"/>
          <w:lang w:val="it-IT"/>
        </w:rPr>
        <w:t> </w:t>
      </w:r>
      <w:r w:rsidRPr="00D87B79">
        <w:rPr>
          <w:rFonts w:cs="Tahoma"/>
          <w:color w:val="000000"/>
          <w:lang w:val="it-IT"/>
        </w:rPr>
        <w:t>potranno continuare a utilizzare i servizi componenti di Forefront Protection Suite (che in precedenza appartenevano a Enterprise CAL Suite) fino alla scadenza e/o al rinnovo di tale copertura.</w:t>
      </w:r>
      <w:r w:rsidRPr="00D87B79">
        <w:rPr>
          <w:rFonts w:cs="Tahoma"/>
        </w:rPr>
        <w:t xml:space="preserve"> </w:t>
      </w:r>
      <w:r w:rsidRPr="00D87B79">
        <w:rPr>
          <w:rFonts w:cs="Tahoma"/>
          <w:color w:val="000000"/>
          <w:lang w:val="it-IT"/>
        </w:rPr>
        <w:t>Tali società potranno inoltre continuare a utilizzare i componenti Forefront for Office Communications Server, Forefront Protection 2010 for Exchange Server, Forefront Threat Management Gateway Web Protection Service e Forefront Protection 2010 for SharePoint Server della famiglia di prodotti fino al 31 dicembre 2015. Tali condizioni si applicano anche alle licenze Enterprise CAL Suite successive acquistate da tali società prima del</w:t>
      </w:r>
      <w:r>
        <w:rPr>
          <w:rFonts w:cs="Tahoma"/>
          <w:color w:val="000000"/>
          <w:lang w:val="it-IT"/>
        </w:rPr>
        <w:t> </w:t>
      </w:r>
      <w:r w:rsidRPr="00D87B79">
        <w:rPr>
          <w:rFonts w:cs="Tahoma"/>
          <w:color w:val="000000"/>
          <w:lang w:val="it-IT"/>
        </w:rPr>
        <w:t>31 dicembre 2015. L’utilizzo continuato dei servizi online dei componenti rimane soggetto alle condizioni del Contratto Multilicenza (Volume License) della società, ai diritti di utilizzo del prodotto per i servizi online e alle presenti condizioni.</w:t>
      </w:r>
    </w:p>
    <w:p w:rsidR="00A92422"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color w:val="000000"/>
          <w:lang w:val="it-IT"/>
        </w:rPr>
        <w:t>Forefront Protection Suite</w:t>
      </w:r>
      <w:r w:rsidRPr="00D87B79">
        <w:rPr>
          <w:rFonts w:cs="Tahoma"/>
        </w:rPr>
        <w:t xml:space="preserve"> </w:t>
      </w:r>
    </w:p>
    <w:p w:rsidR="00A92422" w:rsidRPr="00D87B79" w:rsidRDefault="00A92422" w:rsidP="00A92422">
      <w:pPr>
        <w:ind w:left="720"/>
        <w:rPr>
          <w:rFonts w:cs="Tahoma"/>
        </w:rPr>
      </w:pPr>
      <w:r w:rsidRPr="00D87B79">
        <w:rPr>
          <w:rFonts w:cs="Tahoma"/>
          <w:color w:val="000000"/>
          <w:szCs w:val="20"/>
          <w:lang w:val="it-IT"/>
        </w:rPr>
        <w:t>Un abbonamento a Forefront Protection Suite è costituito dai seguenti servizi online:</w:t>
      </w:r>
      <w:r w:rsidRPr="00D87B79">
        <w:rPr>
          <w:rFonts w:cs="Tahoma"/>
          <w:color w:val="000000"/>
          <w:szCs w:val="20"/>
        </w:rPr>
        <w:t xml:space="preserve"> </w:t>
      </w:r>
      <w:r w:rsidRPr="00D87B79">
        <w:rPr>
          <w:rFonts w:cs="Tahoma"/>
          <w:color w:val="000000"/>
          <w:lang w:val="it-IT"/>
        </w:rPr>
        <w:t>System Center 2012 Endpoint Protection, Forefront for Office Communications Server (ex Antigen for Instant Messaging), Forefront Online Protection for Exchange (ex Exchange Hosted Filtering), Forefront Protection 2010 for Exchange Server, Forefront Threat Management Gateway Web Protection Service e Forefront Protection 2010 for SharePoint Server.</w:t>
      </w:r>
      <w:r w:rsidRPr="00D87B79">
        <w:rPr>
          <w:rFonts w:cs="Tahoma"/>
        </w:rPr>
        <w:t xml:space="preserve"> </w:t>
      </w:r>
    </w:p>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color w:val="000000"/>
          <w:lang w:val="it-IT"/>
        </w:rPr>
        <w:t>CAL Solo per Studenti (Academic Open License e Academic Select)</w:t>
      </w:r>
    </w:p>
    <w:p w:rsidR="00A92422" w:rsidRPr="00D87B79" w:rsidRDefault="00A92422" w:rsidP="00A92422">
      <w:pPr>
        <w:ind w:left="720"/>
        <w:rPr>
          <w:rFonts w:cs="Tahoma"/>
        </w:rPr>
      </w:pPr>
      <w:r w:rsidRPr="00D87B79">
        <w:rPr>
          <w:rFonts w:cs="Tahoma"/>
          <w:lang w:val="it-IT"/>
        </w:rPr>
        <w:t>Le CAL Solo per Studenti sono limitate ai PC di proprietà dello studente titolare della licenza o ai PC di</w:t>
      </w:r>
      <w:r>
        <w:rPr>
          <w:rFonts w:cs="Tahoma"/>
          <w:lang w:val="it-IT"/>
        </w:rPr>
        <w:t> </w:t>
      </w:r>
      <w:r w:rsidRPr="00D87B79">
        <w:rPr>
          <w:rFonts w:cs="Tahoma"/>
          <w:lang w:val="it-IT"/>
        </w:rPr>
        <w:t>proprietà dell’Istituto che siano assegnati a un singolo studente e NON siano utilizzati nei laboratori o</w:t>
      </w:r>
      <w:r>
        <w:rPr>
          <w:rFonts w:cs="Tahoma"/>
          <w:lang w:val="it-IT"/>
        </w:rPr>
        <w:t> </w:t>
      </w:r>
      <w:r w:rsidRPr="00D87B79">
        <w:rPr>
          <w:rFonts w:cs="Tahoma"/>
          <w:lang w:val="it-IT"/>
        </w:rPr>
        <w:t>in</w:t>
      </w:r>
      <w:r>
        <w:t> </w:t>
      </w:r>
      <w:r w:rsidRPr="00D87B79">
        <w:rPr>
          <w:rFonts w:cs="Tahoma"/>
          <w:lang w:val="it-IT"/>
        </w:rPr>
        <w:t>classe.</w:t>
      </w:r>
    </w:p>
    <w:p w:rsidR="00A92422" w:rsidRPr="00D87B79" w:rsidRDefault="00A92422" w:rsidP="00A92422">
      <w:pPr>
        <w:ind w:left="540"/>
        <w:rPr>
          <w:rFonts w:cs="Tahoma"/>
        </w:rPr>
      </w:pPr>
    </w:p>
    <w:p w:rsidR="00A92422" w:rsidRPr="00D87B79" w:rsidRDefault="00A92422" w:rsidP="00A92422">
      <w:pPr>
        <w:ind w:left="540"/>
        <w:rPr>
          <w:rFonts w:cs="Tahoma"/>
        </w:rPr>
      </w:pPr>
    </w:p>
    <w:p w:rsidR="00A92422" w:rsidRDefault="00A92422" w:rsidP="00A92422">
      <w:pPr>
        <w:rPr>
          <w:rFonts w:cs="Tahoma"/>
          <w:b/>
          <w:color w:val="F26200"/>
          <w:sz w:val="22"/>
          <w:vertAlign w:val="superscript"/>
          <w:lang w:val="it-IT"/>
        </w:rPr>
      </w:pPr>
      <w:bookmarkStart w:id="1244" w:name="_Toc336338305"/>
      <w:bookmarkStart w:id="1245" w:name="Srv_45ExchOnlineArchivingUserSL"/>
      <w:bookmarkStart w:id="1246" w:name="_42_Archiviazione_Exchange"/>
      <w:bookmarkStart w:id="1247" w:name="_Toc342900352"/>
      <w:bookmarkEnd w:id="1244"/>
      <w:bookmarkEnd w:id="1245"/>
      <w:bookmarkEnd w:id="1246"/>
      <w:r>
        <w:rPr>
          <w:rFonts w:cs="Tahoma"/>
          <w:color w:val="F26200"/>
          <w:sz w:val="22"/>
          <w:vertAlign w:val="superscript"/>
          <w:lang w:val="it-IT"/>
        </w:rPr>
        <w:br w:type="page"/>
      </w:r>
    </w:p>
    <w:p w:rsidR="00A92422" w:rsidRPr="001C0E77" w:rsidRDefault="00A92422" w:rsidP="00A92422">
      <w:pPr>
        <w:pStyle w:val="Heading2"/>
        <w:ind w:left="270" w:hanging="270"/>
        <w:rPr>
          <w:rFonts w:ascii="Tahoma" w:hAnsi="Tahoma" w:cs="Tahoma"/>
          <w:sz w:val="22"/>
          <w:szCs w:val="22"/>
        </w:rPr>
      </w:pPr>
      <w:r w:rsidRPr="001C0E77">
        <w:rPr>
          <w:rFonts w:ascii="Tahoma" w:hAnsi="Tahoma" w:cs="Tahoma"/>
          <w:color w:val="F26200"/>
          <w:sz w:val="22"/>
          <w:szCs w:val="22"/>
          <w:vertAlign w:val="superscript"/>
          <w:lang w:val="it-IT"/>
        </w:rPr>
        <w:lastRenderedPageBreak/>
        <w:t>42</w:t>
      </w:r>
      <w:r w:rsidRPr="001C0E77">
        <w:rPr>
          <w:rFonts w:ascii="Tahoma" w:hAnsi="Tahoma" w:cs="Tahoma"/>
          <w:color w:val="F26200"/>
          <w:sz w:val="22"/>
          <w:szCs w:val="22"/>
          <w:lang w:val="it-IT"/>
        </w:rPr>
        <w:t xml:space="preserve"> Archiviazione Exchange Online (SL per Utente)</w:t>
      </w:r>
      <w:bookmarkEnd w:id="1247"/>
    </w:p>
    <w:p w:rsidR="00A92422" w:rsidRPr="00D87B79" w:rsidRDefault="00A92422" w:rsidP="00A92422">
      <w:pPr>
        <w:ind w:left="900"/>
        <w:rPr>
          <w:rFonts w:cs="Tahoma"/>
        </w:rPr>
      </w:pPr>
    </w:p>
    <w:p w:rsidR="00A92422" w:rsidRPr="00D87B79" w:rsidRDefault="00A92422" w:rsidP="00A92422">
      <w:pPr>
        <w:pStyle w:val="ListParagraph"/>
        <w:rPr>
          <w:rFonts w:ascii="Tahoma" w:hAnsi="Tahoma" w:cs="Tahoma"/>
        </w:rPr>
      </w:pPr>
      <w:r w:rsidRPr="00D87B79">
        <w:rPr>
          <w:rFonts w:ascii="Tahoma" w:hAnsi="Tahoma" w:cs="Tahoma"/>
          <w:color w:val="000000"/>
          <w:sz w:val="18"/>
          <w:lang w:val="it-IT"/>
        </w:rPr>
        <w:t>Archiviazione Exchange Online è un servizio online che succede a Exchange Hosted Archive.</w:t>
      </w:r>
    </w:p>
    <w:p w:rsidR="00A92422" w:rsidRPr="00A85258" w:rsidRDefault="00A92422" w:rsidP="00A92422">
      <w:pPr>
        <w:pStyle w:val="ListParagraph"/>
        <w:rPr>
          <w:rFonts w:ascii="Tahoma" w:hAnsi="Tahoma" w:cs="Tahoma"/>
          <w:sz w:val="18"/>
          <w:szCs w:val="18"/>
        </w:rPr>
      </w:pPr>
    </w:p>
    <w:p w:rsidR="00A92422" w:rsidRPr="00D87B79" w:rsidRDefault="00A92422" w:rsidP="00A92422">
      <w:pPr>
        <w:ind w:left="720"/>
        <w:rPr>
          <w:rFonts w:cs="Tahoma"/>
        </w:rPr>
      </w:pPr>
      <w:r w:rsidRPr="00D87B79">
        <w:rPr>
          <w:rFonts w:cs="Tahoma"/>
          <w:color w:val="000000"/>
          <w:lang w:val="it-IT"/>
        </w:rPr>
        <w:t>Qualora la società effettui il rinnovo passando da Exchange Hosted Archive ad Archiviazione Exchange Online e non abbia ancora eseguito la migrazione ad Archiviazione Exchange Online, gli utenti in possesso di</w:t>
      </w:r>
      <w:r>
        <w:rPr>
          <w:rFonts w:cs="Tahoma"/>
          <w:color w:val="000000"/>
          <w:lang w:val="it-IT"/>
        </w:rPr>
        <w:t> </w:t>
      </w:r>
      <w:r w:rsidRPr="00D87B79">
        <w:rPr>
          <w:rFonts w:cs="Tahoma"/>
          <w:color w:val="000000"/>
          <w:lang w:val="it-IT"/>
        </w:rPr>
        <w:t>licenza potranno continuare a utilizzare il servizio Exchange Hosted Archive in conformità alle condizioni del PUR di marzo 2011 fino alla migrazione ad Archiviazione Exchange Online e alla scadenza della sottoscrizione di Archiviazione Exchange Online, a seconda di quale dei due eventi si verifichi per primo.</w:t>
      </w:r>
    </w:p>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color w:val="000000"/>
          <w:lang w:val="it-IT"/>
        </w:rPr>
        <w:t>Community Cloud per Enti Pubblici (solo Stati Uniti):</w:t>
      </w:r>
    </w:p>
    <w:p w:rsidR="00A92422" w:rsidRPr="00D87B79" w:rsidRDefault="00A92422" w:rsidP="00A92422">
      <w:pPr>
        <w:ind w:left="720"/>
        <w:rPr>
          <w:rFonts w:cs="Tahoma"/>
        </w:rPr>
      </w:pPr>
      <w:r w:rsidRPr="00D87B79">
        <w:rPr>
          <w:rFonts w:eastAsia="Times New Roman" w:cs="Tahoma"/>
          <w:color w:val="000000"/>
          <w:szCs w:val="18"/>
          <w:lang w:val="it-IT"/>
        </w:rPr>
        <w:t>Alcuni servizi online della famiglia di prodotti Office 365 (incluso Archiviazione Exchange Online) sono offerti come servizi di community cloud per enti pubblici e come servizi di community cloud per enti non pubblici.</w:t>
      </w:r>
      <w:r w:rsidRPr="00D87B79">
        <w:rPr>
          <w:rFonts w:eastAsia="Times New Roman" w:cs="Tahoma"/>
          <w:color w:val="000000"/>
          <w:szCs w:val="18"/>
        </w:rPr>
        <w:t xml:space="preserve"> </w:t>
      </w:r>
      <w:r w:rsidRPr="00D87B79">
        <w:rPr>
          <w:rFonts w:eastAsia="Times New Roman" w:cs="Tahoma"/>
          <w:color w:val="000000"/>
          <w:szCs w:val="18"/>
          <w:lang w:val="it-IT"/>
        </w:rPr>
        <w:t>Alle società potrà essere effettuato il provisioning come ente pubblico o non pubblico, ma non come una combinazione di entrambi.</w:t>
      </w:r>
      <w:r w:rsidRPr="00D87B79">
        <w:rPr>
          <w:rFonts w:cs="Tahoma"/>
        </w:rPr>
        <w:t xml:space="preserve"> </w:t>
      </w:r>
      <w:r w:rsidRPr="00D87B79">
        <w:rPr>
          <w:rFonts w:cs="Tahoma"/>
          <w:color w:val="000000"/>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Pr="00D87B79">
        <w:rPr>
          <w:rFonts w:cs="Tahoma"/>
        </w:rPr>
        <w:t xml:space="preserve"> </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eastAsia="Times New Roman"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un’Iscrizione Enterprise o Enterprise Subscription per Enti Pubblici Statunitensi per essere idonei all’acquisto di servizi online designati come community cloud per enti pubblici.</w:t>
      </w:r>
      <w:r w:rsidRPr="00D87B79">
        <w:rPr>
          <w:rFonts w:eastAsia="Times New Roman" w:cs="Tahoma"/>
          <w:color w:val="000000"/>
          <w:szCs w:val="18"/>
        </w:rPr>
        <w:t xml:space="preserve"> </w:t>
      </w:r>
      <w:r w:rsidRPr="00D87B79">
        <w:rPr>
          <w:rFonts w:eastAsia="Times New Roman" w:cs="Tahoma"/>
          <w:color w:val="000000"/>
          <w:szCs w:val="18"/>
          <w:lang w:val="it-IT"/>
        </w:rPr>
        <w:t>I Diritti sull’Utilizzo relativi ai servizi di community cloud per enti pubblici sono simili a quelli dei loro equivalenti multi-tenant standard.</w:t>
      </w:r>
      <w:r w:rsidRPr="00D87B79">
        <w:rPr>
          <w:rFonts w:cs="Tahoma"/>
        </w:rPr>
        <w:t xml:space="preserve"> </w:t>
      </w:r>
      <w:r w:rsidRPr="00D87B79">
        <w:rPr>
          <w:rFonts w:cs="Tahoma"/>
          <w:color w:val="000000"/>
          <w:lang w:val="it-IT"/>
        </w:rPr>
        <w:t>I servizi di community cloud per enti pubblici non sono in questa fase idonei alla Prenotazione di Licenze e alle Transizioni.</w:t>
      </w:r>
    </w:p>
    <w:p w:rsidR="00A92422" w:rsidRPr="00D87B79" w:rsidRDefault="00A92422" w:rsidP="00A92422">
      <w:pPr>
        <w:ind w:left="540"/>
        <w:rPr>
          <w:rFonts w:cs="Tahoma"/>
        </w:rPr>
      </w:pPr>
    </w:p>
    <w:p w:rsidR="00A92422" w:rsidRPr="00AE6F26" w:rsidRDefault="00A92422" w:rsidP="00A92422">
      <w:pPr>
        <w:pStyle w:val="Heading2"/>
        <w:ind w:left="0"/>
        <w:rPr>
          <w:rFonts w:ascii="Tahoma" w:hAnsi="Tahoma" w:cs="Tahoma"/>
          <w:sz w:val="18"/>
          <w:szCs w:val="18"/>
        </w:rPr>
      </w:pPr>
    </w:p>
    <w:p w:rsidR="00A92422" w:rsidRPr="00D87B79" w:rsidRDefault="00A92422" w:rsidP="00A92422">
      <w:pPr>
        <w:pStyle w:val="Heading2"/>
        <w:ind w:left="216" w:hanging="216"/>
        <w:rPr>
          <w:rFonts w:ascii="Tahoma" w:hAnsi="Tahoma" w:cs="Tahoma"/>
        </w:rPr>
      </w:pPr>
      <w:bookmarkStart w:id="1248" w:name="_Toc336338306"/>
      <w:bookmarkStart w:id="1249" w:name="Srv_44ExchHostArchiveandStorage"/>
      <w:bookmarkStart w:id="1250" w:name="_43_Exchange_Hosted"/>
      <w:bookmarkStart w:id="1251" w:name="_Toc342900353"/>
      <w:bookmarkEnd w:id="1248"/>
      <w:bookmarkEnd w:id="1249"/>
      <w:bookmarkEnd w:id="1250"/>
      <w:r w:rsidRPr="00D87B79">
        <w:rPr>
          <w:rFonts w:ascii="Tahoma" w:hAnsi="Tahoma" w:cs="Tahoma"/>
          <w:caps/>
          <w:color w:val="F26200"/>
          <w:sz w:val="20"/>
          <w:vertAlign w:val="superscript"/>
          <w:lang w:val="it-IT"/>
        </w:rPr>
        <w:t>43</w:t>
      </w:r>
      <w:r w:rsidRPr="001C0E77">
        <w:rPr>
          <w:rFonts w:ascii="Tahoma" w:hAnsi="Tahoma" w:cs="Tahoma"/>
          <w:caps/>
          <w:color w:val="F26200"/>
          <w:sz w:val="20"/>
          <w:lang w:val="it-IT"/>
        </w:rPr>
        <w:t xml:space="preserve"> </w:t>
      </w:r>
      <w:r w:rsidRPr="00D87B79">
        <w:rPr>
          <w:rFonts w:ascii="Tahoma" w:hAnsi="Tahoma" w:cs="Tahoma"/>
          <w:color w:val="F26200"/>
          <w:sz w:val="22"/>
          <w:lang w:val="it-IT"/>
        </w:rPr>
        <w:t>Exchange Hosted Archive (SL per Utente), Exchange Hosted Archive Extra Storage (SL Add-on)</w:t>
      </w:r>
      <w:bookmarkEnd w:id="1251"/>
      <w:r w:rsidRPr="00D87B79">
        <w:rPr>
          <w:rFonts w:ascii="Tahoma" w:hAnsi="Tahoma" w:cs="Tahoma"/>
        </w:rPr>
        <w:t xml:space="preserve"> </w:t>
      </w:r>
    </w:p>
    <w:p w:rsidR="00A92422" w:rsidRPr="00D87B79" w:rsidRDefault="00A92422" w:rsidP="00A92422">
      <w:pPr>
        <w:ind w:left="900"/>
        <w:rPr>
          <w:rFonts w:cs="Tahoma"/>
        </w:rPr>
      </w:pPr>
    </w:p>
    <w:p w:rsidR="00A92422" w:rsidRPr="00D87B79" w:rsidRDefault="00A92422" w:rsidP="00A92422">
      <w:pPr>
        <w:spacing w:after="60"/>
        <w:ind w:left="720"/>
        <w:rPr>
          <w:rFonts w:cs="Tahoma"/>
        </w:rPr>
      </w:pPr>
      <w:r w:rsidRPr="00D87B79">
        <w:rPr>
          <w:rFonts w:cs="Tahoma"/>
          <w:b/>
          <w:color w:val="000000"/>
          <w:lang w:val="it-IT"/>
        </w:rPr>
        <w:t>Concessione di Licenza 1 Maggio 2011 per Società Exchange Hosted Archive</w:t>
      </w:r>
      <w:r w:rsidRPr="00D87B79">
        <w:rPr>
          <w:rFonts w:cs="Tahoma"/>
        </w:rPr>
        <w:t xml:space="preserve"> </w:t>
      </w:r>
    </w:p>
    <w:p w:rsidR="00A92422" w:rsidRDefault="00A92422" w:rsidP="00A92422">
      <w:pPr>
        <w:ind w:left="720"/>
        <w:rPr>
          <w:rFonts w:cs="Tahoma"/>
        </w:rPr>
      </w:pPr>
      <w:r w:rsidRPr="00D87B79">
        <w:rPr>
          <w:rFonts w:eastAsia="Times New Roman" w:cs="Tahoma"/>
          <w:iCs/>
          <w:color w:val="000000"/>
          <w:lang w:val="it-IT"/>
        </w:rPr>
        <w:t>Alle società viene concessa un’ulteriore quantità di licenze (“licenze gratuite”) pari al 15% del numero delle</w:t>
      </w:r>
      <w:r>
        <w:rPr>
          <w:rFonts w:eastAsia="Times New Roman" w:cs="Tahoma"/>
          <w:iCs/>
          <w:color w:val="000000"/>
          <w:lang w:val="it-IT"/>
        </w:rPr>
        <w:t> </w:t>
      </w:r>
      <w:r w:rsidRPr="00D87B79">
        <w:rPr>
          <w:rFonts w:eastAsia="Times New Roman" w:cs="Tahoma"/>
          <w:iCs/>
          <w:color w:val="000000"/>
          <w:lang w:val="it-IT"/>
        </w:rPr>
        <w:t>licenze Exchange Hosted Archive (EHA) acquistate e attive in data 1 maggio 2011 (“licenze qualificanti”). Fintantoché le licenze qualificanti della società rimangono attive, le licenze gratuite rimarranno valide fino al termine della sottoscrizione che coinciderà con la migrazione della società da EHA a un Servizio Online successivo come specificato nella tabella di migrazione qui sotto. Alle società che desiderano continuare a utilizzare il Servizio Online successivo dopo la scadenza delle loro licenze gratuite verrà richiesto di ordinare un numero di licenze uguale al numero totale degli utenti che eseguiranno l’accesso a</w:t>
      </w:r>
      <w:r>
        <w:rPr>
          <w:rFonts w:eastAsia="Times New Roman" w:cs="Tahoma"/>
          <w:iCs/>
          <w:color w:val="000000"/>
          <w:lang w:val="it-IT"/>
        </w:rPr>
        <w:t> </w:t>
      </w:r>
      <w:r w:rsidRPr="00D87B79">
        <w:rPr>
          <w:rFonts w:eastAsia="Times New Roman" w:cs="Tahoma"/>
          <w:iCs/>
          <w:color w:val="000000"/>
          <w:lang w:val="it-IT"/>
        </w:rPr>
        <w:t>tale Servizio Online o che lo utilizzeranno.</w:t>
      </w:r>
      <w:r w:rsidRPr="00D87B79">
        <w:rPr>
          <w:rFonts w:eastAsia="Times New Roman" w:cs="Tahoma"/>
          <w:iCs/>
          <w:color w:val="000000"/>
        </w:rPr>
        <w:t xml:space="preserve"> </w:t>
      </w:r>
    </w:p>
    <w:p w:rsidR="00A92422" w:rsidRPr="00D87B79" w:rsidRDefault="00A92422" w:rsidP="00A92422">
      <w:pPr>
        <w:rPr>
          <w:rFonts w:cs="Tahoma"/>
        </w:rPr>
      </w:pPr>
    </w:p>
    <w:p w:rsidR="00A92422" w:rsidRPr="00D87B79" w:rsidRDefault="00A92422" w:rsidP="00A92422">
      <w:pPr>
        <w:spacing w:after="60"/>
        <w:ind w:left="720"/>
        <w:rPr>
          <w:rFonts w:cs="Tahoma"/>
        </w:rPr>
      </w:pPr>
      <w:r w:rsidRPr="00D87B79">
        <w:rPr>
          <w:rFonts w:cs="Tahoma"/>
          <w:b/>
          <w:color w:val="000000"/>
          <w:lang w:val="it-IT"/>
        </w:rPr>
        <w:t>Concessione di Licenza di Migrazione per Società Exchange Hosted Archive</w:t>
      </w:r>
    </w:p>
    <w:p w:rsidR="00A92422" w:rsidRPr="00D87B79" w:rsidRDefault="00A92422" w:rsidP="00A92422">
      <w:pPr>
        <w:ind w:left="720"/>
        <w:rPr>
          <w:rFonts w:cs="Tahoma"/>
        </w:rPr>
      </w:pPr>
      <w:r w:rsidRPr="00D87B79">
        <w:rPr>
          <w:rFonts w:eastAsia="Times New Roman" w:cs="Tahoma"/>
          <w:iCs/>
          <w:color w:val="000000"/>
          <w:lang w:val="it-IT"/>
        </w:rPr>
        <w:t>Alle società EHA che eseguono la migrazione ai Servizi Online successivi verrà concesso un numero totale di licenze sostitutive per i Servizi Online successivi uguale al numero totale di licenze EHA qualificanti e gratuite di cui dispongono, mostrate nella tabella seguente. Tali licenze sostitutive scadranno al termine del periodo di validità della sottoscrizione coincidente con la migrazione della società da EHA ai Servizi Online successivi.</w:t>
      </w:r>
      <w:r w:rsidRPr="00D87B79">
        <w:rPr>
          <w:rFonts w:eastAsia="Times New Roman" w:cs="Tahoma"/>
          <w:iCs/>
          <w:color w:val="000000"/>
        </w:rPr>
        <w:t xml:space="preserve"> </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color w:val="000000"/>
          <w:lang w:val="it-IT"/>
        </w:rPr>
        <w:t>Le SL per Utente per Exchange Online Piano 2 concesse ai sensi di questa offerta di migrazione devono essere cedute all’utente al quale è assegnata la corrispondente SL per Utente per Exchange Online Standard, Exchange Online Piano 2, BPOS Standard, Office 365 Piano E1, BPOS Deskless, Exchange Online Deskless o Chiosco Exchange Online. Se la SL per Utente corrispondente viene riassegnata a un nuovo utente, anche Exchange Online Piano 2 dovrà essere riassegnata allo stesso nuovo utente.</w:t>
      </w:r>
      <w:r w:rsidRPr="00D87B79">
        <w:rPr>
          <w:rFonts w:cs="Tahoma"/>
        </w:rPr>
        <w:t> </w:t>
      </w:r>
    </w:p>
    <w:p w:rsidR="00A92422" w:rsidRPr="00D87B79" w:rsidRDefault="00A92422" w:rsidP="00A92422">
      <w:pPr>
        <w:rPr>
          <w:rFonts w:cs="Tahoma"/>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A92422" w:rsidRPr="00D87B79" w:rsidTr="00EA30FC">
        <w:tc>
          <w:tcPr>
            <w:tcW w:w="7740" w:type="dxa"/>
            <w:gridSpan w:val="2"/>
            <w:shd w:val="clear" w:color="auto" w:fill="FABF8F"/>
          </w:tcPr>
          <w:p w:rsidR="00A92422" w:rsidRPr="00D87B79" w:rsidRDefault="00A92422" w:rsidP="00EA30FC">
            <w:pPr>
              <w:jc w:val="center"/>
              <w:rPr>
                <w:rFonts w:eastAsia="Times New Roman" w:cs="Tahoma"/>
                <w:b/>
                <w:iCs/>
                <w:color w:val="000000"/>
              </w:rPr>
            </w:pPr>
            <w:r w:rsidRPr="00D87B79">
              <w:rPr>
                <w:rFonts w:eastAsia="Times New Roman" w:cs="Tahoma"/>
                <w:b/>
                <w:iCs/>
                <w:color w:val="000000"/>
                <w:lang w:val="it-IT"/>
              </w:rPr>
              <w:t>Concessione della Licenza di Migrazione</w:t>
            </w:r>
          </w:p>
        </w:tc>
      </w:tr>
      <w:tr w:rsidR="00A92422" w:rsidRPr="00D87B79" w:rsidTr="00EA30FC">
        <w:tc>
          <w:tcPr>
            <w:tcW w:w="3960" w:type="dxa"/>
          </w:tcPr>
          <w:p w:rsidR="00A92422" w:rsidRPr="00D87B79" w:rsidRDefault="00A92422" w:rsidP="00EA30FC">
            <w:pPr>
              <w:jc w:val="center"/>
              <w:rPr>
                <w:rFonts w:eastAsia="Times New Roman" w:cs="Tahoma"/>
                <w:iCs/>
                <w:color w:val="000000"/>
              </w:rPr>
            </w:pPr>
            <w:r w:rsidRPr="00D87B79">
              <w:rPr>
                <w:rFonts w:eastAsia="Times New Roman" w:cs="Tahoma"/>
                <w:iCs/>
                <w:color w:val="000000"/>
                <w:lang w:val="it-IT"/>
              </w:rPr>
              <w:t>Posizione della licenza qualificante</w:t>
            </w:r>
          </w:p>
        </w:tc>
        <w:tc>
          <w:tcPr>
            <w:tcW w:w="3780" w:type="dxa"/>
          </w:tcPr>
          <w:p w:rsidR="00A92422" w:rsidRPr="00D87B79" w:rsidRDefault="00A92422" w:rsidP="00EA30FC">
            <w:pPr>
              <w:jc w:val="center"/>
              <w:rPr>
                <w:rFonts w:eastAsia="Times New Roman" w:cs="Tahoma"/>
                <w:iCs/>
                <w:color w:val="000000"/>
              </w:rPr>
            </w:pPr>
            <w:r w:rsidRPr="00D87B79">
              <w:rPr>
                <w:rFonts w:eastAsia="Times New Roman" w:cs="Tahoma"/>
                <w:iCs/>
                <w:color w:val="000000"/>
                <w:lang w:val="it-IT"/>
              </w:rPr>
              <w:t>Concessione di Licenza</w:t>
            </w:r>
          </w:p>
        </w:tc>
      </w:tr>
      <w:tr w:rsidR="00A92422" w:rsidRPr="00D87B79" w:rsidTr="00EA30FC">
        <w:tc>
          <w:tcPr>
            <w:tcW w:w="3960" w:type="dxa"/>
          </w:tcPr>
          <w:p w:rsidR="00A92422" w:rsidRPr="00D87B79" w:rsidRDefault="00A92422" w:rsidP="00EA30FC">
            <w:pPr>
              <w:ind w:left="720" w:right="342"/>
              <w:contextualSpacing/>
              <w:rPr>
                <w:rFonts w:cs="Tahoma"/>
              </w:rPr>
            </w:pPr>
          </w:p>
          <w:p w:rsidR="00A92422" w:rsidRPr="00D87B79" w:rsidRDefault="00A92422" w:rsidP="00EA30FC">
            <w:pPr>
              <w:spacing w:after="60"/>
              <w:ind w:left="158" w:right="346"/>
              <w:rPr>
                <w:rFonts w:cs="Tahoma"/>
              </w:rPr>
            </w:pPr>
            <w:r w:rsidRPr="00D87B79">
              <w:rPr>
                <w:rFonts w:cs="Tahoma"/>
                <w:color w:val="000000"/>
                <w:lang w:val="it-IT"/>
              </w:rPr>
              <w:t xml:space="preserve">SL per Utente per EHA (utilizzato </w:t>
            </w:r>
            <w:r w:rsidRPr="00D87B79">
              <w:rPr>
                <w:rFonts w:cs="Tahoma"/>
                <w:color w:val="000000"/>
                <w:lang w:val="it-IT"/>
              </w:rPr>
              <w:lastRenderedPageBreak/>
              <w:t>insieme a una CAL per Exchange on-premise)</w:t>
            </w:r>
          </w:p>
          <w:p w:rsidR="00A92422" w:rsidRPr="00D87B79" w:rsidRDefault="00A92422" w:rsidP="00EA30FC">
            <w:pPr>
              <w:spacing w:after="60"/>
              <w:ind w:left="158" w:right="346"/>
              <w:rPr>
                <w:rFonts w:cs="Tahoma"/>
              </w:rPr>
            </w:pPr>
            <w:r w:rsidRPr="00D87B79">
              <w:rPr>
                <w:rFonts w:cs="Tahoma"/>
                <w:color w:val="000000"/>
                <w:lang w:val="it-IT"/>
              </w:rPr>
              <w:t>SL per Utente per EHA (utilizzata insieme a SL per Utente per Exchange Online Standard, Exchange Online Plan</w:t>
            </w:r>
          </w:p>
          <w:p w:rsidR="00A92422" w:rsidRPr="00D87B79" w:rsidRDefault="00A92422" w:rsidP="00EA30FC">
            <w:pPr>
              <w:spacing w:after="60"/>
              <w:ind w:left="158" w:right="346"/>
              <w:rPr>
                <w:rFonts w:eastAsia="Times New Roman" w:cs="Tahoma"/>
                <w:iCs/>
                <w:color w:val="000000"/>
              </w:rPr>
            </w:pPr>
            <w:r w:rsidRPr="00D87B79">
              <w:rPr>
                <w:rFonts w:eastAsia="Times New Roman" w:cs="Tahoma"/>
                <w:iCs/>
                <w:color w:val="000000"/>
                <w:lang w:val="it-IT"/>
              </w:rPr>
              <w:t>2, BPOS Standard, Office 365 E1, BPOS Deskless, Exchange Online Deskless o</w:t>
            </w:r>
            <w:r>
              <w:rPr>
                <w:rFonts w:eastAsia="Times New Roman" w:cs="Tahoma"/>
                <w:iCs/>
                <w:color w:val="000000"/>
                <w:lang w:val="it-IT"/>
              </w:rPr>
              <w:t> </w:t>
            </w:r>
            <w:r w:rsidRPr="00D87B79">
              <w:rPr>
                <w:rFonts w:eastAsia="Times New Roman" w:cs="Tahoma"/>
                <w:iCs/>
                <w:color w:val="000000"/>
                <w:lang w:val="it-IT"/>
              </w:rPr>
              <w:t>Chiosco Exchange Online)</w:t>
            </w:r>
          </w:p>
        </w:tc>
        <w:tc>
          <w:tcPr>
            <w:tcW w:w="3780" w:type="dxa"/>
          </w:tcPr>
          <w:p w:rsidR="00A92422" w:rsidRPr="00D87B79" w:rsidRDefault="00A92422" w:rsidP="00EA30FC">
            <w:pPr>
              <w:ind w:left="720"/>
              <w:contextualSpacing/>
              <w:rPr>
                <w:rFonts w:cs="Tahoma"/>
              </w:rPr>
            </w:pPr>
          </w:p>
          <w:p w:rsidR="00A92422" w:rsidRPr="00D87B79" w:rsidRDefault="00A92422" w:rsidP="00A92422">
            <w:pPr>
              <w:numPr>
                <w:ilvl w:val="0"/>
                <w:numId w:val="88"/>
              </w:numPr>
              <w:ind w:right="342"/>
              <w:contextualSpacing/>
              <w:rPr>
                <w:rFonts w:eastAsia="Times New Roman" w:cs="Tahoma"/>
                <w:iCs/>
                <w:color w:val="000000"/>
              </w:rPr>
            </w:pPr>
            <w:r w:rsidRPr="00D87B79">
              <w:rPr>
                <w:rFonts w:eastAsia="Times New Roman" w:cs="Tahoma"/>
                <w:iCs/>
                <w:color w:val="000000"/>
                <w:lang w:val="it-IT"/>
              </w:rPr>
              <w:t xml:space="preserve">SL per Utente per Exchange </w:t>
            </w:r>
            <w:r w:rsidRPr="00D87B79">
              <w:rPr>
                <w:rFonts w:eastAsia="Times New Roman" w:cs="Tahoma"/>
                <w:iCs/>
                <w:color w:val="000000"/>
                <w:lang w:val="it-IT"/>
              </w:rPr>
              <w:lastRenderedPageBreak/>
              <w:t>Online Piano 2</w:t>
            </w:r>
          </w:p>
        </w:tc>
      </w:tr>
    </w:tbl>
    <w:p w:rsidR="00A92422" w:rsidRPr="00D87B79" w:rsidRDefault="00A92422" w:rsidP="00A92422">
      <w:pPr>
        <w:rPr>
          <w:rFonts w:cs="Tahoma"/>
        </w:rPr>
      </w:pPr>
    </w:p>
    <w:p w:rsidR="00A92422" w:rsidRPr="00D87B79" w:rsidRDefault="00A92422" w:rsidP="00A92422">
      <w:pPr>
        <w:spacing w:after="60"/>
        <w:ind w:left="720"/>
        <w:rPr>
          <w:rFonts w:cs="Tahoma"/>
        </w:rPr>
      </w:pPr>
      <w:r w:rsidRPr="00D87B79">
        <w:rPr>
          <w:rFonts w:cs="Tahoma"/>
          <w:b/>
          <w:color w:val="000000"/>
          <w:lang w:val="it-IT"/>
        </w:rPr>
        <w:t>L’Utilizzo Continuativo di Exchange Hosted Archive (EHA) con Sottoscrizioni Attive di Business Productivity Online Subscription (BPOS) e di Exchange Online Standard</w:t>
      </w:r>
    </w:p>
    <w:p w:rsidR="00A92422" w:rsidRPr="00D87B79" w:rsidRDefault="00A92422" w:rsidP="00A92422">
      <w:pPr>
        <w:ind w:left="720"/>
        <w:rPr>
          <w:rFonts w:cs="Tahoma"/>
        </w:rPr>
      </w:pPr>
      <w:r w:rsidRPr="00D87B79">
        <w:rPr>
          <w:rFonts w:cs="Tahoma"/>
          <w:color w:val="000000"/>
          <w:lang w:val="it-IT"/>
        </w:rPr>
        <w:t>Le società con sottoscrizioni EHA in scadenza che non hanno ancora effettuato la migrazione a Office 365 e</w:t>
      </w:r>
      <w:r>
        <w:rPr>
          <w:rFonts w:cs="Tahoma"/>
          <w:color w:val="000000"/>
          <w:lang w:val="it-IT"/>
        </w:rPr>
        <w:t> </w:t>
      </w:r>
      <w:r w:rsidRPr="00D87B79">
        <w:rPr>
          <w:rFonts w:cs="Tahoma"/>
          <w:color w:val="000000"/>
          <w:lang w:val="it-IT"/>
        </w:rPr>
        <w:t>sono attualmente implementate su BPOS o Exchange Online Standard potranno continuare a utilizzare EHA dopo la scadenza della loro sottoscrizione e fino (i) alla migrazione a Office 365 o (ii) alla scadenza della loro sottoscrizione di BPOS o Exchange Online Standard.</w:t>
      </w:r>
      <w:r w:rsidRPr="00D87B79">
        <w:rPr>
          <w:rFonts w:cs="Tahoma"/>
        </w:rPr>
        <w:t xml:space="preserve"> </w:t>
      </w:r>
      <w:r w:rsidRPr="00D87B79">
        <w:rPr>
          <w:rFonts w:cs="Tahoma"/>
          <w:color w:val="000000"/>
          <w:lang w:val="it-IT"/>
        </w:rPr>
        <w:t>L’utilizzo di EHA da parte delle società ai sensi</w:t>
      </w:r>
      <w:r>
        <w:rPr>
          <w:rFonts w:cs="Tahoma"/>
          <w:color w:val="000000"/>
          <w:lang w:val="it-IT"/>
        </w:rPr>
        <w:t> </w:t>
      </w:r>
      <w:r w:rsidRPr="00D87B79">
        <w:rPr>
          <w:rFonts w:cs="Tahoma"/>
          <w:color w:val="000000"/>
          <w:lang w:val="it-IT"/>
        </w:rPr>
        <w:t>della presente offerta è soggetto alle condizioni del Contratto Multilicenza e alle condizioni di licenza EHA presenti nei Diritti di Utilizzo del Prodotto del mese di gennaio 2011. Le società saranno ritenute titolari</w:t>
      </w:r>
      <w:r>
        <w:rPr>
          <w:rFonts w:cs="Tahoma"/>
          <w:color w:val="000000"/>
          <w:lang w:val="it-IT"/>
        </w:rPr>
        <w:t> </w:t>
      </w:r>
      <w:r w:rsidRPr="00D87B79">
        <w:rPr>
          <w:rFonts w:cs="Tahoma"/>
          <w:color w:val="000000"/>
          <w:lang w:val="it-IT"/>
        </w:rPr>
        <w:t>di una licenza “Subscription” per utente o dispositivo EHA temporanea per ciascuna delle loro licenze “Subscription” per utente o dispositivo EHA in scadenza.</w:t>
      </w:r>
      <w:r w:rsidRPr="00D87B79">
        <w:rPr>
          <w:rFonts w:cs="Tahoma"/>
        </w:rPr>
        <w:t xml:space="preserve"> </w:t>
      </w:r>
      <w:r w:rsidRPr="00D87B79">
        <w:rPr>
          <w:rFonts w:cs="Tahoma"/>
          <w:color w:val="000000"/>
          <w:lang w:val="it-IT"/>
        </w:rPr>
        <w:t>Tali licenze “Subscription” per utente o dispositivo EHA temporanee potranno essere cedute solo agli utenti e ai dispositivi ai quali vengono cedute licenze per BPOS o Exchange Online Standard.</w:t>
      </w:r>
      <w:r w:rsidRPr="00D87B79">
        <w:rPr>
          <w:rFonts w:cs="Tahoma"/>
        </w:rPr>
        <w:t xml:space="preserve"> </w:t>
      </w:r>
      <w:r w:rsidRPr="00D87B79">
        <w:rPr>
          <w:rFonts w:cs="Tahoma"/>
          <w:color w:val="000000"/>
          <w:lang w:val="it-IT"/>
        </w:rPr>
        <w:t>EHA viene concesso in licenza com’è, senza alcun tipo di garanzia.</w:t>
      </w:r>
      <w:r w:rsidRPr="00D87B79">
        <w:rPr>
          <w:rFonts w:cs="Tahoma"/>
        </w:rPr>
        <w:t xml:space="preserve"> </w:t>
      </w:r>
    </w:p>
    <w:p w:rsidR="00A92422" w:rsidRPr="00D87B79" w:rsidRDefault="00A92422" w:rsidP="00A92422">
      <w:pPr>
        <w:pStyle w:val="Heading2"/>
        <w:ind w:left="0"/>
        <w:rPr>
          <w:rFonts w:ascii="Tahoma" w:hAnsi="Tahoma" w:cs="Tahoma"/>
        </w:rPr>
      </w:pPr>
    </w:p>
    <w:p w:rsidR="00A92422" w:rsidRPr="00D87B79" w:rsidRDefault="00A92422" w:rsidP="00A92422">
      <w:pPr>
        <w:pStyle w:val="Heading2"/>
        <w:ind w:left="0"/>
        <w:rPr>
          <w:rFonts w:ascii="Tahoma" w:hAnsi="Tahoma" w:cs="Tahoma"/>
        </w:rPr>
      </w:pPr>
      <w:bookmarkStart w:id="1252" w:name="_Toc336338307"/>
      <w:bookmarkStart w:id="1253" w:name="_44_Exchange_Hosted"/>
      <w:bookmarkStart w:id="1254" w:name="_Toc342900354"/>
      <w:bookmarkEnd w:id="1252"/>
      <w:bookmarkEnd w:id="1253"/>
      <w:r w:rsidRPr="00D87B79">
        <w:rPr>
          <w:rFonts w:ascii="Tahoma" w:hAnsi="Tahoma" w:cs="Tahoma"/>
          <w:color w:val="E25B00"/>
          <w:sz w:val="22"/>
          <w:vertAlign w:val="superscript"/>
          <w:lang w:val="it-IT"/>
        </w:rPr>
        <w:t>44</w:t>
      </w:r>
      <w:r w:rsidRPr="005E15AC">
        <w:rPr>
          <w:rFonts w:ascii="Tahoma" w:hAnsi="Tahoma" w:cs="Tahoma"/>
          <w:color w:val="E25B00"/>
          <w:sz w:val="22"/>
          <w:lang w:val="it-IT"/>
        </w:rPr>
        <w:t xml:space="preserve"> </w:t>
      </w:r>
      <w:r w:rsidRPr="003E4453">
        <w:rPr>
          <w:rFonts w:ascii="Tahoma" w:hAnsi="Tahoma" w:cs="Tahoma"/>
          <w:color w:val="E25B00"/>
          <w:sz w:val="22"/>
          <w:lang w:val="it-IT"/>
        </w:rPr>
        <w:t>Exchange Hosted Encryption (SL per Utente)</w:t>
      </w:r>
      <w:bookmarkEnd w:id="1254"/>
    </w:p>
    <w:p w:rsidR="00A92422" w:rsidRPr="00D87B79" w:rsidRDefault="00A92422" w:rsidP="00A92422">
      <w:pPr>
        <w:ind w:left="900"/>
        <w:rPr>
          <w:rFonts w:cs="Tahoma"/>
        </w:rPr>
      </w:pPr>
    </w:p>
    <w:p w:rsidR="00A92422" w:rsidRPr="00D87B79" w:rsidRDefault="00A92422" w:rsidP="00A92422">
      <w:pPr>
        <w:ind w:left="720"/>
        <w:rPr>
          <w:rFonts w:cs="Tahoma"/>
        </w:rPr>
      </w:pPr>
      <w:r w:rsidRPr="00D87B79">
        <w:rPr>
          <w:rFonts w:cs="Tahoma"/>
          <w:lang w:val="it-IT"/>
        </w:rPr>
        <w:t>Le società dovrebbero utilizzare la stessa iscrizione del contratto Select attivo, l’iscrizione del contratto Enterprise o il contratto Open Value per effettuare ordini successivamente all’ordine iniziale.</w:t>
      </w:r>
    </w:p>
    <w:p w:rsidR="00A92422" w:rsidRPr="00D87B79" w:rsidRDefault="00A92422" w:rsidP="00A92422">
      <w:pPr>
        <w:ind w:left="720"/>
        <w:rPr>
          <w:rFonts w:cs="Tahoma"/>
        </w:rPr>
      </w:pPr>
    </w:p>
    <w:p w:rsidR="00A92422" w:rsidRPr="00D87B79" w:rsidRDefault="00A92422" w:rsidP="00A92422">
      <w:pPr>
        <w:ind w:left="720"/>
        <w:rPr>
          <w:rFonts w:cs="Tahoma"/>
        </w:rPr>
      </w:pPr>
      <w:bookmarkStart w:id="1255" w:name="Srv_39ExchangeOnDeskWork"/>
      <w:bookmarkEnd w:id="1255"/>
      <w:r w:rsidRPr="00D87B79">
        <w:rPr>
          <w:rFonts w:cs="Tahoma"/>
          <w:color w:val="000000"/>
          <w:lang w:val="it-IT"/>
        </w:rPr>
        <w:t>Fare riferimento all'</w:t>
      </w:r>
      <w:hyperlink w:anchor="Appendix_5" w:history="1">
        <w:hyperlink w:anchor="_ARTICOLO_5_–" w:history="1">
          <w:r w:rsidRPr="00D87B79">
            <w:rPr>
              <w:rStyle w:val="Hyperlink"/>
              <w:rFonts w:cs="Tahoma"/>
              <w:lang w:val="it-IT"/>
            </w:rPr>
            <w:t>Articolo 5</w:t>
          </w:r>
        </w:hyperlink>
      </w:hyperlink>
      <w:r w:rsidRPr="00D87B79">
        <w:rPr>
          <w:rFonts w:cs="Tahoma"/>
          <w:color w:val="000000"/>
          <w:lang w:val="it-IT"/>
        </w:rPr>
        <w:t xml:space="preserve"> per i prezzi dei servizi online e le condizioni di pagamento.</w:t>
      </w:r>
    </w:p>
    <w:p w:rsidR="00A92422" w:rsidRPr="00D87B79" w:rsidRDefault="00A92422" w:rsidP="00A92422">
      <w:pPr>
        <w:ind w:left="900"/>
        <w:rPr>
          <w:rFonts w:cs="Tahoma"/>
        </w:rPr>
      </w:pPr>
    </w:p>
    <w:p w:rsidR="00A92422" w:rsidRPr="00D87B79" w:rsidRDefault="00A92422" w:rsidP="00A92422">
      <w:pPr>
        <w:ind w:left="900"/>
        <w:rPr>
          <w:rFonts w:cs="Tahoma"/>
        </w:rPr>
      </w:pPr>
    </w:p>
    <w:p w:rsidR="00A92422" w:rsidRPr="00D87B79" w:rsidRDefault="00A92422" w:rsidP="00A92422">
      <w:pPr>
        <w:pStyle w:val="Heading3"/>
        <w:rPr>
          <w:rFonts w:ascii="Tahoma" w:hAnsi="Tahoma" w:cs="Tahoma"/>
        </w:rPr>
      </w:pPr>
      <w:bookmarkStart w:id="1256" w:name="_Toc336338308"/>
      <w:bookmarkStart w:id="1257" w:name="_45_Chiosco_Exchange"/>
      <w:bookmarkStart w:id="1258" w:name="_Toc342900355"/>
      <w:bookmarkStart w:id="1259" w:name="Srv_40ExchangeOnDeskWork"/>
      <w:bookmarkStart w:id="1260" w:name="Srv_45ExchangeOnDeskWork"/>
      <w:bookmarkEnd w:id="1256"/>
      <w:bookmarkEnd w:id="1257"/>
      <w:r w:rsidRPr="00D87B79">
        <w:rPr>
          <w:rFonts w:ascii="Tahoma" w:hAnsi="Tahoma" w:cs="Tahoma"/>
          <w:caps/>
          <w:color w:val="F66400"/>
          <w:sz w:val="22"/>
          <w:vertAlign w:val="superscript"/>
          <w:lang w:val="it-IT"/>
        </w:rPr>
        <w:t>45</w:t>
      </w:r>
      <w:r w:rsidRPr="00D87B79">
        <w:rPr>
          <w:rFonts w:ascii="Tahoma" w:hAnsi="Tahoma" w:cs="Tahoma"/>
          <w:color w:val="F66400"/>
          <w:sz w:val="22"/>
          <w:lang w:val="it-IT"/>
        </w:rPr>
        <w:t xml:space="preserve"> Chiosco Exchange Online (SL per Utente)</w:t>
      </w:r>
      <w:bookmarkEnd w:id="1258"/>
    </w:p>
    <w:bookmarkEnd w:id="1259"/>
    <w:bookmarkEnd w:id="1260"/>
    <w:p w:rsidR="00A92422" w:rsidRPr="00E61C93" w:rsidRDefault="00A92422" w:rsidP="00A92422">
      <w:pPr>
        <w:pStyle w:val="EndnoteText"/>
        <w:rPr>
          <w:rFonts w:ascii="Tahoma" w:hAnsi="Tahoma" w:cs="Tahoma"/>
          <w:sz w:val="20"/>
        </w:rPr>
      </w:pPr>
    </w:p>
    <w:p w:rsidR="00A92422" w:rsidRPr="00D87B79" w:rsidRDefault="00A92422" w:rsidP="00A92422">
      <w:pPr>
        <w:ind w:left="720"/>
        <w:rPr>
          <w:rFonts w:cs="Tahoma"/>
        </w:rPr>
      </w:pPr>
      <w:r w:rsidRPr="00D87B79">
        <w:rPr>
          <w:rFonts w:cs="Tahoma"/>
          <w:color w:val="000000"/>
          <w:lang w:val="it-IT"/>
        </w:rPr>
        <w:t>Nonostante quanto diversamente stabilito nei contratti di licenza delle società, gli utenti qualificati non</w:t>
      </w:r>
      <w:r>
        <w:rPr>
          <w:rFonts w:cs="Tahoma"/>
          <w:color w:val="000000"/>
          <w:lang w:val="it-IT"/>
        </w:rPr>
        <w:t> </w:t>
      </w:r>
      <w:r w:rsidRPr="00D87B79">
        <w:rPr>
          <w:rFonts w:cs="Tahoma"/>
          <w:color w:val="000000"/>
          <w:lang w:val="it-IT"/>
        </w:rPr>
        <w:t>includono gli utenti titolari di licenza Chiosco Exchange Online.</w:t>
      </w:r>
    </w:p>
    <w:p w:rsidR="00A92422" w:rsidRPr="00D87B79" w:rsidRDefault="00A92422" w:rsidP="00A92422">
      <w:pPr>
        <w:ind w:left="720"/>
        <w:rPr>
          <w:rFonts w:cs="Tahoma"/>
        </w:rPr>
      </w:pPr>
    </w:p>
    <w:p w:rsidR="00A92422" w:rsidRDefault="00A92422" w:rsidP="00A92422">
      <w:pPr>
        <w:ind w:left="720"/>
        <w:rPr>
          <w:rFonts w:cs="Tahoma"/>
        </w:rPr>
      </w:pPr>
      <w:r w:rsidRPr="00D87B79">
        <w:rPr>
          <w:rFonts w:cs="Tahoma"/>
          <w:color w:val="000000"/>
          <w:lang w:val="it-IT"/>
        </w:rPr>
        <w:t>Il Chiosco Exchange Online era precedentemente noto come Exchange Online Deskless Worker.</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color w:val="000000"/>
          <w:u w:val="single"/>
          <w:lang w:val="it-IT"/>
        </w:rPr>
        <w:t>Community Cloud per Enti Pubblici (solo Stati Uniti)</w:t>
      </w:r>
      <w:r w:rsidRPr="00E61C93">
        <w:rPr>
          <w:rFonts w:cs="Tahoma"/>
          <w:color w:val="000000"/>
          <w:lang w:val="it-IT"/>
        </w:rPr>
        <w:t>:</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color w:val="000000"/>
          <w:lang w:val="it-IT"/>
        </w:rPr>
        <w:t>Alcuni servizi online della famiglia di prodotti Office 365 (incluso Chiosco Exchange Online) sono offerti come servizi di community cloud per enti pubblici e come servizi di community cloud per enti non pubblici.</w:t>
      </w:r>
      <w:r w:rsidRPr="00D87B79">
        <w:rPr>
          <w:rFonts w:cs="Tahoma"/>
        </w:rPr>
        <w:t xml:space="preserve"> </w:t>
      </w:r>
      <w:r w:rsidRPr="00D87B79">
        <w:rPr>
          <w:rFonts w:cs="Tahoma"/>
          <w:color w:val="000000"/>
          <w:lang w:val="it-IT"/>
        </w:rPr>
        <w:t>Alle società potrà essere effettuato il provisioning come ente pubblico o non pubblico, ma non come una combinazione di entrambi.</w:t>
      </w:r>
      <w:r w:rsidRPr="00D87B79">
        <w:rPr>
          <w:rFonts w:cs="Tahoma"/>
        </w:rPr>
        <w:t xml:space="preserve"> </w:t>
      </w:r>
      <w:r w:rsidRPr="00D87B79">
        <w:rPr>
          <w:rFonts w:cs="Tahoma"/>
          <w:color w:val="000000"/>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Pr="00D87B79">
        <w:rPr>
          <w:rFonts w:cs="Tahoma"/>
        </w:rPr>
        <w:t xml:space="preserve"> </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eastAsia="Times New Roman"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un’Iscrizione Enterprise o Enterprise Subscription per Enti Pubblici Statunitensi per essere idonei all’acquisto di servizi online designati come community cloud per enti pubblici.</w:t>
      </w:r>
      <w:r w:rsidRPr="00D87B79">
        <w:rPr>
          <w:rFonts w:eastAsia="Times New Roman" w:cs="Tahoma"/>
          <w:color w:val="000000"/>
          <w:szCs w:val="18"/>
        </w:rPr>
        <w:t xml:space="preserve"> </w:t>
      </w:r>
      <w:r w:rsidRPr="00D87B79">
        <w:rPr>
          <w:rFonts w:eastAsia="Times New Roman" w:cs="Tahoma"/>
          <w:color w:val="000000"/>
          <w:szCs w:val="18"/>
          <w:lang w:val="it-IT"/>
        </w:rPr>
        <w:t>I Diritti sull’Utilizzo relativi ai servizi di community cloud per enti pubblici sono simili a quelli dei loro equivalenti multi-tenant standard.</w:t>
      </w:r>
      <w:r w:rsidRPr="00D87B79">
        <w:rPr>
          <w:rFonts w:eastAsia="Times New Roman" w:cs="Tahoma"/>
          <w:color w:val="000000"/>
          <w:szCs w:val="18"/>
        </w:rPr>
        <w:t xml:space="preserve"> </w:t>
      </w:r>
    </w:p>
    <w:p w:rsidR="00A92422" w:rsidRDefault="00A92422" w:rsidP="00A92422">
      <w:pPr>
        <w:rPr>
          <w:rFonts w:cs="Tahoma"/>
        </w:rPr>
      </w:pPr>
      <w:r>
        <w:rPr>
          <w:rFonts w:cs="Tahoma"/>
        </w:rPr>
        <w:br w:type="page"/>
      </w:r>
    </w:p>
    <w:p w:rsidR="00A92422" w:rsidRPr="00D87B79" w:rsidRDefault="00A92422" w:rsidP="00A92422">
      <w:pPr>
        <w:rPr>
          <w:rFonts w:cs="Tahoma"/>
        </w:rPr>
      </w:pPr>
    </w:p>
    <w:p w:rsidR="00A92422" w:rsidRPr="00D87B79" w:rsidRDefault="00A92422" w:rsidP="00A92422">
      <w:pPr>
        <w:pStyle w:val="Heading2"/>
        <w:ind w:left="0"/>
        <w:rPr>
          <w:rFonts w:ascii="Tahoma" w:hAnsi="Tahoma" w:cs="Tahoma"/>
        </w:rPr>
      </w:pPr>
      <w:bookmarkStart w:id="1261" w:name="_Toc336338309"/>
      <w:bookmarkStart w:id="1262" w:name="_46_Exchange_Online"/>
      <w:bookmarkStart w:id="1263" w:name="_Toc342900356"/>
      <w:bookmarkStart w:id="1264" w:name="Srv_46ExhangeOnlinePlan1"/>
      <w:bookmarkEnd w:id="1261"/>
      <w:bookmarkEnd w:id="1262"/>
      <w:r w:rsidRPr="00D87B79">
        <w:rPr>
          <w:rFonts w:ascii="Tahoma" w:hAnsi="Tahoma" w:cs="Tahoma"/>
          <w:caps/>
          <w:color w:val="F66400"/>
          <w:sz w:val="22"/>
          <w:vertAlign w:val="superscript"/>
          <w:lang w:val="it-IT"/>
        </w:rPr>
        <w:t>46</w:t>
      </w:r>
      <w:r w:rsidRPr="00D87B79">
        <w:rPr>
          <w:rFonts w:ascii="Tahoma" w:hAnsi="Tahoma" w:cs="Tahoma"/>
          <w:color w:val="F66400"/>
          <w:sz w:val="22"/>
          <w:lang w:val="it-IT"/>
        </w:rPr>
        <w:t xml:space="preserve"> Exchange Online Piano 1</w:t>
      </w:r>
      <w:bookmarkEnd w:id="1263"/>
    </w:p>
    <w:bookmarkEnd w:id="1264"/>
    <w:p w:rsidR="00A92422" w:rsidRPr="00D87B79" w:rsidRDefault="00A92422" w:rsidP="00A92422">
      <w:pPr>
        <w:outlineLvl w:val="2"/>
        <w:rPr>
          <w:rFonts w:cs="Tahoma"/>
        </w:rPr>
      </w:pPr>
    </w:p>
    <w:p w:rsidR="00A92422" w:rsidRPr="00D87B79" w:rsidRDefault="00A92422" w:rsidP="00A92422">
      <w:pPr>
        <w:ind w:left="720"/>
        <w:contextualSpacing/>
        <w:rPr>
          <w:rFonts w:cs="Tahoma"/>
        </w:rPr>
      </w:pPr>
      <w:r w:rsidRPr="00D87B79">
        <w:rPr>
          <w:rFonts w:cs="Tahoma"/>
          <w:lang w:val="it-IT"/>
        </w:rPr>
        <w:t>Exchange Online Piano 1 era precedentemente noto come Exchange Online Standard.</w:t>
      </w:r>
    </w:p>
    <w:p w:rsidR="00A92422" w:rsidRPr="00D87B79" w:rsidRDefault="00A92422" w:rsidP="00A92422">
      <w:pPr>
        <w:contextualSpacing/>
        <w:rPr>
          <w:rFonts w:cs="Tahoma"/>
        </w:rPr>
      </w:pPr>
    </w:p>
    <w:p w:rsidR="00A92422" w:rsidRPr="00D87B79" w:rsidRDefault="00A92422" w:rsidP="00A92422">
      <w:pPr>
        <w:ind w:left="720"/>
        <w:rPr>
          <w:rFonts w:cs="Tahoma"/>
        </w:rPr>
      </w:pPr>
      <w:r w:rsidRPr="00D87B79">
        <w:rPr>
          <w:rFonts w:cs="Tahoma"/>
          <w:color w:val="000000"/>
          <w:lang w:val="it-IT"/>
        </w:rPr>
        <w:t>Nonostante eventuali disposizioni contrarie dei diritti di utilizzo del prodotto, un Exchange Online Piano 1</w:t>
      </w:r>
      <w:r>
        <w:rPr>
          <w:rFonts w:cs="Tahoma"/>
          <w:color w:val="000000"/>
          <w:lang w:val="it-IT"/>
        </w:rPr>
        <w:t> </w:t>
      </w:r>
      <w:r w:rsidRPr="00D87B79">
        <w:rPr>
          <w:rFonts w:cs="Tahoma"/>
          <w:color w:val="000000"/>
          <w:lang w:val="it-IT"/>
        </w:rPr>
        <w:t>(SL</w:t>
      </w:r>
      <w:r>
        <w:rPr>
          <w:rFonts w:cs="Tahoma"/>
          <w:color w:val="000000"/>
          <w:lang w:val="it-IT"/>
        </w:rPr>
        <w:t> </w:t>
      </w:r>
      <w:r w:rsidRPr="00D87B79">
        <w:rPr>
          <w:rFonts w:cs="Tahoma"/>
          <w:color w:val="000000"/>
          <w:lang w:val="it-IT"/>
        </w:rPr>
        <w:t>per Utente) acquistato ai sensi di un contratto Campus e School, non consente l’accesso all’Exchange</w:t>
      </w:r>
      <w:r>
        <w:rPr>
          <w:rFonts w:cs="Tahoma"/>
          <w:color w:val="000000"/>
          <w:lang w:val="it-IT"/>
        </w:rPr>
        <w:t> </w:t>
      </w:r>
      <w:r w:rsidRPr="00D87B79">
        <w:rPr>
          <w:rFonts w:cs="Tahoma"/>
          <w:color w:val="000000"/>
          <w:lang w:val="it-IT"/>
        </w:rPr>
        <w:t>Server.</w:t>
      </w:r>
    </w:p>
    <w:p w:rsidR="00A92422" w:rsidRPr="00D87B79" w:rsidRDefault="00A92422" w:rsidP="00A92422">
      <w:pPr>
        <w:ind w:left="720"/>
        <w:rPr>
          <w:rFonts w:cs="Tahoma"/>
        </w:rPr>
      </w:pPr>
    </w:p>
    <w:p w:rsidR="00A92422" w:rsidRPr="00D87B79" w:rsidRDefault="00A92422" w:rsidP="00A92422">
      <w:pPr>
        <w:spacing w:after="60"/>
        <w:ind w:left="720"/>
        <w:rPr>
          <w:rFonts w:cs="Tahoma"/>
        </w:rPr>
      </w:pPr>
      <w:bookmarkStart w:id="1265" w:name="Srv_41ExchangeSvr07EntCAL"/>
      <w:bookmarkStart w:id="1266" w:name="Srv_42ExchangeSvr2010EntCAL"/>
      <w:bookmarkStart w:id="1267" w:name="Srv_47ExchangeSvr2010EntCAL"/>
      <w:bookmarkEnd w:id="1265"/>
      <w:bookmarkEnd w:id="1266"/>
      <w:bookmarkEnd w:id="1267"/>
      <w:r w:rsidRPr="00D87B79">
        <w:rPr>
          <w:rFonts w:cs="Tahoma"/>
          <w:b/>
          <w:color w:val="000000"/>
          <w:lang w:val="it-IT"/>
        </w:rPr>
        <w:t>Community Cloud per Enti Pubblici (solo Stati Uniti)</w:t>
      </w:r>
    </w:p>
    <w:p w:rsidR="00A92422" w:rsidRPr="00D87B79" w:rsidRDefault="00A92422" w:rsidP="00A92422">
      <w:pPr>
        <w:ind w:left="720"/>
        <w:rPr>
          <w:rFonts w:cs="Tahoma"/>
        </w:rPr>
      </w:pPr>
      <w:r w:rsidRPr="00D87B79">
        <w:rPr>
          <w:rFonts w:eastAsia="Times New Roman" w:cs="Tahoma"/>
          <w:color w:val="000000"/>
          <w:szCs w:val="18"/>
          <w:lang w:val="it-IT"/>
        </w:rPr>
        <w:t>Alcuni servizi online della famiglia di prodotti Office 365 (incluso Exchange Online Piano 1) sono offerti come</w:t>
      </w:r>
      <w:r>
        <w:rPr>
          <w:rFonts w:eastAsia="Times New Roman" w:cs="Tahoma"/>
          <w:color w:val="000000"/>
          <w:szCs w:val="18"/>
          <w:lang w:val="it-IT"/>
        </w:rPr>
        <w:t> </w:t>
      </w:r>
      <w:r w:rsidRPr="00D87B79">
        <w:rPr>
          <w:rFonts w:eastAsia="Times New Roman" w:cs="Tahoma"/>
          <w:color w:val="000000"/>
          <w:szCs w:val="18"/>
          <w:lang w:val="it-IT"/>
        </w:rPr>
        <w:t>servizi di community cloud per enti pubblici e come servizi di community cloud per enti non pubblici.</w:t>
      </w:r>
      <w:r w:rsidRPr="00D87B79">
        <w:rPr>
          <w:rFonts w:eastAsia="Times New Roman" w:cs="Tahoma"/>
          <w:color w:val="000000"/>
          <w:szCs w:val="18"/>
        </w:rPr>
        <w:t xml:space="preserve"> </w:t>
      </w:r>
      <w:r w:rsidRPr="00D87B79">
        <w:rPr>
          <w:rFonts w:eastAsia="Times New Roman" w:cs="Tahoma"/>
          <w:color w:val="000000"/>
          <w:szCs w:val="18"/>
          <w:lang w:val="it-IT"/>
        </w:rPr>
        <w:t>Alle società potrà essere effettuato il provisioning come ente pubblico o non pubblico, ma non come una combinazione di entrambi.</w:t>
      </w:r>
      <w:r w:rsidRPr="00D87B79">
        <w:rPr>
          <w:rFonts w:cs="Tahoma"/>
        </w:rPr>
        <w:t xml:space="preserve"> </w:t>
      </w:r>
      <w:r w:rsidRPr="00D87B79">
        <w:rPr>
          <w:rFonts w:cs="Tahoma"/>
          <w:color w:val="000000"/>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Pr="00D87B79">
        <w:rPr>
          <w:rFonts w:cs="Tahoma"/>
        </w:rPr>
        <w:t xml:space="preserve"> </w:t>
      </w:r>
    </w:p>
    <w:p w:rsidR="00A92422" w:rsidRPr="00D87B79" w:rsidRDefault="00A92422" w:rsidP="00A92422">
      <w:pPr>
        <w:ind w:left="720"/>
        <w:rPr>
          <w:rFonts w:cs="Tahoma"/>
        </w:rPr>
      </w:pPr>
    </w:p>
    <w:p w:rsidR="00A92422" w:rsidRDefault="00A92422" w:rsidP="00A92422">
      <w:pPr>
        <w:ind w:left="720"/>
        <w:rPr>
          <w:rFonts w:eastAsia="Times New Roman" w:cs="Tahoma"/>
          <w:color w:val="000000"/>
          <w:szCs w:val="18"/>
        </w:rPr>
      </w:pPr>
      <w:r w:rsidRPr="00D87B79">
        <w:rPr>
          <w:rFonts w:eastAsia="Times New Roman"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w:t>
      </w:r>
      <w:r>
        <w:rPr>
          <w:rFonts w:eastAsia="Times New Roman" w:cs="Tahoma"/>
          <w:color w:val="000000"/>
          <w:szCs w:val="18"/>
          <w:lang w:val="it-IT"/>
        </w:rPr>
        <w:t> </w:t>
      </w:r>
      <w:r w:rsidRPr="00D87B79">
        <w:rPr>
          <w:rFonts w:eastAsia="Times New Roman" w:cs="Tahoma"/>
          <w:color w:val="000000"/>
          <w:szCs w:val="18"/>
          <w:lang w:val="it-IT"/>
        </w:rPr>
        <w:t>o tribali negli Stati Uniti dovranno essere in possesso di un’Iscrizione Enterprise o Enterprise Subscription per Enti Pubblici Statunitensi per essere idonei all’acquisto di servizi online designati come</w:t>
      </w:r>
      <w:r>
        <w:rPr>
          <w:rFonts w:eastAsia="Times New Roman" w:cs="Tahoma"/>
          <w:color w:val="000000"/>
          <w:szCs w:val="18"/>
          <w:lang w:val="it-IT"/>
        </w:rPr>
        <w:t> </w:t>
      </w:r>
      <w:r w:rsidRPr="00D87B79">
        <w:rPr>
          <w:rFonts w:eastAsia="Times New Roman" w:cs="Tahoma"/>
          <w:color w:val="000000"/>
          <w:szCs w:val="18"/>
          <w:lang w:val="it-IT"/>
        </w:rPr>
        <w:t>community cloud per enti pubblici.</w:t>
      </w:r>
      <w:r w:rsidRPr="00D87B79">
        <w:rPr>
          <w:rFonts w:eastAsia="Times New Roman" w:cs="Tahoma"/>
          <w:color w:val="000000"/>
          <w:szCs w:val="18"/>
        </w:rPr>
        <w:t xml:space="preserve"> </w:t>
      </w:r>
      <w:r w:rsidRPr="00D87B79">
        <w:rPr>
          <w:rFonts w:eastAsia="Times New Roman" w:cs="Tahoma"/>
          <w:color w:val="000000"/>
          <w:szCs w:val="18"/>
          <w:lang w:val="it-IT"/>
        </w:rPr>
        <w:t>I Diritti sull’Utilizzo relativi ai servizi di community cloud per</w:t>
      </w:r>
      <w:r>
        <w:rPr>
          <w:rFonts w:eastAsia="Times New Roman" w:cs="Tahoma"/>
          <w:color w:val="000000"/>
          <w:szCs w:val="18"/>
          <w:lang w:val="it-IT"/>
        </w:rPr>
        <w:t> </w:t>
      </w:r>
      <w:r w:rsidRPr="00D87B79">
        <w:rPr>
          <w:rFonts w:eastAsia="Times New Roman" w:cs="Tahoma"/>
          <w:color w:val="000000"/>
          <w:szCs w:val="18"/>
          <w:lang w:val="it-IT"/>
        </w:rPr>
        <w:t>enti</w:t>
      </w:r>
      <w:r>
        <w:rPr>
          <w:rFonts w:eastAsia="Times New Roman" w:cs="Tahoma"/>
          <w:color w:val="000000"/>
          <w:szCs w:val="18"/>
          <w:lang w:val="it-IT"/>
        </w:rPr>
        <w:t> </w:t>
      </w:r>
      <w:r w:rsidRPr="00D87B79">
        <w:rPr>
          <w:rFonts w:eastAsia="Times New Roman" w:cs="Tahoma"/>
          <w:color w:val="000000"/>
          <w:szCs w:val="18"/>
          <w:lang w:val="it-IT"/>
        </w:rPr>
        <w:t>pubblici sono simili a quelli dei loro equivalenti multi-tenant standard.</w:t>
      </w:r>
      <w:r w:rsidRPr="00D87B79">
        <w:rPr>
          <w:rFonts w:eastAsia="Times New Roman" w:cs="Tahoma"/>
          <w:color w:val="000000"/>
          <w:szCs w:val="18"/>
        </w:rPr>
        <w:t xml:space="preserve"> </w:t>
      </w:r>
      <w:bookmarkStart w:id="1268" w:name="_Toc336338310"/>
      <w:bookmarkStart w:id="1269" w:name="Srv_50ExchangeOnlinePlan2"/>
    </w:p>
    <w:p w:rsidR="00A92422" w:rsidRPr="00D87B79" w:rsidRDefault="00A92422" w:rsidP="00A92422">
      <w:pPr>
        <w:ind w:left="720"/>
        <w:rPr>
          <w:rFonts w:cs="Tahoma"/>
        </w:rPr>
      </w:pPr>
    </w:p>
    <w:p w:rsidR="00A92422" w:rsidRPr="00D87B79" w:rsidRDefault="00A92422" w:rsidP="00A92422">
      <w:pPr>
        <w:pStyle w:val="Heading2"/>
        <w:ind w:left="0"/>
        <w:rPr>
          <w:rFonts w:ascii="Tahoma" w:hAnsi="Tahoma" w:cs="Tahoma"/>
        </w:rPr>
      </w:pPr>
      <w:bookmarkStart w:id="1270" w:name="_47_Exchange_Online"/>
      <w:bookmarkStart w:id="1271" w:name="_Toc342900357"/>
      <w:bookmarkEnd w:id="1268"/>
      <w:bookmarkEnd w:id="1270"/>
      <w:r w:rsidRPr="00D87B79">
        <w:rPr>
          <w:rFonts w:ascii="Tahoma" w:hAnsi="Tahoma" w:cs="Tahoma"/>
          <w:caps/>
          <w:color w:val="F66400"/>
          <w:sz w:val="22"/>
          <w:vertAlign w:val="superscript"/>
          <w:lang w:val="it-IT"/>
        </w:rPr>
        <w:t>47</w:t>
      </w:r>
      <w:r w:rsidRPr="00D87B79">
        <w:rPr>
          <w:rFonts w:ascii="Tahoma" w:hAnsi="Tahoma" w:cs="Tahoma"/>
          <w:color w:val="F66400"/>
          <w:sz w:val="22"/>
          <w:lang w:val="it-IT"/>
        </w:rPr>
        <w:t xml:space="preserve"> Exchange Online Piano 2</w:t>
      </w:r>
      <w:bookmarkEnd w:id="1271"/>
    </w:p>
    <w:bookmarkEnd w:id="1269"/>
    <w:p w:rsidR="00A92422" w:rsidRPr="00D87B79" w:rsidRDefault="00A92422" w:rsidP="00A92422">
      <w:pPr>
        <w:outlineLvl w:val="2"/>
        <w:rPr>
          <w:rFonts w:cs="Tahoma"/>
        </w:rPr>
      </w:pPr>
    </w:p>
    <w:p w:rsidR="00A92422" w:rsidRPr="00D87B79" w:rsidRDefault="00A92422" w:rsidP="00A92422">
      <w:pPr>
        <w:pStyle w:val="ListParagraph"/>
        <w:rPr>
          <w:rFonts w:ascii="Tahoma" w:hAnsi="Tahoma" w:cs="Tahoma"/>
        </w:rPr>
      </w:pPr>
      <w:r w:rsidRPr="00D87B79">
        <w:rPr>
          <w:rFonts w:ascii="Tahoma" w:hAnsi="Tahoma" w:cs="Tahoma"/>
          <w:color w:val="000000"/>
          <w:sz w:val="18"/>
          <w:lang w:val="it-IT"/>
        </w:rPr>
        <w:t>Exchange Online Piano 2 è un servizio online che succede a Exchange Hosted Archive.</w:t>
      </w:r>
    </w:p>
    <w:p w:rsidR="00A92422" w:rsidRPr="000D23C9" w:rsidRDefault="00A92422" w:rsidP="00A92422">
      <w:pPr>
        <w:pStyle w:val="ListParagraph"/>
        <w:rPr>
          <w:rFonts w:ascii="Tahoma" w:hAnsi="Tahoma" w:cs="Tahoma"/>
          <w:sz w:val="12"/>
          <w:szCs w:val="12"/>
        </w:rPr>
      </w:pPr>
    </w:p>
    <w:p w:rsidR="00A92422" w:rsidRPr="00D87B79" w:rsidRDefault="00A92422" w:rsidP="00A92422">
      <w:pPr>
        <w:ind w:left="720"/>
        <w:rPr>
          <w:rFonts w:cs="Tahoma"/>
        </w:rPr>
      </w:pPr>
      <w:r w:rsidRPr="00D87B79">
        <w:rPr>
          <w:rFonts w:cs="Tahoma"/>
          <w:color w:val="000000"/>
          <w:lang w:val="it-IT"/>
        </w:rPr>
        <w:t>Qualora la società effettui il rinnovo passando da Exchange Hosted Archive ad Exchange Online Piano 2 e</w:t>
      </w:r>
      <w:r>
        <w:rPr>
          <w:rFonts w:cs="Tahoma"/>
          <w:color w:val="000000"/>
          <w:lang w:val="it-IT"/>
        </w:rPr>
        <w:t> </w:t>
      </w:r>
      <w:r w:rsidRPr="00D87B79">
        <w:rPr>
          <w:rFonts w:cs="Tahoma"/>
          <w:color w:val="000000"/>
          <w:lang w:val="it-IT"/>
        </w:rPr>
        <w:t>non abbia ancora eseguito la migrazione a Exchange Online Piano 2, gli utenti in possesso di licenza potranno continuare a utilizzare il servizio Exchange Hosted Archive in conformità alle condizioni del PUR</w:t>
      </w:r>
      <w:r>
        <w:rPr>
          <w:rFonts w:cs="Tahoma"/>
          <w:color w:val="000000"/>
          <w:lang w:val="it-IT"/>
        </w:rPr>
        <w:t> </w:t>
      </w:r>
      <w:r w:rsidRPr="00D87B79">
        <w:rPr>
          <w:rFonts w:cs="Tahoma"/>
          <w:color w:val="000000"/>
          <w:lang w:val="it-IT"/>
        </w:rPr>
        <w:t>di</w:t>
      </w:r>
      <w:r>
        <w:rPr>
          <w:rFonts w:cs="Tahoma"/>
          <w:color w:val="000000"/>
          <w:lang w:val="it-IT"/>
        </w:rPr>
        <w:t> </w:t>
      </w:r>
      <w:r w:rsidRPr="00D87B79">
        <w:rPr>
          <w:rFonts w:cs="Tahoma"/>
          <w:color w:val="000000"/>
          <w:lang w:val="it-IT"/>
        </w:rPr>
        <w:t>marzo 2011 fino alla migrazione a Exchange Online Piano 2 e alla scadenza della sottoscrizione di</w:t>
      </w:r>
      <w:r>
        <w:rPr>
          <w:rFonts w:cs="Tahoma"/>
          <w:color w:val="000000"/>
          <w:lang w:val="it-IT"/>
        </w:rPr>
        <w:t> </w:t>
      </w:r>
      <w:r w:rsidRPr="00D87B79">
        <w:rPr>
          <w:rFonts w:cs="Tahoma"/>
          <w:color w:val="000000"/>
          <w:lang w:val="it-IT"/>
        </w:rPr>
        <w:t>Exchange Online Piano 2, a seconda di quale dei due eventi si verifichi per primo.</w:t>
      </w:r>
    </w:p>
    <w:p w:rsidR="00A92422" w:rsidRPr="000D23C9" w:rsidRDefault="00A92422" w:rsidP="00A92422">
      <w:pPr>
        <w:ind w:left="720"/>
        <w:rPr>
          <w:rFonts w:cs="Tahoma"/>
          <w:sz w:val="12"/>
          <w:szCs w:val="12"/>
        </w:rPr>
      </w:pPr>
    </w:p>
    <w:p w:rsidR="00A92422" w:rsidRPr="00D87B79" w:rsidRDefault="00A92422" w:rsidP="00A92422">
      <w:pPr>
        <w:spacing w:after="60"/>
        <w:ind w:left="720"/>
        <w:rPr>
          <w:rFonts w:cs="Tahoma"/>
        </w:rPr>
      </w:pPr>
      <w:r w:rsidRPr="00D87B79">
        <w:rPr>
          <w:rFonts w:cs="Tahoma"/>
          <w:b/>
          <w:color w:val="000000"/>
          <w:lang w:val="it-IT"/>
        </w:rPr>
        <w:t>Community Cloud per Enti Pubblici (solo Stati Uniti)</w:t>
      </w:r>
    </w:p>
    <w:p w:rsidR="00A92422" w:rsidRPr="00D87B79" w:rsidRDefault="00A92422" w:rsidP="00A92422">
      <w:pPr>
        <w:ind w:left="720"/>
        <w:rPr>
          <w:rFonts w:cs="Tahoma"/>
        </w:rPr>
      </w:pPr>
      <w:r w:rsidRPr="00D87B79">
        <w:rPr>
          <w:rFonts w:eastAsia="Times New Roman" w:cs="Tahoma"/>
          <w:color w:val="000000"/>
          <w:szCs w:val="18"/>
          <w:lang w:val="it-IT"/>
        </w:rPr>
        <w:t>Alcuni servizi online della famiglia di prodotti Office 365 (incluso Exchange Online Piano 2) sono offerti come servizi di community cloud per enti pubblici e come servizi di community cloud per enti non pubblici.</w:t>
      </w:r>
      <w:r w:rsidRPr="00D87B79">
        <w:rPr>
          <w:rFonts w:eastAsia="Times New Roman" w:cs="Tahoma"/>
          <w:color w:val="000000"/>
          <w:szCs w:val="18"/>
        </w:rPr>
        <w:t xml:space="preserve"> </w:t>
      </w:r>
      <w:r w:rsidRPr="00D87B79">
        <w:rPr>
          <w:rFonts w:eastAsia="Times New Roman" w:cs="Tahoma"/>
          <w:color w:val="000000"/>
          <w:szCs w:val="18"/>
          <w:lang w:val="it-IT"/>
        </w:rPr>
        <w:t>Alle società potrà essere effettuato il provisioning come ente pubblico o non pubblico, ma non come una combinazione di entrambi.</w:t>
      </w:r>
      <w:r w:rsidRPr="00D87B79">
        <w:rPr>
          <w:rFonts w:cs="Tahoma"/>
        </w:rPr>
        <w:t xml:space="preserve"> </w:t>
      </w:r>
      <w:r w:rsidRPr="00D87B79">
        <w:rPr>
          <w:rFonts w:cs="Tahoma"/>
          <w:color w:val="000000"/>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Pr="00D87B79">
        <w:rPr>
          <w:rFonts w:cs="Tahoma"/>
        </w:rPr>
        <w:t xml:space="preserve"> </w:t>
      </w:r>
    </w:p>
    <w:p w:rsidR="00A92422" w:rsidRPr="00D87B79" w:rsidRDefault="00A92422" w:rsidP="00A92422">
      <w:pPr>
        <w:ind w:left="720"/>
        <w:rPr>
          <w:rFonts w:cs="Tahoma"/>
        </w:rPr>
      </w:pPr>
      <w:r w:rsidRPr="00D87B79">
        <w:rPr>
          <w:rFonts w:eastAsia="Times New Roman"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un’Iscrizione Enterprise o Enterprise Subscription per Enti Pubblici Statunitensi per essere idonei all’acquisto di servizi online designati come community cloud per enti pubblici.</w:t>
      </w:r>
      <w:r w:rsidRPr="00D87B79">
        <w:rPr>
          <w:rFonts w:eastAsia="Times New Roman" w:cs="Tahoma"/>
          <w:color w:val="000000"/>
          <w:szCs w:val="18"/>
        </w:rPr>
        <w:t xml:space="preserve"> </w:t>
      </w:r>
      <w:bookmarkStart w:id="1272" w:name="_51_Exchange_Server"/>
      <w:bookmarkEnd w:id="1272"/>
      <w:r w:rsidRPr="00D87B79">
        <w:rPr>
          <w:rFonts w:eastAsia="Times New Roman" w:cs="Tahoma"/>
          <w:color w:val="000000"/>
          <w:szCs w:val="18"/>
          <w:lang w:val="it-IT"/>
        </w:rPr>
        <w:t>I Diritti sull’Utilizzo relativi ai servizi di community cloud per enti pubblici sono simili a quelli dei loro equivalenti multi-tenant standard.</w:t>
      </w:r>
      <w:r w:rsidRPr="00D87B79">
        <w:rPr>
          <w:rFonts w:eastAsia="Times New Roman" w:cs="Tahoma"/>
          <w:color w:val="000000"/>
          <w:szCs w:val="18"/>
        </w:rPr>
        <w:t xml:space="preserve"> </w:t>
      </w:r>
    </w:p>
    <w:p w:rsidR="00A92422" w:rsidRPr="003C1A64" w:rsidRDefault="00A92422" w:rsidP="00A92422">
      <w:pPr>
        <w:pStyle w:val="EndnoteText"/>
        <w:ind w:hanging="900"/>
        <w:rPr>
          <w:rFonts w:ascii="Tahoma" w:hAnsi="Tahoma" w:cs="Tahoma"/>
          <w:sz w:val="18"/>
          <w:szCs w:val="18"/>
        </w:rPr>
      </w:pPr>
      <w:bookmarkStart w:id="1273" w:name="Srv_43ExchangeSvr2010"/>
    </w:p>
    <w:bookmarkEnd w:id="1273"/>
    <w:p w:rsidR="00A92422" w:rsidRPr="003C1A64" w:rsidRDefault="00A92422" w:rsidP="00A92422">
      <w:pPr>
        <w:pStyle w:val="EndnoteText"/>
        <w:ind w:left="540"/>
        <w:rPr>
          <w:rFonts w:ascii="Tahoma" w:hAnsi="Tahoma" w:cs="Tahoma"/>
          <w:sz w:val="18"/>
          <w:szCs w:val="18"/>
        </w:rPr>
      </w:pPr>
    </w:p>
    <w:p w:rsidR="00A92422" w:rsidRPr="00D87B79" w:rsidRDefault="00A92422" w:rsidP="00A92422">
      <w:pPr>
        <w:pStyle w:val="Heading2"/>
        <w:ind w:left="0"/>
        <w:rPr>
          <w:rFonts w:ascii="Tahoma" w:hAnsi="Tahoma" w:cs="Tahoma"/>
        </w:rPr>
      </w:pPr>
      <w:bookmarkStart w:id="1274" w:name="_49_Exchange_Server"/>
      <w:bookmarkStart w:id="1275" w:name="_Toc336338311"/>
      <w:bookmarkStart w:id="1276" w:name="_48_Exchange_Server"/>
      <w:bookmarkStart w:id="1277" w:name="_Toc342900358"/>
      <w:bookmarkEnd w:id="1274"/>
      <w:bookmarkEnd w:id="1275"/>
      <w:bookmarkEnd w:id="1276"/>
      <w:r w:rsidRPr="00D87B79">
        <w:rPr>
          <w:rFonts w:ascii="Tahoma" w:hAnsi="Tahoma" w:cs="Tahoma"/>
          <w:caps/>
          <w:color w:val="FA6500"/>
          <w:sz w:val="22"/>
          <w:vertAlign w:val="superscript"/>
          <w:lang w:val="it-IT"/>
        </w:rPr>
        <w:t>48</w:t>
      </w:r>
      <w:r w:rsidRPr="003D7C45">
        <w:rPr>
          <w:rFonts w:ascii="Tahoma" w:hAnsi="Tahoma" w:cs="Tahoma"/>
          <w:caps/>
          <w:color w:val="FA6500"/>
          <w:sz w:val="22"/>
          <w:lang w:val="it-IT"/>
        </w:rPr>
        <w:t xml:space="preserve"> </w:t>
      </w:r>
      <w:r w:rsidRPr="00D87B79">
        <w:rPr>
          <w:rFonts w:ascii="Tahoma" w:hAnsi="Tahoma" w:cs="Tahoma"/>
          <w:color w:val="FA6500"/>
          <w:sz w:val="22"/>
          <w:lang w:val="it-IT"/>
        </w:rPr>
        <w:t>Exchange Server 2013, Edizioni Enterprise e Standard</w:t>
      </w:r>
      <w:bookmarkEnd w:id="1277"/>
    </w:p>
    <w:p w:rsidR="00A92422" w:rsidRPr="00D87B79" w:rsidRDefault="00A92422" w:rsidP="00A92422">
      <w:pPr>
        <w:ind w:left="720"/>
        <w:rPr>
          <w:rFonts w:cs="Tahoma"/>
        </w:rPr>
      </w:pPr>
    </w:p>
    <w:p w:rsidR="00A92422" w:rsidRPr="00D87B79" w:rsidRDefault="00A92422" w:rsidP="00A92422">
      <w:pPr>
        <w:ind w:left="720"/>
        <w:rPr>
          <w:rFonts w:cs="Tahoma"/>
        </w:rPr>
      </w:pPr>
      <w:r w:rsidRPr="005E15AC">
        <w:rPr>
          <w:rFonts w:cs="Tahoma"/>
          <w:color w:val="000000"/>
          <w:lang w:val="it-IT"/>
        </w:rPr>
        <w:t>Exchange Server 2013 è l’ultima versione di Exchange Server</w:t>
      </w:r>
      <w:r w:rsidRPr="003C1A64">
        <w:rPr>
          <w:rFonts w:cs="Tahoma"/>
          <w:color w:val="000000"/>
          <w:lang w:val="it-IT"/>
        </w:rPr>
        <w:t>.</w:t>
      </w:r>
    </w:p>
    <w:p w:rsidR="00A92422" w:rsidRPr="00D87B79" w:rsidRDefault="00A92422" w:rsidP="00A92422">
      <w:pPr>
        <w:rPr>
          <w:rFonts w:cs="Tahoma"/>
        </w:rPr>
      </w:pPr>
    </w:p>
    <w:p w:rsidR="00A92422" w:rsidRDefault="00A92422" w:rsidP="00A92422">
      <w:pPr>
        <w:rPr>
          <w:rFonts w:cs="Tahoma"/>
          <w:b/>
          <w:color w:val="000000"/>
          <w:lang w:val="it-IT"/>
        </w:rPr>
      </w:pPr>
      <w:r>
        <w:rPr>
          <w:rFonts w:cs="Tahoma"/>
          <w:b/>
          <w:color w:val="000000"/>
          <w:lang w:val="it-IT"/>
        </w:rPr>
        <w:br w:type="page"/>
      </w:r>
    </w:p>
    <w:p w:rsidR="00A92422" w:rsidRPr="00D87B79" w:rsidRDefault="00A92422" w:rsidP="00A92422">
      <w:pPr>
        <w:spacing w:after="60"/>
        <w:ind w:left="720"/>
        <w:rPr>
          <w:rFonts w:cs="Tahoma"/>
        </w:rPr>
      </w:pPr>
      <w:r w:rsidRPr="00D87B79">
        <w:rPr>
          <w:rFonts w:cs="Tahoma"/>
          <w:b/>
          <w:color w:val="000000"/>
          <w:lang w:val="it-IT"/>
        </w:rPr>
        <w:lastRenderedPageBreak/>
        <w:t>Concessione di Licenza per le Società Titolari di Licenza External Connector per Exchange Server 2010</w:t>
      </w:r>
    </w:p>
    <w:p w:rsidR="00A92422" w:rsidRPr="00D87B79" w:rsidRDefault="00A92422" w:rsidP="00A92422">
      <w:pPr>
        <w:ind w:left="720"/>
        <w:rPr>
          <w:rFonts w:cs="Tahoma"/>
        </w:rPr>
      </w:pPr>
      <w:bookmarkStart w:id="1278" w:name="Srv_42ExchangeSvr07"/>
      <w:bookmarkStart w:id="1279" w:name="Srv_48ExchangeSvr2010"/>
      <w:bookmarkEnd w:id="1278"/>
      <w:bookmarkEnd w:id="1279"/>
      <w:r w:rsidRPr="00D87B79">
        <w:rPr>
          <w:rFonts w:cs="Tahoma"/>
          <w:color w:val="000000"/>
          <w:lang w:val="it-IT"/>
        </w:rPr>
        <w:t>La versione 2010 della Licenza External Connector per Exchange Server 2010 è la versione finale di tale licenza.</w:t>
      </w:r>
      <w:r w:rsidRPr="00D87B79">
        <w:rPr>
          <w:rFonts w:cs="Tahoma"/>
        </w:rPr>
        <w:t xml:space="preserve"> </w:t>
      </w:r>
      <w:r w:rsidRPr="00D87B79">
        <w:rPr>
          <w:rFonts w:cs="Tahoma"/>
          <w:color w:val="000000"/>
          <w:lang w:val="it-IT"/>
        </w:rPr>
        <w:t>Alla luce di ciò, le società titolari di Licenze External Connector per Exchange Server 2010 con copertura Software Assurance attiva al 1 dicembre 2012 sono idonee a ricevere la concessione di licenza che</w:t>
      </w:r>
      <w:r>
        <w:rPr>
          <w:rFonts w:cs="Tahoma"/>
          <w:color w:val="000000"/>
          <w:lang w:val="it-IT"/>
        </w:rPr>
        <w:t> </w:t>
      </w:r>
      <w:r w:rsidRPr="00D87B79">
        <w:rPr>
          <w:rFonts w:cs="Tahoma"/>
          <w:color w:val="000000"/>
          <w:lang w:val="it-IT"/>
        </w:rPr>
        <w:t>segue.</w:t>
      </w:r>
    </w:p>
    <w:p w:rsidR="00A92422" w:rsidRPr="00D87B79" w:rsidRDefault="00A92422" w:rsidP="00A92422">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A92422" w:rsidRPr="00D87B79" w:rsidTr="00EA30FC">
        <w:trPr>
          <w:trHeight w:val="332"/>
        </w:trPr>
        <w:tc>
          <w:tcPr>
            <w:tcW w:w="4500" w:type="dxa"/>
            <w:shd w:val="clear" w:color="auto" w:fill="FABF8F"/>
          </w:tcPr>
          <w:p w:rsidR="00A92422" w:rsidRPr="00D87B79" w:rsidRDefault="00A92422" w:rsidP="00EA30FC">
            <w:pPr>
              <w:rPr>
                <w:rFonts w:cs="Tahoma"/>
                <w:b/>
                <w:color w:val="000000"/>
                <w:szCs w:val="18"/>
              </w:rPr>
            </w:pPr>
            <w:r w:rsidRPr="00D87B79">
              <w:rPr>
                <w:rFonts w:cs="Tahoma"/>
                <w:b/>
                <w:color w:val="000000"/>
                <w:szCs w:val="18"/>
                <w:lang w:val="it-IT"/>
              </w:rPr>
              <w:t>Licenza Qualificante</w:t>
            </w:r>
          </w:p>
        </w:tc>
        <w:tc>
          <w:tcPr>
            <w:tcW w:w="3600" w:type="dxa"/>
            <w:shd w:val="clear" w:color="auto" w:fill="FABF8F"/>
          </w:tcPr>
          <w:p w:rsidR="00A92422" w:rsidRPr="00D87B79" w:rsidRDefault="00A92422" w:rsidP="00EA30FC">
            <w:pPr>
              <w:rPr>
                <w:rFonts w:cs="Tahoma"/>
                <w:b/>
                <w:color w:val="000000"/>
                <w:szCs w:val="18"/>
              </w:rPr>
            </w:pPr>
            <w:r w:rsidRPr="00D87B79">
              <w:rPr>
                <w:rFonts w:cs="Tahoma"/>
                <w:b/>
                <w:color w:val="000000"/>
                <w:lang w:val="it-IT"/>
              </w:rPr>
              <w:t>Licenza Gratuita e Vantaggi</w:t>
            </w:r>
          </w:p>
        </w:tc>
      </w:tr>
      <w:tr w:rsidR="00A92422" w:rsidRPr="00D87B79" w:rsidTr="00EA30FC">
        <w:trPr>
          <w:trHeight w:val="70"/>
        </w:trPr>
        <w:tc>
          <w:tcPr>
            <w:tcW w:w="4500" w:type="dxa"/>
          </w:tcPr>
          <w:p w:rsidR="00A92422" w:rsidRPr="00D87B79" w:rsidRDefault="00A92422" w:rsidP="00EA30FC">
            <w:pPr>
              <w:rPr>
                <w:rFonts w:cs="Tahoma"/>
                <w:color w:val="000000"/>
                <w:szCs w:val="18"/>
              </w:rPr>
            </w:pPr>
            <w:r w:rsidRPr="00D87B79">
              <w:rPr>
                <w:rFonts w:cs="Tahoma"/>
                <w:color w:val="000000"/>
                <w:lang w:val="it-IT"/>
              </w:rPr>
              <w:t>Licenza External Connector per Exchange Server</w:t>
            </w:r>
            <w:r>
              <w:rPr>
                <w:rFonts w:cs="Tahoma"/>
                <w:color w:val="000000"/>
                <w:lang w:val="it-IT"/>
              </w:rPr>
              <w:t> </w:t>
            </w:r>
            <w:r w:rsidRPr="00D87B79">
              <w:rPr>
                <w:rFonts w:cs="Tahoma"/>
                <w:color w:val="000000"/>
                <w:lang w:val="it-IT"/>
              </w:rPr>
              <w:t>2010 con Software Assurance attiva a</w:t>
            </w:r>
            <w:r>
              <w:rPr>
                <w:rFonts w:cs="Tahoma"/>
                <w:color w:val="000000"/>
                <w:lang w:val="it-IT"/>
              </w:rPr>
              <w:t> </w:t>
            </w:r>
            <w:r w:rsidRPr="00D87B79">
              <w:rPr>
                <w:rFonts w:cs="Tahoma"/>
                <w:color w:val="000000"/>
                <w:lang w:val="it-IT"/>
              </w:rPr>
              <w:t>partire</w:t>
            </w:r>
            <w:r>
              <w:rPr>
                <w:rFonts w:cs="Tahoma"/>
                <w:color w:val="000000"/>
                <w:lang w:val="it-IT"/>
              </w:rPr>
              <w:t> </w:t>
            </w:r>
            <w:r w:rsidRPr="00D87B79">
              <w:rPr>
                <w:rFonts w:cs="Tahoma"/>
                <w:color w:val="000000"/>
                <w:lang w:val="it-IT"/>
              </w:rPr>
              <w:t>dal 1</w:t>
            </w:r>
            <w:r>
              <w:rPr>
                <w:rFonts w:cs="Tahoma"/>
                <w:color w:val="000000"/>
                <w:lang w:val="it-IT"/>
              </w:rPr>
              <w:t> </w:t>
            </w:r>
            <w:r w:rsidRPr="00D87B79">
              <w:rPr>
                <w:rFonts w:cs="Tahoma"/>
                <w:color w:val="000000"/>
                <w:lang w:val="it-IT"/>
              </w:rPr>
              <w:t>dicembre 2012</w:t>
            </w:r>
          </w:p>
        </w:tc>
        <w:tc>
          <w:tcPr>
            <w:tcW w:w="3600" w:type="dxa"/>
          </w:tcPr>
          <w:p w:rsidR="00A92422" w:rsidRPr="00D87B79" w:rsidRDefault="00A92422" w:rsidP="00EA30FC">
            <w:pPr>
              <w:rPr>
                <w:rFonts w:cs="Tahoma"/>
                <w:color w:val="000000"/>
                <w:szCs w:val="18"/>
              </w:rPr>
            </w:pPr>
            <w:r w:rsidRPr="00D87B79">
              <w:rPr>
                <w:rFonts w:cs="Tahoma"/>
                <w:color w:val="000000"/>
                <w:lang w:val="it-IT"/>
              </w:rPr>
              <w:t>Licenza Enterprise per Exchange Server</w:t>
            </w:r>
            <w:r>
              <w:rPr>
                <w:rFonts w:cs="Tahoma"/>
                <w:color w:val="000000"/>
                <w:lang w:val="it-IT"/>
              </w:rPr>
              <w:t> </w:t>
            </w:r>
            <w:r w:rsidRPr="00D87B79">
              <w:rPr>
                <w:rFonts w:cs="Tahoma"/>
                <w:color w:val="000000"/>
                <w:lang w:val="it-IT"/>
              </w:rPr>
              <w:t>2013</w:t>
            </w:r>
          </w:p>
        </w:tc>
      </w:tr>
    </w:tbl>
    <w:p w:rsidR="00A92422" w:rsidRPr="00D87B79" w:rsidRDefault="00A92422" w:rsidP="00A92422">
      <w:pPr>
        <w:rPr>
          <w:rFonts w:cs="Tahoma"/>
        </w:rPr>
      </w:pPr>
    </w:p>
    <w:p w:rsidR="00A92422" w:rsidRPr="00D87B79" w:rsidRDefault="00A92422" w:rsidP="00A92422">
      <w:pPr>
        <w:ind w:left="720"/>
        <w:rPr>
          <w:rFonts w:cs="Tahoma"/>
        </w:rPr>
      </w:pPr>
      <w:bookmarkStart w:id="1280" w:name="Srv_50ExchangeServer2010StdCAL"/>
      <w:bookmarkEnd w:id="1280"/>
      <w:r w:rsidRPr="00D87B79">
        <w:rPr>
          <w:rFonts w:cs="Tahoma"/>
          <w:color w:val="000000"/>
          <w:lang w:val="it-IT"/>
        </w:rPr>
        <w:t>Le condizioni che seguono si applicano alle concessioni di licenze riportate sopra:</w:t>
      </w:r>
    </w:p>
    <w:p w:rsidR="00A92422" w:rsidRPr="00D87B79" w:rsidRDefault="00A92422" w:rsidP="00A92422">
      <w:pPr>
        <w:ind w:left="720"/>
        <w:rPr>
          <w:rFonts w:cs="Tahoma"/>
        </w:rPr>
      </w:pPr>
    </w:p>
    <w:p w:rsidR="00A92422" w:rsidRPr="00D87B79" w:rsidRDefault="00A92422" w:rsidP="00A92422">
      <w:pPr>
        <w:numPr>
          <w:ilvl w:val="0"/>
          <w:numId w:val="117"/>
        </w:numPr>
        <w:spacing w:after="60"/>
        <w:ind w:left="1440"/>
        <w:rPr>
          <w:rFonts w:cs="Tahoma"/>
        </w:rPr>
      </w:pPr>
      <w:r w:rsidRPr="00D87B79">
        <w:rPr>
          <w:rFonts w:cs="Tahoma"/>
          <w:color w:val="000000"/>
          <w:lang w:val="it-IT"/>
        </w:rPr>
        <w:t>Percorso di Migrazione:</w:t>
      </w:r>
      <w:r w:rsidRPr="00D87B79">
        <w:rPr>
          <w:rFonts w:cs="Tahoma"/>
          <w:color w:val="000000"/>
          <w:szCs w:val="18"/>
        </w:rPr>
        <w:t xml:space="preserve"> </w:t>
      </w:r>
      <w:r w:rsidRPr="00D87B79">
        <w:rPr>
          <w:rFonts w:cs="Tahoma"/>
          <w:color w:val="000000"/>
          <w:lang w:val="it-IT"/>
        </w:rPr>
        <w:t>Le società con copertura Software Assurance attiva per una determinata Licenza Qualificante a partire dal 1 dicembre 2012 e in occasione del rilascio della versione commerciale di Exchange Server 2013 sono idonee a effettuare l’aggiornamento al software Exchange Server 2013 e a utilizzarlo ai sensi della Licenza Gratuita al posto del software Exchange</w:t>
      </w:r>
      <w:r>
        <w:rPr>
          <w:rFonts w:cs="Tahoma"/>
          <w:color w:val="000000"/>
          <w:lang w:val="it-IT"/>
        </w:rPr>
        <w:t> </w:t>
      </w:r>
      <w:r w:rsidRPr="00D87B79">
        <w:rPr>
          <w:rFonts w:cs="Tahoma"/>
          <w:color w:val="000000"/>
          <w:lang w:val="it-IT"/>
        </w:rPr>
        <w:t>Server 2010 ai sensi della corrispondente licenza External Connector qualificante.</w:t>
      </w:r>
      <w:r w:rsidRPr="00D87B79">
        <w:rPr>
          <w:rFonts w:cs="Tahoma"/>
        </w:rPr>
        <w:t xml:space="preserve"> </w:t>
      </w:r>
    </w:p>
    <w:p w:rsidR="00A92422" w:rsidRPr="00D87B79" w:rsidRDefault="00A92422" w:rsidP="00A92422">
      <w:pPr>
        <w:numPr>
          <w:ilvl w:val="0"/>
          <w:numId w:val="117"/>
        </w:numPr>
        <w:spacing w:after="60"/>
        <w:ind w:left="1440"/>
        <w:rPr>
          <w:rFonts w:cs="Tahoma"/>
        </w:rPr>
      </w:pPr>
      <w:r w:rsidRPr="00D87B79">
        <w:rPr>
          <w:rFonts w:cs="Tahoma"/>
          <w:color w:val="000000"/>
          <w:lang w:val="it-IT"/>
        </w:rPr>
        <w:t>Diritti sull’utilizzo:</w:t>
      </w:r>
      <w:r w:rsidRPr="00D87B79">
        <w:rPr>
          <w:rFonts w:cs="Tahoma"/>
          <w:color w:val="000000"/>
          <w:szCs w:val="18"/>
        </w:rPr>
        <w:t xml:space="preserve"> </w:t>
      </w:r>
      <w:r w:rsidRPr="00D87B79">
        <w:rPr>
          <w:rFonts w:cs="Tahoma"/>
          <w:color w:val="000000"/>
          <w:szCs w:val="18"/>
          <w:lang w:val="it-IT"/>
        </w:rPr>
        <w:t>Il diritto di utilizzo del software ai sensi della Licenza Gratuita della presente offerta scadrà alla scadenza del diritto di utilizzo del software ai sensi della Licenza Qualificante.</w:t>
      </w:r>
      <w:r w:rsidRPr="00D87B79">
        <w:rPr>
          <w:rFonts w:cs="Tahoma"/>
        </w:rPr>
        <w:t xml:space="preserve"> </w:t>
      </w:r>
      <w:r w:rsidRPr="00D87B79">
        <w:rPr>
          <w:rFonts w:cs="Tahoma"/>
          <w:color w:val="000000"/>
          <w:lang w:val="it-IT"/>
        </w:rPr>
        <w:t>L’utilizzo di tale software è disciplinato dai diritti sull’utilizzo del software e dalle condizioni del contratto multilicenza della società.</w:t>
      </w:r>
      <w:r w:rsidRPr="00D87B79">
        <w:rPr>
          <w:rFonts w:cs="Tahoma"/>
        </w:rPr>
        <w:t xml:space="preserve"> </w:t>
      </w:r>
      <w:r w:rsidRPr="00D87B79">
        <w:rPr>
          <w:rFonts w:cs="Tahoma"/>
          <w:color w:val="000000"/>
          <w:lang w:val="it-IT"/>
        </w:rPr>
        <w:t>Questa nota relativa alle condizioni del prodotto e la prova da</w:t>
      </w:r>
      <w:r>
        <w:rPr>
          <w:rFonts w:cs="Tahoma"/>
          <w:color w:val="000000"/>
          <w:lang w:val="it-IT"/>
        </w:rPr>
        <w:t> </w:t>
      </w:r>
      <w:r w:rsidRPr="00D87B79">
        <w:rPr>
          <w:rFonts w:cs="Tahoma"/>
          <w:color w:val="000000"/>
          <w:lang w:val="it-IT"/>
        </w:rPr>
        <w:t>parte della società della corrispondente Licenza e Software Assurance (L&amp;SA) Qualificante costituiscono insieme la prova del diritto di utilizzo del software ai sensi della Licenza Gratuita della</w:t>
      </w:r>
      <w:r>
        <w:rPr>
          <w:rFonts w:cs="Tahoma"/>
          <w:color w:val="000000"/>
          <w:lang w:val="it-IT"/>
        </w:rPr>
        <w:t> </w:t>
      </w:r>
      <w:r w:rsidRPr="00D87B79">
        <w:rPr>
          <w:rFonts w:cs="Tahoma"/>
          <w:color w:val="000000"/>
          <w:lang w:val="it-IT"/>
        </w:rPr>
        <w:t>presente offerta.</w:t>
      </w:r>
      <w:r w:rsidRPr="00D87B79">
        <w:rPr>
          <w:rFonts w:cs="Tahoma"/>
        </w:rPr>
        <w:t xml:space="preserve"> </w:t>
      </w:r>
    </w:p>
    <w:p w:rsidR="00A92422" w:rsidRPr="00D87B79" w:rsidRDefault="00A92422" w:rsidP="00A92422">
      <w:pPr>
        <w:numPr>
          <w:ilvl w:val="0"/>
          <w:numId w:val="68"/>
        </w:numPr>
        <w:spacing w:after="60"/>
        <w:ind w:left="1440"/>
        <w:rPr>
          <w:rFonts w:cs="Tahoma"/>
        </w:rPr>
      </w:pPr>
      <w:r w:rsidRPr="00D87B79">
        <w:rPr>
          <w:rFonts w:cs="Tahoma"/>
          <w:color w:val="000000"/>
          <w:lang w:val="it-IT"/>
        </w:rPr>
        <w:t>Licenza e Software Assurance (L&amp;SA):</w:t>
      </w:r>
      <w:r w:rsidRPr="00D87B79">
        <w:rPr>
          <w:rFonts w:cs="Tahoma"/>
          <w:color w:val="000000"/>
          <w:szCs w:val="18"/>
        </w:rPr>
        <w:t xml:space="preserve"> </w:t>
      </w:r>
      <w:r w:rsidRPr="00D87B79">
        <w:rPr>
          <w:rFonts w:cs="Tahoma"/>
          <w:color w:val="000000"/>
          <w:szCs w:val="18"/>
          <w:lang w:val="it-IT"/>
        </w:rPr>
        <w:t>la Licenza Gratuita include la copertura Software Assurance.</w:t>
      </w:r>
      <w:r w:rsidRPr="00D87B79">
        <w:rPr>
          <w:rFonts w:cs="Tahoma"/>
          <w:color w:val="000000"/>
          <w:szCs w:val="18"/>
        </w:rPr>
        <w:t xml:space="preserve"> </w:t>
      </w:r>
      <w:r w:rsidRPr="00D87B79">
        <w:rPr>
          <w:rFonts w:cs="Tahoma"/>
          <w:color w:val="000000"/>
          <w:szCs w:val="18"/>
          <w:lang w:val="it-IT"/>
        </w:rPr>
        <w:t>La copertura Software Assurance per la Licenza Gratuita scadrà alla scadenza della copertura per la Licenza Qualificante.</w:t>
      </w:r>
      <w:r w:rsidRPr="00D87B79">
        <w:rPr>
          <w:rFonts w:cs="Tahoma"/>
        </w:rPr>
        <w:t xml:space="preserve"> </w:t>
      </w:r>
      <w:r w:rsidRPr="00D87B79">
        <w:rPr>
          <w:rFonts w:cs="Tahoma"/>
          <w:color w:val="000000"/>
          <w:lang w:val="it-IT"/>
        </w:rPr>
        <w:t>Alla scadenza della copertura Software Assurance per la Licenza Qualificante, la società potrà rinnovare Software Assurance per la Licenza Gratuita senza dover acquistare una nuova licenza specifica.</w:t>
      </w:r>
    </w:p>
    <w:p w:rsidR="00A92422" w:rsidRPr="00D87B79" w:rsidRDefault="00A92422" w:rsidP="00A92422">
      <w:pPr>
        <w:numPr>
          <w:ilvl w:val="0"/>
          <w:numId w:val="79"/>
        </w:numPr>
        <w:spacing w:after="60"/>
        <w:rPr>
          <w:rFonts w:cs="Tahoma"/>
        </w:rPr>
      </w:pPr>
      <w:r w:rsidRPr="00D87B79">
        <w:rPr>
          <w:rFonts w:cs="Tahoma"/>
          <w:color w:val="000000"/>
          <w:lang w:val="it-IT"/>
        </w:rPr>
        <w:t>True-up:</w:t>
      </w:r>
      <w:r w:rsidRPr="00D87B79">
        <w:rPr>
          <w:rFonts w:eastAsia="Times New Roman" w:cs="Tahoma"/>
          <w:color w:val="000000"/>
          <w:szCs w:val="18"/>
        </w:rPr>
        <w:t xml:space="preserve"> </w:t>
      </w:r>
      <w:r w:rsidRPr="00D87B79">
        <w:rPr>
          <w:rFonts w:cs="Tahoma"/>
          <w:color w:val="000000"/>
          <w:lang w:val="it-IT"/>
        </w:rPr>
        <w:t>Per le società titolari di un Contratto Enterprise idonee a ricevere tali licenze gratuite e</w:t>
      </w:r>
      <w:r>
        <w:rPr>
          <w:rFonts w:cs="Tahoma"/>
          <w:color w:val="000000"/>
          <w:lang w:val="it-IT"/>
        </w:rPr>
        <w:t> </w:t>
      </w:r>
      <w:r w:rsidRPr="00D87B79">
        <w:rPr>
          <w:rFonts w:cs="Tahoma"/>
          <w:color w:val="000000"/>
          <w:lang w:val="it-IT"/>
        </w:rPr>
        <w:t>diritti descritti in precedenza, le licenze External Connector per Exchange Server 2010 acquistate nell’ambito di una procedura annuale di true-up sono, anch’esse, Licenze Qualificanti.</w:t>
      </w:r>
    </w:p>
    <w:p w:rsidR="00A92422" w:rsidRPr="00D87B79" w:rsidRDefault="00A92422" w:rsidP="00A92422">
      <w:pPr>
        <w:numPr>
          <w:ilvl w:val="0"/>
          <w:numId w:val="79"/>
        </w:numPr>
        <w:spacing w:after="60"/>
        <w:rPr>
          <w:rFonts w:cs="Tahoma"/>
        </w:rPr>
      </w:pPr>
      <w:r w:rsidRPr="00D87B79">
        <w:rPr>
          <w:rFonts w:cs="Tahoma"/>
          <w:color w:val="000000"/>
          <w:lang w:val="it-IT"/>
        </w:rPr>
        <w:t>Contratti “Subscription”:</w:t>
      </w:r>
      <w:r w:rsidRPr="00D87B79">
        <w:rPr>
          <w:rFonts w:cs="Tahoma"/>
          <w:color w:val="000000"/>
          <w:szCs w:val="18"/>
        </w:rPr>
        <w:t xml:space="preserve"> </w:t>
      </w:r>
      <w:r w:rsidRPr="00D87B79">
        <w:rPr>
          <w:rFonts w:cs="Tahoma"/>
          <w:lang w:val="it-IT"/>
        </w:rPr>
        <w:t>Per Contratti Enterprise Subscription, Open Value Subscription, Campus e</w:t>
      </w:r>
      <w:r>
        <w:rPr>
          <w:rFonts w:cs="Tahoma"/>
          <w:lang w:val="it-IT"/>
        </w:rPr>
        <w:t> </w:t>
      </w:r>
      <w:r w:rsidRPr="00D87B79">
        <w:rPr>
          <w:rFonts w:cs="Tahoma"/>
          <w:lang w:val="it-IT"/>
        </w:rPr>
        <w:t>School, Enrollment for Education Solutions e Open Value Subscription-Education Solutions, gli stessi diritti verranno concessi temporaneamente, in base alle medesime condizioni, fino al termine del periodo di validità corrente dell’iscrizione (o del periodo di validità del contratto nel caso di Open Value).</w:t>
      </w:r>
      <w:r w:rsidRPr="00D87B79">
        <w:rPr>
          <w:rFonts w:cs="Tahoma"/>
        </w:rPr>
        <w:t xml:space="preserve"> </w:t>
      </w:r>
      <w:bookmarkStart w:id="1281" w:name="_Toc336338313"/>
      <w:r w:rsidRPr="00D87B79">
        <w:rPr>
          <w:rFonts w:cs="Tahoma"/>
          <w:color w:val="000000"/>
          <w:lang w:val="it-IT"/>
        </w:rPr>
        <w:t>La società dovrà mantenere la copertura dell’abbonamento in via continuativa.</w:t>
      </w:r>
      <w:r w:rsidRPr="00D87B79">
        <w:rPr>
          <w:rFonts w:cs="Tahoma"/>
        </w:rPr>
        <w:t xml:space="preserve"> </w:t>
      </w:r>
      <w:r w:rsidRPr="00D87B79">
        <w:rPr>
          <w:rFonts w:cs="Tahoma"/>
          <w:color w:val="000000"/>
          <w:lang w:val="it-IT"/>
        </w:rPr>
        <w:t>Tali diritti diventeranno permanenti soltanto all’esercizio dell’opzione buy-out e resteranno soggetti a</w:t>
      </w:r>
      <w:r>
        <w:rPr>
          <w:rFonts w:cs="Tahoma"/>
          <w:color w:val="000000"/>
          <w:lang w:val="it-IT"/>
        </w:rPr>
        <w:t> </w:t>
      </w:r>
      <w:r w:rsidRPr="00D87B79">
        <w:rPr>
          <w:rFonts w:cs="Tahoma"/>
          <w:color w:val="000000"/>
          <w:lang w:val="it-IT"/>
        </w:rPr>
        <w:t>tutte le condizioni del contratto di licenza della società.</w:t>
      </w:r>
    </w:p>
    <w:p w:rsidR="00A92422" w:rsidRPr="00D87B79" w:rsidRDefault="00A92422" w:rsidP="00A92422">
      <w:pPr>
        <w:numPr>
          <w:ilvl w:val="0"/>
          <w:numId w:val="118"/>
        </w:numPr>
        <w:spacing w:after="60"/>
        <w:ind w:left="1440"/>
        <w:rPr>
          <w:rFonts w:cs="Tahoma"/>
        </w:rPr>
      </w:pPr>
      <w:r w:rsidRPr="00D87B79">
        <w:rPr>
          <w:rFonts w:cs="Tahoma"/>
          <w:lang w:val="it-IT"/>
        </w:rPr>
        <w:t>Transizioni ai Contratti Campus e School:</w:t>
      </w:r>
      <w:r w:rsidRPr="00D87B79">
        <w:rPr>
          <w:rFonts w:cs="Tahoma"/>
          <w:szCs w:val="18"/>
        </w:rPr>
        <w:t xml:space="preserve"> </w:t>
      </w:r>
      <w:r w:rsidRPr="00D87B79">
        <w:rPr>
          <w:rFonts w:cs="Tahoma"/>
          <w:lang w:val="it-IT"/>
        </w:rPr>
        <w:t>Per quanto riguarda le società che a metà del periodo di</w:t>
      </w:r>
      <w:r>
        <w:rPr>
          <w:rFonts w:cs="Tahoma"/>
          <w:lang w:val="it-IT"/>
        </w:rPr>
        <w:t> </w:t>
      </w:r>
      <w:r w:rsidRPr="00D87B79">
        <w:rPr>
          <w:rFonts w:cs="Tahoma"/>
          <w:lang w:val="it-IT"/>
        </w:rPr>
        <w:t>validità effettuano la transizione dai contratti Campus e School al contratto Enrollment for Education Solutions o Open Value Subscription-Education Solutions mantenendo la copertura della</w:t>
      </w:r>
      <w:r>
        <w:rPr>
          <w:rFonts w:cs="Tahoma"/>
          <w:lang w:val="it-IT"/>
        </w:rPr>
        <w:t> </w:t>
      </w:r>
      <w:r w:rsidRPr="00D87B79">
        <w:rPr>
          <w:rFonts w:cs="Tahoma"/>
          <w:lang w:val="it-IT"/>
        </w:rPr>
        <w:t>sottoscrizione in via continuativa:</w:t>
      </w:r>
    </w:p>
    <w:p w:rsidR="00A92422" w:rsidRPr="008102EF" w:rsidRDefault="00A92422" w:rsidP="00A92422">
      <w:pPr>
        <w:pStyle w:val="ListParagraph"/>
        <w:numPr>
          <w:ilvl w:val="0"/>
          <w:numId w:val="104"/>
        </w:numPr>
        <w:spacing w:after="60"/>
        <w:ind w:left="1980"/>
        <w:contextualSpacing w:val="0"/>
        <w:rPr>
          <w:rFonts w:ascii="Tahoma" w:hAnsi="Tahoma" w:cs="Tahoma"/>
          <w:sz w:val="18"/>
          <w:szCs w:val="18"/>
        </w:rPr>
      </w:pPr>
      <w:r w:rsidRPr="008102EF">
        <w:rPr>
          <w:rFonts w:ascii="Tahoma" w:hAnsi="Tahoma" w:cs="Tahoma"/>
          <w:sz w:val="18"/>
          <w:szCs w:val="18"/>
          <w:lang w:val="it-IT"/>
        </w:rPr>
        <w:t>Vengono concessi gli stessi diritti su base temporanea, ai sensi delle medesime condizioni, fino al termine, rispettivamente, del loro contratto Enrollment for Education Solutions o Open Value Subscription-Education Solutions.</w:t>
      </w:r>
      <w:r w:rsidRPr="008102EF">
        <w:rPr>
          <w:rFonts w:ascii="Tahoma" w:hAnsi="Tahoma" w:cs="Tahoma"/>
          <w:sz w:val="18"/>
          <w:szCs w:val="18"/>
        </w:rPr>
        <w:t xml:space="preserve"> </w:t>
      </w:r>
    </w:p>
    <w:p w:rsidR="00A92422" w:rsidRPr="008102EF" w:rsidRDefault="00A92422" w:rsidP="00A92422">
      <w:pPr>
        <w:pStyle w:val="ListParagraph"/>
        <w:numPr>
          <w:ilvl w:val="0"/>
          <w:numId w:val="104"/>
        </w:numPr>
        <w:spacing w:after="60"/>
        <w:ind w:left="1980"/>
        <w:contextualSpacing w:val="0"/>
        <w:rPr>
          <w:rFonts w:ascii="Tahoma" w:hAnsi="Tahoma" w:cs="Tahoma"/>
          <w:sz w:val="18"/>
          <w:szCs w:val="18"/>
        </w:rPr>
      </w:pPr>
      <w:r w:rsidRPr="008102EF">
        <w:rPr>
          <w:rFonts w:ascii="Tahoma" w:hAnsi="Tahoma" w:cs="Tahoma"/>
          <w:sz w:val="18"/>
          <w:szCs w:val="18"/>
          <w:lang w:val="it-IT"/>
        </w:rPr>
        <w:t>Tali diritti diventeranno permanenti soltanto all’esercizio dell’opzione buy-out e resteranno soggetti a tutte le condizioni del contratto di licenza della società.</w:t>
      </w:r>
    </w:p>
    <w:p w:rsidR="00A92422" w:rsidRPr="008102EF" w:rsidRDefault="00A92422" w:rsidP="00A92422">
      <w:pPr>
        <w:pStyle w:val="EndnoteText"/>
        <w:ind w:left="540"/>
        <w:rPr>
          <w:rFonts w:ascii="Tahoma" w:hAnsi="Tahoma" w:cs="Tahoma"/>
          <w:sz w:val="18"/>
          <w:szCs w:val="18"/>
        </w:rPr>
      </w:pPr>
    </w:p>
    <w:p w:rsidR="00A92422" w:rsidRPr="008102EF" w:rsidRDefault="00A92422" w:rsidP="00A92422">
      <w:pPr>
        <w:pStyle w:val="EndnoteText"/>
        <w:ind w:left="540"/>
        <w:rPr>
          <w:rFonts w:ascii="Tahoma" w:hAnsi="Tahoma" w:cs="Tahoma"/>
          <w:sz w:val="18"/>
          <w:szCs w:val="18"/>
        </w:rPr>
      </w:pPr>
    </w:p>
    <w:p w:rsidR="00A92422" w:rsidRDefault="00A92422" w:rsidP="00A92422">
      <w:pPr>
        <w:rPr>
          <w:rFonts w:cs="Tahoma"/>
          <w:b/>
          <w:caps/>
          <w:color w:val="F66400"/>
          <w:sz w:val="22"/>
          <w:szCs w:val="20"/>
          <w:vertAlign w:val="superscript"/>
          <w:lang w:val="it-IT"/>
        </w:rPr>
      </w:pPr>
      <w:bookmarkStart w:id="1282" w:name="_50_Exchange_Server"/>
      <w:bookmarkStart w:id="1283" w:name="_49_CAL_per"/>
      <w:bookmarkStart w:id="1284" w:name="_Toc342900359"/>
      <w:bookmarkEnd w:id="1281"/>
      <w:bookmarkEnd w:id="1282"/>
      <w:bookmarkEnd w:id="1283"/>
      <w:r>
        <w:rPr>
          <w:rFonts w:cs="Tahoma"/>
          <w:caps/>
          <w:color w:val="F66400"/>
          <w:sz w:val="22"/>
          <w:vertAlign w:val="superscript"/>
          <w:lang w:val="it-IT"/>
        </w:rPr>
        <w:br w:type="page"/>
      </w:r>
    </w:p>
    <w:p w:rsidR="00A92422" w:rsidRPr="00D87B79" w:rsidRDefault="00A92422" w:rsidP="00A92422">
      <w:pPr>
        <w:pStyle w:val="Heading3"/>
        <w:rPr>
          <w:rFonts w:ascii="Tahoma" w:hAnsi="Tahoma" w:cs="Tahoma"/>
        </w:rPr>
      </w:pPr>
      <w:r w:rsidRPr="00D87B79">
        <w:rPr>
          <w:rFonts w:ascii="Tahoma" w:hAnsi="Tahoma" w:cs="Tahoma"/>
          <w:caps/>
          <w:color w:val="F66400"/>
          <w:sz w:val="22"/>
          <w:vertAlign w:val="superscript"/>
          <w:lang w:val="it-IT"/>
        </w:rPr>
        <w:lastRenderedPageBreak/>
        <w:t>49</w:t>
      </w:r>
      <w:r w:rsidRPr="00D87B79">
        <w:rPr>
          <w:rFonts w:ascii="Tahoma" w:hAnsi="Tahoma" w:cs="Tahoma"/>
          <w:color w:val="F66400"/>
          <w:sz w:val="22"/>
          <w:lang w:val="it-IT"/>
        </w:rPr>
        <w:t xml:space="preserve"> CAL per Exchange Server 2010 Standard</w:t>
      </w:r>
      <w:bookmarkEnd w:id="1284"/>
    </w:p>
    <w:p w:rsidR="00A92422" w:rsidRPr="00D87B79" w:rsidRDefault="00A92422" w:rsidP="00A92422">
      <w:pPr>
        <w:rPr>
          <w:rFonts w:cs="Tahoma"/>
        </w:rPr>
      </w:pPr>
    </w:p>
    <w:p w:rsidR="00A92422" w:rsidRPr="00D87B79" w:rsidRDefault="00A92422" w:rsidP="00A92422">
      <w:pPr>
        <w:spacing w:after="60"/>
        <w:ind w:left="720"/>
        <w:rPr>
          <w:rFonts w:cs="Tahoma"/>
        </w:rPr>
      </w:pPr>
      <w:r w:rsidRPr="00D87B79">
        <w:rPr>
          <w:rFonts w:cs="Tahoma"/>
          <w:b/>
          <w:color w:val="000000"/>
          <w:lang w:val="it-IT"/>
        </w:rPr>
        <w:t>Managed Default Folders Concesso in Licenza con Exchange Server 2010 Standard CAL</w:t>
      </w:r>
    </w:p>
    <w:p w:rsidR="00A92422" w:rsidRPr="00D87B79" w:rsidRDefault="00A92422" w:rsidP="00A92422">
      <w:pPr>
        <w:ind w:left="720"/>
        <w:rPr>
          <w:rFonts w:cs="Tahoma"/>
        </w:rPr>
      </w:pPr>
      <w:r w:rsidRPr="00D87B79">
        <w:rPr>
          <w:rFonts w:cs="Tahoma"/>
          <w:color w:val="000000"/>
          <w:szCs w:val="18"/>
          <w:lang w:val="it-IT"/>
        </w:rPr>
        <w:t>Il diritto di accedere alla funzionalità Managed Default Folder di Exchange Server 2010 è concesso in virtù della licenza Exchange Server 2010 Standard o CAL equivalenti.</w:t>
      </w:r>
      <w:r w:rsidRPr="00D87B79">
        <w:rPr>
          <w:rFonts w:cs="Tahoma"/>
          <w:color w:val="000000"/>
          <w:szCs w:val="18"/>
        </w:rPr>
        <w:t xml:space="preserve"> </w:t>
      </w:r>
      <w:r w:rsidRPr="00D87B79">
        <w:rPr>
          <w:rFonts w:cs="Tahoma"/>
          <w:color w:val="000000"/>
          <w:szCs w:val="18"/>
          <w:lang w:val="it-IT"/>
        </w:rPr>
        <w:t>Per accedere alla funzionalità Managed Custom Folder occorre essere titolari di una licenza Exchange Server 2010 Enterprise CAL o CAL equivalente, ma tale condizione non deve essere soddisfatta per accedere alla funzionalità Managed Default</w:t>
      </w:r>
      <w:r>
        <w:rPr>
          <w:rFonts w:cs="Tahoma"/>
          <w:color w:val="000000"/>
          <w:szCs w:val="18"/>
          <w:lang w:val="it-IT"/>
        </w:rPr>
        <w:t> </w:t>
      </w:r>
      <w:r w:rsidRPr="00D87B79">
        <w:rPr>
          <w:rFonts w:cs="Tahoma"/>
          <w:color w:val="000000"/>
          <w:szCs w:val="18"/>
          <w:lang w:val="it-IT"/>
        </w:rPr>
        <w:t>Folder.</w:t>
      </w:r>
      <w:r w:rsidRPr="00D87B79">
        <w:rPr>
          <w:rFonts w:cs="Tahoma"/>
          <w:color w:val="000000"/>
          <w:szCs w:val="18"/>
        </w:rPr>
        <w:t xml:space="preserve"> </w:t>
      </w:r>
    </w:p>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color w:val="000000"/>
          <w:lang w:val="it-IT"/>
        </w:rPr>
        <w:t>Funzionalità Ricerca in più cassette postali Concessa in Licenza con Exchange Server 2010 Standard CAL</w:t>
      </w:r>
    </w:p>
    <w:p w:rsidR="00A92422" w:rsidRPr="00D87B79" w:rsidRDefault="00A92422" w:rsidP="00A92422">
      <w:pPr>
        <w:ind w:left="720"/>
        <w:rPr>
          <w:rFonts w:cs="Tahoma"/>
        </w:rPr>
      </w:pPr>
      <w:r w:rsidRPr="00D87B79">
        <w:rPr>
          <w:rFonts w:cs="Tahoma"/>
          <w:bCs/>
          <w:szCs w:val="20"/>
          <w:lang w:val="it-IT"/>
        </w:rPr>
        <w:t>Microsoft sta aggiornamento i diritti sull’utilizzo di Exchange Server 2010 per evidenziare che il diritto di</w:t>
      </w:r>
      <w:r>
        <w:rPr>
          <w:rFonts w:cs="Tahoma"/>
          <w:bCs/>
          <w:szCs w:val="20"/>
          <w:lang w:val="it-IT"/>
        </w:rPr>
        <w:t> </w:t>
      </w:r>
      <w:r w:rsidRPr="00D87B79">
        <w:rPr>
          <w:rFonts w:cs="Tahoma"/>
          <w:bCs/>
          <w:szCs w:val="20"/>
          <w:lang w:val="it-IT"/>
        </w:rPr>
        <w:t>accedere alla funzionalità Ricerca in più cassette postali di Exchange Server 2010 è concesso ai sensi di</w:t>
      </w:r>
      <w:r>
        <w:rPr>
          <w:rFonts w:cs="Tahoma"/>
          <w:bCs/>
          <w:szCs w:val="20"/>
          <w:lang w:val="it-IT"/>
        </w:rPr>
        <w:t> </w:t>
      </w:r>
      <w:r w:rsidRPr="00D87B79">
        <w:rPr>
          <w:rFonts w:cs="Tahoma"/>
          <w:bCs/>
          <w:szCs w:val="20"/>
          <w:lang w:val="it-IT"/>
        </w:rPr>
        <w:t>Exchange Server 2010 Standard CAL e di CAL equivalenti.</w:t>
      </w:r>
      <w:r w:rsidRPr="00D87B79">
        <w:rPr>
          <w:rFonts w:cs="Tahoma"/>
        </w:rPr>
        <w:t xml:space="preserve"> </w:t>
      </w:r>
      <w:r w:rsidRPr="00D87B79">
        <w:rPr>
          <w:rFonts w:cs="Tahoma"/>
          <w:lang w:val="it-IT"/>
        </w:rPr>
        <w:t>Tale aggiornamento è applicabile a tutte le</w:t>
      </w:r>
      <w:r>
        <w:rPr>
          <w:rFonts w:cs="Tahoma"/>
          <w:lang w:val="it-IT"/>
        </w:rPr>
        <w:t> </w:t>
      </w:r>
      <w:r w:rsidRPr="00D87B79">
        <w:rPr>
          <w:rFonts w:cs="Tahoma"/>
          <w:lang w:val="it-IT"/>
        </w:rPr>
        <w:t>licenze per Exchange Server 2010.</w:t>
      </w:r>
    </w:p>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color w:val="000000"/>
          <w:lang w:val="it-IT"/>
        </w:rPr>
        <w:t>CAL Solo per Studenti (Academic Open License e Academic Select)</w:t>
      </w:r>
    </w:p>
    <w:p w:rsidR="00A92422" w:rsidRPr="00D87B79" w:rsidRDefault="00A92422" w:rsidP="00A92422">
      <w:pPr>
        <w:ind w:left="720"/>
        <w:rPr>
          <w:rFonts w:cs="Tahoma"/>
        </w:rPr>
      </w:pPr>
      <w:r w:rsidRPr="00D87B79">
        <w:rPr>
          <w:rFonts w:cs="Tahoma"/>
          <w:lang w:val="it-IT"/>
        </w:rPr>
        <w:t>Le CAL Solo per Studenti sono limitate ai PC di proprietà dello studente titolare della licenza o ai PC di</w:t>
      </w:r>
      <w:r>
        <w:rPr>
          <w:rFonts w:cs="Tahoma"/>
          <w:lang w:val="it-IT"/>
        </w:rPr>
        <w:t> </w:t>
      </w:r>
      <w:r w:rsidRPr="00D87B79">
        <w:rPr>
          <w:rFonts w:cs="Tahoma"/>
          <w:lang w:val="it-IT"/>
        </w:rPr>
        <w:t>proprietà dell’Istituto che siano assegnati a un singolo studente e NON siano utilizzati nei laboratori o</w:t>
      </w:r>
      <w:r>
        <w:rPr>
          <w:rFonts w:cs="Tahoma"/>
          <w:lang w:val="it-IT"/>
        </w:rPr>
        <w:t> </w:t>
      </w:r>
      <w:r w:rsidRPr="00D87B79">
        <w:rPr>
          <w:rFonts w:cs="Tahoma"/>
          <w:lang w:val="it-IT"/>
        </w:rPr>
        <w:t>in</w:t>
      </w:r>
      <w:r>
        <w:rPr>
          <w:rFonts w:cs="Tahoma"/>
          <w:lang w:val="it-IT"/>
        </w:rPr>
        <w:t> </w:t>
      </w:r>
      <w:r w:rsidRPr="00D87B79">
        <w:rPr>
          <w:rFonts w:cs="Tahoma"/>
          <w:lang w:val="it-IT"/>
        </w:rPr>
        <w:t>classe.</w:t>
      </w:r>
    </w:p>
    <w:p w:rsidR="00A92422" w:rsidRPr="00D87B79" w:rsidRDefault="00A92422" w:rsidP="00A92422">
      <w:pPr>
        <w:rPr>
          <w:rFonts w:cs="Tahoma"/>
        </w:rPr>
      </w:pPr>
    </w:p>
    <w:p w:rsidR="00A92422" w:rsidRPr="00D87B79" w:rsidRDefault="00A92422" w:rsidP="00A92422">
      <w:pPr>
        <w:pStyle w:val="Heading3"/>
        <w:rPr>
          <w:rFonts w:ascii="Tahoma" w:hAnsi="Tahoma" w:cs="Tahoma"/>
        </w:rPr>
      </w:pPr>
      <w:bookmarkStart w:id="1285" w:name="_Toc336338314"/>
      <w:bookmarkStart w:id="1286" w:name="_50_Forefront_Endpoint"/>
      <w:bookmarkStart w:id="1287" w:name="_Toc342900360"/>
      <w:bookmarkStart w:id="1288" w:name="Srv_51ForfrontEndpointProtection"/>
      <w:bookmarkStart w:id="1289" w:name="Srv_50ForfrontEndpointProtection"/>
      <w:bookmarkEnd w:id="1285"/>
      <w:bookmarkEnd w:id="1286"/>
      <w:r w:rsidRPr="00D87B79">
        <w:rPr>
          <w:rFonts w:ascii="Tahoma" w:hAnsi="Tahoma" w:cs="Tahoma"/>
          <w:caps/>
          <w:color w:val="F66400"/>
          <w:sz w:val="22"/>
          <w:vertAlign w:val="superscript"/>
          <w:lang w:val="it-IT"/>
        </w:rPr>
        <w:t>50</w:t>
      </w:r>
      <w:r w:rsidRPr="00D87B79">
        <w:rPr>
          <w:rFonts w:ascii="Tahoma" w:hAnsi="Tahoma" w:cs="Tahoma"/>
          <w:color w:val="F66400"/>
          <w:sz w:val="22"/>
          <w:lang w:val="it-IT"/>
        </w:rPr>
        <w:t xml:space="preserve"> Forefront Endpoint Protection</w:t>
      </w:r>
      <w:bookmarkEnd w:id="1287"/>
    </w:p>
    <w:bookmarkEnd w:id="1288"/>
    <w:bookmarkEnd w:id="1289"/>
    <w:p w:rsidR="00A92422" w:rsidRPr="00D87B79" w:rsidRDefault="00A92422" w:rsidP="00A92422">
      <w:pPr>
        <w:ind w:left="720"/>
        <w:rPr>
          <w:rFonts w:cs="Tahoma"/>
        </w:rPr>
      </w:pPr>
    </w:p>
    <w:p w:rsidR="00A92422" w:rsidRPr="00D87B79" w:rsidRDefault="00A92422" w:rsidP="00A92422">
      <w:pPr>
        <w:tabs>
          <w:tab w:val="left" w:pos="1920"/>
        </w:tabs>
        <w:ind w:left="720"/>
        <w:rPr>
          <w:rFonts w:cs="Tahoma"/>
        </w:rPr>
      </w:pPr>
      <w:r w:rsidRPr="00D87B79">
        <w:rPr>
          <w:rFonts w:cs="Tahoma"/>
          <w:lang w:val="it-IT"/>
        </w:rPr>
        <w:t>A partire dal 1 aprile 2012 Forefront Endpoint Protection, trattandosi di un’offerta per la protezione client, sarà sostituita con System Center 2012 Endpoint Protection.</w:t>
      </w:r>
      <w:r w:rsidRPr="00D87B79">
        <w:rPr>
          <w:rFonts w:cs="Tahoma"/>
        </w:rPr>
        <w:t xml:space="preserve"> </w:t>
      </w:r>
      <w:r w:rsidRPr="00D87B79">
        <w:rPr>
          <w:rFonts w:cs="Tahoma"/>
          <w:lang w:val="it-IT"/>
        </w:rPr>
        <w:t>System Center 2012 Endpoint Protection, trattandosi di un’offerta standalone, conferisce diritti sull’utilizzo solo per proteggere i dispositivi client.</w:t>
      </w:r>
      <w:r w:rsidRPr="00D87B79">
        <w:rPr>
          <w:rFonts w:cs="Tahoma"/>
        </w:rPr>
        <w:t xml:space="preserve"> </w:t>
      </w:r>
      <w:r w:rsidRPr="00D87B79">
        <w:rPr>
          <w:rFonts w:cs="Tahoma"/>
          <w:lang w:val="it-IT"/>
        </w:rPr>
        <w:t>I</w:t>
      </w:r>
      <w:r>
        <w:rPr>
          <w:rFonts w:cs="Tahoma"/>
          <w:lang w:val="it-IT"/>
        </w:rPr>
        <w:t> </w:t>
      </w:r>
      <w:r w:rsidRPr="00D87B79">
        <w:rPr>
          <w:rFonts w:cs="Tahoma"/>
          <w:lang w:val="it-IT"/>
        </w:rPr>
        <w:t>diritti sull’utilizzo per la protezione dei dispositivi server possono essere acquistati solo tramite l’acquisto di</w:t>
      </w:r>
      <w:r>
        <w:rPr>
          <w:rFonts w:cs="Tahoma"/>
          <w:lang w:val="it-IT"/>
        </w:rPr>
        <w:t> </w:t>
      </w:r>
      <w:r w:rsidRPr="00D87B79">
        <w:rPr>
          <w:rFonts w:cs="Tahoma"/>
          <w:lang w:val="it-IT"/>
        </w:rPr>
        <w:t>licenze di gestione per System Center 2012 Standard o Datacenter.</w:t>
      </w:r>
    </w:p>
    <w:p w:rsidR="00A92422" w:rsidRPr="00D87B79" w:rsidRDefault="00A92422" w:rsidP="00A92422">
      <w:pPr>
        <w:tabs>
          <w:tab w:val="left" w:pos="1920"/>
        </w:tabs>
        <w:ind w:left="720"/>
        <w:rPr>
          <w:rFonts w:cs="Tahoma"/>
        </w:rPr>
      </w:pPr>
    </w:p>
    <w:p w:rsidR="00A92422" w:rsidRPr="00D87B79" w:rsidRDefault="00A92422" w:rsidP="00A92422">
      <w:pPr>
        <w:tabs>
          <w:tab w:val="left" w:pos="1920"/>
        </w:tabs>
        <w:ind w:left="720"/>
        <w:rPr>
          <w:rFonts w:cs="Tahoma"/>
        </w:rPr>
      </w:pPr>
      <w:r w:rsidRPr="00D87B79">
        <w:rPr>
          <w:rFonts w:cs="Tahoma"/>
          <w:lang w:val="it-IT"/>
        </w:rPr>
        <w:t>Gli utenti con sottoscrizioni di Forefront Endpoint Protection attive che utilizzano il servizio per proteggere i</w:t>
      </w:r>
      <w:r>
        <w:rPr>
          <w:rFonts w:cs="Tahoma"/>
          <w:lang w:val="it-IT"/>
        </w:rPr>
        <w:t> </w:t>
      </w:r>
      <w:r w:rsidRPr="00D87B79">
        <w:rPr>
          <w:rFonts w:cs="Tahoma"/>
          <w:lang w:val="it-IT"/>
        </w:rPr>
        <w:t>dispositivi client possono effettuare l’aggiornamento a System Center 2012 Endpoint Protection per lo stesso scopo.</w:t>
      </w:r>
    </w:p>
    <w:p w:rsidR="00A92422" w:rsidRPr="00D87B79" w:rsidRDefault="00A92422" w:rsidP="00A92422">
      <w:pPr>
        <w:tabs>
          <w:tab w:val="left" w:pos="1920"/>
        </w:tabs>
        <w:ind w:left="720"/>
        <w:rPr>
          <w:rFonts w:cs="Tahoma"/>
        </w:rPr>
      </w:pPr>
    </w:p>
    <w:p w:rsidR="00A92422" w:rsidRPr="00D87B79" w:rsidRDefault="00A92422" w:rsidP="00A92422">
      <w:pPr>
        <w:tabs>
          <w:tab w:val="left" w:pos="1920"/>
        </w:tabs>
        <w:ind w:left="720"/>
        <w:rPr>
          <w:rFonts w:cs="Tahoma"/>
        </w:rPr>
      </w:pPr>
      <w:r w:rsidRPr="00D87B79">
        <w:rPr>
          <w:rFonts w:cs="Tahoma"/>
          <w:lang w:val="it-IT"/>
        </w:rPr>
        <w:t>Gli utenti con sottoscrizioni di Forefront Endpoint Protection attive che si servono del servizio per proteggere</w:t>
      </w:r>
      <w:r>
        <w:rPr>
          <w:rFonts w:cs="Tahoma"/>
          <w:lang w:val="it-IT"/>
        </w:rPr>
        <w:t> </w:t>
      </w:r>
      <w:r w:rsidRPr="00D87B79">
        <w:rPr>
          <w:rFonts w:cs="Tahoma"/>
          <w:lang w:val="it-IT"/>
        </w:rPr>
        <w:t>i dispositivi server potranno continuare a utilizzare il servizio Forefront Endpoint Protection.</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lang w:val="it-IT"/>
        </w:rPr>
        <w:t>System Center Configuration Manager 2007 R2 o R3 è la console di gestione di Forefront Endpoint Protection 2010. Le società dovranno avere la licenza per System Center Configuration Manager 2007 R2 o</w:t>
      </w:r>
      <w:r>
        <w:rPr>
          <w:rFonts w:cs="Tahoma"/>
          <w:lang w:val="it-IT"/>
        </w:rPr>
        <w:t> </w:t>
      </w:r>
      <w:r w:rsidRPr="00D87B79">
        <w:rPr>
          <w:rFonts w:cs="Tahoma"/>
          <w:lang w:val="it-IT"/>
        </w:rPr>
        <w:t>R3 per fornire funzionalità di gestione a Forefront Endpoint Protection 2010. Forefront Endpoint Protection 2010 può essere utilizzato senza funzionalità di gestione e senza dovere acquistare la licenza per System Center Configuration Manager.</w:t>
      </w:r>
      <w:r w:rsidRPr="00D87B79">
        <w:rPr>
          <w:rFonts w:cs="Tahoma"/>
        </w:rPr>
        <w:t xml:space="preserve"> </w:t>
      </w:r>
    </w:p>
    <w:p w:rsidR="00A92422" w:rsidRPr="00D87B79" w:rsidRDefault="00A92422" w:rsidP="00A92422">
      <w:pPr>
        <w:ind w:left="720"/>
        <w:rPr>
          <w:rFonts w:cs="Tahoma"/>
        </w:rPr>
      </w:pPr>
    </w:p>
    <w:p w:rsidR="00A92422" w:rsidRPr="00D87B79" w:rsidRDefault="00A92422" w:rsidP="00A92422">
      <w:pPr>
        <w:spacing w:after="60"/>
        <w:ind w:left="720"/>
        <w:rPr>
          <w:rFonts w:cs="Tahoma"/>
        </w:rPr>
      </w:pPr>
      <w:bookmarkStart w:id="1290" w:name="Srv_43ExchangeSvr07StdCAL"/>
      <w:bookmarkStart w:id="1291" w:name="Srv_44ExchangeSvr2010StdCAL"/>
      <w:bookmarkStart w:id="1292" w:name="Srv_42ExchangeSvr07StdCAL"/>
      <w:bookmarkEnd w:id="1290"/>
      <w:bookmarkEnd w:id="1291"/>
      <w:bookmarkEnd w:id="1292"/>
      <w:r w:rsidRPr="00D87B79">
        <w:rPr>
          <w:rFonts w:cs="Tahoma"/>
          <w:b/>
          <w:lang w:val="it-IT"/>
        </w:rPr>
        <w:t>Home Use Program</w:t>
      </w:r>
    </w:p>
    <w:p w:rsidR="00A92422" w:rsidRPr="00D87B79" w:rsidRDefault="00A92422" w:rsidP="00A92422">
      <w:pPr>
        <w:ind w:left="720"/>
        <w:rPr>
          <w:rFonts w:cs="Tahoma"/>
        </w:rPr>
      </w:pPr>
      <w:r w:rsidRPr="00D87B79">
        <w:rPr>
          <w:rFonts w:cs="Tahoma"/>
          <w:lang w:val="it-IT"/>
        </w:rPr>
        <w:t>Le società in possesso di Licenze “Subscription” per Utente attive per Forefront Endpoint Protection 2010 si</w:t>
      </w:r>
      <w:r>
        <w:rPr>
          <w:rFonts w:cs="Tahoma"/>
          <w:lang w:val="it-IT"/>
        </w:rPr>
        <w:t> </w:t>
      </w:r>
      <w:r w:rsidRPr="00D87B79">
        <w:rPr>
          <w:rFonts w:cs="Tahoma"/>
          <w:lang w:val="it-IT"/>
        </w:rPr>
        <w:t>qualificano per il programma Home Use Program.</w:t>
      </w:r>
    </w:p>
    <w:p w:rsidR="00A92422" w:rsidRPr="00D87B79" w:rsidRDefault="00A92422" w:rsidP="00A92422">
      <w:pPr>
        <w:rPr>
          <w:rFonts w:cs="Tahoma"/>
        </w:rPr>
      </w:pPr>
      <w:bookmarkStart w:id="1293" w:name="_Toc254758297"/>
    </w:p>
    <w:p w:rsidR="00A92422" w:rsidRPr="00D87B79" w:rsidRDefault="00A92422" w:rsidP="00A92422">
      <w:pPr>
        <w:rPr>
          <w:rFonts w:cs="Tahoma"/>
        </w:rPr>
      </w:pPr>
    </w:p>
    <w:p w:rsidR="00A92422" w:rsidRPr="00D87B79" w:rsidRDefault="00A92422" w:rsidP="00A92422">
      <w:pPr>
        <w:pStyle w:val="Heading3"/>
        <w:rPr>
          <w:rFonts w:ascii="Tahoma" w:hAnsi="Tahoma" w:cs="Tahoma"/>
        </w:rPr>
      </w:pPr>
      <w:bookmarkStart w:id="1294" w:name="_Toc336338315"/>
      <w:bookmarkStart w:id="1295" w:name="Srv_44ForefrontOnSecforExch"/>
      <w:bookmarkStart w:id="1296" w:name="Srv_43ForefrontOnSecforExch"/>
      <w:bookmarkStart w:id="1297" w:name="Srv_43ForefrontIdMgr2010"/>
      <w:bookmarkStart w:id="1298" w:name="Srv_48ForefrontIdMgr2010"/>
      <w:bookmarkStart w:id="1299" w:name="Srv_45ForefrontIdMgr2010"/>
      <w:bookmarkStart w:id="1300" w:name="_51_Forefront_Identity"/>
      <w:bookmarkStart w:id="1301" w:name="_Toc342900361"/>
      <w:bookmarkEnd w:id="1293"/>
      <w:bookmarkEnd w:id="1294"/>
      <w:bookmarkEnd w:id="1295"/>
      <w:bookmarkEnd w:id="1296"/>
      <w:bookmarkEnd w:id="1297"/>
      <w:bookmarkEnd w:id="1298"/>
      <w:bookmarkEnd w:id="1299"/>
      <w:bookmarkEnd w:id="1300"/>
      <w:r w:rsidRPr="00D87B79">
        <w:rPr>
          <w:rFonts w:ascii="Tahoma" w:hAnsi="Tahoma" w:cs="Tahoma"/>
          <w:caps/>
          <w:color w:val="F66400"/>
          <w:sz w:val="22"/>
          <w:vertAlign w:val="superscript"/>
          <w:lang w:val="it-IT"/>
        </w:rPr>
        <w:t>51</w:t>
      </w:r>
      <w:r w:rsidRPr="00304524">
        <w:rPr>
          <w:rFonts w:ascii="Tahoma" w:hAnsi="Tahoma" w:cs="Tahoma"/>
          <w:caps/>
          <w:color w:val="F66400"/>
          <w:sz w:val="22"/>
          <w:lang w:val="it-IT"/>
        </w:rPr>
        <w:t xml:space="preserve"> </w:t>
      </w:r>
      <w:r w:rsidRPr="00D87B79">
        <w:rPr>
          <w:rFonts w:ascii="Tahoma" w:hAnsi="Tahoma" w:cs="Tahoma"/>
          <w:color w:val="F66400"/>
          <w:sz w:val="22"/>
          <w:lang w:val="it-IT"/>
        </w:rPr>
        <w:t>Forefront Identity Manager 2010 R2</w:t>
      </w:r>
      <w:bookmarkEnd w:id="1301"/>
    </w:p>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color w:val="000000"/>
          <w:lang w:val="it-IT"/>
        </w:rPr>
        <w:t>Versione</w:t>
      </w:r>
    </w:p>
    <w:p w:rsidR="00A92422" w:rsidRPr="00D87B79" w:rsidRDefault="00A92422" w:rsidP="00A92422">
      <w:pPr>
        <w:ind w:left="720"/>
        <w:rPr>
          <w:rFonts w:cs="Tahoma"/>
        </w:rPr>
      </w:pPr>
      <w:r w:rsidRPr="00D87B79">
        <w:rPr>
          <w:rFonts w:cs="Tahoma"/>
          <w:color w:val="000000"/>
          <w:lang w:val="it-IT"/>
        </w:rPr>
        <w:t>Forefront Identity Manager 2010 R2 è la versione successiva di Forefront Identity Manager 2010.</w:t>
      </w:r>
    </w:p>
    <w:p w:rsidR="00A92422" w:rsidRPr="00D87B79" w:rsidRDefault="00A92422" w:rsidP="00A92422">
      <w:pPr>
        <w:rPr>
          <w:rFonts w:cs="Tahoma"/>
        </w:rPr>
      </w:pPr>
    </w:p>
    <w:p w:rsidR="00A92422" w:rsidRPr="00D87B79" w:rsidRDefault="00A92422" w:rsidP="00A92422">
      <w:pPr>
        <w:rPr>
          <w:rFonts w:cs="Tahoma"/>
        </w:rPr>
      </w:pPr>
    </w:p>
    <w:p w:rsidR="00A92422" w:rsidRDefault="00A92422" w:rsidP="00A92422">
      <w:pPr>
        <w:rPr>
          <w:rFonts w:cs="Tahoma"/>
          <w:b/>
          <w:caps/>
          <w:color w:val="F26200"/>
          <w:sz w:val="20"/>
          <w:szCs w:val="24"/>
          <w:vertAlign w:val="superscript"/>
          <w:lang w:val="it-IT"/>
        </w:rPr>
      </w:pPr>
      <w:bookmarkStart w:id="1302" w:name="_Toc336338316"/>
      <w:bookmarkStart w:id="1303" w:name="Srv_54ForefrontIDMgrWinLiveEd"/>
      <w:bookmarkStart w:id="1304" w:name="_52_Forefront_Identity"/>
      <w:bookmarkStart w:id="1305" w:name="_Toc342900362"/>
      <w:bookmarkEnd w:id="1302"/>
      <w:bookmarkEnd w:id="1303"/>
      <w:bookmarkEnd w:id="1304"/>
      <w:r>
        <w:rPr>
          <w:rFonts w:cs="Tahoma"/>
          <w:caps/>
          <w:color w:val="F26200"/>
          <w:sz w:val="20"/>
          <w:vertAlign w:val="superscript"/>
          <w:lang w:val="it-IT"/>
        </w:rPr>
        <w:br w:type="page"/>
      </w:r>
    </w:p>
    <w:p w:rsidR="00A92422" w:rsidRPr="00D87B79" w:rsidRDefault="00A92422" w:rsidP="00A92422">
      <w:pPr>
        <w:pStyle w:val="Heading2"/>
        <w:ind w:left="0"/>
        <w:rPr>
          <w:rFonts w:ascii="Tahoma" w:hAnsi="Tahoma" w:cs="Tahoma"/>
        </w:rPr>
      </w:pPr>
      <w:r w:rsidRPr="00D87B79">
        <w:rPr>
          <w:rFonts w:ascii="Tahoma" w:hAnsi="Tahoma" w:cs="Tahoma"/>
          <w:caps/>
          <w:color w:val="F26200"/>
          <w:sz w:val="20"/>
          <w:vertAlign w:val="superscript"/>
          <w:lang w:val="it-IT"/>
        </w:rPr>
        <w:lastRenderedPageBreak/>
        <w:t>52</w:t>
      </w:r>
      <w:r w:rsidRPr="00D87B79">
        <w:rPr>
          <w:rFonts w:ascii="Tahoma" w:hAnsi="Tahoma" w:cs="Tahoma"/>
          <w:color w:val="F26200"/>
          <w:lang w:val="it-IT"/>
        </w:rPr>
        <w:t xml:space="preserve"> </w:t>
      </w:r>
      <w:r w:rsidRPr="00D87B79">
        <w:rPr>
          <w:rFonts w:ascii="Tahoma" w:hAnsi="Tahoma" w:cs="Tahoma"/>
          <w:color w:val="F26200"/>
          <w:sz w:val="22"/>
          <w:lang w:val="it-IT"/>
        </w:rPr>
        <w:t>Forefront Identity Manager 2010 - Windows Live Edition</w:t>
      </w:r>
      <w:bookmarkEnd w:id="1305"/>
    </w:p>
    <w:p w:rsidR="00A92422" w:rsidRPr="00D87B79" w:rsidRDefault="00A92422" w:rsidP="00A92422">
      <w:pPr>
        <w:rPr>
          <w:rFonts w:cs="Tahoma"/>
        </w:rPr>
      </w:pPr>
    </w:p>
    <w:p w:rsidR="00A92422" w:rsidRPr="00D87B79" w:rsidRDefault="00A92422" w:rsidP="00A92422">
      <w:pPr>
        <w:spacing w:after="60"/>
        <w:ind w:left="720"/>
        <w:rPr>
          <w:rFonts w:cs="Tahoma"/>
        </w:rPr>
      </w:pPr>
      <w:bookmarkStart w:id="1306" w:name="Srv_46ForefrontOnlineProforExch"/>
      <w:bookmarkEnd w:id="1306"/>
      <w:r w:rsidRPr="00D87B79">
        <w:rPr>
          <w:rFonts w:cs="Tahoma"/>
          <w:b/>
          <w:color w:val="000000"/>
          <w:lang w:val="it-IT"/>
        </w:rPr>
        <w:t>Versione</w:t>
      </w:r>
    </w:p>
    <w:p w:rsidR="00A92422" w:rsidRPr="00D87B79" w:rsidRDefault="00A92422" w:rsidP="00A92422">
      <w:pPr>
        <w:ind w:left="720"/>
        <w:rPr>
          <w:rFonts w:cs="Tahoma"/>
        </w:rPr>
      </w:pPr>
      <w:r w:rsidRPr="00D87B79">
        <w:rPr>
          <w:rFonts w:cs="Tahoma"/>
          <w:color w:val="000000"/>
          <w:lang w:val="it-IT"/>
        </w:rPr>
        <w:t>Forefront Identity Manager 2010 – Windows Live Edition è la versione successiva di Identity Lifecycle Manager 2007 – Windows Live Edition</w:t>
      </w:r>
    </w:p>
    <w:p w:rsidR="00A92422" w:rsidRPr="00D87B79" w:rsidRDefault="00A92422" w:rsidP="00A92422">
      <w:pPr>
        <w:ind w:left="720"/>
        <w:rPr>
          <w:rFonts w:cs="Tahoma"/>
        </w:rPr>
      </w:pPr>
    </w:p>
    <w:p w:rsidR="00A92422" w:rsidRPr="00D87B79" w:rsidRDefault="00A92422" w:rsidP="00A92422">
      <w:pPr>
        <w:rPr>
          <w:rFonts w:cs="Tahoma"/>
        </w:rPr>
      </w:pPr>
    </w:p>
    <w:p w:rsidR="00A92422" w:rsidRPr="00D87B79" w:rsidRDefault="00A92422" w:rsidP="00A92422">
      <w:pPr>
        <w:pStyle w:val="Heading3"/>
        <w:rPr>
          <w:rFonts w:ascii="Tahoma" w:hAnsi="Tahoma" w:cs="Tahoma"/>
        </w:rPr>
      </w:pPr>
      <w:bookmarkStart w:id="1307" w:name="_Toc336338317"/>
      <w:bookmarkStart w:id="1308" w:name="_53_Forefront_Online"/>
      <w:bookmarkStart w:id="1309" w:name="_Toc342900363"/>
      <w:bookmarkEnd w:id="1307"/>
      <w:bookmarkEnd w:id="1308"/>
      <w:r w:rsidRPr="00D87B79">
        <w:rPr>
          <w:rFonts w:ascii="Tahoma" w:hAnsi="Tahoma" w:cs="Tahoma"/>
          <w:caps/>
          <w:color w:val="F66400"/>
          <w:sz w:val="22"/>
          <w:vertAlign w:val="superscript"/>
          <w:lang w:val="it-IT"/>
        </w:rPr>
        <w:t>53</w:t>
      </w:r>
      <w:r w:rsidRPr="00D87B79">
        <w:rPr>
          <w:rFonts w:ascii="Tahoma" w:hAnsi="Tahoma" w:cs="Tahoma"/>
          <w:color w:val="F66400"/>
          <w:sz w:val="22"/>
          <w:lang w:val="it-IT"/>
        </w:rPr>
        <w:t xml:space="preserve"> Forefront Online Protection for Exchange (SL per Dispositivo e Utente)</w:t>
      </w:r>
      <w:bookmarkEnd w:id="1309"/>
    </w:p>
    <w:p w:rsidR="00A92422" w:rsidRPr="00D87B79" w:rsidRDefault="00A92422" w:rsidP="00A92422">
      <w:pPr>
        <w:pStyle w:val="EndnoteText"/>
        <w:tabs>
          <w:tab w:val="center" w:pos="5306"/>
        </w:tabs>
        <w:ind w:left="0"/>
        <w:rPr>
          <w:rFonts w:ascii="Tahoma" w:hAnsi="Tahoma" w:cs="Tahoma"/>
        </w:rPr>
      </w:pPr>
    </w:p>
    <w:p w:rsidR="00A92422" w:rsidRPr="00D87B79" w:rsidRDefault="00A92422" w:rsidP="00A92422">
      <w:pPr>
        <w:spacing w:after="200" w:line="276" w:lineRule="auto"/>
        <w:ind w:left="720"/>
        <w:rPr>
          <w:rFonts w:cs="Tahoma"/>
        </w:rPr>
      </w:pPr>
      <w:r w:rsidRPr="00D87B79">
        <w:rPr>
          <w:rFonts w:cs="Tahoma"/>
          <w:lang w:val="it-IT"/>
        </w:rPr>
        <w:t>Le società che dispongono di Forefront Online Security for Exchange (ex Exchange Hosted Filtering) dovrebbero utilizzare la stessa iscrizione del contratto Select attivo, l'iscrizione del contratto Enterprise o</w:t>
      </w:r>
      <w:r>
        <w:rPr>
          <w:rFonts w:cs="Tahoma"/>
          <w:lang w:val="it-IT"/>
        </w:rPr>
        <w:t> </w:t>
      </w:r>
      <w:r w:rsidRPr="00D87B79">
        <w:rPr>
          <w:rFonts w:cs="Tahoma"/>
          <w:lang w:val="it-IT"/>
        </w:rPr>
        <w:t>il</w:t>
      </w:r>
      <w:r>
        <w:rPr>
          <w:rFonts w:cs="Tahoma"/>
          <w:lang w:val="it-IT"/>
        </w:rPr>
        <w:t> </w:t>
      </w:r>
      <w:r w:rsidRPr="00D87B79">
        <w:rPr>
          <w:rFonts w:cs="Tahoma"/>
          <w:lang w:val="it-IT"/>
        </w:rPr>
        <w:t>contratto Open Value per effettuare ordini successivamente all'ordine iniziale.</w:t>
      </w:r>
    </w:p>
    <w:p w:rsidR="00A92422" w:rsidRPr="00D87B79" w:rsidRDefault="00A92422" w:rsidP="00A92422">
      <w:pPr>
        <w:ind w:left="720"/>
        <w:rPr>
          <w:rFonts w:cs="Tahoma"/>
        </w:rPr>
      </w:pPr>
      <w:r w:rsidRPr="00D87B79">
        <w:rPr>
          <w:rFonts w:cs="Tahoma"/>
          <w:color w:val="000000"/>
          <w:lang w:val="it-IT"/>
        </w:rPr>
        <w:t>Poiché questo servizio online viene erogato in base al dominio, tutti gli utenti (o i dispositivi) di qualunque dominio interessato devono disporre di SL per Utente (o Dispositivo).</w:t>
      </w:r>
      <w:r w:rsidRPr="00D87B79">
        <w:rPr>
          <w:rFonts w:cs="Tahoma"/>
        </w:rPr>
        <w:t xml:space="preserve"> </w:t>
      </w:r>
      <w:r w:rsidRPr="00D87B79">
        <w:rPr>
          <w:rFonts w:cs="Tahoma"/>
          <w:color w:val="000000"/>
          <w:lang w:val="it-IT"/>
        </w:rPr>
        <w:t>Le società che desiderano che il servizio sia erogato a un sottoinsieme dei loro utenti (o dei loro dispositivi) possono creare sottodomini per</w:t>
      </w:r>
      <w:r>
        <w:rPr>
          <w:rFonts w:cs="Tahoma"/>
          <w:color w:val="000000"/>
          <w:lang w:val="it-IT"/>
        </w:rPr>
        <w:t> </w:t>
      </w:r>
      <w:r w:rsidRPr="00D87B79">
        <w:rPr>
          <w:rFonts w:cs="Tahoma"/>
          <w:color w:val="000000"/>
          <w:lang w:val="it-IT"/>
        </w:rPr>
        <w:t>un’erogazione del servizio più mirata. Solo gli utenti (o i dispositivi) che rientrano nel sottodominio incluso devono disporre di SL per Utente (o Dispositivo).</w:t>
      </w:r>
    </w:p>
    <w:p w:rsidR="00A92422" w:rsidRPr="00D87B79" w:rsidRDefault="00A92422" w:rsidP="00A92422">
      <w:pPr>
        <w:pStyle w:val="EndnoteText"/>
        <w:ind w:left="720"/>
        <w:rPr>
          <w:rFonts w:ascii="Tahoma" w:hAnsi="Tahoma" w:cs="Tahoma"/>
        </w:rPr>
      </w:pPr>
    </w:p>
    <w:p w:rsidR="00A92422" w:rsidRPr="00D87B79" w:rsidRDefault="00A92422" w:rsidP="00A92422">
      <w:pPr>
        <w:pStyle w:val="PlainText"/>
        <w:ind w:left="720"/>
        <w:rPr>
          <w:rFonts w:ascii="Tahoma" w:hAnsi="Tahoma" w:cs="Tahoma"/>
        </w:rPr>
      </w:pPr>
      <w:r w:rsidRPr="00D87B79">
        <w:rPr>
          <w:rFonts w:ascii="Tahoma" w:hAnsi="Tahoma" w:cs="Tahoma"/>
          <w:sz w:val="18"/>
          <w:lang w:val="it-IT"/>
        </w:rPr>
        <w:t>Fare riferimento all'</w:t>
      </w:r>
      <w:hyperlink w:anchor="_SECTION_5_–" w:history="1">
        <w:hyperlink w:anchor="_ARTICOLO_5_–" w:history="1">
          <w:r w:rsidRPr="00D87B79">
            <w:rPr>
              <w:rStyle w:val="Hyperlink"/>
              <w:rFonts w:ascii="Tahoma" w:hAnsi="Tahoma" w:cs="Tahoma"/>
              <w:sz w:val="18"/>
              <w:lang w:val="it-IT"/>
            </w:rPr>
            <w:t>Articolo 5</w:t>
          </w:r>
        </w:hyperlink>
      </w:hyperlink>
      <w:r w:rsidRPr="00D87B79">
        <w:rPr>
          <w:rFonts w:ascii="Tahoma" w:hAnsi="Tahoma" w:cs="Tahoma"/>
          <w:color w:val="000000"/>
          <w:sz w:val="18"/>
          <w:lang w:val="it-IT"/>
        </w:rPr>
        <w:t xml:space="preserve"> per i prezzi dei servizi online e le condizioni di pagamento.</w:t>
      </w:r>
      <w:r w:rsidRPr="00D87B79">
        <w:rPr>
          <w:rFonts w:ascii="Tahoma" w:hAnsi="Tahoma" w:cs="Tahoma"/>
        </w:rPr>
        <w:t xml:space="preserve"> </w:t>
      </w:r>
    </w:p>
    <w:p w:rsidR="00A92422" w:rsidRPr="00304524" w:rsidRDefault="00A92422" w:rsidP="00A92422">
      <w:pPr>
        <w:pStyle w:val="EndnoteText"/>
        <w:ind w:left="0"/>
        <w:rPr>
          <w:rFonts w:ascii="Tahoma" w:hAnsi="Tahoma" w:cs="Tahoma"/>
        </w:rPr>
      </w:pPr>
    </w:p>
    <w:p w:rsidR="00A92422" w:rsidRPr="00D87B79" w:rsidRDefault="00A92422" w:rsidP="00A92422">
      <w:pPr>
        <w:pStyle w:val="Heading3"/>
        <w:ind w:left="261" w:hanging="261"/>
        <w:rPr>
          <w:rFonts w:ascii="Tahoma" w:hAnsi="Tahoma" w:cs="Tahoma"/>
        </w:rPr>
      </w:pPr>
      <w:bookmarkStart w:id="1310" w:name="_54_Forefront_Protection"/>
      <w:bookmarkStart w:id="1311" w:name="_Toc336338318"/>
      <w:bookmarkStart w:id="1312" w:name="_Toc342900364"/>
      <w:bookmarkStart w:id="1313" w:name="Srv_44ForefrontSecforExcSharep"/>
      <w:bookmarkStart w:id="1314" w:name="Srv_45ForefrontSecforExcSharep"/>
      <w:bookmarkEnd w:id="1310"/>
      <w:bookmarkEnd w:id="1311"/>
      <w:r w:rsidRPr="00D87B79">
        <w:rPr>
          <w:rFonts w:ascii="Tahoma" w:hAnsi="Tahoma" w:cs="Tahoma"/>
          <w:caps/>
          <w:color w:val="F66400"/>
          <w:sz w:val="22"/>
          <w:vertAlign w:val="superscript"/>
          <w:lang w:val="it-IT"/>
        </w:rPr>
        <w:t>54</w:t>
      </w:r>
      <w:r w:rsidRPr="00D87B79">
        <w:rPr>
          <w:rFonts w:ascii="Tahoma" w:hAnsi="Tahoma" w:cs="Tahoma"/>
          <w:color w:val="F66400"/>
          <w:sz w:val="22"/>
          <w:lang w:val="it-IT"/>
        </w:rPr>
        <w:t xml:space="preserve"> Forefront Protection 2010 for Exchange Server (SL per Dispositivo e Utente), Forefront Protection 2010 for SharePoint (SL per Dispositivo e Utente) e</w:t>
      </w:r>
      <w:r>
        <w:rPr>
          <w:rFonts w:ascii="Tahoma" w:hAnsi="Tahoma" w:cs="Tahoma"/>
          <w:color w:val="F66400"/>
          <w:sz w:val="22"/>
          <w:lang w:val="it-IT"/>
        </w:rPr>
        <w:t> </w:t>
      </w:r>
      <w:r w:rsidRPr="00D87B79">
        <w:rPr>
          <w:rFonts w:ascii="Tahoma" w:hAnsi="Tahoma" w:cs="Tahoma"/>
          <w:color w:val="F66400"/>
          <w:sz w:val="22"/>
          <w:lang w:val="it-IT"/>
        </w:rPr>
        <w:t>Forefront</w:t>
      </w:r>
      <w:r>
        <w:rPr>
          <w:rFonts w:ascii="Tahoma" w:hAnsi="Tahoma" w:cs="Tahoma"/>
          <w:color w:val="F66400"/>
          <w:sz w:val="22"/>
          <w:lang w:val="it-IT"/>
        </w:rPr>
        <w:t> </w:t>
      </w:r>
      <w:r w:rsidRPr="00D87B79">
        <w:rPr>
          <w:rFonts w:ascii="Tahoma" w:hAnsi="Tahoma" w:cs="Tahoma"/>
          <w:color w:val="F66400"/>
          <w:sz w:val="22"/>
          <w:lang w:val="it-IT"/>
        </w:rPr>
        <w:t>Protection 2010 per Siti Internet (SL Add-on)</w:t>
      </w:r>
      <w:bookmarkEnd w:id="1312"/>
    </w:p>
    <w:bookmarkEnd w:id="1313"/>
    <w:bookmarkEnd w:id="1314"/>
    <w:p w:rsidR="00A92422" w:rsidRPr="00D87B79" w:rsidRDefault="00A92422" w:rsidP="00A92422">
      <w:pPr>
        <w:ind w:left="720"/>
        <w:rPr>
          <w:rFonts w:cs="Tahoma"/>
        </w:rPr>
      </w:pPr>
    </w:p>
    <w:p w:rsidR="00A92422" w:rsidRPr="00D87B79" w:rsidRDefault="00A92422" w:rsidP="00A92422">
      <w:pPr>
        <w:ind w:left="720"/>
        <w:rPr>
          <w:rFonts w:cs="Tahoma"/>
        </w:rPr>
      </w:pPr>
      <w:bookmarkStart w:id="1315" w:name="Srv_48ForefrontProtectionSuite"/>
      <w:bookmarkEnd w:id="1315"/>
      <w:r w:rsidRPr="00D87B79">
        <w:rPr>
          <w:rFonts w:cs="Tahoma"/>
          <w:lang w:val="it-IT"/>
        </w:rPr>
        <w:t>Forefront Protection 2010 for SharePoint, Forefront Protection 2010 for Exchange Server e Forefront Protection 2010 per Siti Internet non saranno più disponibili a partire dal 1 dicembre 2012. Le società che</w:t>
      </w:r>
      <w:r>
        <w:rPr>
          <w:rFonts w:cs="Tahoma"/>
          <w:lang w:val="it-IT"/>
        </w:rPr>
        <w:t> </w:t>
      </w:r>
      <w:r w:rsidRPr="00D87B79">
        <w:rPr>
          <w:rFonts w:cs="Tahoma"/>
          <w:lang w:val="it-IT"/>
        </w:rPr>
        <w:t>disporranno di abbonamenti per i servizi online alla data del 30 novembre 2012 potranno continuare a</w:t>
      </w:r>
      <w:r>
        <w:rPr>
          <w:rFonts w:cs="Tahoma"/>
          <w:lang w:val="it-IT"/>
        </w:rPr>
        <w:t> </w:t>
      </w:r>
      <w:r w:rsidRPr="00D87B79">
        <w:rPr>
          <w:rFonts w:cs="Tahoma"/>
          <w:lang w:val="it-IT"/>
        </w:rPr>
        <w:t>utilizzare i servizi online fino al 31 dicembre 2015. Le società esistenti potranno inoltre aggiungere nuovi utenti in base alle proprie esigenze senza dovere ordinare Licenze “Subscription” per Utente aggiuntive.</w:t>
      </w:r>
      <w:r w:rsidRPr="00D87B79">
        <w:rPr>
          <w:rFonts w:cs="Tahoma"/>
        </w:rPr>
        <w:t xml:space="preserve"> </w:t>
      </w:r>
      <w:r w:rsidRPr="00D87B79">
        <w:rPr>
          <w:rFonts w:cs="Tahoma"/>
          <w:color w:val="000000"/>
          <w:lang w:val="it-IT"/>
        </w:rPr>
        <w:t>L'utilizzo continuato dei servizi online rimane soggetto alle condizioni del Contratto Multilicenza della società, ai diritti di utilizzo del prodotto relativi al servizio online e alle presenti condizioni.</w:t>
      </w:r>
      <w:r w:rsidRPr="00D87B79">
        <w:rPr>
          <w:rFonts w:cs="Tahoma"/>
        </w:rPr>
        <w:t xml:space="preserve"> </w:t>
      </w:r>
    </w:p>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lang w:val="it-IT"/>
        </w:rPr>
        <w:t>Diritto di Migrazione per Forefront Protection 2010 for Exchange Server</w:t>
      </w:r>
    </w:p>
    <w:p w:rsidR="00A92422" w:rsidRPr="00D87B79" w:rsidRDefault="00A92422" w:rsidP="00A92422">
      <w:pPr>
        <w:ind w:left="720"/>
        <w:rPr>
          <w:rFonts w:cs="Tahoma"/>
        </w:rPr>
      </w:pPr>
      <w:r w:rsidRPr="00D87B79">
        <w:rPr>
          <w:rFonts w:cs="Tahoma"/>
          <w:color w:val="000000"/>
          <w:lang w:val="it-IT"/>
        </w:rPr>
        <w:t>Le società che hanno stipulato un contratto multilicenza (Volume License) e che hanno acquistato una licenza per Forefront Protection 2010 for Exchange Server sono idonee a utilizzare Antigen for Exchange, Antigen for SMTP Gateways e Antigen Spam Manager al posto di Forefront Protection 2010 for Exchange Server. L’utilizzo di Antigen for Exchange, Antigen for SMTP Gateways e Antigen Spam Manager è soggetto al relativo contratto di licenza e ai diritti sull'utilizzo di Forefront Protection 2010 for Exchange Server.* I</w:t>
      </w:r>
      <w:r>
        <w:rPr>
          <w:rFonts w:cs="Tahoma"/>
          <w:color w:val="000000"/>
          <w:lang w:val="it-IT"/>
        </w:rPr>
        <w:t> </w:t>
      </w:r>
      <w:r w:rsidRPr="00D87B79">
        <w:rPr>
          <w:rFonts w:cs="Tahoma"/>
          <w:color w:val="000000"/>
          <w:lang w:val="it-IT"/>
        </w:rPr>
        <w:t>diritti delle società di utilizzare Antigen for Exchange, Antigen for SMTP Gateways e Antigen Spam Manager cesseranno alla scadenza dei diritti concessi dalla loro licenza per Forefront Protection 2010 for Exchange Server.</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color w:val="000000"/>
          <w:lang w:val="it-IT"/>
        </w:rPr>
        <w:t>*Il diritto di utilizzo di Antigen al posto di Forefront Security non si applica alle società che abbiano inizialmente acquistato licenze per uno o più servizi Antigen e che poi migrino a Forefront Protection 2010</w:t>
      </w:r>
      <w:r>
        <w:rPr>
          <w:rFonts w:cs="Tahoma"/>
          <w:color w:val="000000"/>
          <w:lang w:val="it-IT"/>
        </w:rPr>
        <w:t> </w:t>
      </w:r>
      <w:r w:rsidRPr="00D87B79">
        <w:rPr>
          <w:rFonts w:cs="Tahoma"/>
          <w:color w:val="000000"/>
          <w:lang w:val="it-IT"/>
        </w:rPr>
        <w:t>for Exchange Server. Ad esempio, le società titolari di una licenza Antigen for Exchange non sono autorizzate a utilizzare Antigen for SMTP Gateways o Antigen Spam Manager nell’ambito delle rispettive licenze Antigen for Exchange in virtù dei diritti di migrazione a Forefront Protection 2010 for Exchange Server previsti da tale licenza.</w:t>
      </w:r>
      <w:r w:rsidRPr="00D87B79">
        <w:rPr>
          <w:rFonts w:cs="Tahoma"/>
        </w:rPr>
        <w:t xml:space="preserve"> </w:t>
      </w:r>
    </w:p>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lang w:val="it-IT"/>
        </w:rPr>
        <w:t>Diritto di Downgrade per Forefront Security for SharePoint</w:t>
      </w:r>
    </w:p>
    <w:p w:rsidR="00A92422" w:rsidRPr="00D87B79" w:rsidRDefault="00A92422" w:rsidP="00A92422">
      <w:pPr>
        <w:ind w:left="720"/>
        <w:rPr>
          <w:rFonts w:cs="Tahoma"/>
        </w:rPr>
      </w:pPr>
      <w:r w:rsidRPr="00D87B79">
        <w:rPr>
          <w:rFonts w:cs="Tahoma"/>
          <w:szCs w:val="20"/>
          <w:lang w:val="it-IT"/>
        </w:rPr>
        <w:t>Le società che abbiano stipulato contratti Volume License e che abbiano acquistato una licenza per Forefront Protection 2010 for SharePoint sono idonee a effettuare il downgrade a e utilizzare Antigen for SharePoint al</w:t>
      </w:r>
      <w:r>
        <w:rPr>
          <w:rFonts w:cs="Tahoma"/>
          <w:szCs w:val="20"/>
          <w:lang w:val="it-IT"/>
        </w:rPr>
        <w:t> </w:t>
      </w:r>
      <w:r w:rsidRPr="00D87B79">
        <w:rPr>
          <w:rFonts w:cs="Tahoma"/>
          <w:szCs w:val="20"/>
          <w:lang w:val="it-IT"/>
        </w:rPr>
        <w:t xml:space="preserve">posto delle licenze Forefront Protection 2010 for SharePoint. L’utilizzo di Antigen for SharePoint è soggetto alle condizioni del contratto di licenza e ai diritti di utilizzo di Forefront Protection 2010 for </w:t>
      </w:r>
      <w:r w:rsidRPr="00D87B79">
        <w:rPr>
          <w:rFonts w:cs="Tahoma"/>
          <w:szCs w:val="20"/>
          <w:lang w:val="it-IT"/>
        </w:rPr>
        <w:lastRenderedPageBreak/>
        <w:t>SharePoint.</w:t>
      </w:r>
      <w:r w:rsidRPr="00D87B79">
        <w:rPr>
          <w:rFonts w:cs="Tahoma"/>
        </w:rPr>
        <w:t xml:space="preserve"> </w:t>
      </w:r>
      <w:r w:rsidRPr="00D87B79">
        <w:rPr>
          <w:rFonts w:cs="Tahoma"/>
          <w:lang w:val="it-IT"/>
        </w:rPr>
        <w:t>I diritti delle società di utilizzare Antigen for SharePoint cesseranno alla scadenza dei diritti della</w:t>
      </w:r>
      <w:r>
        <w:rPr>
          <w:rFonts w:cs="Tahoma"/>
          <w:lang w:val="it-IT"/>
        </w:rPr>
        <w:t> </w:t>
      </w:r>
      <w:r w:rsidRPr="00D87B79">
        <w:rPr>
          <w:rFonts w:cs="Tahoma"/>
          <w:lang w:val="it-IT"/>
        </w:rPr>
        <w:t>licenza Forefront Protection 2010 for SharePoint.</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color w:val="000000"/>
          <w:lang w:val="it-IT"/>
        </w:rPr>
        <w:t>Tutti gli utenti (o dispositivi) che accedono a un server protetto devono disporre di SL per Utente (o</w:t>
      </w:r>
      <w:r>
        <w:rPr>
          <w:rFonts w:cs="Tahoma"/>
          <w:color w:val="000000"/>
          <w:lang w:val="it-IT"/>
        </w:rPr>
        <w:t> </w:t>
      </w:r>
      <w:r w:rsidRPr="00D87B79">
        <w:rPr>
          <w:rFonts w:cs="Tahoma"/>
          <w:color w:val="000000"/>
          <w:lang w:val="it-IT"/>
        </w:rPr>
        <w:t>Dispositivo), a meno che non dispongano di una licenza tramite External Connector per Forefront for</w:t>
      </w:r>
      <w:r>
        <w:rPr>
          <w:rFonts w:cs="Tahoma"/>
          <w:color w:val="000000"/>
          <w:lang w:val="it-IT"/>
        </w:rPr>
        <w:t> </w:t>
      </w:r>
      <w:r w:rsidRPr="00D87B79">
        <w:rPr>
          <w:rFonts w:cs="Tahoma"/>
          <w:color w:val="000000"/>
          <w:lang w:val="it-IT"/>
        </w:rPr>
        <w:t>Exchange o SL Add-on per Forefront Security for SharePoint per Siti Internet.</w:t>
      </w:r>
    </w:p>
    <w:p w:rsidR="00A92422" w:rsidRPr="000132CD" w:rsidRDefault="00A92422" w:rsidP="00A92422">
      <w:pPr>
        <w:pStyle w:val="EndnoteText"/>
        <w:ind w:left="720"/>
        <w:rPr>
          <w:rFonts w:ascii="Tahoma" w:hAnsi="Tahoma" w:cs="Tahoma"/>
          <w:sz w:val="18"/>
          <w:szCs w:val="18"/>
        </w:rPr>
      </w:pPr>
    </w:p>
    <w:p w:rsidR="00A92422" w:rsidRPr="00304524" w:rsidRDefault="00A92422" w:rsidP="00A92422">
      <w:pPr>
        <w:pStyle w:val="EndnoteText"/>
        <w:ind w:left="720"/>
        <w:rPr>
          <w:rFonts w:ascii="Tahoma" w:hAnsi="Tahoma" w:cs="Tahoma"/>
          <w:sz w:val="18"/>
          <w:szCs w:val="18"/>
        </w:rPr>
      </w:pPr>
      <w:r w:rsidRPr="00304524">
        <w:rPr>
          <w:rFonts w:ascii="Tahoma" w:hAnsi="Tahoma" w:cs="Tahoma"/>
          <w:color w:val="000000"/>
          <w:sz w:val="18"/>
          <w:szCs w:val="18"/>
          <w:lang w:val="it-IT"/>
        </w:rPr>
        <w:t>Fare riferimento all'</w:t>
      </w:r>
      <w:hyperlink w:anchor="Appendix_3" w:history="1">
        <w:hyperlink w:anchor="_ARTICOLO_5_–" w:history="1">
          <w:r w:rsidRPr="00304524">
            <w:rPr>
              <w:rStyle w:val="Hyperlink"/>
              <w:rFonts w:ascii="Tahoma" w:hAnsi="Tahoma" w:cs="Tahoma"/>
              <w:sz w:val="18"/>
              <w:szCs w:val="18"/>
              <w:lang w:val="it-IT"/>
            </w:rPr>
            <w:t>Articolo 5</w:t>
          </w:r>
        </w:hyperlink>
      </w:hyperlink>
      <w:r w:rsidRPr="00304524">
        <w:rPr>
          <w:rFonts w:ascii="Tahoma" w:hAnsi="Tahoma" w:cs="Tahoma"/>
          <w:color w:val="000000"/>
          <w:sz w:val="18"/>
          <w:szCs w:val="18"/>
          <w:lang w:val="it-IT"/>
        </w:rPr>
        <w:t xml:space="preserve"> per i prezzi dei servizi online e le condizioni di pagamento.</w:t>
      </w:r>
    </w:p>
    <w:p w:rsidR="00A92422" w:rsidRPr="000132CD" w:rsidRDefault="00A92422" w:rsidP="00A92422">
      <w:pPr>
        <w:pStyle w:val="EndnoteText"/>
        <w:rPr>
          <w:rFonts w:cs="Tahoma"/>
          <w:sz w:val="18"/>
          <w:szCs w:val="18"/>
        </w:rPr>
      </w:pPr>
    </w:p>
    <w:p w:rsidR="00A92422" w:rsidRPr="00304524" w:rsidRDefault="00A92422" w:rsidP="00A92422">
      <w:pPr>
        <w:pStyle w:val="EndnoteText"/>
        <w:rPr>
          <w:rFonts w:cs="Tahoma"/>
          <w:sz w:val="18"/>
          <w:szCs w:val="18"/>
        </w:rPr>
      </w:pPr>
    </w:p>
    <w:p w:rsidR="00A92422" w:rsidRPr="00D87B79" w:rsidRDefault="00A92422" w:rsidP="00A92422">
      <w:pPr>
        <w:pStyle w:val="Heading3"/>
        <w:rPr>
          <w:rFonts w:ascii="Tahoma" w:hAnsi="Tahoma" w:cs="Tahoma"/>
        </w:rPr>
      </w:pPr>
      <w:bookmarkStart w:id="1316" w:name="_Toc336338319"/>
      <w:bookmarkStart w:id="1317" w:name="_55_Forefront_Protection"/>
      <w:bookmarkStart w:id="1318" w:name="_Toc342900365"/>
      <w:bookmarkEnd w:id="1316"/>
      <w:bookmarkEnd w:id="1317"/>
      <w:r w:rsidRPr="00D87B79">
        <w:rPr>
          <w:rFonts w:ascii="Tahoma" w:hAnsi="Tahoma" w:cs="Tahoma"/>
          <w:caps/>
          <w:color w:val="F66400"/>
          <w:sz w:val="22"/>
          <w:vertAlign w:val="superscript"/>
          <w:lang w:val="it-IT"/>
        </w:rPr>
        <w:t>55</w:t>
      </w:r>
      <w:r w:rsidRPr="00D87B79">
        <w:rPr>
          <w:rFonts w:ascii="Tahoma" w:hAnsi="Tahoma" w:cs="Tahoma"/>
          <w:color w:val="F66400"/>
          <w:sz w:val="22"/>
          <w:lang w:val="it-IT"/>
        </w:rPr>
        <w:t xml:space="preserve"> Forefront Protection Suite (Dispositivo e Utente)</w:t>
      </w:r>
      <w:bookmarkEnd w:id="1318"/>
    </w:p>
    <w:p w:rsidR="00A92422" w:rsidRPr="00D87B79" w:rsidRDefault="00A92422" w:rsidP="00A92422">
      <w:pPr>
        <w:rPr>
          <w:rFonts w:cs="Tahoma"/>
        </w:rPr>
      </w:pPr>
    </w:p>
    <w:p w:rsidR="00A92422" w:rsidRDefault="00A92422" w:rsidP="00A92422">
      <w:pPr>
        <w:ind w:left="720"/>
        <w:rPr>
          <w:rFonts w:cs="Tahoma"/>
          <w:color w:val="000000"/>
          <w:lang w:val="it-IT"/>
        </w:rPr>
      </w:pPr>
      <w:r w:rsidRPr="00D87B79">
        <w:rPr>
          <w:rFonts w:cs="Tahoma"/>
          <w:color w:val="000000"/>
          <w:lang w:val="it-IT"/>
        </w:rPr>
        <w:t>Forefront Protection Suite non sarà più disponibile a partire dal 1 dicembre 2012. Le società con abbonamenti attivi al servizio online in data 30 novembre 2012 potranno continuare a utilizzare i servizi online dei componenti fino alla scadenza dell’abbonamento.</w:t>
      </w:r>
      <w:r w:rsidRPr="00D87B79">
        <w:rPr>
          <w:rFonts w:cs="Tahoma"/>
        </w:rPr>
        <w:t xml:space="preserve"> </w:t>
      </w:r>
      <w:bookmarkStart w:id="1319" w:name="Srv_45ForefrontSecfoOffComm"/>
      <w:bookmarkStart w:id="1320" w:name="Srv_46ForefrontSecfoOffComm"/>
      <w:bookmarkEnd w:id="1319"/>
      <w:bookmarkEnd w:id="1320"/>
      <w:r w:rsidRPr="00D87B79">
        <w:rPr>
          <w:rFonts w:cs="Tahoma"/>
          <w:lang w:val="it-IT"/>
        </w:rPr>
        <w:t xml:space="preserve">Tali società potranno inoltre continuare a utilizzare i componenti Forefront </w:t>
      </w:r>
      <w:r w:rsidRPr="00D87B79">
        <w:rPr>
          <w:rFonts w:cs="Tahoma"/>
          <w:color w:val="000000"/>
          <w:lang w:val="it-IT"/>
        </w:rPr>
        <w:t xml:space="preserve">Security </w:t>
      </w:r>
      <w:r w:rsidRPr="00D87B79">
        <w:rPr>
          <w:rFonts w:cs="Tahoma"/>
          <w:lang w:val="it-IT"/>
        </w:rPr>
        <w:t>for Office Communications Server, Forefront Protection 2010 for</w:t>
      </w:r>
      <w:r>
        <w:rPr>
          <w:rFonts w:cs="Tahoma"/>
          <w:lang w:val="it-IT"/>
        </w:rPr>
        <w:t> </w:t>
      </w:r>
      <w:r w:rsidRPr="00D87B79">
        <w:rPr>
          <w:rFonts w:cs="Tahoma"/>
          <w:lang w:val="it-IT"/>
        </w:rPr>
        <w:t>Exchange Server, Forefront Threat Management Gateway Web Protection Service e Forefront Protection</w:t>
      </w:r>
      <w:r>
        <w:rPr>
          <w:rFonts w:cs="Tahoma"/>
          <w:lang w:val="it-IT"/>
        </w:rPr>
        <w:t> </w:t>
      </w:r>
      <w:r w:rsidRPr="00D87B79">
        <w:rPr>
          <w:rFonts w:cs="Tahoma"/>
          <w:lang w:val="it-IT"/>
        </w:rPr>
        <w:t>2010 for SharePoint Server della famiglia di prodotti fino al 31 dicembre 2015. Le società esistenti</w:t>
      </w:r>
      <w:r>
        <w:rPr>
          <w:rFonts w:cs="Tahoma"/>
          <w:lang w:val="it-IT"/>
        </w:rPr>
        <w:t> </w:t>
      </w:r>
      <w:r w:rsidRPr="00D87B79">
        <w:rPr>
          <w:rFonts w:cs="Tahoma"/>
          <w:lang w:val="it-IT"/>
        </w:rPr>
        <w:t>potranno inoltre aggiungere nuovi utenti in base alle proprie esigenze per Forefront Security for</w:t>
      </w:r>
      <w:r>
        <w:rPr>
          <w:rFonts w:cs="Tahoma"/>
          <w:lang w:val="it-IT"/>
        </w:rPr>
        <w:t> </w:t>
      </w:r>
      <w:r w:rsidRPr="00D87B79">
        <w:rPr>
          <w:rFonts w:cs="Tahoma"/>
          <w:lang w:val="it-IT"/>
        </w:rPr>
        <w:t>Office Communications Server, Forefront Protection 2010 for Exchange Server, Forefront Threat Management Gateway Web Protection Service e Forefront Protection for SharePoint Server senza dovere ordinare Licenze “Subscription” per Utente aggiuntive.</w:t>
      </w:r>
      <w:r w:rsidRPr="00D87B79">
        <w:rPr>
          <w:rFonts w:cs="Tahoma"/>
        </w:rPr>
        <w:t xml:space="preserve"> </w:t>
      </w:r>
      <w:r w:rsidRPr="00D87B79">
        <w:rPr>
          <w:rFonts w:cs="Tahoma"/>
          <w:color w:val="000000"/>
          <w:lang w:val="it-IT"/>
        </w:rPr>
        <w:t>L'utilizzo continuato dei servizi online dei componenti rimane soggetto alle condizioni del Contratto Multilicenza della società, ai diritti di utilizzo del prodotto relativi ai servizi online e alle presenti condizioni.</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color w:val="000000"/>
          <w:lang w:val="it-IT"/>
        </w:rPr>
        <w:t>Un abbonamento a Forefront Protection Suite è costituito dai seguenti servizi online:</w:t>
      </w:r>
      <w:r w:rsidRPr="00D87B79">
        <w:rPr>
          <w:rFonts w:cs="Tahoma"/>
          <w:color w:val="000000"/>
          <w:szCs w:val="20"/>
        </w:rPr>
        <w:t xml:space="preserve"> </w:t>
      </w:r>
      <w:r w:rsidRPr="00D87B79">
        <w:rPr>
          <w:rFonts w:cs="Tahoma"/>
          <w:color w:val="000000"/>
          <w:lang w:val="it-IT"/>
        </w:rPr>
        <w:t>Forefront Endpoint Protection, Forefront for Office Communications Server (ex Antigen for Instant Messaging), Forefront Online</w:t>
      </w:r>
      <w:r>
        <w:rPr>
          <w:rFonts w:cs="Tahoma"/>
          <w:color w:val="000000"/>
          <w:lang w:val="it-IT"/>
        </w:rPr>
        <w:t> </w:t>
      </w:r>
      <w:r w:rsidRPr="00D87B79">
        <w:rPr>
          <w:rFonts w:cs="Tahoma"/>
          <w:color w:val="000000"/>
          <w:lang w:val="it-IT"/>
        </w:rPr>
        <w:t>Protection for Exchange (ex Exchange Hosted Filtering), Forefront Protection 2010 for Exchange Server, Forefront Threat Management Gateway Web Protection Service e Forefront Protection 2010 for SharePoint Server.</w:t>
      </w:r>
      <w:r w:rsidRPr="00D87B79">
        <w:rPr>
          <w:rFonts w:cs="Tahoma"/>
        </w:rPr>
        <w:t xml:space="preserve"> </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lang w:val="it-IT"/>
        </w:rPr>
        <w:t>Fare riferimento all’</w:t>
      </w:r>
      <w:hyperlink w:anchor="_ARTICOLO_5_–" w:history="1">
        <w:r w:rsidRPr="00D87B79">
          <w:rPr>
            <w:rStyle w:val="Hyperlink"/>
            <w:rFonts w:cs="Tahoma"/>
            <w:lang w:val="it-IT"/>
          </w:rPr>
          <w:t>Articolo 5</w:t>
        </w:r>
      </w:hyperlink>
      <w:r w:rsidRPr="00D87B79">
        <w:rPr>
          <w:rFonts w:cs="Tahoma"/>
          <w:lang w:val="it-IT"/>
        </w:rPr>
        <w:t xml:space="preserve"> per i prezzi dei servizi online e le condizioni di pagamento.</w:t>
      </w:r>
      <w:r w:rsidRPr="00D87B79">
        <w:rPr>
          <w:rFonts w:cs="Tahoma"/>
        </w:rPr>
        <w:t xml:space="preserve"> </w:t>
      </w:r>
    </w:p>
    <w:p w:rsidR="00A92422" w:rsidRPr="00D87B79" w:rsidRDefault="00A92422" w:rsidP="00A92422">
      <w:pPr>
        <w:rPr>
          <w:rFonts w:cs="Tahoma"/>
        </w:rPr>
      </w:pPr>
    </w:p>
    <w:p w:rsidR="00A92422" w:rsidRPr="006266CF" w:rsidRDefault="00A92422" w:rsidP="00A92422">
      <w:pPr>
        <w:pStyle w:val="Heading3"/>
        <w:rPr>
          <w:rFonts w:ascii="Tahoma" w:hAnsi="Tahoma" w:cs="Tahoma"/>
          <w:sz w:val="18"/>
          <w:szCs w:val="18"/>
        </w:rPr>
      </w:pPr>
    </w:p>
    <w:p w:rsidR="00A92422" w:rsidRPr="00D87B79" w:rsidRDefault="00A92422" w:rsidP="00A92422">
      <w:pPr>
        <w:pStyle w:val="Heading3"/>
        <w:rPr>
          <w:rFonts w:ascii="Tahoma" w:hAnsi="Tahoma" w:cs="Tahoma"/>
        </w:rPr>
      </w:pPr>
      <w:bookmarkStart w:id="1321" w:name="_Toc336338320"/>
      <w:bookmarkStart w:id="1322" w:name="Srv_49ForefrontSecfoOffComm"/>
      <w:bookmarkStart w:id="1323" w:name="_56_Forefront_Security"/>
      <w:bookmarkStart w:id="1324" w:name="_Toc342900366"/>
      <w:bookmarkEnd w:id="1321"/>
      <w:bookmarkEnd w:id="1322"/>
      <w:bookmarkEnd w:id="1323"/>
      <w:r w:rsidRPr="00D87B79">
        <w:rPr>
          <w:rFonts w:ascii="Tahoma" w:hAnsi="Tahoma" w:cs="Tahoma"/>
          <w:caps/>
          <w:color w:val="F66400"/>
          <w:sz w:val="22"/>
          <w:vertAlign w:val="superscript"/>
          <w:lang w:val="it-IT"/>
        </w:rPr>
        <w:t>56</w:t>
      </w:r>
      <w:r w:rsidRPr="00D87B79">
        <w:rPr>
          <w:rFonts w:ascii="Tahoma" w:hAnsi="Tahoma" w:cs="Tahoma"/>
          <w:color w:val="F66400"/>
          <w:sz w:val="22"/>
          <w:lang w:val="it-IT"/>
        </w:rPr>
        <w:t xml:space="preserve"> Forefront Security for Office Communications Server (SL per Utente e Dispositivo)</w:t>
      </w:r>
      <w:bookmarkEnd w:id="1324"/>
    </w:p>
    <w:p w:rsidR="00A92422" w:rsidRPr="006266CF" w:rsidRDefault="00A92422" w:rsidP="00A92422">
      <w:pPr>
        <w:pStyle w:val="EndnoteText"/>
        <w:ind w:left="0"/>
        <w:rPr>
          <w:rFonts w:ascii="Tahoma" w:hAnsi="Tahoma" w:cs="Tahoma"/>
          <w:sz w:val="18"/>
          <w:szCs w:val="18"/>
        </w:rPr>
      </w:pPr>
    </w:p>
    <w:p w:rsidR="00A92422" w:rsidRPr="00D87B79" w:rsidRDefault="00A92422" w:rsidP="00A92422">
      <w:pPr>
        <w:ind w:left="720"/>
        <w:rPr>
          <w:rFonts w:cs="Tahoma"/>
        </w:rPr>
      </w:pPr>
      <w:r w:rsidRPr="00D87B79">
        <w:rPr>
          <w:rFonts w:cs="Tahoma"/>
          <w:color w:val="000000"/>
          <w:lang w:val="it-IT"/>
        </w:rPr>
        <w:t>Forefront Security for Office Communications Server</w:t>
      </w:r>
      <w:r w:rsidRPr="00D87B79">
        <w:rPr>
          <w:rFonts w:cs="Tahoma"/>
          <w:lang w:val="it-IT"/>
        </w:rPr>
        <w:t xml:space="preserve"> non sarà più disponibile a partire dal 1 dicembre 2012. Le società che disporranno di abbonamenti per il servizio online alla data del 30 novembre 2012 potranno continuare a utilizzare il servizio online fino al 31 dicembre 2015. Le società esistenti potranno inoltre aggiungere nuovi utenti in base alle proprie esigenze senza dovere ordinare Licenze “Subscription” per Utente aggiuntive.</w:t>
      </w:r>
      <w:r w:rsidRPr="00D87B79">
        <w:rPr>
          <w:rFonts w:cs="Tahoma"/>
        </w:rPr>
        <w:t xml:space="preserve"> </w:t>
      </w:r>
      <w:r w:rsidRPr="00D87B79">
        <w:rPr>
          <w:rFonts w:cs="Tahoma"/>
          <w:color w:val="000000"/>
          <w:lang w:val="it-IT"/>
        </w:rPr>
        <w:t>L'utilizzo continuato del servizio online rimane soggetto alle condizioni del Contratto Multilicenza della società, ai diritti di utilizzo del prodotto relativi al servizio online e alle presenti condizioni.</w:t>
      </w:r>
      <w:r w:rsidRPr="00D87B79">
        <w:rPr>
          <w:rFonts w:cs="Tahoma"/>
        </w:rPr>
        <w:t xml:space="preserve"> </w:t>
      </w:r>
    </w:p>
    <w:p w:rsidR="00A92422" w:rsidRPr="00D87B79" w:rsidRDefault="00A92422" w:rsidP="00A92422">
      <w:pPr>
        <w:ind w:left="720"/>
        <w:rPr>
          <w:rFonts w:cs="Tahoma"/>
        </w:rPr>
      </w:pPr>
    </w:p>
    <w:p w:rsidR="00A92422" w:rsidRPr="00FE43EF" w:rsidRDefault="00A92422" w:rsidP="00A92422">
      <w:pPr>
        <w:pStyle w:val="EndnoteText"/>
        <w:ind w:left="720"/>
        <w:rPr>
          <w:rFonts w:ascii="Tahoma" w:hAnsi="Tahoma" w:cs="Tahoma"/>
          <w:lang w:val="en-US"/>
        </w:rPr>
      </w:pPr>
      <w:r w:rsidRPr="00D87B79">
        <w:rPr>
          <w:rFonts w:ascii="Tahoma" w:hAnsi="Tahoma" w:cs="Tahoma"/>
          <w:bCs/>
          <w:color w:val="000000"/>
          <w:sz w:val="18"/>
          <w:lang w:val="it-IT"/>
        </w:rPr>
        <w:t>Tutti gli utenti (o dispositivi) che accedono a un server protetto hanno bisogno di SL Utente (o Dispositivo).</w:t>
      </w:r>
      <w:r w:rsidRPr="00D87B79">
        <w:rPr>
          <w:rFonts w:ascii="Tahoma" w:hAnsi="Tahoma" w:cs="Tahoma"/>
          <w:bCs/>
          <w:color w:val="000000"/>
          <w:sz w:val="18"/>
        </w:rPr>
        <w:t xml:space="preserve"> </w:t>
      </w:r>
      <w:r w:rsidRPr="00D87B79">
        <w:rPr>
          <w:rFonts w:ascii="Tahoma" w:hAnsi="Tahoma" w:cs="Tahoma"/>
          <w:bCs/>
          <w:color w:val="000000"/>
          <w:sz w:val="18"/>
          <w:lang w:val="it-IT"/>
        </w:rPr>
        <w:t>Questo servizio online era precedentemente noto come Antigen for Instant Messaging.</w:t>
      </w:r>
      <w:r w:rsidRPr="00D87B79">
        <w:rPr>
          <w:rFonts w:ascii="Tahoma" w:hAnsi="Tahoma" w:cs="Tahoma"/>
          <w:bCs/>
          <w:color w:val="000000"/>
          <w:sz w:val="18"/>
        </w:rPr>
        <w:t xml:space="preserve"> </w:t>
      </w:r>
      <w:bookmarkStart w:id="1325" w:name="Srv_48ForefrontSvrSecMgmtConsole"/>
    </w:p>
    <w:p w:rsidR="00A92422" w:rsidRPr="006266CF" w:rsidRDefault="00A92422" w:rsidP="00A92422">
      <w:pPr>
        <w:rPr>
          <w:rFonts w:cs="Tahoma"/>
          <w:sz w:val="20"/>
          <w:szCs w:val="20"/>
        </w:rPr>
      </w:pPr>
      <w:bookmarkStart w:id="1326" w:name="_49_Forefront_Threat"/>
      <w:bookmarkEnd w:id="1325"/>
      <w:bookmarkEnd w:id="1326"/>
    </w:p>
    <w:p w:rsidR="00A92422" w:rsidRPr="00D87B79" w:rsidRDefault="00A92422" w:rsidP="00A92422">
      <w:pPr>
        <w:pStyle w:val="Heading3"/>
        <w:rPr>
          <w:rFonts w:ascii="Tahoma" w:hAnsi="Tahoma" w:cs="Tahoma"/>
        </w:rPr>
      </w:pPr>
      <w:bookmarkStart w:id="1327" w:name="_50__Forefront"/>
      <w:bookmarkStart w:id="1328" w:name="_57_Forefront_Threat"/>
      <w:bookmarkStart w:id="1329" w:name="_Toc336338321"/>
      <w:bookmarkStart w:id="1330" w:name="Srv_51ForefrontThreatMgmtGtwy2010"/>
      <w:bookmarkStart w:id="1331" w:name="_Toc342900367"/>
      <w:bookmarkEnd w:id="1327"/>
      <w:bookmarkEnd w:id="1328"/>
      <w:bookmarkEnd w:id="1329"/>
      <w:bookmarkEnd w:id="1330"/>
      <w:r w:rsidRPr="00D87B79">
        <w:rPr>
          <w:rFonts w:ascii="Tahoma" w:hAnsi="Tahoma" w:cs="Tahoma"/>
          <w:caps/>
          <w:color w:val="F66400"/>
          <w:sz w:val="22"/>
          <w:vertAlign w:val="superscript"/>
          <w:lang w:val="it-IT"/>
        </w:rPr>
        <w:t xml:space="preserve">57 </w:t>
      </w:r>
      <w:r w:rsidRPr="00D87B79">
        <w:rPr>
          <w:rFonts w:ascii="Tahoma" w:hAnsi="Tahoma" w:cs="Tahoma"/>
          <w:color w:val="F66400"/>
          <w:sz w:val="22"/>
          <w:lang w:val="it-IT"/>
        </w:rPr>
        <w:t>Forefront Threat Management Gateway Web Protection Service</w:t>
      </w:r>
      <w:bookmarkEnd w:id="1331"/>
    </w:p>
    <w:p w:rsidR="00A92422" w:rsidRPr="00D87B79" w:rsidRDefault="00A92422" w:rsidP="00A92422">
      <w:pPr>
        <w:rPr>
          <w:rFonts w:cs="Tahoma"/>
        </w:rPr>
      </w:pPr>
    </w:p>
    <w:p w:rsidR="00A92422" w:rsidRPr="00D87B79" w:rsidRDefault="00A92422" w:rsidP="00A92422">
      <w:pPr>
        <w:ind w:left="720"/>
        <w:rPr>
          <w:rFonts w:cs="Tahoma"/>
        </w:rPr>
      </w:pPr>
      <w:bookmarkStart w:id="1332" w:name="Srv_52ForefrontUnifiedAccessGtwy2010"/>
      <w:bookmarkStart w:id="1333" w:name="Srv_56ForefrontUnifiedAccessGtwy2010"/>
      <w:bookmarkStart w:id="1334" w:name="_Toc336338322"/>
      <w:bookmarkEnd w:id="1332"/>
      <w:bookmarkEnd w:id="1333"/>
      <w:r w:rsidRPr="00D87B79">
        <w:rPr>
          <w:rFonts w:cs="Tahoma"/>
          <w:color w:val="000000"/>
          <w:lang w:val="it-IT"/>
        </w:rPr>
        <w:t>Forefront Threat Management Gateway Web Protection Service</w:t>
      </w:r>
      <w:r w:rsidRPr="00D87B79">
        <w:rPr>
          <w:rFonts w:cs="Tahoma"/>
          <w:lang w:val="it-IT"/>
        </w:rPr>
        <w:t xml:space="preserve"> non sarà più disponibile a partire dal 1</w:t>
      </w:r>
      <w:r>
        <w:rPr>
          <w:rFonts w:cs="Tahoma"/>
          <w:lang w:val="it-IT"/>
        </w:rPr>
        <w:t> </w:t>
      </w:r>
      <w:r w:rsidRPr="00D87B79">
        <w:rPr>
          <w:rFonts w:cs="Tahoma"/>
          <w:lang w:val="it-IT"/>
        </w:rPr>
        <w:t>dicembre 2012. Le società che disporranno di abbonamenti per il servizio online alla data del 30 novembre</w:t>
      </w:r>
      <w:r>
        <w:rPr>
          <w:rFonts w:cs="Tahoma"/>
          <w:lang w:val="it-IT"/>
        </w:rPr>
        <w:t> </w:t>
      </w:r>
      <w:r w:rsidRPr="00D87B79">
        <w:rPr>
          <w:rFonts w:cs="Tahoma"/>
          <w:lang w:val="it-IT"/>
        </w:rPr>
        <w:t>2012 potranno continuare a utilizzare il servizio online fino al 31 dicembre 2015. Le società esistenti potranno inoltre aggiungere nuovi utenti in base alle proprie esigenze senza dovere ordinare Licenze “Subscription” per Utente aggiuntive.</w:t>
      </w:r>
      <w:r w:rsidRPr="00D87B79">
        <w:rPr>
          <w:rFonts w:cs="Tahoma"/>
        </w:rPr>
        <w:t xml:space="preserve"> </w:t>
      </w:r>
      <w:r w:rsidRPr="00D87B79">
        <w:rPr>
          <w:rFonts w:cs="Tahoma"/>
          <w:color w:val="000000"/>
          <w:lang w:val="it-IT"/>
        </w:rPr>
        <w:t>L'utilizzo continuato del servizio online rimane soggetto alle condizioni del Contratto Multilicenza della società, ai diritti di utilizzo del prodotto relativi al servizio online e</w:t>
      </w:r>
      <w:r>
        <w:rPr>
          <w:rFonts w:cs="Tahoma"/>
          <w:color w:val="000000"/>
          <w:lang w:val="it-IT"/>
        </w:rPr>
        <w:t> </w:t>
      </w:r>
      <w:r w:rsidRPr="00D87B79">
        <w:rPr>
          <w:rFonts w:cs="Tahoma"/>
          <w:color w:val="000000"/>
          <w:lang w:val="it-IT"/>
        </w:rPr>
        <w:t>alle presenti condizioni.</w:t>
      </w:r>
      <w:r w:rsidRPr="00D87B79">
        <w:rPr>
          <w:rFonts w:cs="Tahoma"/>
        </w:rPr>
        <w:t xml:space="preserve"> </w:t>
      </w:r>
    </w:p>
    <w:p w:rsidR="00A92422" w:rsidRPr="00D87B79" w:rsidRDefault="00A92422" w:rsidP="00A92422">
      <w:pPr>
        <w:rPr>
          <w:rFonts w:cs="Tahoma"/>
        </w:rPr>
      </w:pPr>
    </w:p>
    <w:p w:rsidR="00A92422" w:rsidRPr="00D87B79" w:rsidRDefault="00A92422" w:rsidP="00A92422">
      <w:pPr>
        <w:rPr>
          <w:rFonts w:cs="Tahoma"/>
        </w:rPr>
      </w:pPr>
    </w:p>
    <w:p w:rsidR="00A92422" w:rsidRDefault="00A92422" w:rsidP="00A92422">
      <w:pPr>
        <w:rPr>
          <w:rFonts w:cs="Tahoma"/>
          <w:b/>
          <w:caps/>
          <w:color w:val="F66400"/>
          <w:sz w:val="22"/>
          <w:szCs w:val="20"/>
          <w:vertAlign w:val="superscript"/>
          <w:lang w:val="it-IT"/>
        </w:rPr>
      </w:pPr>
      <w:bookmarkStart w:id="1335" w:name="_58_Forefront_Unified"/>
      <w:bookmarkStart w:id="1336" w:name="_Toc342900368"/>
      <w:bookmarkEnd w:id="1334"/>
      <w:bookmarkEnd w:id="1335"/>
      <w:r>
        <w:rPr>
          <w:rFonts w:cs="Tahoma"/>
          <w:caps/>
          <w:color w:val="F66400"/>
          <w:sz w:val="22"/>
          <w:vertAlign w:val="superscript"/>
          <w:lang w:val="it-IT"/>
        </w:rPr>
        <w:br w:type="page"/>
      </w:r>
    </w:p>
    <w:p w:rsidR="00A92422" w:rsidRPr="00D87B79" w:rsidRDefault="00A92422" w:rsidP="00A92422">
      <w:pPr>
        <w:pStyle w:val="Heading3"/>
        <w:rPr>
          <w:rFonts w:ascii="Tahoma" w:hAnsi="Tahoma" w:cs="Tahoma"/>
        </w:rPr>
      </w:pPr>
      <w:r w:rsidRPr="00D87B79">
        <w:rPr>
          <w:rFonts w:ascii="Tahoma" w:hAnsi="Tahoma" w:cs="Tahoma"/>
          <w:caps/>
          <w:color w:val="F66400"/>
          <w:sz w:val="22"/>
          <w:vertAlign w:val="superscript"/>
          <w:lang w:val="it-IT"/>
        </w:rPr>
        <w:lastRenderedPageBreak/>
        <w:t xml:space="preserve">58 </w:t>
      </w:r>
      <w:r w:rsidRPr="00D87B79">
        <w:rPr>
          <w:rFonts w:ascii="Tahoma" w:hAnsi="Tahoma" w:cs="Tahoma"/>
          <w:color w:val="F66400"/>
          <w:sz w:val="22"/>
          <w:lang w:val="it-IT"/>
        </w:rPr>
        <w:t>Forefront Unified Access Gateway 2010</w:t>
      </w:r>
      <w:bookmarkEnd w:id="1336"/>
    </w:p>
    <w:p w:rsidR="00A92422" w:rsidRPr="00D87B79" w:rsidRDefault="00A92422" w:rsidP="00A92422">
      <w:pPr>
        <w:rPr>
          <w:rFonts w:cs="Tahoma"/>
        </w:rPr>
      </w:pPr>
    </w:p>
    <w:p w:rsidR="00A92422" w:rsidRPr="00D87B79" w:rsidRDefault="00A92422" w:rsidP="00A92422">
      <w:pPr>
        <w:spacing w:after="60"/>
        <w:ind w:left="720"/>
        <w:rPr>
          <w:rFonts w:cs="Tahoma"/>
        </w:rPr>
      </w:pPr>
      <w:r w:rsidRPr="00D87B79">
        <w:rPr>
          <w:rFonts w:cs="Tahoma"/>
          <w:b/>
          <w:color w:val="000000"/>
          <w:lang w:val="it-IT"/>
        </w:rPr>
        <w:t>Versione</w:t>
      </w:r>
    </w:p>
    <w:p w:rsidR="00A92422" w:rsidRPr="00D87B79" w:rsidRDefault="00A92422" w:rsidP="00A92422">
      <w:pPr>
        <w:ind w:left="720"/>
        <w:rPr>
          <w:rFonts w:cs="Tahoma"/>
        </w:rPr>
      </w:pPr>
      <w:r w:rsidRPr="00D87B79">
        <w:rPr>
          <w:rFonts w:cs="Tahoma"/>
          <w:color w:val="000000"/>
          <w:lang w:val="it-IT"/>
        </w:rPr>
        <w:t>Forefront Unified Access Gateway 2010 è la versione successiva di Whale Intelligent Application Gateway</w:t>
      </w:r>
      <w:r>
        <w:rPr>
          <w:rFonts w:cs="Tahoma"/>
          <w:color w:val="000000"/>
          <w:lang w:val="it-IT"/>
        </w:rPr>
        <w:t> </w:t>
      </w:r>
      <w:r w:rsidRPr="00D87B79">
        <w:rPr>
          <w:rFonts w:cs="Tahoma"/>
          <w:color w:val="000000"/>
          <w:lang w:val="it-IT"/>
        </w:rPr>
        <w:t>2007</w:t>
      </w:r>
    </w:p>
    <w:p w:rsidR="00A92422" w:rsidRPr="00D87B79" w:rsidRDefault="00A92422" w:rsidP="00A92422">
      <w:pPr>
        <w:ind w:left="720"/>
        <w:rPr>
          <w:rFonts w:cs="Tahoma"/>
        </w:rPr>
      </w:pPr>
    </w:p>
    <w:p w:rsidR="00A92422" w:rsidRPr="00D87B79" w:rsidRDefault="00A92422" w:rsidP="00A92422">
      <w:pPr>
        <w:ind w:left="720"/>
        <w:rPr>
          <w:rFonts w:cs="Tahoma"/>
        </w:rPr>
      </w:pPr>
    </w:p>
    <w:p w:rsidR="00A92422" w:rsidRPr="00D87B79" w:rsidRDefault="00A92422" w:rsidP="00A92422">
      <w:pPr>
        <w:pStyle w:val="Heading3"/>
        <w:rPr>
          <w:rFonts w:ascii="Tahoma" w:hAnsi="Tahoma" w:cs="Tahoma"/>
        </w:rPr>
      </w:pPr>
      <w:bookmarkStart w:id="1337" w:name="_51_High_Performance"/>
      <w:bookmarkStart w:id="1338" w:name="_Toc336338323"/>
      <w:bookmarkStart w:id="1339" w:name="Srv_48HighPerfComputingPack"/>
      <w:bookmarkStart w:id="1340" w:name="Srv_54HighPerfComputingPack"/>
      <w:bookmarkStart w:id="1341" w:name="Srv_49HighPerfComputingPack"/>
      <w:bookmarkStart w:id="1342" w:name="_59_HPC_Pack"/>
      <w:bookmarkStart w:id="1343" w:name="_Toc342900369"/>
      <w:bookmarkEnd w:id="1337"/>
      <w:bookmarkEnd w:id="1338"/>
      <w:bookmarkEnd w:id="1339"/>
      <w:bookmarkEnd w:id="1340"/>
      <w:bookmarkEnd w:id="1341"/>
      <w:bookmarkEnd w:id="1342"/>
      <w:r w:rsidRPr="00D87B79">
        <w:rPr>
          <w:rFonts w:ascii="Tahoma" w:hAnsi="Tahoma" w:cs="Tahoma"/>
          <w:caps/>
          <w:color w:val="F66400"/>
          <w:sz w:val="22"/>
          <w:vertAlign w:val="superscript"/>
          <w:lang w:val="it-IT"/>
        </w:rPr>
        <w:t>59</w:t>
      </w:r>
      <w:r w:rsidRPr="00D87B79">
        <w:rPr>
          <w:rFonts w:ascii="Tahoma" w:hAnsi="Tahoma" w:cs="Tahoma"/>
          <w:color w:val="F66400"/>
          <w:sz w:val="22"/>
          <w:lang w:val="it-IT"/>
        </w:rPr>
        <w:t xml:space="preserve"> HPC Pack 2008 R2 Enterprise</w:t>
      </w:r>
      <w:bookmarkEnd w:id="1343"/>
    </w:p>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color w:val="000000"/>
          <w:lang w:val="it-IT"/>
        </w:rPr>
        <w:t>Concessioni di licenza associate alla fine del ciclo di vita di HPC Pack Enterprise</w:t>
      </w:r>
    </w:p>
    <w:p w:rsidR="00A92422" w:rsidRPr="00D87B79" w:rsidRDefault="00A92422" w:rsidP="00A92422">
      <w:pPr>
        <w:ind w:left="720"/>
        <w:rPr>
          <w:rFonts w:cs="Tahoma"/>
        </w:rPr>
      </w:pPr>
      <w:r w:rsidRPr="00D87B79">
        <w:rPr>
          <w:rFonts w:cs="Tahoma"/>
          <w:color w:val="000000"/>
          <w:lang w:val="it-IT"/>
        </w:rPr>
        <w:t>HPC Pack 2008 R2 Enterprise sarà l’ultima versione del software HPC Pack Enterprise venduta nel Programma Multilicenza.</w:t>
      </w:r>
      <w:r w:rsidRPr="00D87B79">
        <w:rPr>
          <w:rFonts w:cs="Tahoma"/>
          <w:color w:val="000000"/>
        </w:rPr>
        <w:t xml:space="preserve"> </w:t>
      </w:r>
      <w:r w:rsidRPr="00D87B79">
        <w:rPr>
          <w:rFonts w:cs="Tahoma"/>
          <w:color w:val="000000"/>
          <w:lang w:val="it-IT"/>
        </w:rPr>
        <w:t>Le prossime versioni saranno disponibili come download gratuiti.</w:t>
      </w:r>
      <w:r w:rsidRPr="00D87B79">
        <w:rPr>
          <w:rFonts w:cs="Tahoma"/>
        </w:rPr>
        <w:t xml:space="preserve"> </w:t>
      </w:r>
      <w:r w:rsidRPr="00D87B79">
        <w:rPr>
          <w:rFonts w:cs="Tahoma"/>
          <w:color w:val="000000"/>
          <w:lang w:val="it-IT"/>
        </w:rPr>
        <w:t>Le società titolari di contratti multilicenza con copertura Software Assurance attiva per le licenze per HPC Pack 2008 R2 Enterprise in data 1 settembre 2012 o in occasione della prima disponibilità di Windows Server 2012 per il</w:t>
      </w:r>
      <w:r>
        <w:rPr>
          <w:rFonts w:cs="Tahoma"/>
          <w:color w:val="000000"/>
          <w:lang w:val="it-IT"/>
        </w:rPr>
        <w:t> </w:t>
      </w:r>
      <w:r w:rsidRPr="00D87B79">
        <w:rPr>
          <w:rFonts w:cs="Tahoma"/>
          <w:color w:val="000000"/>
          <w:lang w:val="it-IT"/>
        </w:rPr>
        <w:t xml:space="preserve">download dal sito Web Volume Licensing Service Center, a seconda di quale evento si verificherà per primo, (“Licenze Qualificanti”) saranno autorizzate a utilizzare il software </w:t>
      </w:r>
      <w:r w:rsidRPr="00D87B79">
        <w:rPr>
          <w:rFonts w:cs="Tahoma"/>
          <w:lang w:val="it-IT"/>
        </w:rPr>
        <w:t>Windows Server 2012 Standard.</w:t>
      </w:r>
      <w:r w:rsidRPr="00D87B79">
        <w:rPr>
          <w:rFonts w:cs="Tahoma"/>
        </w:rPr>
        <w:t xml:space="preserve"> </w:t>
      </w:r>
      <w:r w:rsidRPr="00D87B79">
        <w:rPr>
          <w:rFonts w:cs="Tahoma"/>
          <w:lang w:val="it-IT"/>
        </w:rPr>
        <w:t>Per agevolare tale utilizzo, per ogni due Licenze Qualificanti in suo possesso, alla società verrà concessa una licenza per processore per Windows Server 2012 Standard in base alla disponibilità di Windows Server 2012.</w:t>
      </w:r>
    </w:p>
    <w:p w:rsidR="00A92422" w:rsidRPr="00D87B79" w:rsidRDefault="00A92422" w:rsidP="00A92422">
      <w:pPr>
        <w:ind w:left="720"/>
        <w:rPr>
          <w:rFonts w:cs="Tahoma"/>
        </w:rPr>
      </w:pPr>
    </w:p>
    <w:p w:rsidR="00A92422" w:rsidRPr="00D87B79" w:rsidRDefault="00A92422" w:rsidP="00A92422">
      <w:pPr>
        <w:numPr>
          <w:ilvl w:val="0"/>
          <w:numId w:val="96"/>
        </w:numPr>
        <w:tabs>
          <w:tab w:val="clear" w:pos="360"/>
          <w:tab w:val="left" w:pos="1440"/>
        </w:tabs>
        <w:spacing w:after="60"/>
        <w:ind w:left="1440"/>
        <w:rPr>
          <w:rFonts w:cs="Tahoma"/>
        </w:rPr>
      </w:pPr>
      <w:r w:rsidRPr="00D87B79">
        <w:rPr>
          <w:rFonts w:cs="Tahoma"/>
          <w:color w:val="000000"/>
          <w:lang w:val="it-IT"/>
        </w:rPr>
        <w:t>Qualora una società disponga di un numero dispari di licenze per HPC Pack Enterprise, dovrà arrotondarle al successivo numero pari per determinare la quantità concessa.</w:t>
      </w:r>
      <w:r w:rsidRPr="00D87B79">
        <w:rPr>
          <w:rFonts w:cs="Tahoma"/>
        </w:rPr>
        <w:t xml:space="preserve"> </w:t>
      </w:r>
      <w:r w:rsidRPr="00D87B79">
        <w:rPr>
          <w:rFonts w:cs="Tahoma"/>
          <w:color w:val="000000"/>
          <w:lang w:val="it-IT"/>
        </w:rPr>
        <w:t>Ad esempio, una società titolare di tre licenze per HPC Pack Enterprise riceverà in totale due licenze per Windows Server 2012 Standard.</w:t>
      </w:r>
    </w:p>
    <w:p w:rsidR="00A92422" w:rsidRPr="00C73AE1" w:rsidRDefault="00A92422" w:rsidP="00A92422">
      <w:pPr>
        <w:pStyle w:val="ListParagraph"/>
        <w:numPr>
          <w:ilvl w:val="0"/>
          <w:numId w:val="96"/>
        </w:numPr>
        <w:tabs>
          <w:tab w:val="clear" w:pos="360"/>
          <w:tab w:val="left" w:pos="1440"/>
        </w:tabs>
        <w:spacing w:after="60"/>
        <w:ind w:left="1440"/>
        <w:contextualSpacing w:val="0"/>
        <w:rPr>
          <w:rFonts w:ascii="Tahoma" w:hAnsi="Tahoma" w:cs="Tahoma"/>
          <w:sz w:val="18"/>
          <w:szCs w:val="18"/>
        </w:rPr>
      </w:pPr>
      <w:r w:rsidRPr="00C73AE1">
        <w:rPr>
          <w:rFonts w:ascii="Tahoma" w:hAnsi="Tahoma" w:cs="Tahoma"/>
          <w:sz w:val="18"/>
          <w:szCs w:val="18"/>
          <w:lang w:val="it-IT"/>
        </w:rPr>
        <w:t>Le licenze acquistate ai sensi della presente concessione includono la copertura Software Assurance.</w:t>
      </w:r>
      <w:r w:rsidRPr="00C73AE1">
        <w:rPr>
          <w:rFonts w:ascii="Tahoma" w:hAnsi="Tahoma" w:cs="Tahoma"/>
          <w:sz w:val="18"/>
          <w:szCs w:val="18"/>
        </w:rPr>
        <w:t xml:space="preserve"> </w:t>
      </w:r>
      <w:r w:rsidRPr="00C73AE1">
        <w:rPr>
          <w:rFonts w:ascii="Tahoma" w:hAnsi="Tahoma" w:cs="Tahoma"/>
          <w:sz w:val="18"/>
          <w:szCs w:val="18"/>
          <w:lang w:val="it-IT"/>
        </w:rPr>
        <w:t>Tale copertura cessa alla scadenza della corrispondente copertura per le Licenze Qualificanti.</w:t>
      </w:r>
    </w:p>
    <w:p w:rsidR="00A92422" w:rsidRPr="00C73AE1" w:rsidRDefault="00A92422" w:rsidP="00A92422">
      <w:pPr>
        <w:pStyle w:val="ListParagraph"/>
        <w:numPr>
          <w:ilvl w:val="0"/>
          <w:numId w:val="96"/>
        </w:numPr>
        <w:tabs>
          <w:tab w:val="clear" w:pos="360"/>
          <w:tab w:val="left" w:pos="1440"/>
        </w:tabs>
        <w:spacing w:after="60"/>
        <w:ind w:left="1440"/>
        <w:contextualSpacing w:val="0"/>
        <w:rPr>
          <w:rFonts w:ascii="Tahoma" w:hAnsi="Tahoma" w:cs="Tahoma"/>
          <w:sz w:val="18"/>
          <w:szCs w:val="18"/>
        </w:rPr>
      </w:pPr>
      <w:r w:rsidRPr="00C73AE1">
        <w:rPr>
          <w:rFonts w:ascii="Tahoma" w:hAnsi="Tahoma" w:cs="Tahoma"/>
          <w:sz w:val="18"/>
          <w:szCs w:val="18"/>
          <w:lang w:val="it-IT"/>
        </w:rPr>
        <w:t>Nel caso in cui le società abbiano acquistato diritti perpetui per utilizzare software ai sensi di Licenze Qualificanti, le licenze acquistate ai sensi della presente concessione saranno anch’esse perpetue; diversamente, le licenze acquistate ai sensi della presente concessione cesseranno alla scadenza delle Licenze Qualificanti sottostanti.</w:t>
      </w:r>
    </w:p>
    <w:p w:rsidR="00A92422" w:rsidRPr="00D87B79" w:rsidRDefault="00A92422" w:rsidP="00A92422">
      <w:pPr>
        <w:numPr>
          <w:ilvl w:val="0"/>
          <w:numId w:val="96"/>
        </w:numPr>
        <w:tabs>
          <w:tab w:val="clear" w:pos="360"/>
          <w:tab w:val="left" w:pos="1440"/>
          <w:tab w:val="left" w:pos="2160"/>
        </w:tabs>
        <w:spacing w:after="60"/>
        <w:ind w:left="1440"/>
        <w:rPr>
          <w:rFonts w:cs="Tahoma"/>
        </w:rPr>
      </w:pPr>
      <w:r w:rsidRPr="00D87B79">
        <w:rPr>
          <w:rFonts w:cs="Tahoma"/>
          <w:lang w:val="it-IT"/>
        </w:rPr>
        <w:t xml:space="preserve">Eseguendo l’aggiornamento a Windows Server 2012 Standard ai sensi della presente concessione, le licenze in essere per </w:t>
      </w:r>
      <w:r w:rsidRPr="00D87B79">
        <w:rPr>
          <w:rFonts w:cs="Tahoma"/>
          <w:color w:val="000000"/>
          <w:lang w:val="it-IT"/>
        </w:rPr>
        <w:t>HPC Pack Enterprise</w:t>
      </w:r>
      <w:r w:rsidRPr="00D87B79">
        <w:rPr>
          <w:rFonts w:cs="Tahoma"/>
          <w:lang w:val="it-IT"/>
        </w:rPr>
        <w:t xml:space="preserve"> rimangono valide.</w:t>
      </w:r>
    </w:p>
    <w:p w:rsidR="00A92422" w:rsidRPr="00D87B79" w:rsidRDefault="00A92422" w:rsidP="00A92422">
      <w:pPr>
        <w:numPr>
          <w:ilvl w:val="0"/>
          <w:numId w:val="96"/>
        </w:numPr>
        <w:tabs>
          <w:tab w:val="clear" w:pos="360"/>
          <w:tab w:val="left" w:pos="1440"/>
          <w:tab w:val="left" w:pos="2160"/>
        </w:tabs>
        <w:spacing w:after="60"/>
        <w:ind w:left="1440"/>
        <w:rPr>
          <w:rFonts w:cs="Tahoma"/>
        </w:rPr>
      </w:pPr>
      <w:r w:rsidRPr="00D87B79">
        <w:rPr>
          <w:rFonts w:cs="Tahoma"/>
          <w:color w:val="000000"/>
          <w:lang w:val="it-IT"/>
        </w:rPr>
        <w:t>Le licenze per HPC Pack 2008 R2 Enterprise acquistate successivamente nello stesso periodo di validità dell’iscrizione nell’ambito di una procedura pianificata di true-up di una società Enterprise, Enterprise Subscription, Open Value Subscription o EES sono anch’esse Licenze Qualificanti per gli</w:t>
      </w:r>
      <w:r>
        <w:rPr>
          <w:rFonts w:cs="Tahoma"/>
          <w:color w:val="000000"/>
          <w:lang w:val="it-IT"/>
        </w:rPr>
        <w:t> </w:t>
      </w:r>
      <w:r w:rsidRPr="00D87B79">
        <w:rPr>
          <w:rFonts w:cs="Tahoma"/>
          <w:color w:val="000000"/>
          <w:lang w:val="it-IT"/>
        </w:rPr>
        <w:t>scopi previsti dalla suddetta concessione.</w:t>
      </w:r>
    </w:p>
    <w:p w:rsidR="00A92422" w:rsidRPr="00D87B79" w:rsidRDefault="00A92422" w:rsidP="00A92422">
      <w:pPr>
        <w:numPr>
          <w:ilvl w:val="0"/>
          <w:numId w:val="96"/>
        </w:numPr>
        <w:tabs>
          <w:tab w:val="clear" w:pos="360"/>
          <w:tab w:val="left" w:pos="1440"/>
          <w:tab w:val="left" w:pos="2160"/>
        </w:tabs>
        <w:spacing w:after="60"/>
        <w:ind w:left="1440"/>
        <w:rPr>
          <w:rFonts w:cs="Tahoma"/>
        </w:rPr>
      </w:pPr>
      <w:r w:rsidRPr="00D87B79">
        <w:rPr>
          <w:rFonts w:cs="Tahoma"/>
          <w:color w:val="000000"/>
          <w:lang w:val="it-IT"/>
        </w:rPr>
        <w:t>Nonostante la concessione di licenze per Windows Server 2012 Standard e di aggiornamenti per</w:t>
      </w:r>
      <w:r>
        <w:rPr>
          <w:rFonts w:cs="Tahoma"/>
          <w:color w:val="000000"/>
          <w:lang w:val="it-IT"/>
        </w:rPr>
        <w:t> </w:t>
      </w:r>
      <w:r w:rsidRPr="00D87B79">
        <w:rPr>
          <w:rFonts w:cs="Tahoma"/>
          <w:color w:val="000000"/>
          <w:lang w:val="it-IT"/>
        </w:rPr>
        <w:t>tale versione, le obbligazioni di pagamento degli importi scaduti e dovuti per le Licenze Qualificanti e la copertura rimangono pienamente vincolanti ed efficaci.</w:t>
      </w:r>
    </w:p>
    <w:p w:rsidR="00A92422" w:rsidRPr="00D87B79" w:rsidRDefault="00A92422" w:rsidP="00A92422">
      <w:pPr>
        <w:tabs>
          <w:tab w:val="left" w:pos="1440"/>
          <w:tab w:val="left" w:pos="2160"/>
        </w:tabs>
        <w:contextualSpacing/>
        <w:rPr>
          <w:rFonts w:cs="Tahoma"/>
        </w:rPr>
      </w:pPr>
    </w:p>
    <w:p w:rsidR="00A92422" w:rsidRPr="00D87B79" w:rsidRDefault="00A92422" w:rsidP="00A92422">
      <w:pPr>
        <w:tabs>
          <w:tab w:val="left" w:pos="1440"/>
          <w:tab w:val="left" w:pos="2160"/>
        </w:tabs>
        <w:spacing w:after="60"/>
        <w:ind w:left="1080"/>
        <w:rPr>
          <w:rFonts w:cs="Tahoma"/>
        </w:rPr>
      </w:pPr>
      <w:r w:rsidRPr="00D87B79">
        <w:rPr>
          <w:rFonts w:cs="Tahoma"/>
          <w:b/>
          <w:lang w:val="it-IT"/>
        </w:rPr>
        <w:t>Informazioni aggiuntive sull’utilizzo di Windows Server 2012 High Performance Computing</w:t>
      </w:r>
      <w:r>
        <w:rPr>
          <w:rFonts w:cs="Tahoma"/>
          <w:b/>
          <w:lang w:val="it-IT"/>
        </w:rPr>
        <w:t> </w:t>
      </w:r>
      <w:r w:rsidRPr="00D87B79">
        <w:rPr>
          <w:rFonts w:cs="Tahoma"/>
          <w:b/>
          <w:lang w:val="it-IT"/>
        </w:rPr>
        <w:t>(HPC)</w:t>
      </w:r>
    </w:p>
    <w:p w:rsidR="00A92422" w:rsidRPr="00BD3F57" w:rsidRDefault="00A92422" w:rsidP="00A92422">
      <w:pPr>
        <w:tabs>
          <w:tab w:val="left" w:pos="1440"/>
          <w:tab w:val="left" w:pos="2160"/>
        </w:tabs>
        <w:ind w:left="1080"/>
        <w:contextualSpacing/>
        <w:rPr>
          <w:rFonts w:cs="Tahoma"/>
          <w:sz w:val="20"/>
          <w:szCs w:val="20"/>
        </w:rPr>
      </w:pPr>
      <w:r w:rsidRPr="00D87B79">
        <w:rPr>
          <w:rFonts w:eastAsia="Times New Roman" w:cs="Tahoma"/>
          <w:szCs w:val="18"/>
          <w:lang w:val="it-IT"/>
        </w:rPr>
        <w:t>Quando Windows Server 2012 Standard o Datacenter viene utilizzato per High Performance Computing, non servono licenze CAL per accedere al software.</w:t>
      </w:r>
      <w:r w:rsidRPr="00D87B79">
        <w:rPr>
          <w:rFonts w:cs="Tahoma"/>
        </w:rPr>
        <w:t xml:space="preserve"> </w:t>
      </w:r>
      <w:r w:rsidRPr="00D87B79">
        <w:rPr>
          <w:rFonts w:cs="Tahoma"/>
          <w:lang w:val="it-IT"/>
        </w:rPr>
        <w:t>Un “Carico di Lavoro High Performance Computing (“HPC”)”</w:t>
      </w:r>
      <w:r w:rsidRPr="00D87B79">
        <w:rPr>
          <w:rFonts w:cs="Tahoma"/>
          <w:b/>
          <w:lang w:val="it-IT"/>
        </w:rPr>
        <w:t xml:space="preserve"> </w:t>
      </w:r>
      <w:r w:rsidRPr="00D87B79">
        <w:rPr>
          <w:rFonts w:cs="Tahoma"/>
          <w:lang w:val="it-IT"/>
        </w:rPr>
        <w:t xml:space="preserve">indica un carico di lavoro nel quale il software server </w:t>
      </w:r>
      <w:r w:rsidRPr="00D87B79">
        <w:rPr>
          <w:rFonts w:cs="Tahoma"/>
          <w:u w:val="single"/>
          <w:lang w:val="it-IT"/>
        </w:rPr>
        <w:t>viene utilizzato</w:t>
      </w:r>
      <w:r w:rsidRPr="00D87B79">
        <w:rPr>
          <w:rFonts w:cs="Tahoma"/>
          <w:lang w:val="it-IT"/>
        </w:rPr>
        <w:t xml:space="preserve"> per eseguire un Nodo del Cluster e per consentire, insieme ad altro software, la gestione dei sistemi, la gestione della protezione e dell’archiviazione o il miglioramento delle prestazioni in un nodo del cluster allo scopo di supportare le</w:t>
      </w:r>
      <w:r>
        <w:rPr>
          <w:rFonts w:cs="Tahoma"/>
          <w:lang w:val="it-IT"/>
        </w:rPr>
        <w:t> </w:t>
      </w:r>
      <w:r w:rsidRPr="00D87B79">
        <w:rPr>
          <w:rFonts w:cs="Tahoma"/>
          <w:lang w:val="it-IT"/>
        </w:rPr>
        <w:t>Applicazioni HPC con cluster.</w:t>
      </w:r>
      <w:r w:rsidRPr="00D87B79">
        <w:rPr>
          <w:rFonts w:cs="Tahoma"/>
        </w:rPr>
        <w:t xml:space="preserve"> </w:t>
      </w:r>
      <w:r w:rsidRPr="00D87B79">
        <w:rPr>
          <w:rFonts w:cs="Tahoma"/>
          <w:lang w:val="it-IT"/>
        </w:rPr>
        <w:t>Ulteriori dettagli sono disponibili nei Diritti di Utilizzo del Prodotto.</w:t>
      </w:r>
    </w:p>
    <w:p w:rsidR="00A92422" w:rsidRPr="00BD3F57" w:rsidRDefault="00A92422" w:rsidP="00A92422">
      <w:pPr>
        <w:ind w:left="216"/>
        <w:rPr>
          <w:rFonts w:cs="Tahoma"/>
          <w:sz w:val="20"/>
          <w:szCs w:val="20"/>
        </w:rPr>
      </w:pPr>
    </w:p>
    <w:p w:rsidR="00A92422" w:rsidRPr="00D87B79" w:rsidRDefault="00A92422" w:rsidP="00A92422">
      <w:pPr>
        <w:pStyle w:val="Heading3"/>
        <w:rPr>
          <w:rFonts w:ascii="Tahoma" w:hAnsi="Tahoma" w:cs="Tahoma"/>
        </w:rPr>
      </w:pPr>
      <w:bookmarkStart w:id="1344" w:name="_58_Learning_Solutions"/>
      <w:bookmarkStart w:id="1345" w:name="_54_Learning_Solutions"/>
      <w:bookmarkStart w:id="1346" w:name="Srv_60LearningSolMCP1ExamVouch"/>
      <w:bookmarkStart w:id="1347" w:name="_Toc336338324"/>
      <w:bookmarkStart w:id="1348" w:name="_60_Learning_Solutions"/>
      <w:bookmarkStart w:id="1349" w:name="_Toc342900370"/>
      <w:bookmarkStart w:id="1350" w:name="Srv_55LearningSolMCP1ExamVouch"/>
      <w:bookmarkStart w:id="1351" w:name="Srv_56LearningSolMCP1ExamVouch"/>
      <w:bookmarkEnd w:id="1344"/>
      <w:bookmarkEnd w:id="1345"/>
      <w:bookmarkEnd w:id="1346"/>
      <w:bookmarkEnd w:id="1347"/>
      <w:bookmarkEnd w:id="1348"/>
      <w:r w:rsidRPr="00D87B79">
        <w:rPr>
          <w:rFonts w:ascii="Tahoma" w:hAnsi="Tahoma" w:cs="Tahoma"/>
          <w:caps/>
          <w:color w:val="F66400"/>
          <w:sz w:val="22"/>
          <w:vertAlign w:val="superscript"/>
          <w:lang w:val="it-IT"/>
        </w:rPr>
        <w:t>60</w:t>
      </w:r>
      <w:r w:rsidRPr="00D87B79">
        <w:rPr>
          <w:rFonts w:ascii="Tahoma" w:hAnsi="Tahoma" w:cs="Tahoma"/>
          <w:color w:val="F66400"/>
          <w:sz w:val="22"/>
          <w:lang w:val="it-IT"/>
        </w:rPr>
        <w:t xml:space="preserve"> Learning Solutions MCP Exam Vouchers</w:t>
      </w:r>
      <w:bookmarkEnd w:id="1349"/>
    </w:p>
    <w:bookmarkEnd w:id="1350"/>
    <w:p w:rsidR="00A92422" w:rsidRPr="00B271AD" w:rsidRDefault="00A92422" w:rsidP="00A92422">
      <w:pPr>
        <w:pStyle w:val="EndnoteText"/>
        <w:rPr>
          <w:rFonts w:ascii="Tahoma" w:hAnsi="Tahoma" w:cs="Tahoma"/>
          <w:sz w:val="18"/>
          <w:szCs w:val="18"/>
        </w:rPr>
      </w:pPr>
    </w:p>
    <w:bookmarkEnd w:id="1351"/>
    <w:p w:rsidR="00A92422" w:rsidRPr="00D87B79" w:rsidRDefault="00A92422" w:rsidP="00A92422">
      <w:pPr>
        <w:pStyle w:val="EndnoteText"/>
        <w:ind w:left="720"/>
        <w:rPr>
          <w:rFonts w:ascii="Tahoma" w:hAnsi="Tahoma" w:cs="Tahoma"/>
        </w:rPr>
      </w:pPr>
      <w:r w:rsidRPr="00D87B79">
        <w:rPr>
          <w:rFonts w:ascii="Tahoma" w:hAnsi="Tahoma" w:cs="Tahoma"/>
          <w:sz w:val="18"/>
          <w:lang w:val="it-IT"/>
        </w:rPr>
        <w:t>Tutti i voucher verranno consegna anticipatamente e potranno essere utilizzati in qualunque momento entro</w:t>
      </w:r>
      <w:r>
        <w:rPr>
          <w:rFonts w:ascii="Tahoma" w:hAnsi="Tahoma" w:cs="Tahoma"/>
          <w:sz w:val="18"/>
          <w:lang w:val="it-IT"/>
        </w:rPr>
        <w:t> </w:t>
      </w:r>
      <w:r w:rsidRPr="00D87B79">
        <w:rPr>
          <w:rFonts w:ascii="Tahoma" w:hAnsi="Tahoma" w:cs="Tahoma"/>
          <w:sz w:val="18"/>
          <w:lang w:val="it-IT"/>
        </w:rPr>
        <w:t>12 mesi dalla data di acquisto.</w:t>
      </w:r>
      <w:r w:rsidRPr="00D87B79">
        <w:rPr>
          <w:rFonts w:ascii="Tahoma" w:hAnsi="Tahoma" w:cs="Tahoma"/>
        </w:rPr>
        <w:t xml:space="preserve"> </w:t>
      </w:r>
      <w:r w:rsidRPr="00D87B79">
        <w:rPr>
          <w:rFonts w:ascii="Tahoma" w:hAnsi="Tahoma" w:cs="Tahoma"/>
          <w:sz w:val="18"/>
          <w:lang w:val="it-IT"/>
        </w:rPr>
        <w:t>Fare riferimento all'</w:t>
      </w:r>
      <w:hyperlink w:anchor="_SECTION_5_–" w:history="1">
        <w:hyperlink w:anchor="_ARTICOLO_5_–" w:history="1">
          <w:r w:rsidRPr="00D87B79">
            <w:rPr>
              <w:rStyle w:val="Hyperlink"/>
              <w:rFonts w:ascii="Tahoma" w:hAnsi="Tahoma" w:cs="Tahoma"/>
              <w:sz w:val="18"/>
              <w:lang w:val="it-IT"/>
            </w:rPr>
            <w:t>Articolo 5</w:t>
          </w:r>
        </w:hyperlink>
      </w:hyperlink>
      <w:r w:rsidRPr="00D87B79">
        <w:rPr>
          <w:rFonts w:ascii="Tahoma" w:hAnsi="Tahoma" w:cs="Tahoma"/>
          <w:color w:val="000000"/>
          <w:sz w:val="18"/>
          <w:lang w:val="it-IT"/>
        </w:rPr>
        <w:t xml:space="preserve"> per i prezzi dei servizi online e le condizioni di pagamento.</w:t>
      </w:r>
      <w:r w:rsidRPr="00D87B79">
        <w:rPr>
          <w:rFonts w:ascii="Tahoma" w:hAnsi="Tahoma" w:cs="Tahoma"/>
        </w:rPr>
        <w:t xml:space="preserve"> </w:t>
      </w:r>
    </w:p>
    <w:p w:rsidR="00A92422" w:rsidRPr="00B271AD" w:rsidRDefault="00A92422" w:rsidP="00A92422">
      <w:pPr>
        <w:pStyle w:val="EndnoteText"/>
        <w:ind w:left="720"/>
        <w:rPr>
          <w:rFonts w:ascii="Tahoma" w:hAnsi="Tahoma" w:cs="Tahoma"/>
          <w:sz w:val="18"/>
          <w:szCs w:val="18"/>
        </w:rPr>
      </w:pPr>
    </w:p>
    <w:p w:rsidR="00A92422" w:rsidRPr="00B271AD" w:rsidRDefault="00A92422" w:rsidP="00A92422">
      <w:pPr>
        <w:pStyle w:val="EndnoteText"/>
        <w:ind w:left="720"/>
        <w:rPr>
          <w:rFonts w:ascii="Tahoma" w:hAnsi="Tahoma" w:cs="Tahoma"/>
          <w:sz w:val="18"/>
          <w:szCs w:val="18"/>
        </w:rPr>
      </w:pPr>
    </w:p>
    <w:p w:rsidR="00A92422" w:rsidRPr="00D87B79" w:rsidRDefault="00A92422" w:rsidP="00A92422">
      <w:pPr>
        <w:pStyle w:val="Heading2"/>
        <w:ind w:left="0"/>
        <w:rPr>
          <w:rFonts w:ascii="Tahoma" w:hAnsi="Tahoma" w:cs="Tahoma"/>
        </w:rPr>
      </w:pPr>
      <w:bookmarkStart w:id="1352" w:name="_Toc336338325"/>
      <w:bookmarkStart w:id="1353" w:name="Srv_65LyncOnlinePlan1and2"/>
      <w:bookmarkStart w:id="1354" w:name="_61_Lync_Online"/>
      <w:bookmarkStart w:id="1355" w:name="_Toc342900371"/>
      <w:bookmarkEnd w:id="1352"/>
      <w:bookmarkEnd w:id="1353"/>
      <w:bookmarkEnd w:id="1354"/>
      <w:r w:rsidRPr="00D87B79">
        <w:rPr>
          <w:rFonts w:ascii="Tahoma" w:hAnsi="Tahoma" w:cs="Tahoma"/>
          <w:caps/>
          <w:color w:val="FF6600"/>
          <w:sz w:val="22"/>
          <w:vertAlign w:val="superscript"/>
          <w:lang w:val="it-IT"/>
        </w:rPr>
        <w:t>61</w:t>
      </w:r>
      <w:r w:rsidRPr="00D87B79">
        <w:rPr>
          <w:rFonts w:ascii="Tahoma" w:hAnsi="Tahoma" w:cs="Tahoma"/>
          <w:color w:val="FF6600"/>
          <w:lang w:val="it-IT"/>
        </w:rPr>
        <w:t xml:space="preserve"> </w:t>
      </w:r>
      <w:r w:rsidRPr="00D87B79">
        <w:rPr>
          <w:rFonts w:ascii="Tahoma" w:hAnsi="Tahoma" w:cs="Tahoma"/>
          <w:color w:val="FF6600"/>
          <w:sz w:val="22"/>
          <w:lang w:val="it-IT"/>
        </w:rPr>
        <w:t>Lync Online Piani 1, 2 e 3</w:t>
      </w:r>
      <w:bookmarkEnd w:id="1355"/>
    </w:p>
    <w:p w:rsidR="00A92422" w:rsidRPr="00D87B79" w:rsidRDefault="00A92422" w:rsidP="00A92422">
      <w:pPr>
        <w:rPr>
          <w:rFonts w:cs="Tahoma"/>
        </w:rPr>
      </w:pPr>
    </w:p>
    <w:p w:rsidR="00A92422" w:rsidRPr="00D87B79" w:rsidRDefault="00A92422" w:rsidP="00A92422">
      <w:pPr>
        <w:ind w:left="720"/>
        <w:rPr>
          <w:rFonts w:cs="Tahoma"/>
        </w:rPr>
      </w:pPr>
      <w:r w:rsidRPr="00D87B79">
        <w:rPr>
          <w:rFonts w:cs="Tahoma"/>
          <w:color w:val="000000"/>
          <w:lang w:val="it-IT"/>
        </w:rPr>
        <w:t>Lync Online Piano 1 e Piano 2 richiedono l’acquisto separato e l’installazione di Microsoft Lync 2010 (o</w:t>
      </w:r>
      <w:r>
        <w:rPr>
          <w:rFonts w:cs="Tahoma"/>
          <w:color w:val="000000"/>
          <w:lang w:val="it-IT"/>
        </w:rPr>
        <w:t xml:space="preserve"> </w:t>
      </w:r>
      <w:r w:rsidRPr="00D87B79">
        <w:rPr>
          <w:rFonts w:cs="Tahoma"/>
          <w:color w:val="000000"/>
          <w:lang w:val="it-IT"/>
        </w:rPr>
        <w:t>Lync</w:t>
      </w:r>
      <w:r>
        <w:rPr>
          <w:rFonts w:cs="Tahoma"/>
          <w:color w:val="000000"/>
          <w:lang w:val="it-IT"/>
        </w:rPr>
        <w:t> </w:t>
      </w:r>
      <w:r w:rsidRPr="00D87B79">
        <w:rPr>
          <w:rFonts w:cs="Tahoma"/>
          <w:color w:val="000000"/>
          <w:lang w:val="it-IT"/>
        </w:rPr>
        <w:t>per Mac 2011).</w:t>
      </w:r>
      <w:r w:rsidRPr="00D87B79">
        <w:rPr>
          <w:rFonts w:cs="Tahoma"/>
          <w:color w:val="000000"/>
        </w:rPr>
        <w:t xml:space="preserve"> </w:t>
      </w:r>
      <w:r w:rsidRPr="00D87B79">
        <w:rPr>
          <w:rFonts w:cs="Tahoma"/>
          <w:color w:val="000000"/>
          <w:lang w:val="it-IT"/>
        </w:rPr>
        <w:t>Grazie a un’offerta di durata limitata, le società in possesso della licenza per Lync Online riceveranno gratuitamente in licenza una copia di Lync 2010 (o Lync per Mac 2011) per ogni licenza “Subscription” fornita a scopo di valutazione o a pagamento per Lync Online.</w:t>
      </w:r>
      <w:r w:rsidRPr="00D87B79">
        <w:rPr>
          <w:rFonts w:cs="Tahoma"/>
        </w:rPr>
        <w:t xml:space="preserve"> </w:t>
      </w:r>
      <w:r w:rsidRPr="00D87B79">
        <w:rPr>
          <w:rFonts w:cs="Tahoma"/>
          <w:color w:val="000000"/>
          <w:lang w:val="it-IT"/>
        </w:rPr>
        <w:t>Il software potrà essere utilizzato esclusivamente con Lync Online e tutti i diritti sull’utilizzo del software cesseranno alla scadenza della licenza “Subscription” sottostante oppure in occasione della migrazione alla successiva nuova versione principale di Lync Online, a seconda di quale evento si verificherà per primo. Le Società che non abbiano ancora effettuato la migrazione da Office Communications Online potranno utilizzare Office Communicator 2007 R2 al posto di Lync 2010 (o Lync per Mac 2011) ai sensi della concessione di licenza in questione.</w:t>
      </w:r>
      <w:r w:rsidRPr="00D87B79">
        <w:rPr>
          <w:rFonts w:cs="Tahoma"/>
        </w:rPr>
        <w:t> </w:t>
      </w:r>
    </w:p>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color w:val="000000"/>
          <w:lang w:val="it-IT"/>
        </w:rPr>
        <w:t>Community Cloud per Enti Pubblici (solo Stati Uniti)</w:t>
      </w:r>
    </w:p>
    <w:p w:rsidR="00A92422" w:rsidRPr="00D87B79" w:rsidRDefault="00A92422" w:rsidP="00A92422">
      <w:pPr>
        <w:ind w:left="720"/>
        <w:rPr>
          <w:rFonts w:cs="Tahoma"/>
        </w:rPr>
      </w:pPr>
      <w:r w:rsidRPr="00D87B79">
        <w:rPr>
          <w:rFonts w:cs="Tahoma"/>
          <w:color w:val="000000"/>
          <w:lang w:val="it-IT"/>
        </w:rPr>
        <w:t>Alcuni servizi online della famiglia di prodotti Office 365 (incluso Lync Online Piano 1,2 e 3) sono offerti come servizi di community cloud per enti pubblici e come servizi di community cloud per enti non pubblici.</w:t>
      </w:r>
      <w:r w:rsidRPr="00D87B79">
        <w:rPr>
          <w:rFonts w:cs="Tahoma"/>
        </w:rPr>
        <w:t xml:space="preserve"> </w:t>
      </w:r>
      <w:r w:rsidRPr="00D87B79">
        <w:rPr>
          <w:rFonts w:cs="Tahoma"/>
          <w:color w:val="000000"/>
          <w:lang w:val="it-IT"/>
        </w:rPr>
        <w:t>Alle società potrà essere effettuato il provisioning come ente pubblico o non pubblico, ma non come una combinazione di entrambi.</w:t>
      </w:r>
      <w:r w:rsidRPr="00D87B79">
        <w:rPr>
          <w:rFonts w:cs="Tahoma"/>
        </w:rPr>
        <w:t xml:space="preserve"> </w:t>
      </w:r>
      <w:r w:rsidRPr="00D87B79">
        <w:rPr>
          <w:rFonts w:cs="Tahoma"/>
          <w:color w:val="000000"/>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Pr="00D87B79">
        <w:rPr>
          <w:rFonts w:cs="Tahoma"/>
        </w:rPr>
        <w:t xml:space="preserve"> </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eastAsia="Times New Roman"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un’Iscrizione Enterprise o Enterprise Subscription per Enti Pubblici Statunitensi per essere idonei all’acquisto di servizi online designati come community cloud per enti pubblici.</w:t>
      </w:r>
      <w:r w:rsidRPr="00D87B79">
        <w:rPr>
          <w:rFonts w:eastAsia="Times New Roman" w:cs="Tahoma"/>
          <w:color w:val="000000"/>
          <w:szCs w:val="18"/>
        </w:rPr>
        <w:t xml:space="preserve"> </w:t>
      </w:r>
      <w:r w:rsidRPr="00D87B79">
        <w:rPr>
          <w:rFonts w:eastAsia="Times New Roman" w:cs="Tahoma"/>
          <w:color w:val="000000"/>
          <w:szCs w:val="18"/>
          <w:lang w:val="it-IT"/>
        </w:rPr>
        <w:t>I Diritti sull’Utilizzo relativi ai servizi di community cloud per enti pubblici sono simili a quelli dei loro equivalenti multi-tenant standard.</w:t>
      </w:r>
      <w:r w:rsidRPr="00D87B79">
        <w:rPr>
          <w:rFonts w:eastAsia="Times New Roman" w:cs="Tahoma"/>
          <w:color w:val="000000"/>
          <w:szCs w:val="18"/>
        </w:rPr>
        <w:t xml:space="preserve"> </w:t>
      </w:r>
    </w:p>
    <w:p w:rsidR="00A92422" w:rsidRPr="00D87B79" w:rsidRDefault="00A92422" w:rsidP="00A92422">
      <w:pPr>
        <w:ind w:left="720"/>
        <w:rPr>
          <w:rFonts w:cs="Tahoma"/>
        </w:rPr>
      </w:pPr>
    </w:p>
    <w:p w:rsidR="00A92422" w:rsidRPr="00D87B79" w:rsidRDefault="00A92422" w:rsidP="00A92422">
      <w:pPr>
        <w:ind w:left="720"/>
        <w:rPr>
          <w:rFonts w:cs="Tahoma"/>
        </w:rPr>
      </w:pPr>
    </w:p>
    <w:p w:rsidR="00A92422" w:rsidRPr="00D87B79" w:rsidRDefault="00A92422" w:rsidP="00A92422">
      <w:pPr>
        <w:pStyle w:val="Heading2"/>
        <w:ind w:left="0"/>
        <w:rPr>
          <w:rFonts w:ascii="Tahoma" w:hAnsi="Tahoma" w:cs="Tahoma"/>
        </w:rPr>
      </w:pPr>
      <w:bookmarkStart w:id="1356" w:name="_62_Lync_Server"/>
      <w:bookmarkStart w:id="1357" w:name="_Toc342900372"/>
      <w:bookmarkStart w:id="1358" w:name="_Toc336338326"/>
      <w:bookmarkStart w:id="1359" w:name="Srv_62LyncServer2010StandEnt"/>
      <w:bookmarkEnd w:id="1356"/>
      <w:r w:rsidRPr="00D87B79">
        <w:rPr>
          <w:rFonts w:ascii="Tahoma" w:hAnsi="Tahoma" w:cs="Tahoma"/>
          <w:caps/>
          <w:color w:val="FA6500"/>
          <w:sz w:val="22"/>
          <w:vertAlign w:val="superscript"/>
          <w:lang w:val="it-IT"/>
        </w:rPr>
        <w:t>62</w:t>
      </w:r>
      <w:r w:rsidRPr="003D7C45">
        <w:rPr>
          <w:rFonts w:ascii="Tahoma" w:hAnsi="Tahoma" w:cs="Tahoma"/>
          <w:caps/>
          <w:color w:val="FA6500"/>
          <w:sz w:val="22"/>
          <w:lang w:val="it-IT"/>
        </w:rPr>
        <w:t xml:space="preserve"> </w:t>
      </w:r>
      <w:r w:rsidRPr="00D87B79">
        <w:rPr>
          <w:rFonts w:ascii="Tahoma" w:hAnsi="Tahoma" w:cs="Tahoma"/>
          <w:color w:val="FA6500"/>
          <w:sz w:val="22"/>
          <w:lang w:val="it-IT"/>
        </w:rPr>
        <w:t>Lync Server 2013</w:t>
      </w:r>
      <w:bookmarkEnd w:id="1357"/>
      <w:r w:rsidRPr="00D87B79">
        <w:rPr>
          <w:rFonts w:ascii="Tahoma" w:hAnsi="Tahoma" w:cs="Tahoma"/>
        </w:rPr>
        <w:t xml:space="preserve"> </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color w:val="000000"/>
          <w:lang w:val="it-IT"/>
        </w:rPr>
        <w:t>Lync Server 2013 è l’ultima versione di Lync Server.</w:t>
      </w:r>
      <w:r w:rsidRPr="00D87B79">
        <w:rPr>
          <w:rFonts w:cs="Tahoma"/>
        </w:rPr>
        <w:t xml:space="preserve"> </w:t>
      </w:r>
      <w:bookmarkEnd w:id="1358"/>
      <w:r w:rsidRPr="00D87B79">
        <w:rPr>
          <w:rFonts w:cs="Tahoma"/>
          <w:color w:val="000000"/>
          <w:lang w:val="it-IT"/>
        </w:rPr>
        <w:t>Le società con Software Assurance attiva per Lync Server 2010 Standard o Enterprise al 1 dicembre 2012 possono eseguire l’aggiornamento a Lync Server</w:t>
      </w:r>
      <w:r>
        <w:rPr>
          <w:rFonts w:cs="Tahoma"/>
          <w:color w:val="000000"/>
          <w:lang w:val="it-IT"/>
        </w:rPr>
        <w:t> </w:t>
      </w:r>
      <w:r w:rsidRPr="00D87B79">
        <w:rPr>
          <w:rFonts w:cs="Tahoma"/>
          <w:color w:val="000000"/>
          <w:lang w:val="it-IT"/>
        </w:rPr>
        <w:t>2013 e utilizzare questo prodotto al posto delle corrispondenti copie con licenza di Lync Server 2010.</w:t>
      </w:r>
    </w:p>
    <w:bookmarkEnd w:id="1359"/>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color w:val="000000"/>
          <w:szCs w:val="18"/>
          <w:lang w:val="it-IT"/>
        </w:rPr>
        <w:t>Le licenze CAL per Lync Server 2013 sono le versioni successive delle licenze CAL per Lync Server 2010.</w:t>
      </w:r>
      <w:r w:rsidRPr="00D87B79">
        <w:rPr>
          <w:rFonts w:cs="Tahoma"/>
          <w:color w:val="000000"/>
          <w:szCs w:val="18"/>
        </w:rPr>
        <w:t xml:space="preserve"> </w:t>
      </w:r>
    </w:p>
    <w:p w:rsidR="00A92422" w:rsidRPr="00D87B79" w:rsidRDefault="00A92422" w:rsidP="00A92422">
      <w:pPr>
        <w:ind w:left="720"/>
        <w:rPr>
          <w:rFonts w:cs="Tahoma"/>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A92422" w:rsidRPr="00D87B79" w:rsidTr="00EA30FC">
        <w:trPr>
          <w:trHeight w:val="332"/>
        </w:trPr>
        <w:tc>
          <w:tcPr>
            <w:tcW w:w="4500" w:type="dxa"/>
            <w:shd w:val="clear" w:color="auto" w:fill="FABF8F"/>
          </w:tcPr>
          <w:p w:rsidR="00A92422" w:rsidRPr="00D87B79" w:rsidRDefault="00A92422" w:rsidP="00EA30FC">
            <w:pPr>
              <w:rPr>
                <w:rFonts w:cs="Tahoma"/>
                <w:b/>
                <w:color w:val="000000"/>
                <w:szCs w:val="18"/>
              </w:rPr>
            </w:pPr>
            <w:r w:rsidRPr="00D87B79">
              <w:rPr>
                <w:rFonts w:cs="Tahoma"/>
                <w:b/>
                <w:color w:val="000000"/>
                <w:lang w:val="it-IT"/>
              </w:rPr>
              <w:t>Licenza CAL per Lync Server 2010</w:t>
            </w:r>
          </w:p>
        </w:tc>
        <w:tc>
          <w:tcPr>
            <w:tcW w:w="3600" w:type="dxa"/>
            <w:shd w:val="clear" w:color="auto" w:fill="FABF8F"/>
          </w:tcPr>
          <w:p w:rsidR="00A92422" w:rsidRPr="00D87B79" w:rsidRDefault="00A92422" w:rsidP="00EA30FC">
            <w:pPr>
              <w:rPr>
                <w:rFonts w:cs="Tahoma"/>
                <w:b/>
                <w:color w:val="000000"/>
                <w:szCs w:val="18"/>
              </w:rPr>
            </w:pPr>
            <w:r w:rsidRPr="00D87B79">
              <w:rPr>
                <w:rFonts w:cs="Tahoma"/>
                <w:b/>
                <w:color w:val="000000"/>
                <w:lang w:val="it-IT"/>
              </w:rPr>
              <w:t>Versione Successiva</w:t>
            </w:r>
          </w:p>
        </w:tc>
      </w:tr>
      <w:tr w:rsidR="00A92422" w:rsidRPr="00D87B79" w:rsidTr="00EA30FC">
        <w:trPr>
          <w:trHeight w:val="70"/>
        </w:trPr>
        <w:tc>
          <w:tcPr>
            <w:tcW w:w="4500" w:type="dxa"/>
          </w:tcPr>
          <w:p w:rsidR="00A92422" w:rsidRPr="00D87B79" w:rsidRDefault="00A92422" w:rsidP="00EA30FC">
            <w:pPr>
              <w:rPr>
                <w:rFonts w:cs="Tahoma"/>
                <w:color w:val="000000"/>
                <w:szCs w:val="18"/>
              </w:rPr>
            </w:pPr>
            <w:r w:rsidRPr="00D87B79">
              <w:rPr>
                <w:rFonts w:cs="Tahoma"/>
                <w:color w:val="000000"/>
                <w:szCs w:val="18"/>
                <w:lang w:val="it-IT"/>
              </w:rPr>
              <w:t>Plus CAL per Lync Server 2010</w:t>
            </w:r>
            <w:r w:rsidRPr="00D87B79">
              <w:rPr>
                <w:rFonts w:cs="Tahoma"/>
                <w:color w:val="000000"/>
                <w:szCs w:val="18"/>
              </w:rPr>
              <w:t xml:space="preserve"> </w:t>
            </w:r>
          </w:p>
        </w:tc>
        <w:tc>
          <w:tcPr>
            <w:tcW w:w="3600" w:type="dxa"/>
          </w:tcPr>
          <w:p w:rsidR="00A92422" w:rsidRPr="00D87B79" w:rsidRDefault="00A92422" w:rsidP="00EA30FC">
            <w:pPr>
              <w:rPr>
                <w:rFonts w:cs="Tahoma"/>
                <w:color w:val="000000"/>
                <w:szCs w:val="18"/>
              </w:rPr>
            </w:pPr>
            <w:r w:rsidRPr="00D87B79">
              <w:rPr>
                <w:rFonts w:cs="Tahoma"/>
                <w:color w:val="000000"/>
                <w:szCs w:val="18"/>
                <w:lang w:val="it-IT"/>
              </w:rPr>
              <w:t>Plus CAL per Lync Server 2013</w:t>
            </w:r>
          </w:p>
        </w:tc>
      </w:tr>
      <w:tr w:rsidR="00A92422" w:rsidRPr="00D87B79" w:rsidTr="00EA30FC">
        <w:trPr>
          <w:trHeight w:val="70"/>
        </w:trPr>
        <w:tc>
          <w:tcPr>
            <w:tcW w:w="4500" w:type="dxa"/>
          </w:tcPr>
          <w:p w:rsidR="00A92422" w:rsidRPr="00D87B79" w:rsidRDefault="00A92422" w:rsidP="00EA30FC">
            <w:pPr>
              <w:rPr>
                <w:rFonts w:cs="Tahoma"/>
                <w:color w:val="000000"/>
                <w:szCs w:val="18"/>
              </w:rPr>
            </w:pPr>
            <w:r w:rsidRPr="00D87B79">
              <w:rPr>
                <w:rFonts w:cs="Tahoma"/>
                <w:color w:val="000000"/>
                <w:lang w:val="it-IT"/>
              </w:rPr>
              <w:t>Enterprise CAL per Lync Server 2010</w:t>
            </w:r>
            <w:r w:rsidRPr="00D87B79">
              <w:rPr>
                <w:rFonts w:cs="Tahoma"/>
              </w:rPr>
              <w:t xml:space="preserve"> </w:t>
            </w:r>
          </w:p>
        </w:tc>
        <w:tc>
          <w:tcPr>
            <w:tcW w:w="3600" w:type="dxa"/>
          </w:tcPr>
          <w:p w:rsidR="00A92422" w:rsidRPr="00D87B79" w:rsidRDefault="00A92422" w:rsidP="00EA30FC">
            <w:pPr>
              <w:rPr>
                <w:rFonts w:cs="Tahoma"/>
                <w:color w:val="000000"/>
                <w:szCs w:val="18"/>
              </w:rPr>
            </w:pPr>
            <w:r w:rsidRPr="00D87B79">
              <w:rPr>
                <w:rFonts w:cs="Tahoma"/>
                <w:color w:val="000000"/>
                <w:lang w:val="it-IT"/>
              </w:rPr>
              <w:t>Enterprise CAL per Lync Server 2013</w:t>
            </w:r>
          </w:p>
        </w:tc>
      </w:tr>
      <w:tr w:rsidR="00A92422" w:rsidRPr="00D87B79" w:rsidTr="00EA30FC">
        <w:trPr>
          <w:trHeight w:val="70"/>
        </w:trPr>
        <w:tc>
          <w:tcPr>
            <w:tcW w:w="4500" w:type="dxa"/>
          </w:tcPr>
          <w:p w:rsidR="00A92422" w:rsidRPr="00D87B79" w:rsidRDefault="00A92422" w:rsidP="00EA30FC">
            <w:pPr>
              <w:rPr>
                <w:rFonts w:cs="Tahoma"/>
                <w:color w:val="000000"/>
                <w:szCs w:val="18"/>
              </w:rPr>
            </w:pPr>
            <w:r w:rsidRPr="00D87B79">
              <w:rPr>
                <w:rFonts w:cs="Tahoma"/>
                <w:color w:val="000000"/>
                <w:szCs w:val="18"/>
                <w:lang w:val="it-IT"/>
              </w:rPr>
              <w:t>Standard CAL per Lync Server 2010</w:t>
            </w:r>
            <w:r w:rsidRPr="00D87B79">
              <w:rPr>
                <w:rFonts w:cs="Tahoma"/>
                <w:color w:val="000000"/>
                <w:szCs w:val="18"/>
              </w:rPr>
              <w:t xml:space="preserve"> </w:t>
            </w:r>
          </w:p>
        </w:tc>
        <w:tc>
          <w:tcPr>
            <w:tcW w:w="3600" w:type="dxa"/>
          </w:tcPr>
          <w:p w:rsidR="00A92422" w:rsidRPr="00D87B79" w:rsidRDefault="00A92422" w:rsidP="00EA30FC">
            <w:pPr>
              <w:rPr>
                <w:rFonts w:cs="Tahoma"/>
                <w:color w:val="000000"/>
                <w:szCs w:val="18"/>
              </w:rPr>
            </w:pPr>
            <w:r w:rsidRPr="00D87B79">
              <w:rPr>
                <w:rFonts w:cs="Tahoma"/>
                <w:color w:val="000000"/>
                <w:szCs w:val="18"/>
                <w:lang w:val="it-IT"/>
              </w:rPr>
              <w:t>Standard CAL per Lync Server 2013</w:t>
            </w:r>
          </w:p>
        </w:tc>
      </w:tr>
    </w:tbl>
    <w:p w:rsidR="00A92422" w:rsidRPr="00D87B79" w:rsidRDefault="00A92422" w:rsidP="00A92422">
      <w:pPr>
        <w:spacing w:after="60"/>
        <w:ind w:left="720"/>
        <w:rPr>
          <w:rFonts w:cs="Tahoma"/>
        </w:rPr>
      </w:pPr>
      <w:r w:rsidRPr="00D87B79">
        <w:rPr>
          <w:rFonts w:cs="Tahoma"/>
          <w:b/>
          <w:color w:val="000000"/>
          <w:lang w:val="it-IT"/>
        </w:rPr>
        <w:t>Concessione di Licenza per le Società Titolari della Licenza External Connector per Lync Server</w:t>
      </w:r>
      <w:r>
        <w:rPr>
          <w:rFonts w:cs="Tahoma"/>
          <w:b/>
          <w:color w:val="000000"/>
          <w:lang w:val="it-IT"/>
        </w:rPr>
        <w:t> </w:t>
      </w:r>
      <w:r w:rsidRPr="00D87B79">
        <w:rPr>
          <w:rFonts w:cs="Tahoma"/>
          <w:b/>
          <w:color w:val="000000"/>
          <w:lang w:val="it-IT"/>
        </w:rPr>
        <w:t>2010 Enterprise, della Licenza External Connector per Lync Server 2010 Plus e della</w:t>
      </w:r>
      <w:r>
        <w:rPr>
          <w:rFonts w:cs="Tahoma"/>
          <w:b/>
          <w:color w:val="000000"/>
          <w:lang w:val="it-IT"/>
        </w:rPr>
        <w:t> </w:t>
      </w:r>
      <w:r w:rsidRPr="00D87B79">
        <w:rPr>
          <w:rFonts w:cs="Tahoma"/>
          <w:b/>
          <w:color w:val="000000"/>
          <w:lang w:val="it-IT"/>
        </w:rPr>
        <w:t>Licenza External Connector per Lync Server 2010 Standard</w:t>
      </w:r>
    </w:p>
    <w:p w:rsidR="00A92422" w:rsidRPr="00D87B79" w:rsidRDefault="00A92422" w:rsidP="00A92422">
      <w:pPr>
        <w:ind w:left="900"/>
        <w:rPr>
          <w:rFonts w:cs="Tahoma"/>
        </w:rPr>
      </w:pPr>
    </w:p>
    <w:p w:rsidR="00A92422" w:rsidRPr="00D87B79" w:rsidRDefault="00A92422" w:rsidP="00A92422">
      <w:pPr>
        <w:ind w:left="720"/>
        <w:rPr>
          <w:rFonts w:cs="Tahoma"/>
        </w:rPr>
      </w:pPr>
      <w:r w:rsidRPr="00D87B79">
        <w:rPr>
          <w:rFonts w:cs="Tahoma"/>
          <w:color w:val="000000"/>
          <w:lang w:val="it-IT"/>
        </w:rPr>
        <w:t>La versione 2010 della Licenza External Connector per Lync Server Enterprise, della Licenza External Connector per Lync Server Plus e della Licenza External Connector per Lync Server Standard è la versione finale di tali licenze.</w:t>
      </w:r>
      <w:r w:rsidRPr="00D87B79">
        <w:rPr>
          <w:rFonts w:cs="Tahoma"/>
        </w:rPr>
        <w:t xml:space="preserve"> </w:t>
      </w:r>
      <w:r w:rsidRPr="00D87B79">
        <w:rPr>
          <w:rFonts w:cs="Tahoma"/>
          <w:color w:val="000000"/>
          <w:lang w:val="it-IT"/>
        </w:rPr>
        <w:t>Alla luce di ciò, le società con licenze External Connector per Lync Server 2010 Enterprise, External Connector per Lync Server 2010 Plus ed External Connector per Lync Server 2010 Standard con copertura Software Assurance attiva a partire dal 1 dicembre 2012 sono idonee alle concessioni di licenze che seguono.</w:t>
      </w:r>
    </w:p>
    <w:p w:rsidR="00A92422" w:rsidRPr="00D87B79" w:rsidRDefault="00A92422" w:rsidP="00A92422">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A92422" w:rsidRPr="00D87B79" w:rsidTr="00EA30FC">
        <w:trPr>
          <w:trHeight w:val="332"/>
        </w:trPr>
        <w:tc>
          <w:tcPr>
            <w:tcW w:w="4500" w:type="dxa"/>
            <w:shd w:val="clear" w:color="auto" w:fill="FABF8F"/>
          </w:tcPr>
          <w:p w:rsidR="00A92422" w:rsidRPr="00D87B79" w:rsidRDefault="00A92422" w:rsidP="00EA30FC">
            <w:pPr>
              <w:rPr>
                <w:rFonts w:cs="Tahoma"/>
                <w:b/>
                <w:color w:val="000000"/>
                <w:szCs w:val="18"/>
              </w:rPr>
            </w:pPr>
            <w:r w:rsidRPr="00D87B79">
              <w:rPr>
                <w:rFonts w:cs="Tahoma"/>
                <w:b/>
                <w:color w:val="000000"/>
                <w:szCs w:val="18"/>
                <w:lang w:val="it-IT"/>
              </w:rPr>
              <w:t>Licenza Qualificante</w:t>
            </w:r>
          </w:p>
        </w:tc>
        <w:tc>
          <w:tcPr>
            <w:tcW w:w="3600" w:type="dxa"/>
            <w:shd w:val="clear" w:color="auto" w:fill="FABF8F"/>
          </w:tcPr>
          <w:p w:rsidR="00A92422" w:rsidRPr="00D87B79" w:rsidRDefault="00A92422" w:rsidP="00EA30FC">
            <w:pPr>
              <w:rPr>
                <w:rFonts w:cs="Tahoma"/>
                <w:b/>
                <w:color w:val="000000"/>
                <w:szCs w:val="18"/>
              </w:rPr>
            </w:pPr>
            <w:r w:rsidRPr="00D87B79">
              <w:rPr>
                <w:rFonts w:cs="Tahoma"/>
                <w:b/>
                <w:color w:val="000000"/>
                <w:lang w:val="it-IT"/>
              </w:rPr>
              <w:t>Licenza Gratuita e Vantaggi</w:t>
            </w:r>
          </w:p>
        </w:tc>
      </w:tr>
      <w:tr w:rsidR="00A92422" w:rsidRPr="00D87B79" w:rsidTr="00EA30FC">
        <w:trPr>
          <w:trHeight w:val="70"/>
        </w:trPr>
        <w:tc>
          <w:tcPr>
            <w:tcW w:w="4500" w:type="dxa"/>
          </w:tcPr>
          <w:p w:rsidR="00A92422" w:rsidRPr="00D87B79" w:rsidRDefault="00A92422" w:rsidP="00EA30FC">
            <w:pPr>
              <w:rPr>
                <w:rFonts w:cs="Tahoma"/>
                <w:color w:val="000000"/>
                <w:szCs w:val="18"/>
              </w:rPr>
            </w:pPr>
            <w:r w:rsidRPr="00D87B79">
              <w:rPr>
                <w:rFonts w:cs="Tahoma"/>
                <w:color w:val="000000"/>
                <w:szCs w:val="18"/>
                <w:lang w:val="it-IT"/>
              </w:rPr>
              <w:t>Licenza External Connector per Lync Server 2010 Enterprise con Software Assurance attiva a partire dal</w:t>
            </w:r>
            <w:r>
              <w:rPr>
                <w:rFonts w:cs="Tahoma"/>
                <w:color w:val="000000"/>
                <w:szCs w:val="18"/>
                <w:lang w:val="it-IT"/>
              </w:rPr>
              <w:t> </w:t>
            </w:r>
            <w:r w:rsidRPr="00D87B79">
              <w:rPr>
                <w:rFonts w:cs="Tahoma"/>
                <w:color w:val="000000"/>
                <w:szCs w:val="18"/>
                <w:lang w:val="it-IT"/>
              </w:rPr>
              <w:t>1 dicembre 2012</w:t>
            </w:r>
          </w:p>
        </w:tc>
        <w:tc>
          <w:tcPr>
            <w:tcW w:w="3600" w:type="dxa"/>
          </w:tcPr>
          <w:p w:rsidR="00A92422" w:rsidRPr="00D87B79" w:rsidRDefault="00A92422" w:rsidP="00EA30FC">
            <w:pPr>
              <w:rPr>
                <w:rFonts w:cs="Tahoma"/>
                <w:color w:val="000000"/>
                <w:szCs w:val="18"/>
              </w:rPr>
            </w:pPr>
            <w:r w:rsidRPr="00D87B79">
              <w:rPr>
                <w:rFonts w:cs="Tahoma"/>
                <w:color w:val="000000"/>
                <w:szCs w:val="18"/>
                <w:lang w:val="it-IT"/>
              </w:rPr>
              <w:t>Licenza per Lync Server 2013</w:t>
            </w:r>
          </w:p>
        </w:tc>
      </w:tr>
      <w:tr w:rsidR="00A92422" w:rsidRPr="00D87B79" w:rsidTr="00EA30FC">
        <w:trPr>
          <w:trHeight w:val="70"/>
        </w:trPr>
        <w:tc>
          <w:tcPr>
            <w:tcW w:w="4500" w:type="dxa"/>
          </w:tcPr>
          <w:p w:rsidR="00A92422" w:rsidRPr="00D87B79" w:rsidRDefault="00A92422" w:rsidP="00EA30FC">
            <w:pPr>
              <w:rPr>
                <w:rFonts w:cs="Tahoma"/>
                <w:color w:val="000000"/>
                <w:szCs w:val="18"/>
              </w:rPr>
            </w:pPr>
            <w:r w:rsidRPr="00D87B79">
              <w:rPr>
                <w:rFonts w:cs="Tahoma"/>
                <w:color w:val="000000"/>
                <w:szCs w:val="18"/>
                <w:lang w:val="it-IT"/>
              </w:rPr>
              <w:lastRenderedPageBreak/>
              <w:t>Licenza External Connector per Lync Server 2010 Plus</w:t>
            </w:r>
            <w:r>
              <w:t> </w:t>
            </w:r>
            <w:r w:rsidRPr="00D87B79">
              <w:rPr>
                <w:rFonts w:cs="Tahoma"/>
                <w:color w:val="000000"/>
                <w:szCs w:val="18"/>
                <w:lang w:val="it-IT"/>
              </w:rPr>
              <w:t>con Software Assurance attiva a partire dal 1</w:t>
            </w:r>
            <w:r>
              <w:rPr>
                <w:rFonts w:cs="Tahoma"/>
                <w:color w:val="000000"/>
                <w:szCs w:val="18"/>
                <w:lang w:val="it-IT"/>
              </w:rPr>
              <w:t> </w:t>
            </w:r>
            <w:r w:rsidRPr="00D87B79">
              <w:rPr>
                <w:rFonts w:cs="Tahoma"/>
                <w:color w:val="000000"/>
                <w:szCs w:val="18"/>
                <w:lang w:val="it-IT"/>
              </w:rPr>
              <w:t>dicembre 2012</w:t>
            </w:r>
          </w:p>
        </w:tc>
        <w:tc>
          <w:tcPr>
            <w:tcW w:w="3600" w:type="dxa"/>
          </w:tcPr>
          <w:p w:rsidR="00A92422" w:rsidRPr="00D87B79" w:rsidRDefault="00A92422" w:rsidP="00EA30FC">
            <w:pPr>
              <w:rPr>
                <w:rFonts w:cs="Tahoma"/>
                <w:color w:val="000000"/>
                <w:szCs w:val="18"/>
              </w:rPr>
            </w:pPr>
            <w:r w:rsidRPr="00D87B79">
              <w:rPr>
                <w:rFonts w:cs="Tahoma"/>
                <w:color w:val="000000"/>
                <w:szCs w:val="18"/>
                <w:lang w:val="it-IT"/>
              </w:rPr>
              <w:t>Licenza per Lync Server 2013</w:t>
            </w:r>
          </w:p>
        </w:tc>
      </w:tr>
      <w:tr w:rsidR="00A92422" w:rsidRPr="00D87B79" w:rsidTr="00EA30FC">
        <w:trPr>
          <w:trHeight w:val="70"/>
        </w:trPr>
        <w:tc>
          <w:tcPr>
            <w:tcW w:w="4500" w:type="dxa"/>
          </w:tcPr>
          <w:p w:rsidR="00A92422" w:rsidRPr="00D87B79" w:rsidRDefault="00A92422" w:rsidP="00EA30FC">
            <w:pPr>
              <w:rPr>
                <w:rFonts w:cs="Tahoma"/>
                <w:color w:val="000000"/>
                <w:szCs w:val="18"/>
              </w:rPr>
            </w:pPr>
            <w:r w:rsidRPr="00D87B79">
              <w:rPr>
                <w:rFonts w:cs="Tahoma"/>
                <w:color w:val="000000"/>
                <w:szCs w:val="18"/>
                <w:lang w:val="it-IT"/>
              </w:rPr>
              <w:t>Licenza External Connector per Lync Server 2010 Standard con Software Assurance attiva a partire dal</w:t>
            </w:r>
            <w:r>
              <w:rPr>
                <w:rFonts w:cs="Tahoma"/>
                <w:color w:val="000000"/>
                <w:szCs w:val="18"/>
                <w:lang w:val="it-IT"/>
              </w:rPr>
              <w:t> </w:t>
            </w:r>
            <w:r w:rsidRPr="00D87B79">
              <w:rPr>
                <w:rFonts w:cs="Tahoma"/>
                <w:color w:val="000000"/>
                <w:szCs w:val="18"/>
                <w:lang w:val="it-IT"/>
              </w:rPr>
              <w:t>1 dicembre 2012</w:t>
            </w:r>
          </w:p>
        </w:tc>
        <w:tc>
          <w:tcPr>
            <w:tcW w:w="3600" w:type="dxa"/>
          </w:tcPr>
          <w:p w:rsidR="00A92422" w:rsidRPr="00D87B79" w:rsidRDefault="00A92422" w:rsidP="00EA30FC">
            <w:pPr>
              <w:rPr>
                <w:rFonts w:cs="Tahoma"/>
                <w:color w:val="000000"/>
                <w:szCs w:val="18"/>
              </w:rPr>
            </w:pPr>
            <w:r w:rsidRPr="00D87B79">
              <w:rPr>
                <w:rFonts w:cs="Tahoma"/>
                <w:color w:val="000000"/>
                <w:szCs w:val="18"/>
                <w:lang w:val="it-IT"/>
              </w:rPr>
              <w:t>Licenza per Lync Server 2013</w:t>
            </w:r>
          </w:p>
        </w:tc>
      </w:tr>
    </w:tbl>
    <w:p w:rsidR="00A92422" w:rsidRPr="00D87B79" w:rsidRDefault="00A92422" w:rsidP="00A92422">
      <w:pPr>
        <w:ind w:left="720"/>
        <w:jc w:val="both"/>
        <w:rPr>
          <w:rFonts w:cs="Tahoma"/>
        </w:rPr>
      </w:pPr>
    </w:p>
    <w:p w:rsidR="00A92422" w:rsidRPr="00D87B79" w:rsidRDefault="00A92422" w:rsidP="00A92422">
      <w:pPr>
        <w:ind w:left="720"/>
        <w:rPr>
          <w:rFonts w:cs="Tahoma"/>
        </w:rPr>
      </w:pPr>
      <w:r w:rsidRPr="00D87B79">
        <w:rPr>
          <w:rFonts w:cs="Tahoma"/>
          <w:color w:val="000000"/>
          <w:lang w:val="it-IT"/>
        </w:rPr>
        <w:t>Le condizioni che seguono si applicano alle concessioni di licenze riportate sopra.</w:t>
      </w:r>
    </w:p>
    <w:p w:rsidR="00A92422" w:rsidRPr="00D87B79" w:rsidRDefault="00A92422" w:rsidP="00A92422">
      <w:pPr>
        <w:ind w:left="720"/>
        <w:rPr>
          <w:rFonts w:cs="Tahoma"/>
        </w:rPr>
      </w:pPr>
    </w:p>
    <w:p w:rsidR="00A92422" w:rsidRPr="00D87B79" w:rsidRDefault="00A92422" w:rsidP="00A92422">
      <w:pPr>
        <w:numPr>
          <w:ilvl w:val="0"/>
          <w:numId w:val="117"/>
        </w:numPr>
        <w:spacing w:after="60"/>
        <w:ind w:left="1440"/>
        <w:rPr>
          <w:rFonts w:cs="Tahoma"/>
        </w:rPr>
      </w:pPr>
      <w:r w:rsidRPr="00D87B79">
        <w:rPr>
          <w:rFonts w:cs="Tahoma"/>
          <w:color w:val="000000"/>
          <w:u w:val="single"/>
          <w:lang w:val="it-IT"/>
        </w:rPr>
        <w:t>Percorso di Migrazione</w:t>
      </w:r>
      <w:r w:rsidRPr="00B271AD">
        <w:rPr>
          <w:rFonts w:cs="Tahoma"/>
          <w:color w:val="000000"/>
          <w:lang w:val="it-IT"/>
        </w:rPr>
        <w:t>:</w:t>
      </w:r>
      <w:r w:rsidRPr="00D87B79">
        <w:rPr>
          <w:rFonts w:cs="Tahoma"/>
          <w:color w:val="000000"/>
          <w:szCs w:val="18"/>
        </w:rPr>
        <w:t xml:space="preserve"> </w:t>
      </w:r>
      <w:r w:rsidRPr="00D87B79">
        <w:rPr>
          <w:rFonts w:cs="Tahoma"/>
          <w:color w:val="000000"/>
          <w:lang w:val="it-IT"/>
        </w:rPr>
        <w:t>Le società con copertura Software Assurance attiva per una determinata Licenza Qualificante a partire dal 1 dicembre 2012 e in occasione del rilascio della versione commerciale di Lync Server 2013 sono idonee a effettuare l’aggiornamento al software Lync Server 2013 e a utilizzarlo ai sensi della Licenza Gratuita al posto del software Lync Server 2010 ai sensi della corrispondente licenza External Connector qualificante.</w:t>
      </w:r>
      <w:r w:rsidRPr="00D87B79">
        <w:rPr>
          <w:rFonts w:cs="Tahoma"/>
        </w:rPr>
        <w:t xml:space="preserve"> </w:t>
      </w:r>
    </w:p>
    <w:p w:rsidR="00A92422" w:rsidRPr="00D87B79" w:rsidRDefault="00A92422" w:rsidP="00A92422">
      <w:pPr>
        <w:numPr>
          <w:ilvl w:val="0"/>
          <w:numId w:val="117"/>
        </w:numPr>
        <w:spacing w:after="60"/>
        <w:ind w:left="1440"/>
        <w:rPr>
          <w:rFonts w:cs="Tahoma"/>
        </w:rPr>
      </w:pPr>
      <w:r w:rsidRPr="00D87B79">
        <w:rPr>
          <w:rFonts w:cs="Tahoma"/>
          <w:color w:val="000000"/>
          <w:u w:val="single"/>
          <w:lang w:val="it-IT"/>
        </w:rPr>
        <w:t>Diritti sull’utilizzo</w:t>
      </w:r>
      <w:r w:rsidRPr="00D87B79">
        <w:rPr>
          <w:rFonts w:cs="Tahoma"/>
          <w:color w:val="000000"/>
          <w:lang w:val="it-IT"/>
        </w:rPr>
        <w:t>:</w:t>
      </w:r>
      <w:r w:rsidRPr="00D87B79">
        <w:rPr>
          <w:rFonts w:cs="Tahoma"/>
          <w:color w:val="000000"/>
          <w:szCs w:val="18"/>
        </w:rPr>
        <w:t xml:space="preserve"> </w:t>
      </w:r>
      <w:r w:rsidRPr="00D87B79">
        <w:rPr>
          <w:rFonts w:cs="Tahoma"/>
          <w:color w:val="000000"/>
          <w:szCs w:val="18"/>
          <w:lang w:val="it-IT"/>
        </w:rPr>
        <w:t>Il diritto di utilizzo del software ai sensi della Licenza Gratuita della presente offerta scadrà alla scadenza del diritto di utilizzo del software ai sensi della Licenza Qualificante.</w:t>
      </w:r>
      <w:r w:rsidRPr="00D87B79">
        <w:rPr>
          <w:rFonts w:cs="Tahoma"/>
        </w:rPr>
        <w:t xml:space="preserve"> </w:t>
      </w:r>
      <w:r w:rsidRPr="00D87B79">
        <w:rPr>
          <w:rFonts w:cs="Tahoma"/>
          <w:color w:val="000000"/>
          <w:lang w:val="it-IT"/>
        </w:rPr>
        <w:t>L’utilizzo di tale software è disciplinato dai diritti sull’utilizzo del software e dalle condizioni del contratto multilicenza della società.</w:t>
      </w:r>
      <w:r w:rsidRPr="00D87B79">
        <w:rPr>
          <w:rFonts w:cs="Tahoma"/>
        </w:rPr>
        <w:t xml:space="preserve"> </w:t>
      </w:r>
      <w:r w:rsidRPr="00D87B79">
        <w:rPr>
          <w:rFonts w:cs="Tahoma"/>
          <w:color w:val="000000"/>
          <w:lang w:val="it-IT"/>
        </w:rPr>
        <w:t>Questa nota relativa alle condizioni del prodotto e la prova da</w:t>
      </w:r>
      <w:r>
        <w:rPr>
          <w:rFonts w:cs="Tahoma"/>
          <w:color w:val="000000"/>
          <w:lang w:val="it-IT"/>
        </w:rPr>
        <w:t> </w:t>
      </w:r>
      <w:r w:rsidRPr="00D87B79">
        <w:rPr>
          <w:rFonts w:cs="Tahoma"/>
          <w:color w:val="000000"/>
          <w:lang w:val="it-IT"/>
        </w:rPr>
        <w:t>parte della società della corrispondente Licenza e Software Assurance (L&amp;SA) Qualificante costituiscono insieme la prova del diritto di utilizzo del software ai sensi della Licenza Gratuita della</w:t>
      </w:r>
      <w:r>
        <w:rPr>
          <w:rFonts w:cs="Tahoma"/>
          <w:color w:val="000000"/>
          <w:lang w:val="it-IT"/>
        </w:rPr>
        <w:t> </w:t>
      </w:r>
      <w:r w:rsidRPr="00D87B79">
        <w:rPr>
          <w:rFonts w:cs="Tahoma"/>
          <w:color w:val="000000"/>
          <w:lang w:val="it-IT"/>
        </w:rPr>
        <w:t>presente offerta.</w:t>
      </w:r>
      <w:r w:rsidRPr="00D87B79">
        <w:rPr>
          <w:rFonts w:cs="Tahoma"/>
        </w:rPr>
        <w:t xml:space="preserve"> </w:t>
      </w:r>
    </w:p>
    <w:p w:rsidR="00A92422" w:rsidRPr="00D87B79" w:rsidRDefault="00A92422" w:rsidP="00A92422">
      <w:pPr>
        <w:numPr>
          <w:ilvl w:val="0"/>
          <w:numId w:val="68"/>
        </w:numPr>
        <w:spacing w:after="60"/>
        <w:ind w:left="1440"/>
        <w:rPr>
          <w:rFonts w:cs="Tahoma"/>
        </w:rPr>
      </w:pPr>
      <w:r w:rsidRPr="00D87B79">
        <w:rPr>
          <w:rFonts w:cs="Tahoma"/>
          <w:color w:val="000000"/>
          <w:u w:val="single"/>
          <w:lang w:val="it-IT"/>
        </w:rPr>
        <w:t>Licenza e Software Assurance (L&amp;SA)</w:t>
      </w:r>
      <w:r w:rsidRPr="00D87B79">
        <w:rPr>
          <w:rFonts w:cs="Tahoma"/>
          <w:color w:val="000000"/>
          <w:lang w:val="it-IT"/>
        </w:rPr>
        <w:t>:</w:t>
      </w:r>
      <w:r w:rsidRPr="00D87B79">
        <w:rPr>
          <w:rFonts w:cs="Tahoma"/>
          <w:color w:val="000000"/>
          <w:szCs w:val="18"/>
        </w:rPr>
        <w:t xml:space="preserve"> </w:t>
      </w:r>
      <w:r w:rsidRPr="00D87B79">
        <w:rPr>
          <w:rFonts w:cs="Tahoma"/>
          <w:color w:val="000000"/>
          <w:szCs w:val="18"/>
          <w:lang w:val="it-IT"/>
        </w:rPr>
        <w:t>la Licenza Gratuita include la copertura Software Assurance.</w:t>
      </w:r>
      <w:r w:rsidRPr="00D87B79">
        <w:rPr>
          <w:rFonts w:cs="Tahoma"/>
          <w:color w:val="000000"/>
          <w:szCs w:val="18"/>
        </w:rPr>
        <w:t xml:space="preserve"> </w:t>
      </w:r>
      <w:r w:rsidRPr="00D87B79">
        <w:rPr>
          <w:rFonts w:cs="Tahoma"/>
          <w:color w:val="000000"/>
          <w:szCs w:val="18"/>
          <w:lang w:val="it-IT"/>
        </w:rPr>
        <w:t>La copertura Software Assurance per la Licenza Gratuita scadrà alla scadenza della copertura per</w:t>
      </w:r>
      <w:r>
        <w:rPr>
          <w:rFonts w:cs="Tahoma"/>
          <w:color w:val="000000"/>
          <w:szCs w:val="18"/>
          <w:lang w:val="it-IT"/>
        </w:rPr>
        <w:t> </w:t>
      </w:r>
      <w:r w:rsidRPr="00D87B79">
        <w:rPr>
          <w:rFonts w:cs="Tahoma"/>
          <w:color w:val="000000"/>
          <w:szCs w:val="18"/>
          <w:lang w:val="it-IT"/>
        </w:rPr>
        <w:t>la</w:t>
      </w:r>
      <w:r>
        <w:rPr>
          <w:rFonts w:cs="Tahoma"/>
          <w:color w:val="000000"/>
          <w:szCs w:val="18"/>
          <w:lang w:val="it-IT"/>
        </w:rPr>
        <w:t> </w:t>
      </w:r>
      <w:r w:rsidRPr="00D87B79">
        <w:rPr>
          <w:rFonts w:cs="Tahoma"/>
          <w:color w:val="000000"/>
          <w:szCs w:val="18"/>
          <w:lang w:val="it-IT"/>
        </w:rPr>
        <w:t>Licenza Qualificante.</w:t>
      </w:r>
      <w:r w:rsidRPr="00D87B79">
        <w:rPr>
          <w:rFonts w:cs="Tahoma"/>
        </w:rPr>
        <w:t xml:space="preserve"> </w:t>
      </w:r>
      <w:r w:rsidRPr="00D87B79">
        <w:rPr>
          <w:rFonts w:cs="Tahoma"/>
          <w:color w:val="000000"/>
          <w:lang w:val="it-IT"/>
        </w:rPr>
        <w:t>Alla scadenza della copertura Software Assurance per la Licenza Qualificante, la società potrà rinnovare Software Assurance per la Licenza Gratuita senza dover acquistare una nuova licenza specifica.</w:t>
      </w:r>
    </w:p>
    <w:p w:rsidR="00A92422" w:rsidRPr="00D87B79" w:rsidRDefault="00A92422" w:rsidP="00A92422">
      <w:pPr>
        <w:numPr>
          <w:ilvl w:val="0"/>
          <w:numId w:val="79"/>
        </w:numPr>
        <w:spacing w:after="60"/>
        <w:rPr>
          <w:rFonts w:cs="Tahoma"/>
        </w:rPr>
      </w:pPr>
      <w:r w:rsidRPr="00D87B79">
        <w:rPr>
          <w:rFonts w:cs="Tahoma"/>
          <w:color w:val="000000"/>
          <w:u w:val="single"/>
          <w:lang w:val="it-IT"/>
        </w:rPr>
        <w:t>True-up</w:t>
      </w:r>
      <w:r w:rsidRPr="00D233AD">
        <w:rPr>
          <w:rFonts w:cs="Tahoma"/>
          <w:color w:val="000000"/>
          <w:lang w:val="it-IT"/>
        </w:rPr>
        <w:t>:</w:t>
      </w:r>
      <w:r w:rsidRPr="00D87B79">
        <w:rPr>
          <w:rFonts w:eastAsia="Times New Roman" w:cs="Tahoma"/>
          <w:color w:val="000000"/>
          <w:szCs w:val="18"/>
        </w:rPr>
        <w:t xml:space="preserve"> </w:t>
      </w:r>
      <w:r w:rsidRPr="00D87B79">
        <w:rPr>
          <w:rFonts w:cs="Tahoma"/>
          <w:color w:val="000000"/>
          <w:lang w:val="it-IT"/>
        </w:rPr>
        <w:t>Per le società con un Contratto Enterprise idonee a ricevere tali licenze gratuite e diritti descritti in precedenza, le licenze External Connector per Lync Server 2010 Enterprise, Lync Server 2010 Plus e Lync Server 2010 Standard acquistate nell'ambito di una procedura annuale di true-up sono, anch'esse, licenze qualificanti.</w:t>
      </w:r>
      <w:r w:rsidRPr="00D87B79">
        <w:rPr>
          <w:rFonts w:cs="Tahoma"/>
        </w:rPr>
        <w:t xml:space="preserve"> </w:t>
      </w:r>
    </w:p>
    <w:p w:rsidR="00A92422" w:rsidRPr="00D87B79" w:rsidRDefault="00A92422" w:rsidP="00A92422">
      <w:pPr>
        <w:numPr>
          <w:ilvl w:val="0"/>
          <w:numId w:val="79"/>
        </w:numPr>
        <w:spacing w:after="60"/>
        <w:rPr>
          <w:rFonts w:cs="Tahoma"/>
        </w:rPr>
      </w:pPr>
      <w:r w:rsidRPr="00D87B79">
        <w:rPr>
          <w:rFonts w:cs="Tahoma"/>
          <w:color w:val="000000"/>
          <w:u w:val="single"/>
          <w:lang w:val="it-IT"/>
        </w:rPr>
        <w:t>Contratti “Subscription”</w:t>
      </w:r>
      <w:r w:rsidRPr="00D233AD">
        <w:rPr>
          <w:rFonts w:cs="Tahoma"/>
          <w:color w:val="000000"/>
          <w:lang w:val="it-IT"/>
        </w:rPr>
        <w:t>:</w:t>
      </w:r>
      <w:r w:rsidRPr="00D87B79">
        <w:rPr>
          <w:rFonts w:cs="Tahoma"/>
          <w:color w:val="000000"/>
          <w:szCs w:val="18"/>
        </w:rPr>
        <w:t xml:space="preserve"> </w:t>
      </w:r>
      <w:r w:rsidRPr="00D87B79">
        <w:rPr>
          <w:rFonts w:cs="Tahoma"/>
          <w:lang w:val="it-IT"/>
        </w:rPr>
        <w:t>Per Contratti Enterprise Subscription, Open Value Subscription, Campus e</w:t>
      </w:r>
      <w:r>
        <w:rPr>
          <w:rFonts w:cs="Tahoma"/>
          <w:lang w:val="it-IT"/>
        </w:rPr>
        <w:t> </w:t>
      </w:r>
      <w:r w:rsidRPr="00D87B79">
        <w:rPr>
          <w:rFonts w:cs="Tahoma"/>
          <w:lang w:val="it-IT"/>
        </w:rPr>
        <w:t>School, Enrollment for Education Solutions e Open Value Subscription-Education Solutions, gli stessi diritti verranno concessi temporaneamente, in base alle medesime condizioni, fino al termine del periodo di validità corrente dell’iscrizione (o del periodo di validità del contratto nel caso di Open Value).</w:t>
      </w:r>
      <w:r w:rsidRPr="00D87B79">
        <w:rPr>
          <w:rFonts w:cs="Tahoma"/>
        </w:rPr>
        <w:t xml:space="preserve"> </w:t>
      </w:r>
      <w:r w:rsidRPr="00D87B79">
        <w:rPr>
          <w:rFonts w:cs="Tahoma"/>
          <w:color w:val="000000"/>
          <w:lang w:val="it-IT"/>
        </w:rPr>
        <w:t>La società dovrà mantenere la copertura dell’abbonamento in via continuativa.</w:t>
      </w:r>
      <w:r w:rsidRPr="00D87B79">
        <w:rPr>
          <w:rFonts w:cs="Tahoma"/>
        </w:rPr>
        <w:t xml:space="preserve"> </w:t>
      </w:r>
      <w:r w:rsidRPr="00D87B79">
        <w:rPr>
          <w:rFonts w:cs="Tahoma"/>
          <w:color w:val="000000"/>
          <w:lang w:val="it-IT"/>
        </w:rPr>
        <w:t>Tali</w:t>
      </w:r>
      <w:r>
        <w:rPr>
          <w:rFonts w:cs="Tahoma"/>
          <w:color w:val="000000"/>
          <w:lang w:val="it-IT"/>
        </w:rPr>
        <w:t> </w:t>
      </w:r>
      <w:r w:rsidRPr="00D87B79">
        <w:rPr>
          <w:rFonts w:cs="Tahoma"/>
          <w:color w:val="000000"/>
          <w:lang w:val="it-IT"/>
        </w:rPr>
        <w:t>diritti diventeranno permanenti soltanto all’esercizio dell’opzione buy-out e resteranno soggetti</w:t>
      </w:r>
      <w:r>
        <w:rPr>
          <w:rFonts w:cs="Tahoma"/>
          <w:color w:val="000000"/>
          <w:lang w:val="it-IT"/>
        </w:rPr>
        <w:t> </w:t>
      </w:r>
      <w:r w:rsidRPr="00D87B79">
        <w:rPr>
          <w:rFonts w:cs="Tahoma"/>
          <w:color w:val="000000"/>
          <w:lang w:val="it-IT"/>
        </w:rPr>
        <w:t>a</w:t>
      </w:r>
      <w:r>
        <w:rPr>
          <w:rFonts w:cs="Tahoma"/>
          <w:color w:val="000000"/>
          <w:lang w:val="it-IT"/>
        </w:rPr>
        <w:t> </w:t>
      </w:r>
      <w:r w:rsidRPr="00D87B79">
        <w:rPr>
          <w:rFonts w:cs="Tahoma"/>
          <w:color w:val="000000"/>
          <w:lang w:val="it-IT"/>
        </w:rPr>
        <w:t>tutte le condizioni del contratto di licenza della società.</w:t>
      </w:r>
    </w:p>
    <w:p w:rsidR="00A92422" w:rsidRPr="00D87B79" w:rsidRDefault="00A92422" w:rsidP="00A92422">
      <w:pPr>
        <w:numPr>
          <w:ilvl w:val="0"/>
          <w:numId w:val="118"/>
        </w:numPr>
        <w:spacing w:after="60"/>
        <w:ind w:left="1440"/>
        <w:rPr>
          <w:rFonts w:cs="Tahoma"/>
        </w:rPr>
      </w:pPr>
      <w:r w:rsidRPr="00D87B79">
        <w:rPr>
          <w:rFonts w:cs="Tahoma"/>
          <w:u w:val="single"/>
          <w:lang w:val="it-IT"/>
        </w:rPr>
        <w:t>Transizioni ai Contratti Campus e School</w:t>
      </w:r>
      <w:r w:rsidRPr="00D233AD">
        <w:rPr>
          <w:rFonts w:cs="Tahoma"/>
          <w:lang w:val="it-IT"/>
        </w:rPr>
        <w:t>:</w:t>
      </w:r>
      <w:r w:rsidRPr="00D87B79">
        <w:rPr>
          <w:rFonts w:cs="Tahoma"/>
          <w:szCs w:val="18"/>
        </w:rPr>
        <w:t xml:space="preserve"> </w:t>
      </w:r>
      <w:r w:rsidRPr="00D87B79">
        <w:rPr>
          <w:rFonts w:cs="Tahoma"/>
          <w:lang w:val="it-IT"/>
        </w:rPr>
        <w:t>Per quanto riguarda le società che a metà del periodo di</w:t>
      </w:r>
      <w:r>
        <w:rPr>
          <w:rFonts w:cs="Tahoma"/>
          <w:lang w:val="it-IT"/>
        </w:rPr>
        <w:t> </w:t>
      </w:r>
      <w:r w:rsidRPr="00D87B79">
        <w:rPr>
          <w:rFonts w:cs="Tahoma"/>
          <w:lang w:val="it-IT"/>
        </w:rPr>
        <w:t>validità effettuano la transizione dai contratti Campus e School al contratto Enrollment for Education Solutions o Open Value Subscription-Education Solutions mantenendo la copertura della</w:t>
      </w:r>
      <w:r>
        <w:rPr>
          <w:rFonts w:cs="Tahoma"/>
          <w:lang w:val="it-IT"/>
        </w:rPr>
        <w:t> </w:t>
      </w:r>
      <w:r w:rsidRPr="00D87B79">
        <w:rPr>
          <w:rFonts w:cs="Tahoma"/>
          <w:lang w:val="it-IT"/>
        </w:rPr>
        <w:t>sottoscrizione in via continuativa:</w:t>
      </w:r>
    </w:p>
    <w:p w:rsidR="00A92422" w:rsidRPr="00B2580B" w:rsidRDefault="00A92422" w:rsidP="00A92422">
      <w:pPr>
        <w:pStyle w:val="ListParagraph"/>
        <w:numPr>
          <w:ilvl w:val="0"/>
          <w:numId w:val="104"/>
        </w:numPr>
        <w:spacing w:after="60"/>
        <w:ind w:left="1980"/>
        <w:contextualSpacing w:val="0"/>
        <w:rPr>
          <w:rFonts w:ascii="Tahoma" w:hAnsi="Tahoma" w:cs="Tahoma"/>
          <w:sz w:val="18"/>
          <w:szCs w:val="18"/>
        </w:rPr>
      </w:pPr>
      <w:r w:rsidRPr="00B2580B">
        <w:rPr>
          <w:rFonts w:ascii="Tahoma" w:hAnsi="Tahoma" w:cs="Tahoma"/>
          <w:sz w:val="18"/>
          <w:szCs w:val="18"/>
          <w:lang w:val="it-IT"/>
        </w:rPr>
        <w:t>Vengono concessi gli stessi diritti su base temporanea, ai sensi delle medesime condizioni, fino al termine, rispettivamente, del loro contratto Enrollment for Education Solutions o Open Value Subscription-Education Solutions.</w:t>
      </w:r>
      <w:r w:rsidRPr="00B2580B">
        <w:rPr>
          <w:rFonts w:ascii="Tahoma" w:hAnsi="Tahoma" w:cs="Tahoma"/>
          <w:sz w:val="18"/>
          <w:szCs w:val="18"/>
        </w:rPr>
        <w:t xml:space="preserve"> </w:t>
      </w:r>
    </w:p>
    <w:p w:rsidR="00A92422" w:rsidRPr="00B2580B" w:rsidRDefault="00A92422" w:rsidP="00A92422">
      <w:pPr>
        <w:pStyle w:val="ListParagraph"/>
        <w:numPr>
          <w:ilvl w:val="0"/>
          <w:numId w:val="104"/>
        </w:numPr>
        <w:spacing w:after="60"/>
        <w:ind w:left="1980"/>
        <w:contextualSpacing w:val="0"/>
        <w:rPr>
          <w:rFonts w:ascii="Tahoma" w:hAnsi="Tahoma" w:cs="Tahoma"/>
          <w:sz w:val="18"/>
          <w:szCs w:val="18"/>
        </w:rPr>
      </w:pPr>
      <w:bookmarkStart w:id="1360" w:name="_66_Lync_Server"/>
      <w:bookmarkStart w:id="1361" w:name="_Toc336338327"/>
      <w:bookmarkEnd w:id="1360"/>
      <w:r w:rsidRPr="00B2580B">
        <w:rPr>
          <w:rFonts w:ascii="Tahoma" w:hAnsi="Tahoma" w:cs="Tahoma"/>
          <w:sz w:val="18"/>
          <w:szCs w:val="18"/>
          <w:lang w:val="it-IT"/>
        </w:rPr>
        <w:t>Tali diritti diventeranno permanenti soltanto all’esercizio dell’opzione buy-out e resteranno soggetti a tutte le condizioni del contratto di licenza della società.</w:t>
      </w:r>
    </w:p>
    <w:p w:rsidR="00A92422" w:rsidRPr="00D87B79" w:rsidRDefault="00A92422" w:rsidP="00A92422">
      <w:pPr>
        <w:rPr>
          <w:rFonts w:cs="Tahoma"/>
        </w:rPr>
      </w:pPr>
    </w:p>
    <w:p w:rsidR="00A92422" w:rsidRPr="00D87B79" w:rsidRDefault="00A92422" w:rsidP="00A92422">
      <w:pPr>
        <w:pStyle w:val="Heading3"/>
        <w:rPr>
          <w:rFonts w:ascii="Tahoma" w:hAnsi="Tahoma" w:cs="Tahoma"/>
        </w:rPr>
      </w:pPr>
      <w:bookmarkStart w:id="1362" w:name="Srv_57OfficeCommSvrOnlineStd"/>
      <w:bookmarkStart w:id="1363" w:name="Srv_56MicrosoftDynamicsCRM2011"/>
      <w:bookmarkStart w:id="1364" w:name="Srv_67MicrosoftDynamicsCRM2011"/>
      <w:bookmarkStart w:id="1365" w:name="_Toc342900373"/>
      <w:bookmarkEnd w:id="1361"/>
      <w:bookmarkEnd w:id="1362"/>
      <w:bookmarkEnd w:id="1363"/>
      <w:bookmarkEnd w:id="1364"/>
      <w:r w:rsidRPr="00D87B79">
        <w:rPr>
          <w:rFonts w:ascii="Tahoma" w:hAnsi="Tahoma" w:cs="Tahoma"/>
          <w:color w:val="F66400"/>
          <w:sz w:val="22"/>
          <w:vertAlign w:val="superscript"/>
          <w:lang w:val="it-IT"/>
        </w:rPr>
        <w:t>63</w:t>
      </w:r>
      <w:r w:rsidRPr="00D87B79">
        <w:rPr>
          <w:rFonts w:ascii="Tahoma" w:hAnsi="Tahoma" w:cs="Tahoma"/>
          <w:color w:val="F66400"/>
          <w:sz w:val="22"/>
          <w:lang w:val="it-IT"/>
        </w:rPr>
        <w:t xml:space="preserve"> Microsoft Dynamics AX 2012</w:t>
      </w:r>
      <w:bookmarkEnd w:id="1365"/>
    </w:p>
    <w:p w:rsidR="00A92422" w:rsidRPr="00D87B79" w:rsidRDefault="00A92422" w:rsidP="00A92422">
      <w:pPr>
        <w:rPr>
          <w:rFonts w:cs="Tahoma"/>
        </w:rPr>
      </w:pPr>
    </w:p>
    <w:p w:rsidR="00A92422" w:rsidRPr="00D87B79" w:rsidRDefault="00A92422" w:rsidP="00A92422">
      <w:pPr>
        <w:spacing w:after="60"/>
        <w:ind w:left="734" w:hanging="14"/>
        <w:rPr>
          <w:rFonts w:cs="Tahoma"/>
        </w:rPr>
      </w:pPr>
      <w:r w:rsidRPr="00D87B79">
        <w:rPr>
          <w:rFonts w:cs="Tahoma"/>
          <w:b/>
          <w:lang w:val="it-IT"/>
        </w:rPr>
        <w:t>Localizzazioni e Traduzioni</w:t>
      </w:r>
    </w:p>
    <w:p w:rsidR="00A92422" w:rsidRPr="00D87B79" w:rsidRDefault="00A92422" w:rsidP="00A92422">
      <w:pPr>
        <w:ind w:left="734" w:hanging="14"/>
        <w:rPr>
          <w:rFonts w:cs="Tahoma"/>
        </w:rPr>
      </w:pPr>
      <w:r w:rsidRPr="00D87B79">
        <w:rPr>
          <w:rFonts w:cs="Tahoma"/>
          <w:color w:val="000000"/>
          <w:szCs w:val="20"/>
          <w:lang w:val="it-IT"/>
        </w:rPr>
        <w:t>Microsoft Dynamics AX è localizzato, tradotto e supportato da Microsoft, nonché reso disponibile al pubblico in determinati paesi e lingue.</w:t>
      </w:r>
      <w:r w:rsidRPr="00D87B79">
        <w:rPr>
          <w:rFonts w:cs="Tahoma"/>
        </w:rPr>
        <w:t xml:space="preserve"> </w:t>
      </w:r>
      <w:r w:rsidRPr="00D87B79">
        <w:rPr>
          <w:rFonts w:cs="Tahoma"/>
          <w:color w:val="000000"/>
          <w:lang w:val="it-IT"/>
        </w:rPr>
        <w:t xml:space="preserve">Informazioni sulla disponibilità di traduzioni e localizzazioni Microsoft sono reperibili alla pagina </w:t>
      </w:r>
      <w:hyperlink r:id="rId36" w:history="1">
        <w:r w:rsidRPr="00D87B79">
          <w:rPr>
            <w:rFonts w:cs="Tahoma"/>
            <w:color w:val="000000"/>
            <w:lang w:val="it-IT"/>
          </w:rPr>
          <w:t>http://www.microsoft.com/en-us/dynamics/erp-explore-ax-capabilities.aspx</w:t>
        </w:r>
      </w:hyperlink>
      <w:r w:rsidRPr="00D87B79">
        <w:rPr>
          <w:rFonts w:cs="Tahoma"/>
          <w:color w:val="000000"/>
          <w:lang w:val="it-IT"/>
        </w:rPr>
        <w:t>.</w:t>
      </w:r>
    </w:p>
    <w:p w:rsidR="00A92422" w:rsidRPr="00D87B79" w:rsidRDefault="00A92422" w:rsidP="00A92422">
      <w:pPr>
        <w:ind w:left="720"/>
        <w:rPr>
          <w:rFonts w:cs="Tahoma"/>
        </w:rPr>
      </w:pPr>
    </w:p>
    <w:p w:rsidR="00A92422" w:rsidRPr="00D87B79" w:rsidRDefault="00A92422" w:rsidP="00A92422">
      <w:pPr>
        <w:pStyle w:val="PURBody-Indented"/>
        <w:spacing w:after="0"/>
        <w:ind w:left="720"/>
        <w:rPr>
          <w:rFonts w:ascii="Tahoma" w:hAnsi="Tahoma" w:cs="Tahoma"/>
        </w:rPr>
      </w:pPr>
      <w:r w:rsidRPr="00D87B79">
        <w:rPr>
          <w:rFonts w:ascii="Tahoma" w:hAnsi="Tahoma" w:cs="Tahoma"/>
          <w:color w:val="000000"/>
          <w:sz w:val="18"/>
          <w:lang w:val="it-IT"/>
        </w:rPr>
        <w:t>Microsoft comprende che in talune circostanze la società desideri utilizzare determinati moduli o funzionalità,</w:t>
      </w:r>
      <w:r>
        <w:rPr>
          <w:rFonts w:ascii="Tahoma" w:hAnsi="Tahoma" w:cs="Tahoma"/>
          <w:color w:val="000000"/>
          <w:sz w:val="18"/>
          <w:lang w:val="it-IT"/>
        </w:rPr>
        <w:t> </w:t>
      </w:r>
      <w:r w:rsidRPr="00D87B79">
        <w:rPr>
          <w:rFonts w:ascii="Tahoma" w:hAnsi="Tahoma" w:cs="Tahoma"/>
          <w:color w:val="000000"/>
          <w:sz w:val="18"/>
          <w:lang w:val="it-IT"/>
        </w:rPr>
        <w:t>localizzati e/o tradotti per uno specifico Paese, al di fuori di esso.</w:t>
      </w:r>
      <w:r w:rsidRPr="00D87B79">
        <w:rPr>
          <w:rFonts w:ascii="Tahoma" w:hAnsi="Tahoma" w:cs="Tahoma"/>
          <w:color w:val="000000"/>
          <w:sz w:val="18"/>
        </w:rPr>
        <w:t xml:space="preserve"> </w:t>
      </w:r>
      <w:r w:rsidRPr="00D87B79">
        <w:rPr>
          <w:rFonts w:ascii="Tahoma" w:hAnsi="Tahoma" w:cs="Tahoma"/>
          <w:color w:val="000000"/>
          <w:sz w:val="18"/>
          <w:lang w:val="it-IT"/>
        </w:rPr>
        <w:t xml:space="preserve">Poiché leggi e regolamenti </w:t>
      </w:r>
      <w:r w:rsidRPr="00D87B79">
        <w:rPr>
          <w:rFonts w:ascii="Tahoma" w:hAnsi="Tahoma" w:cs="Tahoma"/>
          <w:color w:val="000000"/>
          <w:sz w:val="18"/>
          <w:lang w:val="it-IT"/>
        </w:rPr>
        <w:lastRenderedPageBreak/>
        <w:t>variano da Paese a Paese, le differenze normative potrebbero influire sull'utilizzo della funzionalità desiderata in Paesi per i quali non è stata creata.</w:t>
      </w:r>
      <w:r w:rsidRPr="00D87B79">
        <w:rPr>
          <w:rFonts w:ascii="Tahoma" w:hAnsi="Tahoma" w:cs="Tahoma"/>
          <w:color w:val="000000"/>
          <w:sz w:val="18"/>
        </w:rPr>
        <w:t xml:space="preserve"> </w:t>
      </w:r>
      <w:r w:rsidRPr="00D87B79">
        <w:rPr>
          <w:rFonts w:ascii="Tahoma" w:hAnsi="Tahoma" w:cs="Tahoma"/>
          <w:color w:val="000000"/>
          <w:sz w:val="18"/>
          <w:lang w:val="it-IT"/>
        </w:rPr>
        <w:t>Microsoft non fornisce alcuna dichiarazione o garanzia (espressa, implicita o altro) né assicurazione sulle prestazioni o sull'idoneità di qualsiasi versione localizzata e/o tradotta del software (inclusi i servizi online disponibili tramite tale software) utilizzato al di fuori del territorio per il quale è stato creato e in cui Microsoft normalmente commercializza tali software e servizi.</w:t>
      </w:r>
      <w:r w:rsidRPr="00D87B79">
        <w:rPr>
          <w:rFonts w:ascii="Tahoma" w:hAnsi="Tahoma" w:cs="Tahoma"/>
        </w:rPr>
        <w:t xml:space="preserve"> </w:t>
      </w:r>
      <w:r w:rsidRPr="00D87B79">
        <w:rPr>
          <w:rFonts w:ascii="Tahoma" w:hAnsi="Tahoma" w:cs="Tahoma"/>
          <w:color w:val="000000"/>
          <w:sz w:val="18"/>
          <w:lang w:val="it-IT"/>
        </w:rPr>
        <w:t>Verificare con un esperto locale in materia fiscale se sia opportuno utilizzare in tale Paese la funzionalità del</w:t>
      </w:r>
      <w:r>
        <w:rPr>
          <w:rFonts w:ascii="Tahoma" w:hAnsi="Tahoma" w:cs="Tahoma"/>
          <w:color w:val="000000"/>
          <w:sz w:val="18"/>
          <w:lang w:val="it-IT"/>
        </w:rPr>
        <w:t> </w:t>
      </w:r>
      <w:r w:rsidRPr="00D87B79">
        <w:rPr>
          <w:rFonts w:ascii="Tahoma" w:hAnsi="Tahoma" w:cs="Tahoma"/>
          <w:color w:val="000000"/>
          <w:sz w:val="18"/>
          <w:lang w:val="it-IT"/>
        </w:rPr>
        <w:t>software desiderata.</w:t>
      </w:r>
    </w:p>
    <w:p w:rsidR="00A92422" w:rsidRPr="00D87B79" w:rsidRDefault="00A92422" w:rsidP="00A92422">
      <w:pPr>
        <w:ind w:left="720" w:hanging="180"/>
        <w:rPr>
          <w:rFonts w:cs="Tahoma"/>
        </w:rPr>
      </w:pPr>
    </w:p>
    <w:p w:rsidR="00A92422" w:rsidRPr="00D87B79" w:rsidRDefault="00A92422" w:rsidP="00A92422">
      <w:pPr>
        <w:spacing w:after="60"/>
        <w:ind w:left="734" w:hanging="187"/>
        <w:rPr>
          <w:rFonts w:cs="Tahoma"/>
        </w:rPr>
      </w:pPr>
      <w:r w:rsidRPr="00D87B79">
        <w:rPr>
          <w:rFonts w:cs="Tahoma"/>
          <w:b/>
          <w:lang w:val="it-IT"/>
        </w:rPr>
        <w:t>Diritti sull’Utilizzo delle Licenze CAL</w:t>
      </w:r>
    </w:p>
    <w:p w:rsidR="00A92422" w:rsidRPr="00D87B79" w:rsidRDefault="00A92422" w:rsidP="00A92422">
      <w:pPr>
        <w:ind w:left="540"/>
        <w:rPr>
          <w:rFonts w:cs="Tahoma"/>
        </w:rPr>
      </w:pPr>
      <w:r w:rsidRPr="00D87B79">
        <w:rPr>
          <w:rFonts w:cs="Tahoma"/>
          <w:lang w:val="it-IT"/>
        </w:rPr>
        <w:t>Gli utilizzi autorizzati ai sensi delle diverse licenze CAL p</w:t>
      </w:r>
      <w:r>
        <w:rPr>
          <w:rFonts w:cs="Tahoma"/>
          <w:lang w:val="it-IT"/>
        </w:rPr>
        <w:t>er Microsoft Dynamics AX 2012</w:t>
      </w:r>
      <w:r w:rsidRPr="00D87B79">
        <w:rPr>
          <w:rFonts w:cs="Tahoma"/>
          <w:lang w:val="it-IT"/>
        </w:rPr>
        <w:t xml:space="preserve"> sono delineati nella</w:t>
      </w:r>
      <w:r>
        <w:rPr>
          <w:rFonts w:cs="Tahoma"/>
          <w:lang w:val="it-IT"/>
        </w:rPr>
        <w:t> </w:t>
      </w:r>
      <w:r w:rsidRPr="00D87B79">
        <w:rPr>
          <w:rFonts w:cs="Tahoma"/>
          <w:lang w:val="it-IT"/>
        </w:rPr>
        <w:t>seguente tabella:</w:t>
      </w:r>
    </w:p>
    <w:p w:rsidR="00A92422" w:rsidRPr="00D87B79" w:rsidRDefault="00A92422" w:rsidP="00A92422">
      <w:pPr>
        <w:ind w:firstLine="540"/>
        <w:rPr>
          <w:rFonts w:cs="Tahoma"/>
        </w:rPr>
      </w:pPr>
    </w:p>
    <w:p w:rsidR="00A92422" w:rsidRPr="00D87B79" w:rsidRDefault="00A92422" w:rsidP="00A92422">
      <w:pPr>
        <w:numPr>
          <w:ilvl w:val="1"/>
          <w:numId w:val="38"/>
        </w:numPr>
        <w:tabs>
          <w:tab w:val="clear" w:pos="1440"/>
          <w:tab w:val="num" w:pos="900"/>
        </w:tabs>
        <w:autoSpaceDE w:val="0"/>
        <w:autoSpaceDN w:val="0"/>
        <w:adjustRightInd w:val="0"/>
        <w:ind w:left="900" w:right="720"/>
        <w:rPr>
          <w:rFonts w:cs="Tahoma"/>
        </w:rPr>
      </w:pPr>
      <w:r w:rsidRPr="00D87B79">
        <w:rPr>
          <w:rFonts w:cs="Tahoma"/>
          <w:b/>
          <w:lang w:val="it-IT"/>
        </w:rPr>
        <w:t>Self-Serve CAL (CAL Base)</w:t>
      </w:r>
    </w:p>
    <w:p w:rsidR="00A92422" w:rsidRPr="00D87B79" w:rsidRDefault="00A92422" w:rsidP="00A92422">
      <w:pPr>
        <w:numPr>
          <w:ilvl w:val="1"/>
          <w:numId w:val="105"/>
        </w:numPr>
        <w:tabs>
          <w:tab w:val="left" w:pos="1260"/>
        </w:tabs>
        <w:autoSpaceDE w:val="0"/>
        <w:autoSpaceDN w:val="0"/>
        <w:adjustRightInd w:val="0"/>
        <w:ind w:left="1260" w:right="720" w:hanging="360"/>
        <w:rPr>
          <w:rFonts w:cs="Tahoma"/>
        </w:rPr>
      </w:pPr>
      <w:r w:rsidRPr="00D87B79">
        <w:rPr>
          <w:rFonts w:cs="Tahoma"/>
          <w:lang w:val="it-IT"/>
        </w:rPr>
        <w:t>creazione di note spese;</w:t>
      </w:r>
    </w:p>
    <w:p w:rsidR="00A92422" w:rsidRPr="00D87B79" w:rsidRDefault="00A92422" w:rsidP="00A92422">
      <w:pPr>
        <w:numPr>
          <w:ilvl w:val="1"/>
          <w:numId w:val="105"/>
        </w:numPr>
        <w:tabs>
          <w:tab w:val="left" w:pos="1260"/>
        </w:tabs>
        <w:autoSpaceDE w:val="0"/>
        <w:autoSpaceDN w:val="0"/>
        <w:adjustRightInd w:val="0"/>
        <w:ind w:left="1260" w:right="720" w:hanging="360"/>
        <w:rPr>
          <w:rFonts w:cs="Tahoma"/>
        </w:rPr>
      </w:pPr>
      <w:r w:rsidRPr="00D87B79">
        <w:rPr>
          <w:rFonts w:cs="Tahoma"/>
          <w:lang w:val="it-IT"/>
        </w:rPr>
        <w:t>gestione di dati personali, ad esempio le iscrizioni ai vantaggi;</w:t>
      </w:r>
    </w:p>
    <w:p w:rsidR="00A92422" w:rsidRPr="00FB5C09" w:rsidRDefault="00A92422" w:rsidP="00A92422">
      <w:pPr>
        <w:numPr>
          <w:ilvl w:val="1"/>
          <w:numId w:val="105"/>
        </w:numPr>
        <w:tabs>
          <w:tab w:val="left" w:pos="1260"/>
          <w:tab w:val="left" w:pos="9000"/>
          <w:tab w:val="left" w:pos="9360"/>
        </w:tabs>
        <w:autoSpaceDE w:val="0"/>
        <w:autoSpaceDN w:val="0"/>
        <w:adjustRightInd w:val="0"/>
        <w:ind w:left="1260" w:right="450" w:hanging="360"/>
        <w:rPr>
          <w:rFonts w:cs="Tahoma"/>
          <w:spacing w:val="-4"/>
        </w:rPr>
      </w:pPr>
      <w:r w:rsidRPr="00FB5C09">
        <w:rPr>
          <w:rFonts w:cs="Tahoma"/>
          <w:spacing w:val="-4"/>
          <w:lang w:val="it-IT"/>
        </w:rPr>
        <w:t>creazione di voci relative a orari e presenze, ad esempio registrazione delle ore di entrata e di uscita;</w:t>
      </w:r>
    </w:p>
    <w:p w:rsidR="00A92422" w:rsidRPr="00D87B79" w:rsidRDefault="00A92422" w:rsidP="00A92422">
      <w:pPr>
        <w:numPr>
          <w:ilvl w:val="1"/>
          <w:numId w:val="105"/>
        </w:numPr>
        <w:tabs>
          <w:tab w:val="left" w:pos="1260"/>
        </w:tabs>
        <w:autoSpaceDE w:val="0"/>
        <w:autoSpaceDN w:val="0"/>
        <w:adjustRightInd w:val="0"/>
        <w:ind w:left="1260" w:right="720" w:hanging="360"/>
        <w:rPr>
          <w:rFonts w:cs="Tahoma"/>
        </w:rPr>
      </w:pPr>
      <w:r w:rsidRPr="00D87B79">
        <w:rPr>
          <w:rFonts w:cs="Tahoma"/>
          <w:lang w:val="it-IT"/>
        </w:rPr>
        <w:t>inserimento di richieste di servizio dei dipendenti;</w:t>
      </w:r>
    </w:p>
    <w:p w:rsidR="00A92422" w:rsidRPr="003D7C45" w:rsidRDefault="00A92422" w:rsidP="00A92422">
      <w:pPr>
        <w:numPr>
          <w:ilvl w:val="1"/>
          <w:numId w:val="105"/>
        </w:numPr>
        <w:tabs>
          <w:tab w:val="left" w:pos="1260"/>
        </w:tabs>
        <w:autoSpaceDE w:val="0"/>
        <w:autoSpaceDN w:val="0"/>
        <w:adjustRightInd w:val="0"/>
        <w:ind w:left="1260" w:right="90" w:hanging="360"/>
        <w:rPr>
          <w:rFonts w:cs="Tahoma"/>
          <w:spacing w:val="-4"/>
        </w:rPr>
      </w:pPr>
      <w:r w:rsidRPr="00FB5C09">
        <w:rPr>
          <w:rFonts w:cs="Tahoma"/>
          <w:spacing w:val="-4"/>
          <w:lang w:val="it-IT"/>
        </w:rPr>
        <w:t>preparazione di richieste indirette di approvvigionamento di prodotti o servizi per l’utente-dipendente, ad esempio viaggi, attrezzatura per l’ufficio, cancelleria e/o e di richieste di aggiunta o iscrizione di fornitori.</w:t>
      </w:r>
    </w:p>
    <w:p w:rsidR="00A92422" w:rsidRPr="00FB5C09" w:rsidRDefault="00A92422" w:rsidP="00A92422">
      <w:pPr>
        <w:tabs>
          <w:tab w:val="left" w:pos="1260"/>
        </w:tabs>
        <w:autoSpaceDE w:val="0"/>
        <w:autoSpaceDN w:val="0"/>
        <w:adjustRightInd w:val="0"/>
        <w:ind w:left="1260" w:right="90"/>
        <w:rPr>
          <w:rFonts w:cs="Tahoma"/>
          <w:spacing w:val="-4"/>
        </w:rPr>
      </w:pPr>
    </w:p>
    <w:p w:rsidR="00A92422" w:rsidRPr="00D87B79" w:rsidRDefault="00A92422" w:rsidP="00A92422">
      <w:pPr>
        <w:numPr>
          <w:ilvl w:val="0"/>
          <w:numId w:val="105"/>
        </w:numPr>
        <w:autoSpaceDE w:val="0"/>
        <w:autoSpaceDN w:val="0"/>
        <w:adjustRightInd w:val="0"/>
        <w:ind w:left="907" w:right="720"/>
        <w:rPr>
          <w:rFonts w:cs="Tahoma"/>
        </w:rPr>
      </w:pPr>
      <w:r w:rsidRPr="00D87B79">
        <w:rPr>
          <w:rFonts w:cs="Tahoma"/>
          <w:b/>
          <w:lang w:val="it-IT"/>
        </w:rPr>
        <w:t>Task CAL (Self-Serve CAL + Task Additive CAL)</w:t>
      </w:r>
    </w:p>
    <w:p w:rsidR="00A92422" w:rsidRPr="00D87B79" w:rsidRDefault="00A92422" w:rsidP="00A92422">
      <w:pPr>
        <w:numPr>
          <w:ilvl w:val="1"/>
          <w:numId w:val="105"/>
        </w:numPr>
        <w:ind w:left="1260" w:right="720" w:hanging="360"/>
        <w:rPr>
          <w:rFonts w:cs="Tahoma"/>
        </w:rPr>
      </w:pPr>
      <w:r w:rsidRPr="00D87B79">
        <w:rPr>
          <w:rFonts w:cs="Tahoma"/>
          <w:lang w:val="it-IT"/>
        </w:rPr>
        <w:t>inclusione dei diritti sull’utilizzo di Self-Serve CAL</w:t>
      </w:r>
    </w:p>
    <w:p w:rsidR="00A92422" w:rsidRPr="00D87B79" w:rsidRDefault="00A92422" w:rsidP="00A92422">
      <w:pPr>
        <w:numPr>
          <w:ilvl w:val="1"/>
          <w:numId w:val="105"/>
        </w:numPr>
        <w:ind w:left="1260" w:right="720" w:hanging="360"/>
        <w:rPr>
          <w:rFonts w:cs="Tahoma"/>
        </w:rPr>
      </w:pPr>
      <w:r w:rsidRPr="00D87B79">
        <w:rPr>
          <w:rFonts w:cs="Tahoma"/>
          <w:lang w:val="it-IT"/>
        </w:rPr>
        <w:t>inserimento del tempo fatturabile;</w:t>
      </w:r>
    </w:p>
    <w:p w:rsidR="00A92422" w:rsidRPr="00D87B79" w:rsidRDefault="00A92422" w:rsidP="00A92422">
      <w:pPr>
        <w:numPr>
          <w:ilvl w:val="1"/>
          <w:numId w:val="105"/>
        </w:numPr>
        <w:ind w:left="1260" w:right="720" w:hanging="360"/>
        <w:rPr>
          <w:rFonts w:cs="Tahoma"/>
        </w:rPr>
      </w:pPr>
      <w:r w:rsidRPr="00D87B79">
        <w:rPr>
          <w:rFonts w:cs="Tahoma"/>
          <w:lang w:val="it-IT"/>
        </w:rPr>
        <w:t>inserimento delle spese fatturabili;</w:t>
      </w:r>
    </w:p>
    <w:p w:rsidR="00A92422" w:rsidRPr="00D87B79" w:rsidRDefault="00A92422" w:rsidP="00A92422">
      <w:pPr>
        <w:numPr>
          <w:ilvl w:val="1"/>
          <w:numId w:val="105"/>
        </w:numPr>
        <w:ind w:left="1260" w:right="720" w:hanging="360"/>
        <w:rPr>
          <w:rFonts w:cs="Tahoma"/>
        </w:rPr>
      </w:pPr>
      <w:r w:rsidRPr="00D87B79">
        <w:rPr>
          <w:rFonts w:cs="Tahoma"/>
          <w:lang w:val="it-IT"/>
        </w:rPr>
        <w:t>gestione delle revisioni annuali e delle prestazioni, della definizione degli obiettivi e delle competenze;</w:t>
      </w:r>
    </w:p>
    <w:p w:rsidR="00A92422" w:rsidRPr="00D87B79" w:rsidRDefault="00A92422" w:rsidP="00A92422">
      <w:pPr>
        <w:numPr>
          <w:ilvl w:val="1"/>
          <w:numId w:val="105"/>
        </w:numPr>
        <w:ind w:left="1260" w:right="720" w:hanging="360"/>
        <w:rPr>
          <w:rFonts w:cs="Tahoma"/>
        </w:rPr>
      </w:pPr>
      <w:r w:rsidRPr="00D87B79">
        <w:rPr>
          <w:rFonts w:cs="Tahoma"/>
          <w:lang w:val="it-IT"/>
        </w:rPr>
        <w:t>funzionamento di un dispositivo per punto di vendita al dettaglio;</w:t>
      </w:r>
    </w:p>
    <w:p w:rsidR="00A92422" w:rsidRPr="00D87B79" w:rsidRDefault="00A92422" w:rsidP="00A92422">
      <w:pPr>
        <w:numPr>
          <w:ilvl w:val="1"/>
          <w:numId w:val="105"/>
        </w:numPr>
        <w:ind w:left="1260" w:right="720" w:hanging="360"/>
        <w:rPr>
          <w:rFonts w:cs="Tahoma"/>
        </w:rPr>
      </w:pPr>
      <w:r w:rsidRPr="00D87B79">
        <w:rPr>
          <w:rFonts w:cs="Tahoma"/>
          <w:lang w:val="it-IT"/>
        </w:rPr>
        <w:t>approvazione di fatture relative all’approvvigionamento indiretto e</w:t>
      </w:r>
    </w:p>
    <w:p w:rsidR="00A92422" w:rsidRPr="00D87B79" w:rsidRDefault="00A92422" w:rsidP="00A92422">
      <w:pPr>
        <w:numPr>
          <w:ilvl w:val="1"/>
          <w:numId w:val="105"/>
        </w:numPr>
        <w:ind w:left="1260" w:right="720" w:hanging="360"/>
        <w:rPr>
          <w:rFonts w:cs="Tahoma"/>
        </w:rPr>
      </w:pPr>
      <w:r w:rsidRPr="00D87B79">
        <w:rPr>
          <w:rFonts w:cs="Tahoma"/>
          <w:lang w:val="it-IT"/>
        </w:rPr>
        <w:t>gli utenti in possesso di Task CAL non possono eseguire le approvazioni del flusso di lavoro.</w:t>
      </w:r>
      <w:r w:rsidRPr="00D87B79">
        <w:rPr>
          <w:rFonts w:cs="Tahoma"/>
        </w:rPr>
        <w:t xml:space="preserve"> </w:t>
      </w:r>
    </w:p>
    <w:p w:rsidR="00A92422" w:rsidRPr="00D87B79" w:rsidRDefault="00A92422" w:rsidP="00A92422">
      <w:pPr>
        <w:autoSpaceDE w:val="0"/>
        <w:autoSpaceDN w:val="0"/>
        <w:adjustRightInd w:val="0"/>
        <w:ind w:left="1260" w:right="720"/>
        <w:rPr>
          <w:rFonts w:cs="Tahoma"/>
        </w:rPr>
      </w:pPr>
    </w:p>
    <w:p w:rsidR="00A92422" w:rsidRPr="00D87B79" w:rsidRDefault="00A92422" w:rsidP="00A92422">
      <w:pPr>
        <w:numPr>
          <w:ilvl w:val="0"/>
          <w:numId w:val="105"/>
        </w:numPr>
        <w:ind w:left="900" w:right="720"/>
        <w:rPr>
          <w:rFonts w:cs="Tahoma"/>
        </w:rPr>
      </w:pPr>
      <w:r w:rsidRPr="00D87B79">
        <w:rPr>
          <w:rFonts w:cs="Tahoma"/>
          <w:b/>
          <w:lang w:val="it-IT"/>
        </w:rPr>
        <w:t>Functional CAL (Task CAL + Functional Additive CAL)</w:t>
      </w:r>
    </w:p>
    <w:p w:rsidR="00A92422" w:rsidRPr="00D87B79" w:rsidRDefault="00A92422" w:rsidP="00A92422">
      <w:pPr>
        <w:numPr>
          <w:ilvl w:val="1"/>
          <w:numId w:val="105"/>
        </w:numPr>
        <w:ind w:left="1260" w:right="720" w:hanging="360"/>
        <w:rPr>
          <w:rFonts w:cs="Tahoma"/>
        </w:rPr>
      </w:pPr>
      <w:r w:rsidRPr="00D87B79">
        <w:rPr>
          <w:rFonts w:cs="Tahoma"/>
          <w:lang w:val="it-IT"/>
        </w:rPr>
        <w:t>inclusione dei diritti sull’utilizzo di Task CAL</w:t>
      </w:r>
    </w:p>
    <w:p w:rsidR="00A92422" w:rsidRPr="00D87B79" w:rsidRDefault="00A92422" w:rsidP="00A92422">
      <w:pPr>
        <w:numPr>
          <w:ilvl w:val="1"/>
          <w:numId w:val="105"/>
        </w:numPr>
        <w:ind w:left="1260" w:right="720" w:hanging="360"/>
        <w:rPr>
          <w:rFonts w:cs="Tahoma"/>
        </w:rPr>
      </w:pPr>
      <w:r w:rsidRPr="00D87B79">
        <w:rPr>
          <w:rFonts w:cs="Tahoma"/>
          <w:lang w:val="it-IT"/>
        </w:rPr>
        <w:t>gestione di uno Shop Floor in un ciclo di produzione o fabbricazione;</w:t>
      </w:r>
    </w:p>
    <w:p w:rsidR="00A92422" w:rsidRPr="00D87B79" w:rsidRDefault="00A92422" w:rsidP="00A92422">
      <w:pPr>
        <w:numPr>
          <w:ilvl w:val="1"/>
          <w:numId w:val="105"/>
        </w:numPr>
        <w:ind w:left="1260" w:right="720" w:hanging="360"/>
        <w:rPr>
          <w:rFonts w:cs="Tahoma"/>
        </w:rPr>
      </w:pPr>
      <w:r w:rsidRPr="00D87B79">
        <w:rPr>
          <w:rFonts w:cs="Tahoma"/>
          <w:lang w:val="it-IT"/>
        </w:rPr>
        <w:t>gestione di progetti e risorse;</w:t>
      </w:r>
    </w:p>
    <w:p w:rsidR="00A92422" w:rsidRPr="00D87B79" w:rsidRDefault="00A92422" w:rsidP="00A92422">
      <w:pPr>
        <w:numPr>
          <w:ilvl w:val="1"/>
          <w:numId w:val="105"/>
        </w:numPr>
        <w:ind w:left="1260" w:right="720" w:hanging="360"/>
        <w:rPr>
          <w:rFonts w:cs="Tahoma"/>
        </w:rPr>
      </w:pPr>
      <w:r w:rsidRPr="00D87B79">
        <w:rPr>
          <w:rFonts w:cs="Tahoma"/>
          <w:lang w:val="it-IT"/>
        </w:rPr>
        <w:t>gestione di cicli di risorse umane;</w:t>
      </w:r>
    </w:p>
    <w:p w:rsidR="00A92422" w:rsidRPr="00D87B79" w:rsidRDefault="00A92422" w:rsidP="00A92422">
      <w:pPr>
        <w:numPr>
          <w:ilvl w:val="1"/>
          <w:numId w:val="105"/>
        </w:numPr>
        <w:ind w:left="1260" w:right="720" w:hanging="360"/>
        <w:rPr>
          <w:rFonts w:cs="Tahoma"/>
        </w:rPr>
      </w:pPr>
      <w:r w:rsidRPr="00D87B79">
        <w:rPr>
          <w:rFonts w:cs="Tahoma"/>
          <w:lang w:val="it-IT"/>
        </w:rPr>
        <w:t>gestione di trasferimenti di budget e richieste organizzative;</w:t>
      </w:r>
    </w:p>
    <w:p w:rsidR="00A92422" w:rsidRPr="00D87B79" w:rsidRDefault="00A92422" w:rsidP="00A92422">
      <w:pPr>
        <w:numPr>
          <w:ilvl w:val="1"/>
          <w:numId w:val="105"/>
        </w:numPr>
        <w:ind w:left="1260" w:right="720" w:hanging="360"/>
        <w:rPr>
          <w:rFonts w:cs="Tahoma"/>
        </w:rPr>
      </w:pPr>
      <w:r w:rsidRPr="00D87B79">
        <w:rPr>
          <w:rFonts w:cs="Tahoma"/>
          <w:lang w:val="it-IT"/>
        </w:rPr>
        <w:t>creazione di record di dati master per candidati o impiegati;</w:t>
      </w:r>
    </w:p>
    <w:p w:rsidR="00A92422" w:rsidRPr="00D87B79" w:rsidRDefault="00A92422" w:rsidP="00A92422">
      <w:pPr>
        <w:numPr>
          <w:ilvl w:val="1"/>
          <w:numId w:val="105"/>
        </w:numPr>
        <w:ind w:left="1260" w:right="720" w:hanging="360"/>
        <w:rPr>
          <w:rFonts w:cs="Tahoma"/>
        </w:rPr>
      </w:pPr>
      <w:r w:rsidRPr="00D87B79">
        <w:rPr>
          <w:rFonts w:cs="Tahoma"/>
          <w:lang w:val="it-IT"/>
        </w:rPr>
        <w:t>creazione di richieste di copertura di mansioni o posizioni;</w:t>
      </w:r>
      <w:r w:rsidRPr="00D87B79">
        <w:rPr>
          <w:rFonts w:cs="Tahoma"/>
        </w:rPr>
        <w:t xml:space="preserve"> </w:t>
      </w:r>
    </w:p>
    <w:p w:rsidR="00A92422" w:rsidRPr="00D87B79" w:rsidRDefault="00A92422" w:rsidP="00A92422">
      <w:pPr>
        <w:numPr>
          <w:ilvl w:val="1"/>
          <w:numId w:val="105"/>
        </w:numPr>
        <w:ind w:left="1260" w:right="720" w:hanging="360"/>
        <w:rPr>
          <w:rFonts w:cs="Tahoma"/>
        </w:rPr>
      </w:pPr>
      <w:r w:rsidRPr="00D87B79">
        <w:rPr>
          <w:rFonts w:cs="Tahoma"/>
          <w:lang w:val="it-IT"/>
        </w:rPr>
        <w:t>escalation o richiesta di approvazioni di fatture relative a clienti;</w:t>
      </w:r>
      <w:r w:rsidRPr="00D87B79">
        <w:rPr>
          <w:rFonts w:cs="Tahoma"/>
        </w:rPr>
        <w:t xml:space="preserve"> </w:t>
      </w:r>
    </w:p>
    <w:p w:rsidR="00A92422" w:rsidRPr="00D87B79" w:rsidRDefault="00A92422" w:rsidP="00A92422">
      <w:pPr>
        <w:numPr>
          <w:ilvl w:val="1"/>
          <w:numId w:val="105"/>
        </w:numPr>
        <w:ind w:left="1260" w:right="720" w:hanging="360"/>
        <w:rPr>
          <w:rFonts w:cs="Tahoma"/>
        </w:rPr>
      </w:pPr>
      <w:r w:rsidRPr="00D87B79">
        <w:rPr>
          <w:rFonts w:cs="Tahoma"/>
          <w:lang w:val="it-IT"/>
        </w:rPr>
        <w:t>approvazione di fatture fornitori o giustificativi per servizi resi;</w:t>
      </w:r>
    </w:p>
    <w:p w:rsidR="00A92422" w:rsidRPr="00D87B79" w:rsidRDefault="00A92422" w:rsidP="00A92422">
      <w:pPr>
        <w:numPr>
          <w:ilvl w:val="1"/>
          <w:numId w:val="105"/>
        </w:numPr>
        <w:ind w:left="1458" w:right="720" w:hanging="558"/>
        <w:rPr>
          <w:rFonts w:cs="Tahoma"/>
        </w:rPr>
      </w:pPr>
      <w:r w:rsidRPr="00D87B79">
        <w:rPr>
          <w:rFonts w:cs="Tahoma"/>
          <w:lang w:val="it-IT"/>
        </w:rPr>
        <w:t>creazione e gestione di record di dati master relativi a società, fornitori, inventario o cataloghi di prodotti e/o</w:t>
      </w:r>
    </w:p>
    <w:p w:rsidR="00A92422" w:rsidRPr="00D87B79" w:rsidRDefault="00A92422" w:rsidP="00A92422">
      <w:pPr>
        <w:numPr>
          <w:ilvl w:val="1"/>
          <w:numId w:val="105"/>
        </w:numPr>
        <w:ind w:left="1260" w:right="720" w:hanging="360"/>
        <w:rPr>
          <w:rFonts w:cs="Tahoma"/>
        </w:rPr>
      </w:pPr>
      <w:r w:rsidRPr="00D87B79">
        <w:rPr>
          <w:rFonts w:cs="Tahoma"/>
          <w:lang w:val="it-IT"/>
        </w:rPr>
        <w:t>approvazione di richieste di utenti in possesso di Self-Serve CAL o Task CAL.</w:t>
      </w:r>
    </w:p>
    <w:p w:rsidR="00A92422" w:rsidRPr="00D87B79" w:rsidRDefault="00A92422" w:rsidP="00A92422">
      <w:pPr>
        <w:numPr>
          <w:ilvl w:val="0"/>
          <w:numId w:val="105"/>
        </w:numPr>
        <w:ind w:left="900" w:right="720"/>
        <w:rPr>
          <w:rFonts w:cs="Tahoma"/>
        </w:rPr>
      </w:pPr>
      <w:r w:rsidRPr="00D87B79">
        <w:rPr>
          <w:rFonts w:cs="Tahoma"/>
          <w:b/>
          <w:lang w:val="it-IT"/>
        </w:rPr>
        <w:t>Enterprise CAL (Functional CAL + Enterprise Additive CAL)</w:t>
      </w:r>
    </w:p>
    <w:p w:rsidR="00A92422" w:rsidRPr="00D87B79" w:rsidRDefault="00A92422" w:rsidP="00A92422">
      <w:pPr>
        <w:numPr>
          <w:ilvl w:val="1"/>
          <w:numId w:val="105"/>
        </w:numPr>
        <w:ind w:left="1260" w:right="720" w:hanging="360"/>
        <w:rPr>
          <w:rFonts w:cs="Tahoma"/>
        </w:rPr>
      </w:pPr>
      <w:r w:rsidRPr="00D87B79">
        <w:rPr>
          <w:rFonts w:cs="Tahoma"/>
          <w:lang w:val="it-IT"/>
        </w:rPr>
        <w:t>Diritti di Utilizzo Completo</w:t>
      </w:r>
    </w:p>
    <w:p w:rsidR="00A92422" w:rsidRPr="00D87B79" w:rsidRDefault="00A92422" w:rsidP="00A92422">
      <w:pPr>
        <w:autoSpaceDE w:val="0"/>
        <w:autoSpaceDN w:val="0"/>
        <w:adjustRightInd w:val="0"/>
        <w:ind w:left="900" w:right="720"/>
        <w:rPr>
          <w:rFonts w:cs="Tahoma"/>
        </w:rPr>
      </w:pPr>
    </w:p>
    <w:p w:rsidR="00A92422" w:rsidRPr="00D87B79" w:rsidRDefault="00A92422" w:rsidP="00A92422">
      <w:pPr>
        <w:autoSpaceDE w:val="0"/>
        <w:autoSpaceDN w:val="0"/>
        <w:adjustRightInd w:val="0"/>
        <w:ind w:left="720" w:right="720"/>
        <w:rPr>
          <w:rFonts w:cs="Tahoma"/>
        </w:rPr>
      </w:pPr>
      <w:r w:rsidRPr="00D87B79">
        <w:rPr>
          <w:rFonts w:cs="Tahoma"/>
          <w:lang w:val="it-IT"/>
        </w:rPr>
        <w:t>Per una maggiore granularità e comprensione delle licenze CAL richieste fare riferimento alla Guida relativa alle Licenze p</w:t>
      </w:r>
      <w:r>
        <w:rPr>
          <w:rFonts w:cs="Tahoma"/>
          <w:lang w:val="it-IT"/>
        </w:rPr>
        <w:t>er Microsoft Dynamics AX 2012</w:t>
      </w:r>
      <w:r w:rsidRPr="00D87B79">
        <w:rPr>
          <w:rFonts w:cs="Tahoma"/>
          <w:lang w:val="it-IT"/>
        </w:rPr>
        <w:t xml:space="preserve"> di luglio 2012 disponibile sul sito </w:t>
      </w:r>
      <w:hyperlink r:id="rId37" w:history="1">
        <w:r w:rsidRPr="00D87B79">
          <w:rPr>
            <w:rStyle w:val="Hyperlink"/>
            <w:rFonts w:cs="Tahoma"/>
            <w:lang w:val="it-IT"/>
          </w:rPr>
          <w:t>www.microsoft.com</w:t>
        </w:r>
      </w:hyperlink>
      <w:r w:rsidRPr="00D87B79">
        <w:rPr>
          <w:rFonts w:cs="Tahoma"/>
          <w:lang w:val="it-IT"/>
        </w:rPr>
        <w:t>.</w:t>
      </w:r>
    </w:p>
    <w:p w:rsidR="00A92422" w:rsidRPr="00D87B79" w:rsidRDefault="00A92422" w:rsidP="00A92422">
      <w:pPr>
        <w:ind w:left="720" w:hanging="180"/>
        <w:rPr>
          <w:rFonts w:cs="Tahoma"/>
        </w:rPr>
      </w:pPr>
    </w:p>
    <w:p w:rsidR="00A92422" w:rsidRPr="00D87B79" w:rsidRDefault="00A92422" w:rsidP="00A92422">
      <w:pPr>
        <w:spacing w:after="60"/>
        <w:ind w:left="734" w:hanging="187"/>
        <w:rPr>
          <w:rFonts w:cs="Tahoma"/>
        </w:rPr>
      </w:pPr>
      <w:r w:rsidRPr="00D87B79">
        <w:rPr>
          <w:rFonts w:cs="Tahoma"/>
          <w:b/>
          <w:lang w:val="it-IT"/>
        </w:rPr>
        <w:t>Condizioni di Licenza Supplementari</w:t>
      </w:r>
    </w:p>
    <w:p w:rsidR="00A92422" w:rsidRPr="00162D08" w:rsidRDefault="00A92422" w:rsidP="00A92422">
      <w:pPr>
        <w:pStyle w:val="PURBody-Indented"/>
        <w:ind w:left="540"/>
        <w:rPr>
          <w:rFonts w:ascii="Tahoma" w:hAnsi="Tahoma" w:cs="Tahoma"/>
          <w:sz w:val="18"/>
          <w:szCs w:val="18"/>
        </w:rPr>
      </w:pPr>
      <w:r w:rsidRPr="00162D08">
        <w:rPr>
          <w:rFonts w:ascii="Tahoma" w:hAnsi="Tahoma" w:cs="Tahoma"/>
          <w:sz w:val="18"/>
          <w:szCs w:val="18"/>
          <w:lang w:val="it-IT"/>
        </w:rPr>
        <w:t>L'utilizzo da parte della società di Componenti e-Commerce, Componenti Point of Sale e simili aggiornamenti e</w:t>
      </w:r>
      <w:r>
        <w:rPr>
          <w:rFonts w:ascii="Tahoma" w:hAnsi="Tahoma" w:cs="Tahoma"/>
          <w:sz w:val="18"/>
          <w:szCs w:val="18"/>
          <w:lang w:val="it-IT"/>
        </w:rPr>
        <w:t> </w:t>
      </w:r>
      <w:r w:rsidRPr="00162D08">
        <w:rPr>
          <w:rFonts w:ascii="Tahoma" w:hAnsi="Tahoma" w:cs="Tahoma"/>
          <w:sz w:val="18"/>
          <w:szCs w:val="18"/>
          <w:lang w:val="it-IT"/>
        </w:rPr>
        <w:t>supplementi a Microsoft Dynamics AX 2012 R2 è disciplinato dalle Condizioni di Licenza Supplementari disponibili all'indirizzo seguente:</w:t>
      </w:r>
      <w:r w:rsidRPr="00162D08">
        <w:rPr>
          <w:rFonts w:ascii="Tahoma" w:hAnsi="Tahoma" w:cs="Tahoma"/>
          <w:sz w:val="18"/>
          <w:szCs w:val="18"/>
        </w:rPr>
        <w:t xml:space="preserve"> </w:t>
      </w:r>
      <w:hyperlink r:id="rId38" w:history="1">
        <w:r w:rsidRPr="00162D08">
          <w:rPr>
            <w:rFonts w:ascii="Tahoma" w:hAnsi="Tahoma" w:cs="Tahoma"/>
            <w:sz w:val="18"/>
            <w:szCs w:val="18"/>
            <w:lang w:val="it-IT"/>
          </w:rPr>
          <w:t>http://www.microsoft.com/en-us/dynamics/erp-buy-ax-software.aspx</w:t>
        </w:r>
      </w:hyperlink>
      <w:r w:rsidRPr="00162D08">
        <w:rPr>
          <w:rFonts w:ascii="Tahoma" w:hAnsi="Tahoma" w:cs="Tahoma"/>
          <w:sz w:val="18"/>
          <w:szCs w:val="18"/>
          <w:lang w:val="it-IT"/>
        </w:rPr>
        <w:t>.</w:t>
      </w:r>
    </w:p>
    <w:p w:rsidR="00A92422" w:rsidRDefault="00A92422" w:rsidP="00A92422">
      <w:pPr>
        <w:rPr>
          <w:rFonts w:cs="Tahoma"/>
        </w:rPr>
      </w:pPr>
      <w:r>
        <w:rPr>
          <w:rFonts w:cs="Tahoma"/>
        </w:rPr>
        <w:br w:type="page"/>
      </w:r>
    </w:p>
    <w:p w:rsidR="00A92422" w:rsidRPr="00D87B79" w:rsidRDefault="00A92422" w:rsidP="00A92422">
      <w:pPr>
        <w:rPr>
          <w:rFonts w:cs="Tahoma"/>
        </w:rPr>
      </w:pPr>
    </w:p>
    <w:p w:rsidR="00A92422" w:rsidRPr="00D87B79" w:rsidRDefault="00A92422" w:rsidP="00A92422">
      <w:pPr>
        <w:rPr>
          <w:rFonts w:cs="Tahoma"/>
        </w:rPr>
      </w:pPr>
    </w:p>
    <w:p w:rsidR="00A92422" w:rsidRPr="00D87B79" w:rsidRDefault="00A92422" w:rsidP="00A92422">
      <w:pPr>
        <w:pStyle w:val="Heading3"/>
        <w:rPr>
          <w:rFonts w:ascii="Tahoma" w:hAnsi="Tahoma" w:cs="Tahoma"/>
        </w:rPr>
      </w:pPr>
      <w:bookmarkStart w:id="1366" w:name="_68_Microsoft_Dynamics"/>
      <w:bookmarkStart w:id="1367" w:name="_Toc336338328"/>
      <w:bookmarkStart w:id="1368" w:name="_Toc342900374"/>
      <w:bookmarkEnd w:id="1366"/>
      <w:bookmarkEnd w:id="1367"/>
      <w:r w:rsidRPr="00D87B79">
        <w:rPr>
          <w:rFonts w:ascii="Tahoma" w:hAnsi="Tahoma" w:cs="Tahoma"/>
          <w:color w:val="F66400"/>
          <w:sz w:val="22"/>
          <w:vertAlign w:val="superscript"/>
          <w:lang w:val="it-IT"/>
        </w:rPr>
        <w:t>64</w:t>
      </w:r>
      <w:r w:rsidRPr="00D87B79">
        <w:rPr>
          <w:rFonts w:ascii="Tahoma" w:hAnsi="Tahoma" w:cs="Tahoma"/>
          <w:color w:val="F66400"/>
          <w:sz w:val="22"/>
          <w:lang w:val="it-IT"/>
        </w:rPr>
        <w:t xml:space="preserve"> Microsoft Dynamics CRM 2011</w:t>
      </w:r>
      <w:bookmarkEnd w:id="1368"/>
    </w:p>
    <w:p w:rsidR="00A92422" w:rsidRPr="00D87B79" w:rsidRDefault="00A92422" w:rsidP="00A92422">
      <w:pPr>
        <w:rPr>
          <w:rFonts w:cs="Tahoma"/>
        </w:rPr>
      </w:pPr>
    </w:p>
    <w:p w:rsidR="00A92422" w:rsidRPr="00D87B79" w:rsidRDefault="00A92422" w:rsidP="00A92422">
      <w:pPr>
        <w:spacing w:after="60"/>
        <w:ind w:left="720"/>
        <w:rPr>
          <w:rFonts w:cs="Tahoma"/>
        </w:rPr>
      </w:pPr>
      <w:r w:rsidRPr="00D87B79">
        <w:rPr>
          <w:rFonts w:cs="Tahoma"/>
          <w:b/>
          <w:color w:val="000000"/>
          <w:lang w:val="it-IT"/>
        </w:rPr>
        <w:t>Percorso di Migrazione di Software Assurance per Microsoft Dynamics CRM 4.0</w:t>
      </w:r>
    </w:p>
    <w:p w:rsidR="00A92422" w:rsidRPr="00D87B79" w:rsidRDefault="00A92422" w:rsidP="00A92422">
      <w:pPr>
        <w:ind w:left="720"/>
        <w:rPr>
          <w:rFonts w:cs="Tahoma"/>
        </w:rPr>
      </w:pPr>
      <w:r w:rsidRPr="00D87B79">
        <w:rPr>
          <w:rFonts w:cs="Tahoma"/>
          <w:color w:val="000000"/>
          <w:lang w:val="it-IT"/>
        </w:rPr>
        <w:t>Le società che hanno acquistato le licenze per Microsoft Dynamics CRM 4.0 e dispongono di una copertura Software Assurance attiva per tali licenze in data 1 aprile 2011 o successiva potranno effettuare l’aggiornamento di tali licenze, come indicato di seguito:</w:t>
      </w:r>
    </w:p>
    <w:p w:rsidR="00A92422" w:rsidRPr="00D87B79" w:rsidRDefault="00A92422" w:rsidP="00A92422">
      <w:pPr>
        <w:rPr>
          <w:rFonts w:cs="Tahoma"/>
        </w:rPr>
      </w:pPr>
    </w:p>
    <w:tbl>
      <w:tblPr>
        <w:tblW w:w="0" w:type="auto"/>
        <w:tblInd w:w="720"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4248"/>
        <w:gridCol w:w="4212"/>
      </w:tblGrid>
      <w:tr w:rsidR="00A92422" w:rsidRPr="00D87B79" w:rsidTr="00EA30FC">
        <w:trPr>
          <w:tblHeader/>
        </w:trPr>
        <w:tc>
          <w:tcPr>
            <w:tcW w:w="4248" w:type="dxa"/>
            <w:tcBorders>
              <w:top w:val="single" w:sz="4" w:space="0" w:color="000000"/>
            </w:tcBorders>
            <w:shd w:val="clear" w:color="auto" w:fill="FABF8F"/>
          </w:tcPr>
          <w:p w:rsidR="00A92422" w:rsidRPr="00D87B79" w:rsidRDefault="00A92422" w:rsidP="00EA30FC">
            <w:pPr>
              <w:jc w:val="center"/>
              <w:rPr>
                <w:rFonts w:cs="Tahoma"/>
                <w:b/>
                <w:color w:val="000000"/>
                <w:szCs w:val="20"/>
              </w:rPr>
            </w:pPr>
            <w:r w:rsidRPr="00D87B79">
              <w:rPr>
                <w:rFonts w:cs="Tahoma"/>
                <w:b/>
                <w:color w:val="000000"/>
                <w:lang w:val="it-IT"/>
              </w:rPr>
              <w:t>Licenze Qualificanti per Microsoft Dynamics CRM 4.0</w:t>
            </w:r>
          </w:p>
        </w:tc>
        <w:tc>
          <w:tcPr>
            <w:tcW w:w="4212" w:type="dxa"/>
            <w:tcBorders>
              <w:top w:val="single" w:sz="4" w:space="0" w:color="000000"/>
            </w:tcBorders>
            <w:shd w:val="clear" w:color="auto" w:fill="FABF8F"/>
          </w:tcPr>
          <w:p w:rsidR="00A92422" w:rsidRPr="00D87B79" w:rsidRDefault="00A92422" w:rsidP="00EA30FC">
            <w:pPr>
              <w:jc w:val="center"/>
              <w:rPr>
                <w:rFonts w:cs="Tahoma"/>
                <w:b/>
                <w:color w:val="000000"/>
                <w:szCs w:val="20"/>
              </w:rPr>
            </w:pPr>
            <w:r w:rsidRPr="00D87B79">
              <w:rPr>
                <w:rFonts w:cs="Tahoma"/>
                <w:b/>
                <w:color w:val="000000"/>
                <w:lang w:val="it-IT"/>
              </w:rPr>
              <w:t>Licenze Corrispondenti per CRM 2011</w:t>
            </w:r>
          </w:p>
        </w:tc>
      </w:tr>
      <w:tr w:rsidR="00A92422" w:rsidRPr="00D87B79" w:rsidTr="00EA30FC">
        <w:tc>
          <w:tcPr>
            <w:tcW w:w="4248"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CAL Aggiuntiva per l’Utilizzo Completo di Microsoft Dynamics CRM 4.0</w:t>
            </w:r>
          </w:p>
        </w:tc>
        <w:tc>
          <w:tcPr>
            <w:tcW w:w="4212" w:type="dxa"/>
            <w:shd w:val="clear" w:color="auto" w:fill="FFFFFF"/>
          </w:tcPr>
          <w:p w:rsidR="00A92422" w:rsidRPr="00D87B79" w:rsidRDefault="00A92422" w:rsidP="00EA30FC">
            <w:pPr>
              <w:rPr>
                <w:rFonts w:cs="Tahoma"/>
                <w:color w:val="000000"/>
                <w:szCs w:val="20"/>
              </w:rPr>
            </w:pPr>
            <w:r w:rsidRPr="00D87B79">
              <w:rPr>
                <w:rFonts w:cs="Tahoma"/>
                <w:color w:val="000000"/>
                <w:lang w:val="it-IT"/>
              </w:rPr>
              <w:t>1 CAL Aggiuntiva per l’Utilizzo Completo di</w:t>
            </w:r>
            <w:r>
              <w:rPr>
                <w:rFonts w:cs="Tahoma"/>
                <w:color w:val="000000"/>
                <w:lang w:val="it-IT"/>
              </w:rPr>
              <w:t> </w:t>
            </w:r>
            <w:r w:rsidRPr="00D87B79">
              <w:rPr>
                <w:rFonts w:cs="Tahoma"/>
                <w:color w:val="000000"/>
                <w:lang w:val="it-IT"/>
              </w:rPr>
              <w:t>Microsoft Dynamics CRM 2011</w:t>
            </w:r>
          </w:p>
        </w:tc>
      </w:tr>
      <w:tr w:rsidR="00A92422" w:rsidRPr="00D87B79" w:rsidTr="00EA30FC">
        <w:tc>
          <w:tcPr>
            <w:tcW w:w="4248"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CAL Limitata per Microsoft Dynamics CRM 4.0</w:t>
            </w:r>
          </w:p>
        </w:tc>
        <w:tc>
          <w:tcPr>
            <w:tcW w:w="4212" w:type="dxa"/>
            <w:shd w:val="clear" w:color="auto" w:fill="FFFFFF"/>
          </w:tcPr>
          <w:p w:rsidR="00A92422" w:rsidRPr="00D87B79" w:rsidRDefault="00A92422" w:rsidP="00EA30FC">
            <w:pPr>
              <w:rPr>
                <w:rFonts w:cs="Tahoma"/>
                <w:color w:val="000000"/>
                <w:szCs w:val="20"/>
              </w:rPr>
            </w:pPr>
            <w:r w:rsidRPr="00D87B79">
              <w:rPr>
                <w:rFonts w:cs="Tahoma"/>
                <w:color w:val="000000"/>
                <w:lang w:val="it-IT"/>
              </w:rPr>
              <w:t>1 Employee Self Service CAL per Microsoft Dynamics CRM 2011 e 1 CAL Aggiuntiva per l’Utilizzo Limitato di Microsoft Dynamics CRM 2011</w:t>
            </w:r>
          </w:p>
        </w:tc>
      </w:tr>
      <w:tr w:rsidR="00A92422" w:rsidRPr="00D87B79" w:rsidTr="00EA30FC">
        <w:tc>
          <w:tcPr>
            <w:tcW w:w="4248" w:type="dxa"/>
            <w:shd w:val="clear" w:color="auto" w:fill="FFFFFF"/>
          </w:tcPr>
          <w:p w:rsidR="00A92422" w:rsidRPr="00D87B79" w:rsidRDefault="00A92422" w:rsidP="00EA30FC">
            <w:pPr>
              <w:rPr>
                <w:rFonts w:cs="Tahoma"/>
              </w:rPr>
            </w:pPr>
            <w:r w:rsidRPr="00D87B79">
              <w:rPr>
                <w:rFonts w:cs="Tahoma"/>
                <w:color w:val="000000"/>
                <w:lang w:val="it-IT"/>
              </w:rPr>
              <w:t>Licenza External Connector Limitata per Microsoft Dynamics CRM 4.0</w:t>
            </w:r>
          </w:p>
          <w:p w:rsidR="00A92422" w:rsidRPr="00D87B79" w:rsidRDefault="00A92422" w:rsidP="00EA30FC">
            <w:pPr>
              <w:rPr>
                <w:rFonts w:cs="Tahoma"/>
                <w:color w:val="000000"/>
                <w:szCs w:val="20"/>
              </w:rPr>
            </w:pPr>
            <w:r w:rsidRPr="00D87B79">
              <w:rPr>
                <w:rFonts w:cs="Tahoma"/>
                <w:color w:val="000000"/>
                <w:lang w:val="it-IT"/>
              </w:rPr>
              <w:t>(da sola o come parte del gruppo Licenza External Connector Limitata per Microsoft Dynamics CRM 4.0 e Licenza External Connector Aggiuntiva per l’Utilizzo Completo di Microsoft Dynamics CRM 4.0)</w:t>
            </w:r>
          </w:p>
        </w:tc>
        <w:tc>
          <w:tcPr>
            <w:tcW w:w="4212" w:type="dxa"/>
            <w:shd w:val="clear" w:color="auto" w:fill="FFFFFF"/>
          </w:tcPr>
          <w:p w:rsidR="00A92422" w:rsidRPr="00D87B79" w:rsidRDefault="00A92422" w:rsidP="00EA30FC">
            <w:pPr>
              <w:rPr>
                <w:rFonts w:cs="Tahoma"/>
                <w:color w:val="000000"/>
                <w:szCs w:val="20"/>
              </w:rPr>
            </w:pPr>
            <w:r w:rsidRPr="00D87B79">
              <w:rPr>
                <w:rFonts w:cs="Tahoma"/>
                <w:color w:val="000000"/>
                <w:lang w:val="it-IT"/>
              </w:rPr>
              <w:t>1 Licenza External Connector per Microsoft Dynamics CRM 2011</w:t>
            </w:r>
            <w:r w:rsidRPr="00D87B79">
              <w:rPr>
                <w:rFonts w:cs="Tahoma"/>
                <w:color w:val="000000"/>
                <w:vertAlign w:val="superscript"/>
                <w:lang w:val="it-IT"/>
              </w:rPr>
              <w:t>1</w:t>
            </w:r>
          </w:p>
        </w:tc>
      </w:tr>
      <w:tr w:rsidR="00A92422" w:rsidRPr="00D87B79" w:rsidTr="00EA30FC">
        <w:tc>
          <w:tcPr>
            <w:tcW w:w="4248" w:type="dxa"/>
            <w:shd w:val="clear" w:color="auto" w:fill="FFFFFF"/>
          </w:tcPr>
          <w:p w:rsidR="00A92422" w:rsidRPr="00D87B79" w:rsidRDefault="00A92422" w:rsidP="00EA30FC">
            <w:pPr>
              <w:rPr>
                <w:rFonts w:cs="Tahoma"/>
                <w:color w:val="000000"/>
                <w:szCs w:val="20"/>
              </w:rPr>
            </w:pPr>
            <w:r w:rsidRPr="00D87B79">
              <w:rPr>
                <w:rFonts w:cs="Tahoma"/>
                <w:color w:val="000000"/>
                <w:lang w:val="it-IT"/>
              </w:rPr>
              <w:t>Microsoft Dynamics CRM 4.0 Workgroup Server</w:t>
            </w:r>
          </w:p>
        </w:tc>
        <w:tc>
          <w:tcPr>
            <w:tcW w:w="4212" w:type="dxa"/>
            <w:shd w:val="clear" w:color="auto" w:fill="FFFFFF"/>
          </w:tcPr>
          <w:p w:rsidR="00A92422" w:rsidRPr="00D87B79" w:rsidRDefault="00A92422" w:rsidP="00EA30FC">
            <w:pPr>
              <w:rPr>
                <w:rFonts w:cs="Tahoma"/>
                <w:color w:val="000000"/>
                <w:szCs w:val="20"/>
              </w:rPr>
            </w:pPr>
            <w:r w:rsidRPr="00D87B79">
              <w:rPr>
                <w:rFonts w:cs="Tahoma"/>
                <w:color w:val="000000"/>
                <w:lang w:val="it-IT"/>
              </w:rPr>
              <w:t>1 Microsoft Dynamics CRM Workgroup Server 2011</w:t>
            </w:r>
          </w:p>
        </w:tc>
      </w:tr>
      <w:tr w:rsidR="00A92422" w:rsidRPr="00D87B79" w:rsidTr="00EA30FC">
        <w:tc>
          <w:tcPr>
            <w:tcW w:w="4248" w:type="dxa"/>
            <w:shd w:val="clear" w:color="auto" w:fill="FFFFFF"/>
          </w:tcPr>
          <w:p w:rsidR="00A92422" w:rsidRPr="00D87B79" w:rsidRDefault="00A92422" w:rsidP="00EA30FC">
            <w:pPr>
              <w:rPr>
                <w:rFonts w:cs="Tahoma"/>
                <w:color w:val="000000"/>
                <w:szCs w:val="20"/>
              </w:rPr>
            </w:pPr>
            <w:r w:rsidRPr="00D87B79">
              <w:rPr>
                <w:rFonts w:cs="Tahoma"/>
                <w:color w:val="000000"/>
                <w:lang w:val="it-IT"/>
              </w:rPr>
              <w:t>Microsoft Dynamics CRM 4.0 Professional Server</w:t>
            </w:r>
          </w:p>
        </w:tc>
        <w:tc>
          <w:tcPr>
            <w:tcW w:w="4212" w:type="dxa"/>
            <w:shd w:val="clear" w:color="auto" w:fill="FFFFFF"/>
          </w:tcPr>
          <w:p w:rsidR="00A92422" w:rsidRPr="00D87B79" w:rsidRDefault="00A92422" w:rsidP="00EA30FC">
            <w:pPr>
              <w:rPr>
                <w:rFonts w:cs="Tahoma"/>
                <w:color w:val="000000"/>
                <w:szCs w:val="20"/>
              </w:rPr>
            </w:pPr>
            <w:r w:rsidRPr="00D87B79">
              <w:rPr>
                <w:rFonts w:cs="Tahoma"/>
                <w:color w:val="000000"/>
                <w:lang w:val="it-IT"/>
              </w:rPr>
              <w:t>1 Microsoft Dynamics CRM Server 2011</w:t>
            </w:r>
          </w:p>
        </w:tc>
      </w:tr>
      <w:tr w:rsidR="00A92422" w:rsidRPr="00D87B79" w:rsidTr="00EA30FC">
        <w:tc>
          <w:tcPr>
            <w:tcW w:w="4248" w:type="dxa"/>
            <w:tcBorders>
              <w:bottom w:val="single" w:sz="4" w:space="0" w:color="000000"/>
            </w:tcBorders>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Microsoft Dynamics CRM 4.0 Enterprise Server</w:t>
            </w:r>
          </w:p>
        </w:tc>
        <w:tc>
          <w:tcPr>
            <w:tcW w:w="4212" w:type="dxa"/>
            <w:tcBorders>
              <w:bottom w:val="single" w:sz="4" w:space="0" w:color="000000"/>
            </w:tcBorders>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1 Microsoft Dynamics CRM Server 2011</w:t>
            </w:r>
          </w:p>
        </w:tc>
      </w:tr>
    </w:tbl>
    <w:p w:rsidR="00A92422" w:rsidRPr="00D87B79" w:rsidRDefault="00A92422" w:rsidP="00A92422">
      <w:pPr>
        <w:ind w:left="540"/>
        <w:rPr>
          <w:rFonts w:cs="Tahoma"/>
        </w:rPr>
      </w:pPr>
    </w:p>
    <w:p w:rsidR="00A92422" w:rsidRPr="00D87B79" w:rsidRDefault="00A92422" w:rsidP="00A92422">
      <w:pPr>
        <w:ind w:left="810"/>
        <w:rPr>
          <w:rFonts w:cs="Tahoma"/>
        </w:rPr>
      </w:pPr>
      <w:r w:rsidRPr="00D87B79">
        <w:rPr>
          <w:rFonts w:cs="Tahoma"/>
          <w:i/>
          <w:color w:val="000000"/>
          <w:sz w:val="16"/>
          <w:bdr w:val="none" w:sz="0" w:space="0" w:color="auto" w:frame="1"/>
          <w:vertAlign w:val="superscript"/>
          <w:lang w:val="it-IT"/>
        </w:rPr>
        <w:t>1</w:t>
      </w:r>
      <w:r w:rsidRPr="00D87B79">
        <w:rPr>
          <w:rFonts w:cs="Tahoma"/>
          <w:i/>
          <w:color w:val="000000"/>
          <w:sz w:val="16"/>
          <w:bdr w:val="none" w:sz="0" w:space="0" w:color="auto" w:frame="1"/>
          <w:lang w:val="it-IT"/>
        </w:rPr>
        <w:t>La licenza External Connector per CRM 2011 è l’unica licenza external connector disponibile in questa versione.</w:t>
      </w:r>
      <w:r w:rsidRPr="00D87B79">
        <w:rPr>
          <w:rFonts w:cs="Tahoma"/>
        </w:rPr>
        <w:t xml:space="preserve"> </w:t>
      </w:r>
      <w:r w:rsidRPr="00D87B79">
        <w:rPr>
          <w:rFonts w:cs="Tahoma"/>
          <w:i/>
          <w:color w:val="000000"/>
          <w:sz w:val="16"/>
          <w:lang w:val="it-IT"/>
        </w:rPr>
        <w:t>Le società disporranno dei diritti di aggiornamento a una licenza External Connector per CRM 2011 per ogni licenza External Connector Limitata qualificante per CRM 4.0 in loro possesso, sia che la licenza External Connector Limitata per CRM 4.0 sia stata utilizzata da sola per consentire l’accesso alla funzionalità corrispondente a tale licenza di base sia che sia stata utilizzata insieme a una licenza External Connector Aggiuntiva per l’Utilizzo Completo di CRM 4.0 per consentire l’accesso a tutte le Funzionalità di CRM 4.0. Le società disporranno di un numero di licenze External Connector per CRM Server 2011 uguale al numero di licenze External Connector Limitate qualificanti per CRM 4.0 in loro possesso.</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lang w:val="it-IT"/>
        </w:rPr>
        <w:t xml:space="preserve">Il diritto di utilizzo del software </w:t>
      </w:r>
      <w:r w:rsidRPr="00D87B79">
        <w:rPr>
          <w:rFonts w:cs="Tahoma"/>
          <w:color w:val="000000"/>
          <w:lang w:val="it-IT"/>
        </w:rPr>
        <w:t xml:space="preserve">Microsoft </w:t>
      </w:r>
      <w:r w:rsidRPr="00D87B79">
        <w:rPr>
          <w:rFonts w:cs="Tahoma"/>
          <w:lang w:val="it-IT"/>
        </w:rPr>
        <w:t xml:space="preserve">Dynamics CRM 2011 da parte della società è attestato dalla presente nota relativa alle condizioni del prodotto e dalla prova delle licenze corrispondenti e di Software Assurance per </w:t>
      </w:r>
      <w:r w:rsidRPr="00D87B79">
        <w:rPr>
          <w:rFonts w:cs="Tahoma"/>
          <w:color w:val="000000"/>
          <w:lang w:val="it-IT"/>
        </w:rPr>
        <w:t xml:space="preserve">Microsoft Dynamics </w:t>
      </w:r>
      <w:r w:rsidRPr="00D87B79">
        <w:rPr>
          <w:rFonts w:cs="Tahoma"/>
          <w:lang w:val="it-IT"/>
        </w:rPr>
        <w:t xml:space="preserve">CRM 4.0. Il diritto di utilizzo del software </w:t>
      </w:r>
      <w:r w:rsidRPr="00D87B79">
        <w:rPr>
          <w:rFonts w:cs="Tahoma"/>
          <w:color w:val="000000"/>
          <w:lang w:val="it-IT"/>
        </w:rPr>
        <w:t xml:space="preserve">Microsoft </w:t>
      </w:r>
      <w:r w:rsidRPr="00D87B79">
        <w:rPr>
          <w:rFonts w:cs="Tahoma"/>
          <w:lang w:val="it-IT"/>
        </w:rPr>
        <w:t>Dynamics CRM 2011 da parte di una società, ai sensi della presente concessione per la migrazione, è soggetto alle condizioni del</w:t>
      </w:r>
      <w:r>
        <w:rPr>
          <w:rFonts w:cs="Tahoma"/>
          <w:lang w:val="it-IT"/>
        </w:rPr>
        <w:t> </w:t>
      </w:r>
      <w:r w:rsidRPr="00D87B79">
        <w:rPr>
          <w:rFonts w:cs="Tahoma"/>
          <w:lang w:val="it-IT"/>
        </w:rPr>
        <w:t>relativo contratto multilicenza (Volume Licensing). Tale diritto cesserà alla scadenza o alla risoluzione del</w:t>
      </w:r>
      <w:r>
        <w:rPr>
          <w:rFonts w:cs="Tahoma"/>
          <w:lang w:val="it-IT"/>
        </w:rPr>
        <w:t> </w:t>
      </w:r>
      <w:r w:rsidRPr="00D87B79">
        <w:rPr>
          <w:rFonts w:cs="Tahoma"/>
          <w:lang w:val="it-IT"/>
        </w:rPr>
        <w:t xml:space="preserve">diritto di utilizzo di </w:t>
      </w:r>
      <w:r w:rsidRPr="00D87B79">
        <w:rPr>
          <w:rFonts w:cs="Tahoma"/>
          <w:color w:val="000000"/>
          <w:lang w:val="it-IT"/>
        </w:rPr>
        <w:t xml:space="preserve">Microsoft Dynamics </w:t>
      </w:r>
      <w:r w:rsidRPr="00D87B79">
        <w:rPr>
          <w:rFonts w:cs="Tahoma"/>
          <w:lang w:val="it-IT"/>
        </w:rPr>
        <w:t xml:space="preserve">CRM 4.0 in virtù delle corrispondenti licenze qualificanti per </w:t>
      </w:r>
      <w:r w:rsidRPr="00D87B79">
        <w:rPr>
          <w:rFonts w:cs="Tahoma"/>
          <w:color w:val="000000"/>
          <w:lang w:val="it-IT"/>
        </w:rPr>
        <w:t xml:space="preserve">Microsoft Dynamics </w:t>
      </w:r>
      <w:r w:rsidRPr="00D87B79">
        <w:rPr>
          <w:rFonts w:cs="Tahoma"/>
          <w:lang w:val="it-IT"/>
        </w:rPr>
        <w:t xml:space="preserve">CRM 4.0. Alla scadenza della copertura SA per le licenze </w:t>
      </w:r>
      <w:r w:rsidRPr="00D87B79">
        <w:rPr>
          <w:rFonts w:cs="Tahoma"/>
          <w:color w:val="000000"/>
          <w:lang w:val="it-IT"/>
        </w:rPr>
        <w:t xml:space="preserve">Microsoft Dynamics </w:t>
      </w:r>
      <w:r w:rsidRPr="00D87B79">
        <w:rPr>
          <w:rFonts w:cs="Tahoma"/>
          <w:lang w:val="it-IT"/>
        </w:rPr>
        <w:t>CRM</w:t>
      </w:r>
      <w:r>
        <w:rPr>
          <w:rFonts w:cs="Tahoma"/>
          <w:lang w:val="it-IT"/>
        </w:rPr>
        <w:t> </w:t>
      </w:r>
      <w:r w:rsidRPr="00D87B79">
        <w:rPr>
          <w:rFonts w:cs="Tahoma"/>
          <w:lang w:val="it-IT"/>
        </w:rPr>
        <w:t>4.0,</w:t>
      </w:r>
      <w:r>
        <w:rPr>
          <w:rFonts w:cs="Tahoma"/>
          <w:lang w:val="it-IT"/>
        </w:rPr>
        <w:t> </w:t>
      </w:r>
      <w:r w:rsidRPr="00D87B79">
        <w:rPr>
          <w:rFonts w:cs="Tahoma"/>
          <w:lang w:val="it-IT"/>
        </w:rPr>
        <w:t>la</w:t>
      </w:r>
      <w:r>
        <w:rPr>
          <w:rFonts w:cs="Tahoma"/>
          <w:lang w:val="it-IT"/>
        </w:rPr>
        <w:t> </w:t>
      </w:r>
      <w:r w:rsidRPr="00D87B79">
        <w:rPr>
          <w:rFonts w:cs="Tahoma"/>
          <w:lang w:val="it-IT"/>
        </w:rPr>
        <w:t xml:space="preserve">società potrà rinnovare SA per le licenze </w:t>
      </w:r>
      <w:r w:rsidRPr="00D87B79">
        <w:rPr>
          <w:rFonts w:cs="Tahoma"/>
          <w:color w:val="000000"/>
          <w:lang w:val="it-IT"/>
        </w:rPr>
        <w:t>Microsoft Dynamics</w:t>
      </w:r>
      <w:r w:rsidRPr="00D87B79">
        <w:rPr>
          <w:rFonts w:cs="Tahoma"/>
          <w:lang w:val="it-IT"/>
        </w:rPr>
        <w:t xml:space="preserve"> CRM 2011 in concessione.</w:t>
      </w:r>
      <w:r w:rsidRPr="00D87B79">
        <w:rPr>
          <w:rFonts w:cs="Tahoma"/>
        </w:rPr>
        <w:t xml:space="preserve"> </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color w:val="000000"/>
          <w:lang w:val="it-IT"/>
        </w:rPr>
        <w:t>La presente offerta è valida anche per le società che abbiano ottenuto le rispettive licenze Microsoft Dynamics CRM 4.0 in seguito alla migrazione da un altro prodotto, nella misura in cui le società dispongano di una copertura SA attiva per quelle licenze in data 1 aprile 2011.</w:t>
      </w:r>
    </w:p>
    <w:p w:rsidR="00A92422" w:rsidRPr="00146547" w:rsidRDefault="00A92422" w:rsidP="00A92422">
      <w:pPr>
        <w:pStyle w:val="EndnoteText"/>
        <w:ind w:left="720"/>
        <w:rPr>
          <w:rFonts w:ascii="Tahoma" w:hAnsi="Tahoma" w:cs="Tahoma"/>
          <w:sz w:val="18"/>
          <w:szCs w:val="18"/>
        </w:rPr>
      </w:pPr>
      <w:r w:rsidRPr="00146547">
        <w:rPr>
          <w:rFonts w:ascii="Tahoma" w:hAnsi="Tahoma" w:cs="Tahoma"/>
          <w:sz w:val="18"/>
          <w:szCs w:val="18"/>
          <w:lang w:val="it-IT"/>
        </w:rPr>
        <w:t>Per le società con un Contratto Enterprise idonee a ricevere le presenti licenze gratuite e i diritti descritti in precedenza, le licenze per Microsoft Dynamics CRM 4.0 acquistate nell’ambito della procedura annuale di true-up durante il periodo di validità dell’iscrizione attuale costituiscono, anch’esse, licenze qualificanti.</w:t>
      </w:r>
    </w:p>
    <w:p w:rsidR="00A92422" w:rsidRPr="00A165B6" w:rsidRDefault="00A92422" w:rsidP="00A92422">
      <w:pPr>
        <w:pStyle w:val="EndnoteText"/>
        <w:ind w:left="720"/>
        <w:rPr>
          <w:rFonts w:ascii="Tahoma" w:hAnsi="Tahoma" w:cs="Tahoma"/>
          <w:sz w:val="18"/>
          <w:szCs w:val="18"/>
        </w:rPr>
      </w:pPr>
    </w:p>
    <w:p w:rsidR="00A92422" w:rsidRPr="00D87B79" w:rsidRDefault="00A92422" w:rsidP="00A92422">
      <w:pPr>
        <w:pStyle w:val="EndnoteText"/>
        <w:ind w:left="720"/>
        <w:rPr>
          <w:rFonts w:ascii="Tahoma" w:hAnsi="Tahoma" w:cs="Tahoma"/>
          <w:highlight w:val="yellow"/>
        </w:rPr>
      </w:pPr>
      <w:r w:rsidRPr="00D87B79">
        <w:rPr>
          <w:rFonts w:ascii="Tahoma" w:hAnsi="Tahoma" w:cs="Tahoma"/>
          <w:bCs/>
          <w:color w:val="000000"/>
          <w:sz w:val="18"/>
          <w:szCs w:val="18"/>
          <w:lang w:val="it-IT"/>
        </w:rPr>
        <w:t>Per Contratti Enterprise Subscription, Campus e School e Open Value Subscription, gli stessi diritti verranno</w:t>
      </w:r>
      <w:r>
        <w:rPr>
          <w:rFonts w:ascii="Tahoma" w:hAnsi="Tahoma" w:cs="Tahoma"/>
          <w:bCs/>
          <w:color w:val="000000"/>
          <w:sz w:val="18"/>
          <w:szCs w:val="18"/>
          <w:lang w:val="it-IT"/>
        </w:rPr>
        <w:t> </w:t>
      </w:r>
      <w:r w:rsidRPr="00D87B79">
        <w:rPr>
          <w:rFonts w:ascii="Tahoma" w:hAnsi="Tahoma" w:cs="Tahoma"/>
          <w:bCs/>
          <w:color w:val="000000"/>
          <w:sz w:val="18"/>
          <w:szCs w:val="18"/>
          <w:lang w:val="it-IT"/>
        </w:rPr>
        <w:t>concessi temporaneamente fino al termine del periodo di validità dell’iscrizione della licenza, qualora le Licenze e la copertura Software Assurance siano valide durante il periodo di concessione e la società mantenga la copertura dell’abbonamento in via continuativa.</w:t>
      </w:r>
      <w:r w:rsidRPr="00D87B79">
        <w:rPr>
          <w:rFonts w:ascii="Tahoma" w:hAnsi="Tahoma" w:cs="Tahoma"/>
        </w:rPr>
        <w:t xml:space="preserve"> </w:t>
      </w:r>
      <w:r w:rsidRPr="00D87B79">
        <w:rPr>
          <w:rFonts w:ascii="Tahoma" w:hAnsi="Tahoma" w:cs="Tahoma"/>
          <w:color w:val="000000"/>
          <w:sz w:val="18"/>
          <w:lang w:val="it-IT"/>
        </w:rPr>
        <w:t>Tali diritti diventeranno permanenti soltanto all’esercizio dell’opzione buy-out e resteranno soggetti a tutte le condizioni del contratto di licenza della società.</w:t>
      </w:r>
    </w:p>
    <w:p w:rsidR="00A92422" w:rsidRPr="00D87B79" w:rsidRDefault="00A92422" w:rsidP="00A92422">
      <w:pPr>
        <w:ind w:left="720"/>
        <w:rPr>
          <w:rFonts w:cs="Tahoma"/>
        </w:rPr>
      </w:pPr>
    </w:p>
    <w:p w:rsidR="00A92422" w:rsidRDefault="00A92422" w:rsidP="00A92422">
      <w:pPr>
        <w:rPr>
          <w:rFonts w:cs="Tahoma"/>
          <w:b/>
          <w:lang w:val="it-IT"/>
        </w:rPr>
      </w:pPr>
      <w:r>
        <w:rPr>
          <w:rFonts w:cs="Tahoma"/>
          <w:b/>
          <w:lang w:val="it-IT"/>
        </w:rPr>
        <w:br w:type="page"/>
      </w:r>
    </w:p>
    <w:p w:rsidR="00A92422" w:rsidRPr="00D87B79" w:rsidRDefault="00A92422" w:rsidP="00A92422">
      <w:pPr>
        <w:spacing w:after="60"/>
        <w:ind w:left="720"/>
        <w:rPr>
          <w:rFonts w:cs="Tahoma"/>
        </w:rPr>
      </w:pPr>
      <w:r w:rsidRPr="00D87B79">
        <w:rPr>
          <w:rFonts w:cs="Tahoma"/>
          <w:b/>
          <w:lang w:val="it-IT"/>
        </w:rPr>
        <w:lastRenderedPageBreak/>
        <w:t>Diritti di Downgrade per Microsoft Dynamics CRM 2011</w:t>
      </w:r>
      <w:r w:rsidRPr="00D87B79">
        <w:rPr>
          <w:rFonts w:cs="Tahoma"/>
        </w:rPr>
        <w:t xml:space="preserve"> </w:t>
      </w:r>
    </w:p>
    <w:p w:rsidR="00A92422" w:rsidRPr="00D87B79" w:rsidRDefault="00A92422" w:rsidP="00A92422">
      <w:pPr>
        <w:ind w:left="720"/>
        <w:rPr>
          <w:rFonts w:cs="Tahoma"/>
        </w:rPr>
      </w:pPr>
      <w:r w:rsidRPr="00D87B79">
        <w:rPr>
          <w:rFonts w:cs="Tahoma"/>
          <w:lang w:val="it-IT"/>
        </w:rPr>
        <w:t>Le società che dispongono di licenze per Microsoft Dynamics CRM 2011 potranno utilizzare Microsoft Dynamics CRM 4.0 anziché Microsoft Dynamics CRM 2011. Le loro licenze per Microsoft Dynamics CRM 2011</w:t>
      </w:r>
      <w:r>
        <w:rPr>
          <w:rFonts w:cs="Tahoma"/>
          <w:lang w:val="it-IT"/>
        </w:rPr>
        <w:t xml:space="preserve"> </w:t>
      </w:r>
      <w:r w:rsidRPr="00D87B79">
        <w:rPr>
          <w:rFonts w:cs="Tahoma"/>
          <w:lang w:val="it-IT"/>
        </w:rPr>
        <w:t>potranno essere distribuite come licenze per CRM 4.0 nella modalità che segue:</w:t>
      </w:r>
    </w:p>
    <w:p w:rsidR="00A92422" w:rsidRPr="00D87B79" w:rsidRDefault="00A92422" w:rsidP="00A92422">
      <w:pPr>
        <w:ind w:left="720"/>
        <w:rPr>
          <w:rFonts w:cs="Tahoma"/>
        </w:rPr>
      </w:pPr>
    </w:p>
    <w:p w:rsidR="00A92422" w:rsidRPr="002B5C8E" w:rsidRDefault="00A92422" w:rsidP="00A92422">
      <w:pPr>
        <w:ind w:left="540"/>
        <w:rPr>
          <w:rFonts w:cs="Tahoma"/>
          <w:sz w:val="4"/>
          <w:szCs w:val="4"/>
        </w:rPr>
      </w:pPr>
    </w:p>
    <w:tbl>
      <w:tblPr>
        <w:tblW w:w="8280" w:type="dxa"/>
        <w:tblInd w:w="720" w:type="dxa"/>
        <w:tblCellMar>
          <w:left w:w="0" w:type="dxa"/>
          <w:right w:w="0" w:type="dxa"/>
        </w:tblCellMar>
        <w:tblLook w:val="04A0" w:firstRow="1" w:lastRow="0" w:firstColumn="1" w:lastColumn="0" w:noHBand="0" w:noVBand="1"/>
      </w:tblPr>
      <w:tblGrid>
        <w:gridCol w:w="4140"/>
        <w:gridCol w:w="4140"/>
      </w:tblGrid>
      <w:tr w:rsidR="00A92422" w:rsidRPr="00D87B79" w:rsidTr="00EA30FC">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A92422" w:rsidRPr="00D87B79" w:rsidRDefault="00A92422" w:rsidP="00EA30FC">
            <w:pPr>
              <w:ind w:left="360"/>
              <w:rPr>
                <w:rFonts w:cs="Tahoma"/>
                <w:b/>
                <w:bCs/>
                <w:szCs w:val="20"/>
              </w:rPr>
            </w:pPr>
            <w:r w:rsidRPr="00D87B79">
              <w:rPr>
                <w:rFonts w:cs="Tahoma"/>
                <w:b/>
                <w:bCs/>
                <w:szCs w:val="20"/>
                <w:lang w:val="it-IT"/>
              </w:rPr>
              <w:t>Licenza Qualificante per Microsoft Dynamics CRM 2011</w:t>
            </w:r>
          </w:p>
        </w:tc>
        <w:tc>
          <w:tcPr>
            <w:tcW w:w="4140" w:type="dxa"/>
            <w:tcBorders>
              <w:top w:val="single" w:sz="8" w:space="0" w:color="000000"/>
              <w:left w:val="nil"/>
              <w:bottom w:val="single" w:sz="8" w:space="0" w:color="000000"/>
              <w:right w:val="single" w:sz="8" w:space="0" w:color="auto"/>
            </w:tcBorders>
            <w:shd w:val="clear" w:color="auto" w:fill="FABF8F"/>
          </w:tcPr>
          <w:p w:rsidR="00A92422" w:rsidRPr="00D87B79" w:rsidRDefault="00A92422" w:rsidP="00EA30FC">
            <w:pPr>
              <w:ind w:left="360"/>
              <w:rPr>
                <w:rFonts w:cs="Tahoma"/>
                <w:b/>
                <w:bCs/>
                <w:szCs w:val="20"/>
              </w:rPr>
            </w:pPr>
            <w:r w:rsidRPr="00D87B79">
              <w:rPr>
                <w:rFonts w:cs="Tahoma"/>
                <w:b/>
                <w:bCs/>
                <w:szCs w:val="20"/>
                <w:lang w:val="it-IT"/>
              </w:rPr>
              <w:t>Licenze Corrispondenti per CRM 4.0</w:t>
            </w:r>
          </w:p>
        </w:tc>
      </w:tr>
      <w:tr w:rsidR="00A92422" w:rsidRPr="00D87B79" w:rsidTr="00EA30FC">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A92422" w:rsidRPr="00D87B79" w:rsidRDefault="00A92422" w:rsidP="00EA30FC">
            <w:pPr>
              <w:rPr>
                <w:rFonts w:cs="Tahoma"/>
                <w:color w:val="000000"/>
                <w:szCs w:val="20"/>
              </w:rPr>
            </w:pPr>
            <w:r w:rsidRPr="00D87B79">
              <w:rPr>
                <w:rFonts w:cs="Tahoma"/>
                <w:lang w:val="it-IT"/>
              </w:rPr>
              <w:t>CAL Aggiuntiva per l’Utilizzo Completo di</w:t>
            </w:r>
            <w:r>
              <w:rPr>
                <w:rFonts w:cs="Tahoma"/>
                <w:lang w:val="it-IT"/>
              </w:rPr>
              <w:t> </w:t>
            </w:r>
            <w:r w:rsidRPr="00D87B79">
              <w:rPr>
                <w:rFonts w:cs="Tahoma"/>
                <w:lang w:val="it-IT"/>
              </w:rPr>
              <w:t>Microsoft Dynamics CRM 2011</w:t>
            </w:r>
          </w:p>
        </w:tc>
        <w:tc>
          <w:tcPr>
            <w:tcW w:w="4140" w:type="dxa"/>
            <w:tcBorders>
              <w:top w:val="nil"/>
              <w:left w:val="nil"/>
              <w:bottom w:val="single" w:sz="8" w:space="0" w:color="000000"/>
              <w:right w:val="single" w:sz="8" w:space="0" w:color="000000"/>
            </w:tcBorders>
            <w:vAlign w:val="center"/>
          </w:tcPr>
          <w:p w:rsidR="00A92422" w:rsidRPr="00D87B79" w:rsidRDefault="00A92422" w:rsidP="00EA30FC">
            <w:pPr>
              <w:pStyle w:val="ColorfulList-Accent11"/>
              <w:spacing w:line="276" w:lineRule="auto"/>
              <w:ind w:left="288" w:right="162" w:hanging="180"/>
              <w:rPr>
                <w:rFonts w:ascii="Tahoma" w:hAnsi="Tahoma" w:cs="Tahoma"/>
                <w:sz w:val="18"/>
                <w:szCs w:val="20"/>
              </w:rPr>
            </w:pPr>
            <w:r w:rsidRPr="00D87B79">
              <w:rPr>
                <w:rFonts w:ascii="Tahoma" w:hAnsi="Tahoma" w:cs="Tahoma"/>
                <w:sz w:val="18"/>
                <w:szCs w:val="20"/>
                <w:lang w:val="it-IT"/>
              </w:rPr>
              <w:t>1 CAL Aggiuntiva per l’Utilizzo Completo di</w:t>
            </w:r>
            <w:r>
              <w:rPr>
                <w:rFonts w:ascii="Tahoma" w:hAnsi="Tahoma" w:cs="Tahoma"/>
                <w:sz w:val="18"/>
                <w:szCs w:val="20"/>
                <w:lang w:val="it-IT"/>
              </w:rPr>
              <w:t> </w:t>
            </w:r>
            <w:r w:rsidRPr="00D87B79">
              <w:rPr>
                <w:rFonts w:ascii="Tahoma" w:hAnsi="Tahoma" w:cs="Tahoma"/>
                <w:sz w:val="18"/>
                <w:szCs w:val="20"/>
                <w:lang w:val="it-IT"/>
              </w:rPr>
              <w:t>Microsoft Dynamics CRM 4.0</w:t>
            </w:r>
          </w:p>
        </w:tc>
      </w:tr>
      <w:tr w:rsidR="00A92422" w:rsidRPr="00D87B79" w:rsidTr="00EA30FC">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A92422" w:rsidRPr="00D87B79" w:rsidRDefault="00A92422" w:rsidP="00EA30FC">
            <w:pPr>
              <w:rPr>
                <w:rFonts w:cs="Tahoma"/>
                <w:color w:val="000000"/>
                <w:szCs w:val="20"/>
              </w:rPr>
            </w:pPr>
            <w:r w:rsidRPr="00D87B79">
              <w:rPr>
                <w:rFonts w:cs="Tahoma"/>
                <w:lang w:val="it-IT"/>
              </w:rPr>
              <w:t>CAL Aggiuntiva per l’Utilizzo Limitato di Microsoft Dynamics CRM 2011</w:t>
            </w:r>
          </w:p>
        </w:tc>
        <w:tc>
          <w:tcPr>
            <w:tcW w:w="4140" w:type="dxa"/>
            <w:tcBorders>
              <w:top w:val="nil"/>
              <w:left w:val="nil"/>
              <w:bottom w:val="single" w:sz="8" w:space="0" w:color="000000"/>
              <w:right w:val="single" w:sz="8" w:space="0" w:color="000000"/>
            </w:tcBorders>
            <w:vAlign w:val="center"/>
          </w:tcPr>
          <w:p w:rsidR="00A92422" w:rsidRPr="00D87B79" w:rsidRDefault="00A92422" w:rsidP="00EA30FC">
            <w:pPr>
              <w:pStyle w:val="ColorfulList-Accent11"/>
              <w:spacing w:line="276" w:lineRule="auto"/>
              <w:ind w:left="288" w:right="162" w:hanging="180"/>
              <w:rPr>
                <w:rFonts w:ascii="Tahoma" w:hAnsi="Tahoma" w:cs="Tahoma"/>
                <w:sz w:val="18"/>
                <w:szCs w:val="20"/>
              </w:rPr>
            </w:pPr>
            <w:r w:rsidRPr="00D87B79">
              <w:rPr>
                <w:rFonts w:ascii="Tahoma" w:hAnsi="Tahoma" w:cs="Tahoma"/>
                <w:sz w:val="18"/>
                <w:szCs w:val="20"/>
                <w:lang w:val="it-IT"/>
              </w:rPr>
              <w:t>1 CAL Limitata per Microsoft Dynamics CRM 4.0</w:t>
            </w:r>
          </w:p>
        </w:tc>
      </w:tr>
      <w:tr w:rsidR="00A92422" w:rsidRPr="00D87B79" w:rsidTr="00EA30FC">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A92422" w:rsidRPr="00D87B79" w:rsidRDefault="00A92422" w:rsidP="00EA30FC">
            <w:pPr>
              <w:rPr>
                <w:rFonts w:cs="Tahoma"/>
                <w:szCs w:val="20"/>
              </w:rPr>
            </w:pPr>
            <w:r w:rsidRPr="00D87B79">
              <w:rPr>
                <w:rFonts w:cs="Tahoma"/>
                <w:szCs w:val="20"/>
                <w:lang w:val="it-IT"/>
              </w:rPr>
              <w:t>Microsoft Dynamics CRM 2011 External</w:t>
            </w:r>
            <w:r>
              <w:rPr>
                <w:rFonts w:cs="Tahoma"/>
                <w:szCs w:val="20"/>
                <w:lang w:val="it-IT"/>
              </w:rPr>
              <w:t> </w:t>
            </w:r>
            <w:r w:rsidRPr="00D87B79">
              <w:rPr>
                <w:rFonts w:cs="Tahoma"/>
                <w:szCs w:val="20"/>
                <w:lang w:val="it-IT"/>
              </w:rPr>
              <w:t>Connector</w:t>
            </w:r>
          </w:p>
        </w:tc>
        <w:tc>
          <w:tcPr>
            <w:tcW w:w="4140" w:type="dxa"/>
            <w:tcBorders>
              <w:top w:val="nil"/>
              <w:left w:val="nil"/>
              <w:bottom w:val="single" w:sz="8" w:space="0" w:color="000000"/>
              <w:right w:val="single" w:sz="8" w:space="0" w:color="000000"/>
            </w:tcBorders>
            <w:vAlign w:val="center"/>
          </w:tcPr>
          <w:p w:rsidR="00A92422" w:rsidRPr="00D87B79" w:rsidRDefault="00A92422" w:rsidP="00EA30FC">
            <w:pPr>
              <w:pStyle w:val="ColorfulList-Accent11"/>
              <w:spacing w:line="276" w:lineRule="auto"/>
              <w:ind w:left="288" w:right="162" w:hanging="180"/>
              <w:rPr>
                <w:rFonts w:ascii="Tahoma" w:hAnsi="Tahoma" w:cs="Tahoma"/>
              </w:rPr>
            </w:pPr>
            <w:r w:rsidRPr="00D87B79">
              <w:rPr>
                <w:rFonts w:ascii="Tahoma" w:hAnsi="Tahoma" w:cs="Tahoma"/>
                <w:sz w:val="18"/>
                <w:lang w:val="it-IT"/>
              </w:rPr>
              <w:t>1 Licenza External Connector Limitata per Microsoft Dynamics CRM 4.0</w:t>
            </w:r>
          </w:p>
          <w:p w:rsidR="00A92422" w:rsidRPr="00D87B79" w:rsidRDefault="00A92422" w:rsidP="00EA30FC">
            <w:pPr>
              <w:pStyle w:val="ColorfulList-Accent11"/>
              <w:spacing w:line="276" w:lineRule="auto"/>
              <w:ind w:left="288" w:right="162" w:hanging="180"/>
              <w:jc w:val="center"/>
              <w:rPr>
                <w:rFonts w:ascii="Tahoma" w:hAnsi="Tahoma" w:cs="Tahoma"/>
              </w:rPr>
            </w:pPr>
            <w:r w:rsidRPr="00D87B79">
              <w:rPr>
                <w:rFonts w:ascii="Tahoma" w:hAnsi="Tahoma" w:cs="Tahoma"/>
                <w:sz w:val="18"/>
                <w:lang w:val="it-IT"/>
              </w:rPr>
              <w:t>E</w:t>
            </w:r>
          </w:p>
          <w:p w:rsidR="00A92422" w:rsidRPr="00D87B79" w:rsidRDefault="00A92422" w:rsidP="00EA30FC">
            <w:pPr>
              <w:pStyle w:val="ColorfulList-Accent11"/>
              <w:spacing w:line="276" w:lineRule="auto"/>
              <w:ind w:left="288" w:right="162" w:hanging="180"/>
              <w:rPr>
                <w:rFonts w:ascii="Tahoma" w:hAnsi="Tahoma" w:cs="Tahoma"/>
                <w:sz w:val="18"/>
                <w:szCs w:val="20"/>
              </w:rPr>
            </w:pPr>
            <w:r w:rsidRPr="00D87B79">
              <w:rPr>
                <w:rFonts w:ascii="Tahoma" w:hAnsi="Tahoma" w:cs="Tahoma"/>
                <w:sz w:val="18"/>
                <w:szCs w:val="20"/>
                <w:lang w:val="it-IT"/>
              </w:rPr>
              <w:t>1 Licenza External Connector Aggiuntiva per l’Utilizzo Completo di Microsoft Dynamics CRM</w:t>
            </w:r>
            <w:r>
              <w:rPr>
                <w:rFonts w:ascii="Tahoma" w:hAnsi="Tahoma" w:cs="Tahoma"/>
                <w:sz w:val="18"/>
                <w:szCs w:val="20"/>
                <w:lang w:val="it-IT"/>
              </w:rPr>
              <w:t> </w:t>
            </w:r>
            <w:r w:rsidRPr="00D87B79">
              <w:rPr>
                <w:rFonts w:ascii="Tahoma" w:hAnsi="Tahoma" w:cs="Tahoma"/>
                <w:sz w:val="18"/>
                <w:szCs w:val="20"/>
                <w:lang w:val="it-IT"/>
              </w:rPr>
              <w:t>4.0</w:t>
            </w:r>
          </w:p>
        </w:tc>
      </w:tr>
      <w:tr w:rsidR="00A92422" w:rsidRPr="00D87B79" w:rsidTr="00EA30FC">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A92422" w:rsidRPr="00D87B79" w:rsidRDefault="00A92422" w:rsidP="00EA30FC">
            <w:pPr>
              <w:rPr>
                <w:rFonts w:cs="Tahoma"/>
                <w:color w:val="000000"/>
                <w:szCs w:val="20"/>
              </w:rPr>
            </w:pPr>
            <w:r w:rsidRPr="00D87B79">
              <w:rPr>
                <w:rFonts w:cs="Tahoma"/>
                <w:color w:val="000000"/>
                <w:szCs w:val="20"/>
                <w:lang w:val="it-IT"/>
              </w:rPr>
              <w:t>Microsoft Dynamics CRM Server 2011</w:t>
            </w:r>
          </w:p>
        </w:tc>
        <w:tc>
          <w:tcPr>
            <w:tcW w:w="4140" w:type="dxa"/>
            <w:tcBorders>
              <w:top w:val="nil"/>
              <w:left w:val="nil"/>
              <w:bottom w:val="single" w:sz="8" w:space="0" w:color="000000"/>
              <w:right w:val="single" w:sz="8" w:space="0" w:color="000000"/>
            </w:tcBorders>
          </w:tcPr>
          <w:p w:rsidR="00A92422" w:rsidRPr="00D87B79" w:rsidRDefault="00A92422" w:rsidP="00EA30FC">
            <w:pPr>
              <w:pStyle w:val="ColorfulList-Accent11"/>
              <w:spacing w:line="276" w:lineRule="auto"/>
              <w:ind w:left="288" w:right="162" w:hanging="180"/>
              <w:rPr>
                <w:rFonts w:ascii="Tahoma" w:hAnsi="Tahoma" w:cs="Tahoma"/>
              </w:rPr>
            </w:pPr>
            <w:r w:rsidRPr="00D87B79">
              <w:rPr>
                <w:rFonts w:ascii="Tahoma" w:hAnsi="Tahoma" w:cs="Tahoma"/>
                <w:sz w:val="18"/>
                <w:lang w:val="it-IT"/>
              </w:rPr>
              <w:t>1 Microsoft Dynamics CRM 4.0 Professional</w:t>
            </w:r>
            <w:r>
              <w:rPr>
                <w:rFonts w:ascii="Tahoma" w:hAnsi="Tahoma" w:cs="Tahoma"/>
                <w:sz w:val="18"/>
                <w:lang w:val="it-IT"/>
              </w:rPr>
              <w:t> </w:t>
            </w:r>
            <w:r w:rsidRPr="00D87B79">
              <w:rPr>
                <w:rFonts w:ascii="Tahoma" w:hAnsi="Tahoma" w:cs="Tahoma"/>
                <w:sz w:val="18"/>
                <w:lang w:val="it-IT"/>
              </w:rPr>
              <w:t>Server</w:t>
            </w:r>
            <w:r w:rsidRPr="00D87B79">
              <w:rPr>
                <w:rFonts w:ascii="Tahoma" w:hAnsi="Tahoma" w:cs="Tahoma"/>
              </w:rPr>
              <w:t xml:space="preserve"> </w:t>
            </w:r>
          </w:p>
          <w:p w:rsidR="00A92422" w:rsidRPr="00D87B79" w:rsidRDefault="00A92422" w:rsidP="00EA30FC">
            <w:pPr>
              <w:pStyle w:val="ColorfulList-Accent11"/>
              <w:spacing w:line="276" w:lineRule="auto"/>
              <w:ind w:left="288" w:right="162" w:hanging="180"/>
              <w:jc w:val="center"/>
              <w:rPr>
                <w:rFonts w:ascii="Tahoma" w:hAnsi="Tahoma" w:cs="Tahoma"/>
              </w:rPr>
            </w:pPr>
            <w:r w:rsidRPr="00D87B79">
              <w:rPr>
                <w:rFonts w:ascii="Tahoma" w:hAnsi="Tahoma" w:cs="Tahoma"/>
                <w:sz w:val="18"/>
                <w:lang w:val="it-IT"/>
              </w:rPr>
              <w:t>O</w:t>
            </w:r>
          </w:p>
          <w:p w:rsidR="00A92422" w:rsidRPr="00D87B79" w:rsidRDefault="00A92422" w:rsidP="00EA30FC">
            <w:pPr>
              <w:pStyle w:val="ColorfulList-Accent11"/>
              <w:spacing w:line="276" w:lineRule="auto"/>
              <w:ind w:left="288" w:right="162" w:hanging="180"/>
              <w:rPr>
                <w:rFonts w:ascii="Tahoma" w:hAnsi="Tahoma" w:cs="Tahoma"/>
                <w:sz w:val="18"/>
                <w:szCs w:val="20"/>
              </w:rPr>
            </w:pPr>
            <w:r w:rsidRPr="00D87B79">
              <w:rPr>
                <w:rFonts w:ascii="Tahoma" w:hAnsi="Tahoma" w:cs="Tahoma"/>
                <w:sz w:val="18"/>
                <w:lang w:val="it-IT"/>
              </w:rPr>
              <w:t>1 Microsoft Dynamics CRM 4.0 Enterprise Server</w:t>
            </w:r>
            <w:r w:rsidRPr="00D87B79">
              <w:rPr>
                <w:rFonts w:ascii="Tahoma" w:hAnsi="Tahoma" w:cs="Tahoma"/>
              </w:rPr>
              <w:t xml:space="preserve"> </w:t>
            </w:r>
          </w:p>
        </w:tc>
      </w:tr>
      <w:tr w:rsidR="00A92422" w:rsidRPr="00D87B79" w:rsidTr="00EA30FC">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A92422" w:rsidRPr="00D87B79" w:rsidRDefault="00A92422" w:rsidP="00EA30FC">
            <w:pPr>
              <w:rPr>
                <w:rFonts w:cs="Tahoma"/>
                <w:color w:val="000000"/>
                <w:szCs w:val="20"/>
              </w:rPr>
            </w:pPr>
            <w:r w:rsidRPr="00D87B79">
              <w:rPr>
                <w:rFonts w:cs="Tahoma"/>
                <w:color w:val="000000"/>
                <w:lang w:val="it-IT"/>
              </w:rPr>
              <w:t>Microsoft Dynamics CRM Workgroup Server 2011</w:t>
            </w:r>
          </w:p>
        </w:tc>
        <w:tc>
          <w:tcPr>
            <w:tcW w:w="4140" w:type="dxa"/>
            <w:tcBorders>
              <w:top w:val="nil"/>
              <w:left w:val="nil"/>
              <w:bottom w:val="single" w:sz="8" w:space="0" w:color="000000"/>
              <w:right w:val="single" w:sz="8" w:space="0" w:color="000000"/>
            </w:tcBorders>
          </w:tcPr>
          <w:p w:rsidR="00A92422" w:rsidRPr="00D87B79" w:rsidRDefault="00A92422" w:rsidP="00EA30FC">
            <w:pPr>
              <w:pStyle w:val="ColorfulList-Accent11"/>
              <w:spacing w:line="276" w:lineRule="auto"/>
              <w:ind w:left="288" w:right="162" w:hanging="180"/>
              <w:rPr>
                <w:rFonts w:ascii="Tahoma" w:hAnsi="Tahoma" w:cs="Tahoma"/>
                <w:sz w:val="18"/>
                <w:szCs w:val="20"/>
              </w:rPr>
            </w:pPr>
            <w:r w:rsidRPr="00D87B79">
              <w:rPr>
                <w:rFonts w:ascii="Tahoma" w:hAnsi="Tahoma" w:cs="Tahoma"/>
                <w:sz w:val="18"/>
                <w:lang w:val="it-IT"/>
              </w:rPr>
              <w:t>1 Microsoft Dynamics CRM 4.0 Workgroup</w:t>
            </w:r>
            <w:r>
              <w:rPr>
                <w:rFonts w:ascii="Tahoma" w:hAnsi="Tahoma" w:cs="Tahoma"/>
                <w:sz w:val="18"/>
                <w:lang w:val="it-IT"/>
              </w:rPr>
              <w:t> </w:t>
            </w:r>
            <w:r w:rsidRPr="00D87B79">
              <w:rPr>
                <w:rFonts w:ascii="Tahoma" w:hAnsi="Tahoma" w:cs="Tahoma"/>
                <w:sz w:val="18"/>
                <w:lang w:val="it-IT"/>
              </w:rPr>
              <w:t>Server</w:t>
            </w:r>
            <w:r w:rsidRPr="00D87B79">
              <w:rPr>
                <w:rFonts w:ascii="Tahoma" w:hAnsi="Tahoma" w:cs="Tahoma"/>
              </w:rPr>
              <w:t xml:space="preserve"> </w:t>
            </w:r>
          </w:p>
        </w:tc>
      </w:tr>
    </w:tbl>
    <w:p w:rsidR="00A92422" w:rsidRPr="00D87B79" w:rsidRDefault="00A92422" w:rsidP="00A92422">
      <w:pPr>
        <w:rPr>
          <w:rFonts w:cs="Tahoma"/>
        </w:rPr>
      </w:pPr>
      <w:r w:rsidRPr="00D87B79">
        <w:rPr>
          <w:rFonts w:cs="Tahoma"/>
          <w:szCs w:val="20"/>
        </w:rPr>
        <w:t xml:space="preserve"> </w:t>
      </w:r>
    </w:p>
    <w:p w:rsidR="00A92422" w:rsidRPr="00D87B79" w:rsidRDefault="00A92422" w:rsidP="00A92422">
      <w:pPr>
        <w:ind w:left="720"/>
        <w:rPr>
          <w:rFonts w:cs="Tahoma"/>
        </w:rPr>
      </w:pPr>
      <w:r w:rsidRPr="00D87B79">
        <w:rPr>
          <w:rFonts w:cs="Tahoma"/>
          <w:szCs w:val="20"/>
          <w:lang w:val="it-IT"/>
        </w:rPr>
        <w:t>Il diritto della società di utilizzare Microsoft Dynamics CRM 4.0 è soggetto alle condizioni di un contratto di</w:t>
      </w:r>
      <w:r>
        <w:rPr>
          <w:rFonts w:cs="Tahoma"/>
          <w:szCs w:val="20"/>
          <w:lang w:val="it-IT"/>
        </w:rPr>
        <w:t> </w:t>
      </w:r>
      <w:r w:rsidRPr="00D87B79">
        <w:rPr>
          <w:rFonts w:cs="Tahoma"/>
          <w:szCs w:val="20"/>
          <w:lang w:val="it-IT"/>
        </w:rPr>
        <w:t>licenza della società, ai diritti di utilizzo del prodotto relativi a Microsoft Dynamics CRM 4.0 e alle presenti condizioni.</w:t>
      </w:r>
      <w:r w:rsidRPr="00D87B79">
        <w:rPr>
          <w:rFonts w:cs="Tahoma"/>
        </w:rPr>
        <w:t xml:space="preserve"> </w:t>
      </w:r>
      <w:r w:rsidRPr="00D87B79">
        <w:rPr>
          <w:rFonts w:cs="Tahoma"/>
          <w:lang w:val="it-IT"/>
        </w:rPr>
        <w:t>Tale diritto cesserà alla scadenza o alla risoluzione del diritto di utilizzo di Microsoft Dynamics CRM 2011 ai sensi delle relative licenze qualificanti per Microsoft Dynamics CRM 2011.</w:t>
      </w:r>
      <w:r w:rsidRPr="00D87B79">
        <w:rPr>
          <w:rFonts w:cs="Tahoma"/>
        </w:rPr>
        <w:t xml:space="preserve"> </w:t>
      </w:r>
    </w:p>
    <w:p w:rsidR="00A92422" w:rsidRPr="00D87B79" w:rsidRDefault="00A92422" w:rsidP="00A92422">
      <w:pPr>
        <w:ind w:left="540"/>
        <w:rPr>
          <w:rFonts w:cs="Tahoma"/>
        </w:rPr>
      </w:pPr>
    </w:p>
    <w:p w:rsidR="00A92422" w:rsidRPr="00D87B79" w:rsidRDefault="00A92422" w:rsidP="00A92422">
      <w:pPr>
        <w:spacing w:after="60"/>
        <w:ind w:left="720"/>
        <w:rPr>
          <w:rFonts w:cs="Tahoma"/>
        </w:rPr>
      </w:pPr>
      <w:r w:rsidRPr="00D87B79">
        <w:rPr>
          <w:rFonts w:cs="Tahoma"/>
          <w:b/>
          <w:color w:val="000000"/>
          <w:lang w:val="it-IT"/>
        </w:rPr>
        <w:t>Opzioni delle Licenze CAL ed External Connector</w:t>
      </w:r>
    </w:p>
    <w:p w:rsidR="00A92422" w:rsidRPr="00D87B79" w:rsidRDefault="00A92422" w:rsidP="00A92422">
      <w:pPr>
        <w:ind w:left="720"/>
        <w:rPr>
          <w:rFonts w:cs="Tahoma"/>
        </w:rPr>
      </w:pPr>
      <w:r w:rsidRPr="00D87B79">
        <w:rPr>
          <w:rFonts w:cs="Tahoma"/>
          <w:color w:val="000000"/>
          <w:lang w:val="it-IT"/>
        </w:rPr>
        <w:t>Gli utilizzi autorizzati ai sensi delle diverse licenze CAL per Microsoft Dynamics CRM 2011 sono delineati nella</w:t>
      </w:r>
      <w:r>
        <w:rPr>
          <w:rFonts w:cs="Tahoma"/>
          <w:color w:val="000000"/>
          <w:lang w:val="it-IT"/>
        </w:rPr>
        <w:t> </w:t>
      </w:r>
      <w:r w:rsidRPr="00D87B79">
        <w:rPr>
          <w:rFonts w:cs="Tahoma"/>
          <w:color w:val="000000"/>
          <w:lang w:val="it-IT"/>
        </w:rPr>
        <w:t>tabella che segue.</w:t>
      </w:r>
      <w:r w:rsidRPr="00D87B79">
        <w:rPr>
          <w:rFonts w:cs="Tahoma"/>
        </w:rPr>
        <w:t xml:space="preserve"> </w:t>
      </w:r>
      <w:r w:rsidRPr="00D87B79">
        <w:rPr>
          <w:rFonts w:cs="Tahoma"/>
          <w:color w:val="000000"/>
          <w:lang w:val="it-IT"/>
        </w:rPr>
        <w:t>La CAL Limitata e la CAL Completa sono offerte che includono più licenze.</w:t>
      </w:r>
    </w:p>
    <w:p w:rsidR="00A92422" w:rsidRPr="00D87B79" w:rsidRDefault="00A92422" w:rsidP="00A92422">
      <w:pPr>
        <w:pStyle w:val="ListParagraph"/>
        <w:ind w:left="0"/>
        <w:rPr>
          <w:rFonts w:ascii="Tahoma" w:hAnsi="Tahoma" w:cs="Tahoma"/>
        </w:rPr>
      </w:pPr>
    </w:p>
    <w:tbl>
      <w:tblPr>
        <w:tblW w:w="9045" w:type="dxa"/>
        <w:tblInd w:w="598" w:type="dxa"/>
        <w:tblLayout w:type="fixed"/>
        <w:tblCellMar>
          <w:left w:w="58" w:type="dxa"/>
          <w:right w:w="58" w:type="dxa"/>
        </w:tblCellMar>
        <w:tblLook w:val="04A0" w:firstRow="1" w:lastRow="0" w:firstColumn="1" w:lastColumn="0" w:noHBand="0" w:noVBand="1"/>
      </w:tblPr>
      <w:tblGrid>
        <w:gridCol w:w="2826"/>
        <w:gridCol w:w="720"/>
        <w:gridCol w:w="999"/>
        <w:gridCol w:w="1026"/>
        <w:gridCol w:w="1089"/>
        <w:gridCol w:w="1278"/>
        <w:gridCol w:w="1107"/>
      </w:tblGrid>
      <w:tr w:rsidR="00A92422" w:rsidRPr="00D87B79" w:rsidTr="00EA30FC">
        <w:trPr>
          <w:trHeight w:val="226"/>
          <w:tblHeader/>
        </w:trPr>
        <w:tc>
          <w:tcPr>
            <w:tcW w:w="2826" w:type="dxa"/>
            <w:tcBorders>
              <w:top w:val="single" w:sz="4" w:space="0" w:color="auto"/>
              <w:left w:val="single" w:sz="4" w:space="0" w:color="auto"/>
              <w:bottom w:val="single" w:sz="4" w:space="0" w:color="auto"/>
              <w:right w:val="single" w:sz="4" w:space="0" w:color="auto"/>
            </w:tcBorders>
            <w:shd w:val="clear" w:color="auto" w:fill="FABF8F"/>
          </w:tcPr>
          <w:p w:rsidR="00A92422" w:rsidRPr="00D87B79" w:rsidRDefault="00A92422" w:rsidP="00EA30FC">
            <w:pPr>
              <w:pStyle w:val="TableHeading"/>
              <w:rPr>
                <w:rFonts w:ascii="Tahoma" w:hAnsi="Tahoma" w:cs="Tahoma"/>
                <w:color w:val="000000"/>
                <w:sz w:val="18"/>
                <w:szCs w:val="18"/>
              </w:rPr>
            </w:pPr>
            <w:r w:rsidRPr="00D87B79">
              <w:rPr>
                <w:rFonts w:ascii="Tahoma" w:hAnsi="Tahoma" w:cs="Tahoma"/>
                <w:color w:val="000000"/>
                <w:sz w:val="18"/>
                <w:szCs w:val="18"/>
                <w:lang w:val="it-IT"/>
              </w:rPr>
              <w:t>Diritti sull’Utilizzo</w:t>
            </w:r>
          </w:p>
        </w:tc>
        <w:tc>
          <w:tcPr>
            <w:tcW w:w="720" w:type="dxa"/>
            <w:tcBorders>
              <w:top w:val="single" w:sz="4" w:space="0" w:color="auto"/>
              <w:left w:val="single" w:sz="4" w:space="0" w:color="auto"/>
              <w:bottom w:val="single" w:sz="4" w:space="0" w:color="auto"/>
              <w:right w:val="single" w:sz="4" w:space="0" w:color="auto"/>
            </w:tcBorders>
            <w:shd w:val="clear" w:color="auto" w:fill="FABF8F"/>
          </w:tcPr>
          <w:p w:rsidR="00A92422" w:rsidRPr="00D87B79" w:rsidRDefault="00A92422" w:rsidP="00EA30FC">
            <w:pPr>
              <w:pStyle w:val="TableHeading"/>
              <w:rPr>
                <w:rFonts w:ascii="Tahoma" w:hAnsi="Tahoma" w:cs="Tahoma"/>
                <w:color w:val="000000"/>
                <w:sz w:val="18"/>
                <w:szCs w:val="18"/>
              </w:rPr>
            </w:pPr>
            <w:r w:rsidRPr="00D87B79">
              <w:rPr>
                <w:rFonts w:ascii="Tahoma" w:hAnsi="Tahoma" w:cs="Tahoma"/>
                <w:color w:val="000000"/>
                <w:sz w:val="18"/>
                <w:szCs w:val="18"/>
                <w:lang w:val="it-IT"/>
              </w:rPr>
              <w:t>CAL per ESS</w:t>
            </w:r>
          </w:p>
        </w:tc>
        <w:tc>
          <w:tcPr>
            <w:tcW w:w="999" w:type="dxa"/>
            <w:tcBorders>
              <w:top w:val="single" w:sz="4" w:space="0" w:color="auto"/>
              <w:left w:val="single" w:sz="4" w:space="0" w:color="auto"/>
              <w:bottom w:val="single" w:sz="4" w:space="0" w:color="auto"/>
              <w:right w:val="single" w:sz="4" w:space="0" w:color="auto"/>
            </w:tcBorders>
            <w:shd w:val="clear" w:color="auto" w:fill="FABF8F"/>
          </w:tcPr>
          <w:p w:rsidR="00A92422" w:rsidRPr="00D87B79" w:rsidRDefault="00A92422" w:rsidP="00EA30FC">
            <w:pPr>
              <w:pStyle w:val="TableHeading"/>
              <w:ind w:right="-13"/>
              <w:rPr>
                <w:rFonts w:ascii="Tahoma" w:hAnsi="Tahoma" w:cs="Tahoma"/>
                <w:color w:val="000000"/>
                <w:sz w:val="18"/>
                <w:szCs w:val="18"/>
              </w:rPr>
            </w:pPr>
            <w:r w:rsidRPr="00D87B79">
              <w:rPr>
                <w:rFonts w:ascii="Tahoma" w:hAnsi="Tahoma" w:cs="Tahoma"/>
                <w:color w:val="000000"/>
                <w:sz w:val="18"/>
                <w:szCs w:val="18"/>
                <w:lang w:val="it-IT"/>
              </w:rPr>
              <w:t>CAL Limitata</w:t>
            </w:r>
          </w:p>
        </w:tc>
        <w:tc>
          <w:tcPr>
            <w:tcW w:w="1026" w:type="dxa"/>
            <w:tcBorders>
              <w:top w:val="single" w:sz="4" w:space="0" w:color="auto"/>
              <w:left w:val="single" w:sz="4" w:space="0" w:color="auto"/>
              <w:bottom w:val="single" w:sz="4" w:space="0" w:color="auto"/>
              <w:right w:val="single" w:sz="4" w:space="0" w:color="auto"/>
            </w:tcBorders>
            <w:shd w:val="clear" w:color="auto" w:fill="FABF8F"/>
          </w:tcPr>
          <w:p w:rsidR="00A92422" w:rsidRPr="00D87B79" w:rsidRDefault="00A92422" w:rsidP="00EA30FC">
            <w:pPr>
              <w:pStyle w:val="TableHeading"/>
              <w:ind w:right="-103"/>
              <w:rPr>
                <w:rFonts w:ascii="Tahoma" w:hAnsi="Tahoma" w:cs="Tahoma"/>
                <w:color w:val="000000"/>
                <w:sz w:val="18"/>
                <w:szCs w:val="18"/>
              </w:rPr>
            </w:pPr>
            <w:r w:rsidRPr="00D87B79">
              <w:rPr>
                <w:rFonts w:ascii="Tahoma" w:hAnsi="Tahoma" w:cs="Tahoma"/>
                <w:color w:val="000000"/>
                <w:sz w:val="18"/>
                <w:szCs w:val="18"/>
                <w:lang w:val="it-IT"/>
              </w:rPr>
              <w:t>CAL Completa</w:t>
            </w:r>
          </w:p>
        </w:tc>
        <w:tc>
          <w:tcPr>
            <w:tcW w:w="1089" w:type="dxa"/>
            <w:tcBorders>
              <w:top w:val="single" w:sz="4" w:space="0" w:color="auto"/>
              <w:left w:val="single" w:sz="4" w:space="0" w:color="auto"/>
              <w:bottom w:val="single" w:sz="4" w:space="0" w:color="auto"/>
              <w:right w:val="single" w:sz="4" w:space="0" w:color="auto"/>
            </w:tcBorders>
            <w:shd w:val="clear" w:color="auto" w:fill="FABF8F"/>
          </w:tcPr>
          <w:p w:rsidR="00A92422" w:rsidRPr="00D87B79" w:rsidRDefault="00A92422" w:rsidP="00EA30FC">
            <w:pPr>
              <w:pStyle w:val="TableHeading"/>
              <w:rPr>
                <w:rFonts w:ascii="Tahoma" w:hAnsi="Tahoma" w:cs="Tahoma"/>
                <w:color w:val="000000"/>
                <w:sz w:val="18"/>
                <w:szCs w:val="18"/>
              </w:rPr>
            </w:pPr>
            <w:r w:rsidRPr="00D87B79">
              <w:rPr>
                <w:rFonts w:ascii="Tahoma" w:hAnsi="Tahoma" w:cs="Tahoma"/>
                <w:color w:val="000000"/>
                <w:sz w:val="18"/>
                <w:szCs w:val="18"/>
                <w:lang w:val="it-IT"/>
              </w:rPr>
              <w:t>CAL Aggiunta per l’Utilizzo Limitato</w:t>
            </w:r>
          </w:p>
        </w:tc>
        <w:tc>
          <w:tcPr>
            <w:tcW w:w="1278" w:type="dxa"/>
            <w:tcBorders>
              <w:top w:val="single" w:sz="4" w:space="0" w:color="auto"/>
              <w:left w:val="single" w:sz="4" w:space="0" w:color="auto"/>
              <w:bottom w:val="single" w:sz="4" w:space="0" w:color="auto"/>
              <w:right w:val="single" w:sz="4" w:space="0" w:color="auto"/>
            </w:tcBorders>
            <w:shd w:val="clear" w:color="auto" w:fill="FABF8F"/>
          </w:tcPr>
          <w:p w:rsidR="00A92422" w:rsidRPr="00D87B79" w:rsidRDefault="00A92422" w:rsidP="00EA30FC">
            <w:pPr>
              <w:pStyle w:val="TableHeading"/>
              <w:rPr>
                <w:rFonts w:ascii="Tahoma" w:hAnsi="Tahoma" w:cs="Tahoma"/>
                <w:color w:val="000000"/>
                <w:sz w:val="18"/>
                <w:szCs w:val="18"/>
              </w:rPr>
            </w:pPr>
            <w:r w:rsidRPr="00D87B79">
              <w:rPr>
                <w:rFonts w:ascii="Tahoma" w:hAnsi="Tahoma" w:cs="Tahoma"/>
                <w:color w:val="000000"/>
                <w:sz w:val="18"/>
                <w:szCs w:val="18"/>
                <w:lang w:val="it-IT"/>
              </w:rPr>
              <w:t>CAL Aggiuntiva per l’Utilizzo Completo</w:t>
            </w:r>
          </w:p>
        </w:tc>
        <w:tc>
          <w:tcPr>
            <w:tcW w:w="1107" w:type="dxa"/>
            <w:tcBorders>
              <w:top w:val="single" w:sz="4" w:space="0" w:color="auto"/>
              <w:left w:val="single" w:sz="4" w:space="0" w:color="auto"/>
              <w:bottom w:val="single" w:sz="4" w:space="0" w:color="auto"/>
              <w:right w:val="single" w:sz="4" w:space="0" w:color="auto"/>
            </w:tcBorders>
            <w:shd w:val="clear" w:color="auto" w:fill="FABF8F"/>
          </w:tcPr>
          <w:p w:rsidR="00A92422" w:rsidRPr="00D87B79" w:rsidRDefault="00A92422" w:rsidP="00EA30FC">
            <w:pPr>
              <w:pStyle w:val="TableHeading"/>
              <w:ind w:right="-89"/>
              <w:rPr>
                <w:rFonts w:ascii="Tahoma" w:hAnsi="Tahoma" w:cs="Tahoma"/>
                <w:color w:val="000000"/>
                <w:sz w:val="18"/>
                <w:szCs w:val="18"/>
              </w:rPr>
            </w:pPr>
            <w:r w:rsidRPr="00D87B79">
              <w:rPr>
                <w:rFonts w:ascii="Tahoma" w:hAnsi="Tahoma" w:cs="Tahoma"/>
                <w:color w:val="000000"/>
                <w:sz w:val="18"/>
                <w:szCs w:val="18"/>
                <w:lang w:val="it-IT"/>
              </w:rPr>
              <w:t>External Connector</w:t>
            </w:r>
          </w:p>
        </w:tc>
      </w:tr>
      <w:tr w:rsidR="00A92422" w:rsidRPr="00D87B79" w:rsidTr="00EA30FC">
        <w:trPr>
          <w:trHeight w:val="199"/>
        </w:trPr>
        <w:tc>
          <w:tcPr>
            <w:tcW w:w="2826" w:type="dxa"/>
            <w:tcBorders>
              <w:top w:val="single" w:sz="4" w:space="0" w:color="auto"/>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Creazione di Account utilizzando l’Accesso alle API</w:t>
            </w:r>
          </w:p>
        </w:tc>
        <w:tc>
          <w:tcPr>
            <w:tcW w:w="720" w:type="dxa"/>
            <w:tcBorders>
              <w:top w:val="single" w:sz="4" w:space="0" w:color="auto"/>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999" w:type="dxa"/>
            <w:tcBorders>
              <w:top w:val="single" w:sz="4" w:space="0" w:color="auto"/>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26" w:type="dxa"/>
            <w:tcBorders>
              <w:top w:val="single" w:sz="4" w:space="0" w:color="auto"/>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89" w:type="dxa"/>
            <w:tcBorders>
              <w:top w:val="single" w:sz="4" w:space="0" w:color="auto"/>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278" w:type="dxa"/>
            <w:tcBorders>
              <w:top w:val="single" w:sz="4" w:space="0" w:color="auto"/>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107" w:type="dxa"/>
            <w:tcBorders>
              <w:top w:val="single" w:sz="4" w:space="0" w:color="auto"/>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r>
      <w:tr w:rsidR="00A92422" w:rsidRPr="00D87B79" w:rsidTr="00EA30FC">
        <w:trPr>
          <w:trHeight w:val="352"/>
        </w:trPr>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lang w:val="fr-FR"/>
              </w:rPr>
            </w:pPr>
            <w:r w:rsidRPr="00D87B79">
              <w:rPr>
                <w:rFonts w:ascii="Tahoma" w:hAnsi="Tahoma" w:cs="Tahoma"/>
                <w:sz w:val="18"/>
                <w:lang w:val="it-IT"/>
              </w:rPr>
              <w:t>Creazione di Contatti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r>
      <w:tr w:rsidR="00A92422" w:rsidRPr="00D87B79" w:rsidTr="00EA30FC">
        <w:trPr>
          <w:cantSplit/>
        </w:trPr>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Creazione di Casi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r>
      <w:tr w:rsidR="00A92422" w:rsidRPr="00D87B7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Creazione di Lead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r>
      <w:tr w:rsidR="00A92422" w:rsidRPr="00D87B7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lang w:val="it-IT"/>
              </w:rPr>
              <w:t>Creazione di Attività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r>
      <w:tr w:rsidR="00A92422" w:rsidRPr="00D87B7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Creazione di Note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r>
      <w:tr w:rsidR="00A92422" w:rsidRPr="00D87B7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lang w:val="it-IT"/>
              </w:rPr>
              <w:t>Creazione di record delle persone giuridiche personalizzati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r>
      <w:tr w:rsidR="00A92422" w:rsidRPr="00D87B7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lang w:val="it-IT"/>
              </w:rPr>
              <w:t xml:space="preserve">Aggiornamento di Account </w:t>
            </w:r>
            <w:r w:rsidRPr="00D87B79">
              <w:rPr>
                <w:rFonts w:ascii="Tahoma" w:hAnsi="Tahoma" w:cs="Tahoma"/>
                <w:sz w:val="18"/>
                <w:lang w:val="it-IT"/>
              </w:rPr>
              <w:lastRenderedPageBreak/>
              <w:t>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lastRenderedPageBreak/>
              <w:sym w:font="Wingdings" w:char="F0FC"/>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r>
      <w:tr w:rsidR="00A92422" w:rsidRPr="00D87B7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lang w:val="it-IT"/>
              </w:rPr>
              <w:lastRenderedPageBreak/>
              <w:t>Aggiornamento di Contatti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r>
      <w:tr w:rsidR="00A92422" w:rsidRPr="00D87B7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Aggiornamento di Casi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r>
      <w:tr w:rsidR="00A92422" w:rsidRPr="00D87B7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Aggiornamento di Lead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r>
      <w:tr w:rsidR="00A92422" w:rsidRPr="00D87B7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Aggiornamento di Attività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r>
      <w:tr w:rsidR="00A92422" w:rsidRPr="00D87B7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Aggiornamento di Note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r>
      <w:tr w:rsidR="00A92422" w:rsidRPr="00D87B7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Aggiornamento di record delle persone giuridiche personalizzati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r>
      <w:tr w:rsidR="00A92422" w:rsidRPr="00D87B7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Aggiunta di Account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r>
      <w:tr w:rsidR="00A92422" w:rsidRPr="00D87B7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Aggiunta di Contatti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r>
      <w:tr w:rsidR="00A92422" w:rsidRPr="00D87B7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Aggiunta di Casi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r>
      <w:tr w:rsidR="00A92422" w:rsidRPr="00D87B7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Aggiunta di Lead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r>
      <w:tr w:rsidR="00A92422" w:rsidRPr="00D87B7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Aggiunta di Attività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r>
      <w:tr w:rsidR="00A92422" w:rsidRPr="00D87B7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Aggiunta di Note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r>
      <w:tr w:rsidR="00A92422" w:rsidRPr="00D87B7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Aggiunta di record delle persone giuridiche personalizzati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r>
      <w:tr w:rsidR="00A92422" w:rsidRPr="00D87B7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Aggiunta ad Account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r>
      <w:tr w:rsidR="00A92422" w:rsidRPr="00D87B7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Aggiunta a Contatti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r>
      <w:tr w:rsidR="00A92422" w:rsidRPr="00D87B7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Aggiunta a Casi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r>
      <w:tr w:rsidR="00A92422" w:rsidRPr="00D87B7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Aggiunta a Lead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r>
      <w:tr w:rsidR="00A92422" w:rsidRPr="00D87B7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Aggiunta ad Attività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r>
      <w:tr w:rsidR="00A92422" w:rsidRPr="00D87B7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Aggiunta a Note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r>
      <w:tr w:rsidR="00A92422" w:rsidRPr="00D87B7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Aggiunta a record delle persone giuridiche personalizzati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r>
      <w:tr w:rsidR="00A92422" w:rsidRPr="00D87B7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Eliminazione di Account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r w:rsidRPr="00360EE3">
              <w:rPr>
                <w:rFonts w:cs="Tahoma"/>
                <w:b/>
                <w:sz w:val="24"/>
                <w:szCs w:val="24"/>
                <w:vertAlign w:val="superscript"/>
              </w:rPr>
              <w:t>2</w:t>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r w:rsidRPr="00360EE3">
              <w:rPr>
                <w:rFonts w:cs="Tahoma"/>
                <w:b/>
                <w:sz w:val="24"/>
                <w:szCs w:val="24"/>
              </w:rPr>
              <w:sym w:font="Wingdings" w:char="F0FC"/>
            </w:r>
            <w:r w:rsidRPr="00360EE3">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r w:rsidRPr="00360EE3">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r>
      <w:tr w:rsidR="00A92422" w:rsidRPr="00D87B7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Eliminazione di Contatti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r w:rsidRPr="00360EE3">
              <w:rPr>
                <w:rFonts w:cs="Tahoma"/>
                <w:b/>
                <w:sz w:val="24"/>
                <w:szCs w:val="24"/>
                <w:vertAlign w:val="superscript"/>
              </w:rPr>
              <w:t>2</w:t>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r w:rsidRPr="00360EE3">
              <w:rPr>
                <w:rFonts w:cs="Tahoma"/>
                <w:b/>
                <w:sz w:val="24"/>
                <w:szCs w:val="24"/>
              </w:rPr>
              <w:sym w:font="Wingdings" w:char="F0FC"/>
            </w:r>
            <w:r w:rsidRPr="00360EE3">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r w:rsidRPr="00360EE3">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r>
      <w:tr w:rsidR="00A92422" w:rsidRPr="00D87B7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Eliminazione di Casi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r w:rsidRPr="00360EE3">
              <w:rPr>
                <w:rFonts w:cs="Tahoma"/>
                <w:b/>
                <w:sz w:val="24"/>
                <w:szCs w:val="24"/>
                <w:vertAlign w:val="superscript"/>
              </w:rPr>
              <w:t>2</w:t>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r w:rsidRPr="00360EE3">
              <w:rPr>
                <w:rFonts w:cs="Tahoma"/>
                <w:b/>
                <w:sz w:val="24"/>
                <w:szCs w:val="24"/>
              </w:rPr>
              <w:sym w:font="Wingdings" w:char="F0FC"/>
            </w:r>
            <w:r w:rsidRPr="00360EE3">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r w:rsidRPr="00360EE3">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r>
      <w:tr w:rsidR="00A92422" w:rsidRPr="00D87B7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Eliminazione di Lead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r w:rsidRPr="00360EE3">
              <w:rPr>
                <w:rFonts w:cs="Tahoma"/>
                <w:b/>
                <w:sz w:val="24"/>
                <w:szCs w:val="24"/>
                <w:vertAlign w:val="superscript"/>
              </w:rPr>
              <w:t>2</w:t>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r w:rsidRPr="00360EE3">
              <w:rPr>
                <w:rFonts w:cs="Tahoma"/>
                <w:b/>
                <w:sz w:val="24"/>
                <w:szCs w:val="24"/>
              </w:rPr>
              <w:sym w:font="Wingdings" w:char="F0FC"/>
            </w:r>
            <w:r w:rsidRPr="00360EE3">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r w:rsidRPr="00360EE3">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r>
      <w:tr w:rsidR="00A92422" w:rsidRPr="00D87B7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lastRenderedPageBreak/>
              <w:t>Eliminazione di Attività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r w:rsidRPr="00360EE3">
              <w:rPr>
                <w:rFonts w:cs="Tahoma"/>
                <w:b/>
                <w:sz w:val="24"/>
                <w:szCs w:val="24"/>
                <w:vertAlign w:val="superscript"/>
              </w:rPr>
              <w:t>2</w:t>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r w:rsidRPr="00360EE3">
              <w:rPr>
                <w:rFonts w:cs="Tahoma"/>
                <w:b/>
                <w:sz w:val="24"/>
                <w:szCs w:val="24"/>
              </w:rPr>
              <w:sym w:font="Wingdings" w:char="F0FC"/>
            </w:r>
            <w:r w:rsidRPr="00360EE3">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r w:rsidRPr="00360EE3">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r>
      <w:tr w:rsidR="00A92422" w:rsidRPr="00D87B7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Eliminazione di Note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r w:rsidRPr="00360EE3">
              <w:rPr>
                <w:rFonts w:cs="Tahoma"/>
                <w:b/>
                <w:sz w:val="24"/>
                <w:szCs w:val="24"/>
                <w:vertAlign w:val="superscript"/>
              </w:rPr>
              <w:t>2</w:t>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r w:rsidRPr="00360EE3">
              <w:rPr>
                <w:rFonts w:cs="Tahoma"/>
                <w:b/>
                <w:sz w:val="24"/>
                <w:szCs w:val="24"/>
              </w:rPr>
              <w:sym w:font="Wingdings" w:char="F0FC"/>
            </w:r>
            <w:r w:rsidRPr="00360EE3">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r w:rsidRPr="00360EE3">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r>
      <w:tr w:rsidR="00A92422" w:rsidRPr="00D87B7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Eliminazione di record delle persone giuridiche personalizzati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r w:rsidRPr="00360EE3">
              <w:rPr>
                <w:rFonts w:cs="Tahoma"/>
                <w:b/>
                <w:sz w:val="24"/>
                <w:szCs w:val="24"/>
                <w:vertAlign w:val="superscript"/>
              </w:rPr>
              <w:t>2</w:t>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r w:rsidRPr="00360EE3">
              <w:rPr>
                <w:rFonts w:cs="Tahoma"/>
                <w:b/>
                <w:sz w:val="24"/>
                <w:szCs w:val="24"/>
              </w:rPr>
              <w:sym w:font="Wingdings" w:char="F0FC"/>
            </w:r>
            <w:r w:rsidRPr="00360EE3">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r w:rsidRPr="00360EE3">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r>
      <w:tr w:rsidR="00A92422" w:rsidRPr="00D87B7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Assegnazione di Account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r w:rsidRPr="00360EE3">
              <w:rPr>
                <w:rFonts w:cs="Tahoma"/>
                <w:b/>
                <w:sz w:val="24"/>
                <w:szCs w:val="24"/>
                <w:vertAlign w:val="superscript"/>
              </w:rPr>
              <w:t>2</w:t>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r w:rsidRPr="00360EE3">
              <w:rPr>
                <w:rFonts w:cs="Tahoma"/>
                <w:b/>
                <w:sz w:val="24"/>
                <w:szCs w:val="24"/>
              </w:rPr>
              <w:sym w:font="Wingdings" w:char="F0FC"/>
            </w:r>
            <w:r w:rsidRPr="00360EE3">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r w:rsidRPr="00360EE3">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r>
      <w:tr w:rsidR="00A92422" w:rsidRPr="00D87B7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Assegnazione di Contatti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r w:rsidRPr="00360EE3">
              <w:rPr>
                <w:rFonts w:cs="Tahoma"/>
                <w:b/>
                <w:sz w:val="24"/>
                <w:szCs w:val="24"/>
                <w:vertAlign w:val="superscript"/>
              </w:rPr>
              <w:t>2</w:t>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r w:rsidRPr="00360EE3">
              <w:rPr>
                <w:rFonts w:cs="Tahoma"/>
                <w:b/>
                <w:sz w:val="24"/>
                <w:szCs w:val="24"/>
              </w:rPr>
              <w:sym w:font="Wingdings" w:char="F0FC"/>
            </w:r>
            <w:r w:rsidRPr="00360EE3">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r w:rsidRPr="00360EE3">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r>
      <w:tr w:rsidR="00A92422" w:rsidRPr="00D87B7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Assegnazione di Casi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r w:rsidRPr="00360EE3">
              <w:rPr>
                <w:rFonts w:cs="Tahoma"/>
                <w:b/>
                <w:sz w:val="24"/>
                <w:szCs w:val="24"/>
                <w:vertAlign w:val="superscript"/>
              </w:rPr>
              <w:t>2</w:t>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r w:rsidRPr="00360EE3">
              <w:rPr>
                <w:rFonts w:cs="Tahoma"/>
                <w:b/>
                <w:sz w:val="24"/>
                <w:szCs w:val="24"/>
              </w:rPr>
              <w:sym w:font="Wingdings" w:char="F0FC"/>
            </w:r>
            <w:r w:rsidRPr="00360EE3">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r w:rsidRPr="00360EE3">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r>
      <w:tr w:rsidR="00A92422" w:rsidRPr="00D87B7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Assegnazione di Lead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r w:rsidRPr="00360EE3">
              <w:rPr>
                <w:rFonts w:cs="Tahoma"/>
                <w:b/>
                <w:sz w:val="24"/>
                <w:szCs w:val="24"/>
                <w:vertAlign w:val="superscript"/>
              </w:rPr>
              <w:t>2</w:t>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r w:rsidRPr="00360EE3">
              <w:rPr>
                <w:rFonts w:cs="Tahoma"/>
                <w:b/>
                <w:sz w:val="24"/>
                <w:szCs w:val="24"/>
              </w:rPr>
              <w:sym w:font="Wingdings" w:char="F0FC"/>
            </w:r>
            <w:r w:rsidRPr="00360EE3">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r w:rsidRPr="00360EE3">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r>
      <w:tr w:rsidR="00A92422" w:rsidRPr="00D87B7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Assegnazione di Attività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r w:rsidRPr="00360EE3">
              <w:rPr>
                <w:rFonts w:cs="Tahoma"/>
                <w:b/>
                <w:sz w:val="24"/>
                <w:szCs w:val="24"/>
                <w:vertAlign w:val="superscript"/>
              </w:rPr>
              <w:t>2</w:t>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r w:rsidRPr="00360EE3">
              <w:rPr>
                <w:rFonts w:cs="Tahoma"/>
                <w:b/>
                <w:sz w:val="24"/>
                <w:szCs w:val="24"/>
              </w:rPr>
              <w:sym w:font="Wingdings" w:char="F0FC"/>
            </w:r>
            <w:r w:rsidRPr="00360EE3">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r w:rsidRPr="00360EE3">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r>
      <w:tr w:rsidR="00A92422" w:rsidRPr="00D87B7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Assegnazione di record delle persone giuridiche personalizzati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r w:rsidRPr="00360EE3">
              <w:rPr>
                <w:rFonts w:cs="Tahoma"/>
                <w:b/>
                <w:sz w:val="24"/>
                <w:szCs w:val="24"/>
                <w:vertAlign w:val="superscript"/>
              </w:rPr>
              <w:t>2</w:t>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r w:rsidRPr="00360EE3">
              <w:rPr>
                <w:rFonts w:cs="Tahoma"/>
                <w:b/>
                <w:sz w:val="24"/>
                <w:szCs w:val="24"/>
              </w:rPr>
              <w:sym w:font="Wingdings" w:char="F0FC"/>
            </w:r>
            <w:r w:rsidRPr="00360EE3">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r w:rsidRPr="00360EE3">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r>
      <w:tr w:rsidR="00A92422" w:rsidRPr="00D87B79" w:rsidTr="00EA30FC">
        <w:trPr>
          <w:cantSplit/>
        </w:trPr>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Condivisione di Account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r w:rsidRPr="00360EE3">
              <w:rPr>
                <w:rFonts w:cs="Tahoma"/>
                <w:b/>
                <w:sz w:val="24"/>
                <w:szCs w:val="24"/>
                <w:vertAlign w:val="superscript"/>
              </w:rPr>
              <w:t>2</w:t>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cs="Tahoma"/>
                <w:b/>
                <w:sz w:val="24"/>
                <w:szCs w:val="24"/>
              </w:rPr>
            </w:pPr>
            <w:r w:rsidRPr="00360EE3">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r w:rsidRPr="00360EE3">
              <w:rPr>
                <w:rFonts w:cs="Tahoma"/>
                <w:b/>
                <w:sz w:val="24"/>
                <w:szCs w:val="24"/>
              </w:rPr>
              <w:sym w:font="Wingdings" w:char="F0FC"/>
            </w:r>
            <w:r w:rsidRPr="00360EE3">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r w:rsidRPr="00360EE3">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360EE3"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Condivisione di Contatti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r w:rsidRPr="00BC55C9">
              <w:rPr>
                <w:rFonts w:cs="Tahoma"/>
                <w:b/>
                <w:sz w:val="24"/>
                <w:szCs w:val="24"/>
                <w:vertAlign w:val="superscript"/>
              </w:rPr>
              <w:t>2</w:t>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r w:rsidRPr="00BC55C9">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Condivisione di Casi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r w:rsidRPr="00BC55C9">
              <w:rPr>
                <w:rFonts w:cs="Tahoma"/>
                <w:b/>
                <w:sz w:val="24"/>
                <w:szCs w:val="24"/>
                <w:vertAlign w:val="superscript"/>
              </w:rPr>
              <w:t>2</w:t>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r w:rsidRPr="00BC55C9">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Condivisione di Lead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r w:rsidRPr="00BC55C9">
              <w:rPr>
                <w:rFonts w:cs="Tahoma"/>
                <w:b/>
                <w:sz w:val="24"/>
                <w:szCs w:val="24"/>
                <w:vertAlign w:val="superscript"/>
              </w:rPr>
              <w:t>2</w:t>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r w:rsidRPr="00BC55C9">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Condivisione di Attività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r w:rsidRPr="00BC55C9">
              <w:rPr>
                <w:rFonts w:cs="Tahoma"/>
                <w:b/>
                <w:sz w:val="24"/>
                <w:szCs w:val="24"/>
                <w:vertAlign w:val="superscript"/>
              </w:rPr>
              <w:t>2</w:t>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r w:rsidRPr="00BC55C9">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Condivisione di record delle persone giuridiche personalizzati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r w:rsidRPr="00BC55C9">
              <w:rPr>
                <w:rFonts w:cs="Tahoma"/>
                <w:b/>
                <w:sz w:val="24"/>
                <w:szCs w:val="24"/>
                <w:vertAlign w:val="superscript"/>
              </w:rPr>
              <w:t>2</w:t>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r w:rsidRPr="00BC55C9">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lang w:val="it-IT"/>
              </w:rPr>
              <w:t>Creazione di Account utilizzando i</w:t>
            </w:r>
            <w:r>
              <w:rPr>
                <w:rFonts w:ascii="Tahoma" w:hAnsi="Tahoma" w:cs="Tahoma"/>
                <w:sz w:val="18"/>
                <w:lang w:val="it-IT"/>
              </w:rPr>
              <w:t> </w:t>
            </w:r>
            <w:r w:rsidRPr="00D87B79">
              <w:rPr>
                <w:rFonts w:ascii="Tahoma" w:hAnsi="Tahoma" w:cs="Tahoma"/>
                <w:sz w:val="18"/>
                <w:lang w:val="it-IT"/>
              </w:rPr>
              <w:t>client Microsoft Dynamics CRM</w:t>
            </w:r>
            <w:r w:rsidRPr="00D87B79">
              <w:rPr>
                <w:rFonts w:ascii="Tahoma" w:hAnsi="Tahoma" w:cs="Tahoma"/>
                <w:b/>
                <w:sz w:val="18"/>
                <w:vertAlign w:val="superscript"/>
                <w:lang w:val="it-IT"/>
              </w:rPr>
              <w:t>1</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 xml:space="preserve">Creazione di Contatti utilizzando </w:t>
            </w:r>
            <w:r>
              <w:rPr>
                <w:rFonts w:ascii="Tahoma" w:hAnsi="Tahoma" w:cs="Tahoma"/>
                <w:sz w:val="18"/>
                <w:szCs w:val="18"/>
                <w:lang w:val="it-IT"/>
              </w:rPr>
              <w:t>i</w:t>
            </w:r>
            <w:r>
              <w:t> </w:t>
            </w:r>
            <w:r w:rsidRPr="00D87B79">
              <w:rPr>
                <w:rFonts w:ascii="Tahoma" w:hAnsi="Tahoma" w:cs="Tahoma"/>
                <w:sz w:val="18"/>
                <w:szCs w:val="18"/>
                <w:lang w:val="it-IT"/>
              </w:rPr>
              <w:t>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 xml:space="preserve">Creazione di Casi utilizzando </w:t>
            </w:r>
            <w:r>
              <w:rPr>
                <w:rFonts w:ascii="Tahoma" w:hAnsi="Tahoma" w:cs="Tahoma"/>
                <w:sz w:val="18"/>
                <w:szCs w:val="18"/>
                <w:lang w:val="it-IT"/>
              </w:rPr>
              <w:t>i </w:t>
            </w:r>
            <w:r w:rsidRPr="00D87B79">
              <w:rPr>
                <w:rFonts w:ascii="Tahoma" w:hAnsi="Tahoma" w:cs="Tahoma"/>
                <w:sz w:val="18"/>
                <w:szCs w:val="18"/>
                <w:lang w:val="it-IT"/>
              </w:rPr>
              <w:t>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 xml:space="preserve">Creazione di Lead utilizzando </w:t>
            </w:r>
            <w:r>
              <w:rPr>
                <w:rFonts w:ascii="Tahoma" w:hAnsi="Tahoma" w:cs="Tahoma"/>
                <w:sz w:val="18"/>
                <w:szCs w:val="18"/>
                <w:lang w:val="it-IT"/>
              </w:rPr>
              <w:t>i</w:t>
            </w:r>
            <w:r>
              <w:t> </w:t>
            </w:r>
            <w:r w:rsidRPr="00D87B79">
              <w:rPr>
                <w:rFonts w:ascii="Tahoma" w:hAnsi="Tahoma" w:cs="Tahoma"/>
                <w:sz w:val="18"/>
                <w:szCs w:val="18"/>
                <w:lang w:val="it-IT"/>
              </w:rPr>
              <w:t>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lang w:val="it-IT"/>
              </w:rPr>
              <w:t>Creazione di Attività utilizzando i</w:t>
            </w:r>
            <w:r>
              <w:rPr>
                <w:rFonts w:ascii="Tahoma" w:hAnsi="Tahoma" w:cs="Tahoma"/>
                <w:sz w:val="18"/>
                <w:lang w:val="it-IT"/>
              </w:rPr>
              <w:t> </w:t>
            </w:r>
            <w:r w:rsidRPr="00D87B79">
              <w:rPr>
                <w:rFonts w:ascii="Tahoma" w:hAnsi="Tahoma" w:cs="Tahoma"/>
                <w:sz w:val="18"/>
                <w:lang w:val="it-IT"/>
              </w:rPr>
              <w:t>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lang w:val="it-IT"/>
              </w:rPr>
              <w:t xml:space="preserve">Creazione di Note utilizzando </w:t>
            </w:r>
            <w:r>
              <w:rPr>
                <w:rFonts w:ascii="Tahoma" w:hAnsi="Tahoma" w:cs="Tahoma"/>
                <w:sz w:val="18"/>
                <w:lang w:val="it-IT"/>
              </w:rPr>
              <w:t>i</w:t>
            </w:r>
            <w:r>
              <w:t> </w:t>
            </w:r>
            <w:r w:rsidRPr="00D87B79">
              <w:rPr>
                <w:rFonts w:ascii="Tahoma" w:hAnsi="Tahoma" w:cs="Tahoma"/>
                <w:sz w:val="18"/>
                <w:lang w:val="it-IT"/>
              </w:rPr>
              <w:t>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lang w:val="it-IT"/>
              </w:rPr>
              <w:t>Aggiornamento di Account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lang w:val="it-IT"/>
              </w:rPr>
              <w:t>Aggiornamento di Contatti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lastRenderedPageBreak/>
              <w:t>Aggiornamento di Casi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Aggiornamento di Lead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Aggiornamento di Attività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Aggiornamento di Note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Aggiunta di Account utilizzando i</w:t>
            </w:r>
            <w:r>
              <w:rPr>
                <w:rFonts w:ascii="Tahoma" w:hAnsi="Tahoma" w:cs="Tahoma"/>
                <w:sz w:val="18"/>
                <w:szCs w:val="18"/>
                <w:lang w:val="it-IT"/>
              </w:rPr>
              <w:t> </w:t>
            </w:r>
            <w:r w:rsidRPr="00D87B79">
              <w:rPr>
                <w:rFonts w:ascii="Tahoma" w:hAnsi="Tahoma" w:cs="Tahoma"/>
                <w:sz w:val="18"/>
                <w:szCs w:val="18"/>
                <w:lang w:val="it-IT"/>
              </w:rPr>
              <w:t>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Aggiunta di Contatti utilizzando i</w:t>
            </w:r>
            <w:r>
              <w:rPr>
                <w:rFonts w:ascii="Tahoma" w:hAnsi="Tahoma" w:cs="Tahoma"/>
                <w:sz w:val="18"/>
                <w:szCs w:val="18"/>
                <w:lang w:val="it-IT"/>
              </w:rPr>
              <w:t> </w:t>
            </w:r>
            <w:r w:rsidRPr="00D87B79">
              <w:rPr>
                <w:rFonts w:ascii="Tahoma" w:hAnsi="Tahoma" w:cs="Tahoma"/>
                <w:sz w:val="18"/>
                <w:szCs w:val="18"/>
                <w:lang w:val="it-IT"/>
              </w:rPr>
              <w:t>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rPr>
          <w:cantSplit/>
        </w:trPr>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Aggiunta di Casi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Aggiunta di Lead utilizzando i</w:t>
            </w:r>
            <w:r>
              <w:rPr>
                <w:rFonts w:ascii="Tahoma" w:hAnsi="Tahoma" w:cs="Tahoma"/>
                <w:sz w:val="18"/>
                <w:szCs w:val="18"/>
                <w:lang w:val="it-IT"/>
              </w:rPr>
              <w:t> </w:t>
            </w:r>
            <w:r w:rsidRPr="00D87B79">
              <w:rPr>
                <w:rFonts w:ascii="Tahoma" w:hAnsi="Tahoma" w:cs="Tahoma"/>
                <w:sz w:val="18"/>
                <w:szCs w:val="18"/>
                <w:lang w:val="it-IT"/>
              </w:rPr>
              <w:t>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Aggiunta di Attività utilizzando i</w:t>
            </w:r>
            <w:r>
              <w:rPr>
                <w:rFonts w:ascii="Tahoma" w:hAnsi="Tahoma" w:cs="Tahoma"/>
                <w:sz w:val="18"/>
                <w:szCs w:val="18"/>
                <w:lang w:val="it-IT"/>
              </w:rPr>
              <w:t> </w:t>
            </w:r>
            <w:r w:rsidRPr="00D87B79">
              <w:rPr>
                <w:rFonts w:ascii="Tahoma" w:hAnsi="Tahoma" w:cs="Tahoma"/>
                <w:sz w:val="18"/>
                <w:szCs w:val="18"/>
                <w:lang w:val="it-IT"/>
              </w:rPr>
              <w:t>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Aggiunta di Note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Aggiunta ad Account utilizzando i</w:t>
            </w:r>
            <w:r>
              <w:rPr>
                <w:rFonts w:ascii="Tahoma" w:hAnsi="Tahoma" w:cs="Tahoma"/>
                <w:sz w:val="18"/>
                <w:szCs w:val="18"/>
                <w:lang w:val="it-IT"/>
              </w:rPr>
              <w:t> </w:t>
            </w:r>
            <w:r w:rsidRPr="00D87B79">
              <w:rPr>
                <w:rFonts w:ascii="Tahoma" w:hAnsi="Tahoma" w:cs="Tahoma"/>
                <w:sz w:val="18"/>
                <w:szCs w:val="18"/>
                <w:lang w:val="it-IT"/>
              </w:rPr>
              <w:t>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rPr>
          <w:cantSplit/>
        </w:trPr>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Aggiunta a Contatti utilizzando i</w:t>
            </w:r>
            <w:r>
              <w:rPr>
                <w:rFonts w:ascii="Tahoma" w:hAnsi="Tahoma" w:cs="Tahoma"/>
                <w:sz w:val="18"/>
                <w:szCs w:val="18"/>
                <w:lang w:val="it-IT"/>
              </w:rPr>
              <w:t> </w:t>
            </w:r>
            <w:r w:rsidRPr="00D87B79">
              <w:rPr>
                <w:rFonts w:ascii="Tahoma" w:hAnsi="Tahoma" w:cs="Tahoma"/>
                <w:sz w:val="18"/>
                <w:szCs w:val="18"/>
                <w:lang w:val="it-IT"/>
              </w:rPr>
              <w:t>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Aggiunta a Casi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Aggiunta a Lead utilizzando i</w:t>
            </w:r>
            <w:r>
              <w:rPr>
                <w:rFonts w:ascii="Tahoma" w:hAnsi="Tahoma" w:cs="Tahoma"/>
                <w:sz w:val="18"/>
                <w:szCs w:val="18"/>
                <w:lang w:val="it-IT"/>
              </w:rPr>
              <w:t> </w:t>
            </w:r>
            <w:r w:rsidRPr="00D87B79">
              <w:rPr>
                <w:rFonts w:ascii="Tahoma" w:hAnsi="Tahoma" w:cs="Tahoma"/>
                <w:sz w:val="18"/>
                <w:szCs w:val="18"/>
                <w:lang w:val="it-IT"/>
              </w:rPr>
              <w:t>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Aggiunta ad Attività utilizzando i</w:t>
            </w:r>
            <w:r>
              <w:rPr>
                <w:rFonts w:ascii="Tahoma" w:hAnsi="Tahoma" w:cs="Tahoma"/>
                <w:sz w:val="18"/>
                <w:szCs w:val="18"/>
                <w:lang w:val="it-IT"/>
              </w:rPr>
              <w:t> </w:t>
            </w:r>
            <w:r w:rsidRPr="00D87B79">
              <w:rPr>
                <w:rFonts w:ascii="Tahoma" w:hAnsi="Tahoma" w:cs="Tahoma"/>
                <w:sz w:val="18"/>
                <w:szCs w:val="18"/>
                <w:lang w:val="it-IT"/>
              </w:rPr>
              <w:t>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Aggiunta a Note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Eliminazione di Account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r w:rsidRPr="00BC55C9">
              <w:rPr>
                <w:rFonts w:cs="Tahoma"/>
                <w:b/>
                <w:sz w:val="24"/>
                <w:szCs w:val="24"/>
                <w:vertAlign w:val="superscript"/>
              </w:rPr>
              <w:t>2</w:t>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r w:rsidRPr="00BC55C9">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rPr>
          <w:cantSplit/>
        </w:trPr>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Eliminazione di Contatti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r w:rsidRPr="00BC55C9">
              <w:rPr>
                <w:rFonts w:cs="Tahoma"/>
                <w:b/>
                <w:sz w:val="24"/>
                <w:szCs w:val="24"/>
                <w:vertAlign w:val="superscript"/>
              </w:rPr>
              <w:t>2</w:t>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r w:rsidRPr="00BC55C9">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Eliminazione di Casi utilizzando i</w:t>
            </w:r>
            <w:r>
              <w:rPr>
                <w:rFonts w:ascii="Tahoma" w:hAnsi="Tahoma" w:cs="Tahoma"/>
                <w:sz w:val="18"/>
                <w:szCs w:val="18"/>
                <w:lang w:val="it-IT"/>
              </w:rPr>
              <w:t> </w:t>
            </w:r>
            <w:r w:rsidRPr="00D87B79">
              <w:rPr>
                <w:rFonts w:ascii="Tahoma" w:hAnsi="Tahoma" w:cs="Tahoma"/>
                <w:sz w:val="18"/>
                <w:szCs w:val="18"/>
                <w:lang w:val="it-IT"/>
              </w:rPr>
              <w:t>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r w:rsidRPr="00BC55C9">
              <w:rPr>
                <w:rFonts w:cs="Tahoma"/>
                <w:b/>
                <w:sz w:val="24"/>
                <w:szCs w:val="24"/>
                <w:vertAlign w:val="superscript"/>
              </w:rPr>
              <w:t>2</w:t>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r w:rsidRPr="00BC55C9">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Eliminazione di Lead utilizzando i</w:t>
            </w:r>
            <w:r>
              <w:rPr>
                <w:rFonts w:ascii="Tahoma" w:hAnsi="Tahoma" w:cs="Tahoma"/>
                <w:sz w:val="18"/>
                <w:szCs w:val="18"/>
                <w:lang w:val="it-IT"/>
              </w:rPr>
              <w:t> </w:t>
            </w:r>
            <w:r w:rsidRPr="00D87B79">
              <w:rPr>
                <w:rFonts w:ascii="Tahoma" w:hAnsi="Tahoma" w:cs="Tahoma"/>
                <w:sz w:val="18"/>
                <w:szCs w:val="18"/>
                <w:lang w:val="it-IT"/>
              </w:rPr>
              <w:t>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r w:rsidRPr="00BC55C9">
              <w:rPr>
                <w:rFonts w:cs="Tahoma"/>
                <w:b/>
                <w:sz w:val="24"/>
                <w:szCs w:val="24"/>
                <w:vertAlign w:val="superscript"/>
              </w:rPr>
              <w:t>2</w:t>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r w:rsidRPr="00BC55C9">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Eliminazione di Attività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r w:rsidRPr="00BC55C9">
              <w:rPr>
                <w:rFonts w:cs="Tahoma"/>
                <w:b/>
                <w:sz w:val="24"/>
                <w:szCs w:val="24"/>
                <w:vertAlign w:val="superscript"/>
              </w:rPr>
              <w:t>2</w:t>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r w:rsidRPr="00BC55C9">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Eliminazione di Note utilizzando i</w:t>
            </w:r>
            <w:r>
              <w:rPr>
                <w:rFonts w:ascii="Tahoma" w:hAnsi="Tahoma" w:cs="Tahoma"/>
                <w:sz w:val="18"/>
                <w:szCs w:val="18"/>
                <w:lang w:val="it-IT"/>
              </w:rPr>
              <w:t> </w:t>
            </w:r>
            <w:r w:rsidRPr="00D87B79">
              <w:rPr>
                <w:rFonts w:ascii="Tahoma" w:hAnsi="Tahoma" w:cs="Tahoma"/>
                <w:sz w:val="18"/>
                <w:szCs w:val="18"/>
                <w:lang w:val="it-IT"/>
              </w:rPr>
              <w:t>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r w:rsidRPr="00BC55C9">
              <w:rPr>
                <w:rFonts w:cs="Tahoma"/>
                <w:b/>
                <w:sz w:val="24"/>
                <w:szCs w:val="24"/>
                <w:vertAlign w:val="superscript"/>
              </w:rPr>
              <w:t>2</w:t>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r w:rsidRPr="00BC55C9">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Assegnazione di Account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r w:rsidRPr="00BC55C9">
              <w:rPr>
                <w:rFonts w:cs="Tahoma"/>
                <w:b/>
                <w:sz w:val="24"/>
                <w:szCs w:val="24"/>
                <w:vertAlign w:val="superscript"/>
              </w:rPr>
              <w:t>2</w:t>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r w:rsidRPr="00BC55C9">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lastRenderedPageBreak/>
              <w:t>Assegnazione di Contatti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r w:rsidRPr="00BC55C9">
              <w:rPr>
                <w:rFonts w:cs="Tahoma"/>
                <w:b/>
                <w:sz w:val="24"/>
                <w:szCs w:val="24"/>
                <w:vertAlign w:val="superscript"/>
              </w:rPr>
              <w:t>2</w:t>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r w:rsidRPr="00BC55C9">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Assegnazione di Casi utilizzando i</w:t>
            </w:r>
            <w:r>
              <w:rPr>
                <w:rFonts w:ascii="Tahoma" w:hAnsi="Tahoma" w:cs="Tahoma"/>
                <w:sz w:val="18"/>
                <w:szCs w:val="18"/>
                <w:lang w:val="it-IT"/>
              </w:rPr>
              <w:t> </w:t>
            </w:r>
            <w:r w:rsidRPr="00D87B79">
              <w:rPr>
                <w:rFonts w:ascii="Tahoma" w:hAnsi="Tahoma" w:cs="Tahoma"/>
                <w:sz w:val="18"/>
                <w:szCs w:val="18"/>
                <w:lang w:val="it-IT"/>
              </w:rPr>
              <w:t>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r w:rsidRPr="00BC55C9">
              <w:rPr>
                <w:rFonts w:cs="Tahoma"/>
                <w:b/>
                <w:sz w:val="24"/>
                <w:szCs w:val="24"/>
                <w:vertAlign w:val="superscript"/>
              </w:rPr>
              <w:t>2</w:t>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r w:rsidRPr="00BC55C9">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Assegnazione di Lead utilizzando i</w:t>
            </w:r>
            <w:r>
              <w:rPr>
                <w:rFonts w:ascii="Tahoma" w:hAnsi="Tahoma" w:cs="Tahoma"/>
                <w:sz w:val="18"/>
                <w:szCs w:val="18"/>
                <w:lang w:val="it-IT"/>
              </w:rPr>
              <w:t> </w:t>
            </w:r>
            <w:r w:rsidRPr="00D87B79">
              <w:rPr>
                <w:rFonts w:ascii="Tahoma" w:hAnsi="Tahoma" w:cs="Tahoma"/>
                <w:sz w:val="18"/>
                <w:szCs w:val="18"/>
                <w:lang w:val="it-IT"/>
              </w:rPr>
              <w:t>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r w:rsidRPr="00BC55C9">
              <w:rPr>
                <w:rFonts w:cs="Tahoma"/>
                <w:b/>
                <w:sz w:val="24"/>
                <w:szCs w:val="24"/>
                <w:vertAlign w:val="superscript"/>
              </w:rPr>
              <w:t>2</w:t>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r w:rsidRPr="00BC55C9">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Assegnazione di Attività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r w:rsidRPr="00BC55C9">
              <w:rPr>
                <w:rFonts w:cs="Tahoma"/>
                <w:b/>
                <w:sz w:val="24"/>
                <w:szCs w:val="24"/>
                <w:vertAlign w:val="superscript"/>
              </w:rPr>
              <w:t>2</w:t>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r w:rsidRPr="00BC55C9">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rPr>
          <w:trHeight w:val="309"/>
        </w:trPr>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Condivisione di Account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r w:rsidRPr="00BC55C9">
              <w:rPr>
                <w:rFonts w:cs="Tahoma"/>
                <w:b/>
                <w:sz w:val="24"/>
                <w:szCs w:val="24"/>
                <w:vertAlign w:val="superscript"/>
              </w:rPr>
              <w:t>2</w:t>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r w:rsidRPr="00BC55C9">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rPr>
          <w:cantSplit/>
        </w:trPr>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Condivisione di Contatti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r w:rsidRPr="00BC55C9">
              <w:rPr>
                <w:rFonts w:cs="Tahoma"/>
                <w:b/>
                <w:sz w:val="24"/>
                <w:szCs w:val="24"/>
                <w:vertAlign w:val="superscript"/>
              </w:rPr>
              <w:t>2</w:t>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r w:rsidRPr="00BC55C9">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Condivisione di Casi utilizzando i</w:t>
            </w:r>
            <w:r>
              <w:rPr>
                <w:rFonts w:ascii="Tahoma" w:hAnsi="Tahoma" w:cs="Tahoma"/>
                <w:sz w:val="18"/>
                <w:szCs w:val="18"/>
                <w:lang w:val="it-IT"/>
              </w:rPr>
              <w:t> </w:t>
            </w:r>
            <w:r w:rsidRPr="00D87B79">
              <w:rPr>
                <w:rFonts w:ascii="Tahoma" w:hAnsi="Tahoma" w:cs="Tahoma"/>
                <w:sz w:val="18"/>
                <w:szCs w:val="18"/>
                <w:lang w:val="it-IT"/>
              </w:rPr>
              <w:t>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r w:rsidRPr="00BC55C9">
              <w:rPr>
                <w:rFonts w:cs="Tahoma"/>
                <w:b/>
                <w:sz w:val="24"/>
                <w:szCs w:val="24"/>
                <w:vertAlign w:val="superscript"/>
              </w:rPr>
              <w:t>2</w:t>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r w:rsidRPr="00BC55C9">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Condivisione di Lead utilizzando i</w:t>
            </w:r>
            <w:r>
              <w:rPr>
                <w:rFonts w:ascii="Tahoma" w:hAnsi="Tahoma" w:cs="Tahoma"/>
                <w:sz w:val="18"/>
                <w:szCs w:val="18"/>
                <w:lang w:val="it-IT"/>
              </w:rPr>
              <w:t> </w:t>
            </w:r>
            <w:r w:rsidRPr="00D87B79">
              <w:rPr>
                <w:rFonts w:ascii="Tahoma" w:hAnsi="Tahoma" w:cs="Tahoma"/>
                <w:sz w:val="18"/>
                <w:szCs w:val="18"/>
                <w:lang w:val="it-IT"/>
              </w:rPr>
              <w:t>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r w:rsidRPr="00BC55C9">
              <w:rPr>
                <w:rFonts w:cs="Tahoma"/>
                <w:b/>
                <w:sz w:val="24"/>
                <w:szCs w:val="24"/>
                <w:vertAlign w:val="superscript"/>
              </w:rPr>
              <w:t>2</w:t>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r w:rsidRPr="00BC55C9">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Condivisione di Attività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r w:rsidRPr="00BC55C9">
              <w:rPr>
                <w:rFonts w:cs="Tahoma"/>
                <w:b/>
                <w:sz w:val="24"/>
                <w:szCs w:val="24"/>
                <w:vertAlign w:val="superscript"/>
              </w:rPr>
              <w:t>2</w:t>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r w:rsidRPr="00BC55C9">
              <w:rPr>
                <w:rFonts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lang w:val="it-IT"/>
              </w:rPr>
              <w:t>Creazione di record delle persone giuridiche personalizzati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Aggiornamento di record delle persone giuridiche personalizzati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Aggiunta di privilegi per i record delle attività personalizzati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r w:rsidRPr="00BC55C9">
              <w:rPr>
                <w:rFonts w:cs="Tahoma"/>
                <w:b/>
                <w:sz w:val="24"/>
                <w:szCs w:val="24"/>
                <w:vertAlign w:val="superscript"/>
              </w:rPr>
              <w:t>3</w:t>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r w:rsidRPr="00BC55C9">
              <w:rPr>
                <w:rFonts w:cs="Tahoma"/>
                <w:b/>
                <w:sz w:val="24"/>
                <w:szCs w:val="24"/>
                <w:vertAlign w:val="superscript"/>
              </w:rPr>
              <w:t>3</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Aggiunta di privilegi per i record delle persone giuridiche personalizzati (ad eccezione dei record delle attività personalizzati)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Aggiunta a privilegi per i record delle persone giuridiche personalizzati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Eliminazione di record delle persone giuridiche personalizzati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Assegnazione di record delle persone giuridiche personalizzati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lastRenderedPageBreak/>
              <w:t>Condivisione di record delle persone giuridiche personalizzati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Customer Care Accelerator Framework</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Creazione di Query “Ricerca</w:t>
            </w:r>
            <w:r>
              <w:rPr>
                <w:rFonts w:ascii="Tahoma" w:hAnsi="Tahoma" w:cs="Tahoma"/>
                <w:sz w:val="18"/>
                <w:szCs w:val="18"/>
                <w:lang w:val="it-IT"/>
              </w:rPr>
              <w:t> </w:t>
            </w:r>
            <w:r w:rsidRPr="00D87B79">
              <w:rPr>
                <w:rFonts w:ascii="Tahoma" w:hAnsi="Tahoma" w:cs="Tahoma"/>
                <w:sz w:val="18"/>
                <w:szCs w:val="18"/>
                <w:lang w:val="it-IT"/>
              </w:rPr>
              <w:t>Avanzata”</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Salvataggio di Query “Ricerca</w:t>
            </w:r>
            <w:r>
              <w:rPr>
                <w:rFonts w:ascii="Tahoma" w:hAnsi="Tahoma" w:cs="Tahoma"/>
                <w:sz w:val="18"/>
                <w:szCs w:val="18"/>
                <w:lang w:val="it-IT"/>
              </w:rPr>
              <w:t> </w:t>
            </w:r>
            <w:r w:rsidRPr="00D87B79">
              <w:rPr>
                <w:rFonts w:ascii="Tahoma" w:hAnsi="Tahoma" w:cs="Tahoma"/>
                <w:sz w:val="18"/>
                <w:szCs w:val="18"/>
                <w:lang w:val="it-IT"/>
              </w:rPr>
              <w:t>Avanzata”</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Viste Personali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Creazione del Dashboard di</w:t>
            </w:r>
            <w:r>
              <w:rPr>
                <w:rFonts w:ascii="Tahoma" w:hAnsi="Tahoma" w:cs="Tahoma"/>
                <w:sz w:val="18"/>
                <w:szCs w:val="18"/>
                <w:lang w:val="it-IT"/>
              </w:rPr>
              <w:t> </w:t>
            </w:r>
            <w:r w:rsidRPr="00D87B79">
              <w:rPr>
                <w:rFonts w:ascii="Tahoma" w:hAnsi="Tahoma" w:cs="Tahoma"/>
                <w:sz w:val="18"/>
                <w:szCs w:val="18"/>
                <w:lang w:val="it-IT"/>
              </w:rPr>
              <w:t>Sistema</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tcPr>
          <w:p w:rsidR="00A92422" w:rsidRPr="00BC55C9" w:rsidRDefault="00A92422" w:rsidP="00EA30FC">
            <w:pPr>
              <w:pStyle w:val="TableText"/>
              <w:rPr>
                <w:rFonts w:eastAsia="Times New Roman" w:cs="Tahoma"/>
                <w:b/>
                <w:sz w:val="24"/>
                <w:szCs w:val="24"/>
              </w:rPr>
            </w:pP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Condivisione del Dashboard di</w:t>
            </w:r>
            <w:r>
              <w:rPr>
                <w:rFonts w:ascii="Tahoma" w:hAnsi="Tahoma" w:cs="Tahoma"/>
                <w:sz w:val="18"/>
                <w:szCs w:val="18"/>
                <w:lang w:val="it-IT"/>
              </w:rPr>
              <w:t> </w:t>
            </w:r>
            <w:r w:rsidRPr="00D87B79">
              <w:rPr>
                <w:rFonts w:ascii="Tahoma" w:hAnsi="Tahoma" w:cs="Tahoma"/>
                <w:sz w:val="18"/>
                <w:szCs w:val="18"/>
                <w:lang w:val="it-IT"/>
              </w:rPr>
              <w:t>Sistema</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tcPr>
          <w:p w:rsidR="00A92422" w:rsidRPr="00BC55C9" w:rsidRDefault="00A92422" w:rsidP="00EA30FC">
            <w:pPr>
              <w:pStyle w:val="TableText"/>
              <w:rPr>
                <w:rFonts w:eastAsia="Times New Roman" w:cs="Tahoma"/>
                <w:b/>
                <w:sz w:val="24"/>
                <w:szCs w:val="24"/>
              </w:rPr>
            </w:pP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Creazione del Dashboard personale</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Condivisione del Dashboard personale</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Creazione del Flusso di Lavoro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Aggiornamento del Flusso di</w:t>
            </w:r>
            <w:r>
              <w:rPr>
                <w:rFonts w:ascii="Tahoma" w:hAnsi="Tahoma" w:cs="Tahoma"/>
                <w:sz w:val="18"/>
                <w:szCs w:val="18"/>
                <w:lang w:val="it-IT"/>
              </w:rPr>
              <w:t> </w:t>
            </w:r>
            <w:r w:rsidRPr="00D87B79">
              <w:rPr>
                <w:rFonts w:ascii="Tahoma" w:hAnsi="Tahoma" w:cs="Tahoma"/>
                <w:sz w:val="18"/>
                <w:szCs w:val="18"/>
                <w:lang w:val="it-IT"/>
              </w:rPr>
              <w:t>Lavoro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Esecuzione del flusso di lavoro automatizzato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r w:rsidRPr="00BC55C9">
              <w:rPr>
                <w:rFonts w:cs="Tahoma"/>
                <w:b/>
                <w:sz w:val="24"/>
                <w:szCs w:val="24"/>
                <w:vertAlign w:val="superscript"/>
              </w:rPr>
              <w:t>5</w:t>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r w:rsidRPr="00BC55C9">
              <w:rPr>
                <w:rFonts w:cs="Tahoma"/>
                <w:b/>
                <w:sz w:val="24"/>
                <w:szCs w:val="24"/>
                <w:vertAlign w:val="superscript"/>
              </w:rPr>
              <w:t>5</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Esecuzione del flusso di lavoro Su</w:t>
            </w:r>
            <w:r>
              <w:rPr>
                <w:rFonts w:ascii="Tahoma" w:hAnsi="Tahoma" w:cs="Tahoma"/>
                <w:sz w:val="18"/>
                <w:szCs w:val="18"/>
                <w:lang w:val="it-IT"/>
              </w:rPr>
              <w:t> </w:t>
            </w:r>
            <w:r w:rsidRPr="00D87B79">
              <w:rPr>
                <w:rFonts w:ascii="Tahoma" w:hAnsi="Tahoma" w:cs="Tahoma"/>
                <w:sz w:val="18"/>
                <w:szCs w:val="18"/>
                <w:lang w:val="it-IT"/>
              </w:rPr>
              <w:t>richiesta</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tcPr>
          <w:p w:rsidR="00A92422" w:rsidRPr="00BC55C9" w:rsidRDefault="00A92422" w:rsidP="00EA30FC">
            <w:pPr>
              <w:pStyle w:val="TableText"/>
              <w:rPr>
                <w:rFonts w:eastAsia="Times New Roman" w:cs="Tahoma"/>
                <w:b/>
                <w:sz w:val="24"/>
                <w:szCs w:val="24"/>
              </w:rPr>
            </w:pP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Creazione di una Finestra di</w:t>
            </w:r>
            <w:r>
              <w:rPr>
                <w:rFonts w:ascii="Tahoma" w:hAnsi="Tahoma" w:cs="Tahoma"/>
                <w:sz w:val="18"/>
                <w:szCs w:val="18"/>
                <w:lang w:val="it-IT"/>
              </w:rPr>
              <w:t> </w:t>
            </w:r>
            <w:r w:rsidRPr="00D87B79">
              <w:rPr>
                <w:rFonts w:ascii="Tahoma" w:hAnsi="Tahoma" w:cs="Tahoma"/>
                <w:sz w:val="18"/>
                <w:szCs w:val="18"/>
                <w:lang w:val="it-IT"/>
              </w:rPr>
              <w:t>Dialogo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Aggiornamento di una Finestra di</w:t>
            </w:r>
            <w:r>
              <w:rPr>
                <w:rFonts w:ascii="Tahoma" w:hAnsi="Tahoma" w:cs="Tahoma"/>
                <w:sz w:val="18"/>
                <w:szCs w:val="18"/>
                <w:lang w:val="it-IT"/>
              </w:rPr>
              <w:t> </w:t>
            </w:r>
            <w:r w:rsidRPr="00D87B79">
              <w:rPr>
                <w:rFonts w:ascii="Tahoma" w:hAnsi="Tahoma" w:cs="Tahoma"/>
                <w:sz w:val="18"/>
                <w:szCs w:val="18"/>
                <w:lang w:val="it-IT"/>
              </w:rPr>
              <w:t>Dialogo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Avvio di una Finestra di Dialogo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r w:rsidRPr="00BC55C9">
              <w:rPr>
                <w:rFonts w:cs="Tahoma"/>
                <w:b/>
                <w:sz w:val="24"/>
                <w:szCs w:val="24"/>
                <w:vertAlign w:val="superscript"/>
              </w:rPr>
              <w:t>5</w:t>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r w:rsidRPr="00BC55C9">
              <w:rPr>
                <w:rFonts w:cs="Tahoma"/>
                <w:b/>
                <w:sz w:val="24"/>
                <w:szCs w:val="24"/>
                <w:vertAlign w:val="superscript"/>
              </w:rPr>
              <w:t>5</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Creazione di un Rapporto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 xml:space="preserve">Esecuzione di un Rapporto </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Esecuzione di Stampa Unione</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Esportazione di dati in Microsoft</w:t>
            </w:r>
            <w:r>
              <w:rPr>
                <w:rFonts w:ascii="Tahoma" w:hAnsi="Tahoma" w:cs="Tahoma"/>
                <w:sz w:val="18"/>
                <w:szCs w:val="18"/>
                <w:lang w:val="it-IT"/>
              </w:rPr>
              <w:t> </w:t>
            </w:r>
            <w:r w:rsidRPr="00D87B79">
              <w:rPr>
                <w:rFonts w:ascii="Tahoma" w:hAnsi="Tahoma" w:cs="Tahoma"/>
                <w:sz w:val="18"/>
                <w:szCs w:val="18"/>
                <w:lang w:val="it-IT"/>
              </w:rPr>
              <w:t>Excel</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Gestione e pubblicazione di feed attività che interessano Account, Contatti, Lead e Record delle persone giuridiche personalizzati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Gestione e pubblicazione di feed attività che interessano record delle persone giuridiche standard Dynamics CRM utilizzando client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 xml:space="preserve">Gestione e pubblicazione di feed attività che interessano record delle persone giuridiche personalizzati utilizzando client </w:t>
            </w:r>
            <w:r w:rsidRPr="00D87B79">
              <w:rPr>
                <w:rFonts w:ascii="Tahoma" w:hAnsi="Tahoma" w:cs="Tahoma"/>
                <w:sz w:val="18"/>
                <w:szCs w:val="18"/>
                <w:lang w:val="it-IT"/>
              </w:rPr>
              <w:lastRenderedPageBreak/>
              <w:t>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lastRenderedPageBreak/>
              <w:t>Accesso in Lettura alla funzionalità completa Microsoft</w:t>
            </w:r>
            <w:r>
              <w:rPr>
                <w:rFonts w:ascii="Tahoma" w:hAnsi="Tahoma" w:cs="Tahoma"/>
                <w:sz w:val="18"/>
                <w:szCs w:val="18"/>
                <w:lang w:val="it-IT"/>
              </w:rPr>
              <w:t> </w:t>
            </w:r>
            <w:r w:rsidRPr="00D87B79">
              <w:rPr>
                <w:rFonts w:ascii="Tahoma" w:hAnsi="Tahoma" w:cs="Tahoma"/>
                <w:sz w:val="18"/>
                <w:szCs w:val="18"/>
                <w:lang w:val="it-IT"/>
              </w:rPr>
              <w:t>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r w:rsidRPr="00BC55C9">
              <w:rPr>
                <w:rFonts w:cs="Tahoma"/>
                <w:b/>
                <w:sz w:val="24"/>
                <w:szCs w:val="24"/>
                <w:vertAlign w:val="superscript"/>
              </w:rPr>
              <w:t>4</w:t>
            </w:r>
          </w:p>
        </w:tc>
      </w:tr>
      <w:tr w:rsidR="00A92422" w:rsidRPr="00BC55C9" w:rsidTr="00EA30FC">
        <w:tc>
          <w:tcPr>
            <w:tcW w:w="2826" w:type="dxa"/>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sz w:val="18"/>
                <w:szCs w:val="18"/>
              </w:rPr>
            </w:pPr>
            <w:r w:rsidRPr="00D87B79">
              <w:rPr>
                <w:rFonts w:ascii="Tahoma" w:hAnsi="Tahoma" w:cs="Tahoma"/>
                <w:sz w:val="18"/>
                <w:szCs w:val="18"/>
                <w:lang w:val="it-IT"/>
              </w:rPr>
              <w:t>Accesso in Scrittura alla funzionalità completa Microsoft</w:t>
            </w:r>
            <w:r>
              <w:rPr>
                <w:rFonts w:ascii="Tahoma" w:hAnsi="Tahoma" w:cs="Tahoma"/>
                <w:sz w:val="18"/>
                <w:szCs w:val="18"/>
                <w:lang w:val="it-IT"/>
              </w:rPr>
              <w:t> </w:t>
            </w:r>
            <w:r w:rsidRPr="00D87B79">
              <w:rPr>
                <w:rFonts w:ascii="Tahoma" w:hAnsi="Tahoma" w:cs="Tahoma"/>
                <w:sz w:val="18"/>
                <w:szCs w:val="18"/>
                <w:lang w:val="it-IT"/>
              </w:rPr>
              <w:t>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92422" w:rsidRPr="00BC55C9" w:rsidRDefault="00A92422" w:rsidP="00EA30FC">
            <w:pPr>
              <w:pStyle w:val="TableText"/>
              <w:rPr>
                <w:rFonts w:eastAsia="Times New Roman" w:cs="Tahoma"/>
                <w:b/>
                <w:sz w:val="24"/>
                <w:szCs w:val="24"/>
              </w:rPr>
            </w:pPr>
            <w:r w:rsidRPr="00BC55C9">
              <w:rPr>
                <w:rFonts w:cs="Tahoma"/>
                <w:b/>
                <w:sz w:val="24"/>
                <w:szCs w:val="24"/>
              </w:rPr>
              <w:sym w:font="Wingdings" w:char="F0FC"/>
            </w:r>
            <w:r w:rsidRPr="00BC55C9">
              <w:rPr>
                <w:rFonts w:cs="Tahoma"/>
                <w:b/>
                <w:sz w:val="24"/>
                <w:szCs w:val="24"/>
                <w:vertAlign w:val="superscript"/>
              </w:rPr>
              <w:t>4</w:t>
            </w:r>
          </w:p>
        </w:tc>
      </w:tr>
      <w:tr w:rsidR="00A92422" w:rsidRPr="00D87B79" w:rsidTr="00EA30FC">
        <w:tc>
          <w:tcPr>
            <w:tcW w:w="9045" w:type="dxa"/>
            <w:gridSpan w:val="7"/>
            <w:tcBorders>
              <w:top w:val="single" w:sz="6" w:space="0" w:color="1F497D"/>
              <w:left w:val="single" w:sz="4" w:space="0" w:color="072B61"/>
              <w:bottom w:val="single" w:sz="6" w:space="0" w:color="1F497D"/>
              <w:right w:val="single" w:sz="6" w:space="0" w:color="1F497D"/>
            </w:tcBorders>
            <w:shd w:val="clear" w:color="auto" w:fill="FFFFFF"/>
          </w:tcPr>
          <w:p w:rsidR="00A92422" w:rsidRPr="00D87B79" w:rsidRDefault="00A92422" w:rsidP="00EA30FC">
            <w:pPr>
              <w:pStyle w:val="TableText"/>
              <w:jc w:val="left"/>
              <w:rPr>
                <w:rFonts w:ascii="Tahoma" w:hAnsi="Tahoma" w:cs="Tahoma"/>
              </w:rPr>
            </w:pPr>
            <w:r w:rsidRPr="00D87B79">
              <w:rPr>
                <w:rFonts w:ascii="Tahoma" w:hAnsi="Tahoma" w:cs="Tahoma"/>
                <w:i/>
                <w:sz w:val="14"/>
                <w:lang w:val="it-IT"/>
              </w:rPr>
              <w:t>(1) Client Web Microsoft Dynamics CRM, client Microsoft Dynamics CRM per Microsoft Outlook e Mobile Express per Microsoft Dynamics CRM.</w:t>
            </w:r>
          </w:p>
          <w:p w:rsidR="00A92422" w:rsidRPr="00D87B79" w:rsidRDefault="00A92422" w:rsidP="00EA30FC">
            <w:pPr>
              <w:pStyle w:val="TableText"/>
              <w:jc w:val="left"/>
              <w:rPr>
                <w:rFonts w:ascii="Tahoma" w:hAnsi="Tahoma" w:cs="Tahoma"/>
              </w:rPr>
            </w:pPr>
            <w:r w:rsidRPr="00D87B79">
              <w:rPr>
                <w:rFonts w:ascii="Tahoma" w:hAnsi="Tahoma" w:cs="Tahoma"/>
                <w:i/>
                <w:sz w:val="14"/>
                <w:lang w:val="it-IT"/>
              </w:rPr>
              <w:t>(2) Privilegi applicabili solo ai record creati dallo stesso utente.</w:t>
            </w:r>
          </w:p>
          <w:p w:rsidR="00A92422" w:rsidRPr="00D87B79" w:rsidRDefault="00A92422" w:rsidP="00EA30FC">
            <w:pPr>
              <w:pStyle w:val="TableText"/>
              <w:jc w:val="left"/>
              <w:rPr>
                <w:rFonts w:ascii="Tahoma" w:hAnsi="Tahoma" w:cs="Tahoma"/>
              </w:rPr>
            </w:pPr>
            <w:r w:rsidRPr="00D87B79">
              <w:rPr>
                <w:rFonts w:ascii="Tahoma" w:hAnsi="Tahoma" w:cs="Tahoma"/>
                <w:i/>
                <w:sz w:val="14"/>
                <w:lang w:val="it-IT"/>
              </w:rPr>
              <w:t>(3) Privilegi applicabili SOLO alle attività personalizzate.</w:t>
            </w:r>
          </w:p>
          <w:p w:rsidR="00A92422" w:rsidRPr="00D87B79" w:rsidRDefault="00A92422" w:rsidP="00EA30FC">
            <w:pPr>
              <w:rPr>
                <w:rFonts w:cs="Tahoma"/>
              </w:rPr>
            </w:pPr>
            <w:r w:rsidRPr="00D87B79">
              <w:rPr>
                <w:rFonts w:cs="Tahoma"/>
                <w:i/>
                <w:sz w:val="14"/>
                <w:lang w:val="it-IT"/>
              </w:rPr>
              <w:t>(4) Privilegi per creare record, aggiungere, aggiungere a e aggiornare record creati da utenti CRM.</w:t>
            </w:r>
            <w:r w:rsidRPr="00D87B79">
              <w:rPr>
                <w:rFonts w:cs="Tahoma"/>
              </w:rPr>
              <w:t xml:space="preserve"> </w:t>
            </w:r>
            <w:r w:rsidRPr="00D87B79">
              <w:rPr>
                <w:rFonts w:cs="Tahoma"/>
                <w:i/>
                <w:sz w:val="14"/>
                <w:u w:val="single"/>
                <w:lang w:val="it-IT"/>
              </w:rPr>
              <w:t>Nessun privilegio di dati</w:t>
            </w:r>
            <w:r w:rsidRPr="00D87B79">
              <w:rPr>
                <w:rFonts w:cs="Tahoma"/>
                <w:i/>
                <w:sz w:val="14"/>
                <w:lang w:val="it-IT"/>
              </w:rPr>
              <w:t xml:space="preserve"> per assegnare, condividere o eliminare record.</w:t>
            </w:r>
            <w:r w:rsidRPr="00D87B79">
              <w:rPr>
                <w:rFonts w:cs="Tahoma"/>
              </w:rPr>
              <w:t xml:space="preserve"> </w:t>
            </w:r>
            <w:r w:rsidRPr="00D87B79">
              <w:rPr>
                <w:rFonts w:cs="Tahoma"/>
                <w:i/>
                <w:sz w:val="14"/>
                <w:lang w:val="it-IT"/>
              </w:rPr>
              <w:t>Solo accesso alle API.</w:t>
            </w:r>
          </w:p>
          <w:p w:rsidR="00A92422" w:rsidRPr="00D87B79" w:rsidRDefault="00A92422" w:rsidP="00EA30FC">
            <w:pPr>
              <w:rPr>
                <w:rFonts w:eastAsia="Times New Roman" w:cs="Tahoma"/>
                <w:b/>
                <w:bCs/>
                <w:szCs w:val="18"/>
              </w:rPr>
            </w:pPr>
            <w:r w:rsidRPr="00D87B79">
              <w:rPr>
                <w:rFonts w:cs="Tahoma"/>
                <w:i/>
                <w:sz w:val="14"/>
                <w:lang w:val="it-IT"/>
              </w:rPr>
              <w:t>(5) Solo Account, Contatti, Casi, Lead, Attività e Record delle persone giuridiche personalizzati.</w:t>
            </w:r>
            <w:r w:rsidRPr="00D87B79">
              <w:rPr>
                <w:rFonts w:cs="Tahoma"/>
              </w:rPr>
              <w:t xml:space="preserve"> </w:t>
            </w:r>
          </w:p>
        </w:tc>
      </w:tr>
    </w:tbl>
    <w:p w:rsidR="00A92422" w:rsidRPr="00D87B79" w:rsidRDefault="00A92422" w:rsidP="00A92422">
      <w:pPr>
        <w:ind w:left="540"/>
        <w:rPr>
          <w:rFonts w:cs="Tahoma"/>
        </w:rPr>
      </w:pPr>
    </w:p>
    <w:p w:rsidR="00A92422" w:rsidRPr="00D87B79" w:rsidRDefault="00A92422" w:rsidP="00A92422">
      <w:pPr>
        <w:ind w:left="720"/>
        <w:rPr>
          <w:rFonts w:cs="Tahoma"/>
        </w:rPr>
      </w:pPr>
      <w:bookmarkStart w:id="1369" w:name="_69_Office_365"/>
      <w:bookmarkStart w:id="1370" w:name="_69_68_Office"/>
      <w:bookmarkEnd w:id="1369"/>
      <w:bookmarkEnd w:id="1370"/>
      <w:r w:rsidRPr="00D87B79">
        <w:rPr>
          <w:rFonts w:cs="Tahoma"/>
          <w:kern w:val="18"/>
          <w:lang w:val="it-IT"/>
        </w:rPr>
        <w:t>Fare riferimento alla guida sui prezzi e le licenze di Microsoft Dynamics CRM 2011 per ulteriori informazioni sulle licenze Microsoft Dynamics CRM.</w:t>
      </w:r>
    </w:p>
    <w:p w:rsidR="00A92422" w:rsidRPr="00D87B79" w:rsidRDefault="00A92422" w:rsidP="00A92422">
      <w:pPr>
        <w:ind w:left="720"/>
        <w:rPr>
          <w:rFonts w:cs="Tahoma"/>
        </w:rPr>
      </w:pPr>
    </w:p>
    <w:p w:rsidR="00A92422" w:rsidRPr="00D87B79" w:rsidRDefault="00A92422" w:rsidP="00A92422">
      <w:pPr>
        <w:spacing w:after="60"/>
        <w:ind w:left="720"/>
        <w:rPr>
          <w:rFonts w:cs="Tahoma"/>
        </w:rPr>
      </w:pPr>
      <w:bookmarkStart w:id="1371" w:name="_71_Office_365_1"/>
      <w:bookmarkStart w:id="1372" w:name="Srv_70Office365PlanE1"/>
      <w:bookmarkEnd w:id="1371"/>
      <w:bookmarkEnd w:id="1372"/>
      <w:r w:rsidRPr="00D87B79">
        <w:rPr>
          <w:rFonts w:cs="Tahoma"/>
          <w:b/>
          <w:color w:val="000000"/>
          <w:lang w:val="it-IT"/>
        </w:rPr>
        <w:t>Licenza per il Sito degli Esami per la Certificazione MOS (Microsoft Office Specialist)</w:t>
      </w:r>
    </w:p>
    <w:p w:rsidR="00A92422" w:rsidRPr="00D87B79" w:rsidRDefault="00A92422" w:rsidP="00A92422">
      <w:pPr>
        <w:ind w:left="720"/>
        <w:rPr>
          <w:rFonts w:cs="Tahoma"/>
        </w:rPr>
      </w:pPr>
      <w:r w:rsidRPr="00D87B79">
        <w:rPr>
          <w:rFonts w:cs="Tahoma"/>
          <w:lang w:val="it-IT"/>
        </w:rPr>
        <w:t>Alla società verrà chiesto di fungere da centro di test autorizzato Certiport per poter utilizzare la licenza per</w:t>
      </w:r>
      <w:r>
        <w:rPr>
          <w:rFonts w:cs="Tahoma"/>
          <w:lang w:val="it-IT"/>
        </w:rPr>
        <w:t> </w:t>
      </w:r>
      <w:r w:rsidRPr="00D87B79">
        <w:rPr>
          <w:rFonts w:cs="Tahoma"/>
          <w:lang w:val="it-IT"/>
        </w:rPr>
        <w:t>il sito.</w:t>
      </w:r>
      <w:r w:rsidRPr="00D87B79">
        <w:rPr>
          <w:rFonts w:cs="Tahoma"/>
        </w:rPr>
        <w:t xml:space="preserve"> </w:t>
      </w:r>
      <w:r w:rsidRPr="00D87B79">
        <w:rPr>
          <w:rFonts w:cs="Tahoma"/>
          <w:lang w:val="it-IT"/>
        </w:rPr>
        <w:t xml:space="preserve">Qualora la società non sia un centro di test Certiport autorizzato, dovrà attenersi alla seguente procedura per </w:t>
      </w:r>
      <w:hyperlink r:id="rId39" w:history="1">
        <w:r w:rsidRPr="00D87B79">
          <w:rPr>
            <w:rStyle w:val="Hyperlink"/>
            <w:rFonts w:cs="Tahoma"/>
            <w:lang w:val="it-IT"/>
          </w:rPr>
          <w:t>diventare un centro di test Certiport</w:t>
        </w:r>
      </w:hyperlink>
      <w:r w:rsidRPr="00D87B79">
        <w:rPr>
          <w:rFonts w:cs="Tahoma"/>
          <w:lang w:val="it-IT"/>
        </w:rPr>
        <w:t xml:space="preserve"> prima di poter utilizzare la licenza per il sito.</w:t>
      </w:r>
    </w:p>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lang w:val="it-IT"/>
        </w:rPr>
        <w:t>Licenza per il Sito degli Esami per la Certificazione MTA (Microsoft Technology Associate)</w:t>
      </w:r>
    </w:p>
    <w:p w:rsidR="00A92422" w:rsidRPr="00D87B79" w:rsidRDefault="00A92422" w:rsidP="00A92422">
      <w:pPr>
        <w:ind w:left="720"/>
        <w:rPr>
          <w:rFonts w:cs="Tahoma"/>
        </w:rPr>
      </w:pPr>
      <w:r w:rsidRPr="00D87B79">
        <w:rPr>
          <w:rFonts w:cs="Tahoma"/>
          <w:lang w:val="it-IT"/>
        </w:rPr>
        <w:t>Alla società verrà chiesto di fungere da centro di test autorizzato Certiport per poter utilizzare la licenza per</w:t>
      </w:r>
      <w:r>
        <w:rPr>
          <w:rFonts w:cs="Tahoma"/>
          <w:lang w:val="it-IT"/>
        </w:rPr>
        <w:t> </w:t>
      </w:r>
      <w:r w:rsidRPr="00D87B79">
        <w:rPr>
          <w:rFonts w:cs="Tahoma"/>
          <w:lang w:val="it-IT"/>
        </w:rPr>
        <w:t>il sito.</w:t>
      </w:r>
      <w:r w:rsidRPr="00D87B79">
        <w:rPr>
          <w:rFonts w:cs="Tahoma"/>
        </w:rPr>
        <w:t xml:space="preserve"> </w:t>
      </w:r>
      <w:bookmarkStart w:id="1373" w:name="_Toc336338329"/>
      <w:r w:rsidRPr="00D87B79">
        <w:rPr>
          <w:rFonts w:cs="Tahoma"/>
          <w:lang w:val="it-IT"/>
        </w:rPr>
        <w:t xml:space="preserve">Qualora la società non sia un centro di test Certiport autorizzato, dovrà attenersi alla seguente procedura per </w:t>
      </w:r>
      <w:hyperlink r:id="rId40" w:history="1">
        <w:r w:rsidRPr="00D87B79">
          <w:rPr>
            <w:rStyle w:val="Hyperlink"/>
            <w:rFonts w:cs="Tahoma"/>
            <w:lang w:val="it-IT"/>
          </w:rPr>
          <w:t>diventare un centro di test Certiport</w:t>
        </w:r>
      </w:hyperlink>
      <w:r w:rsidRPr="00D87B79">
        <w:rPr>
          <w:rFonts w:cs="Tahoma"/>
          <w:lang w:val="it-IT"/>
        </w:rPr>
        <w:t xml:space="preserve"> prima di poter</w:t>
      </w:r>
      <w:r>
        <w:rPr>
          <w:rFonts w:cs="Tahoma"/>
          <w:lang w:val="it-IT"/>
        </w:rPr>
        <w:t xml:space="preserve"> </w:t>
      </w:r>
      <w:r w:rsidRPr="00D87B79">
        <w:rPr>
          <w:rFonts w:cs="Tahoma"/>
          <w:color w:val="1F497D"/>
          <w:u w:val="single"/>
          <w:lang w:val="it-IT"/>
        </w:rPr>
        <w:t>acquistare e</w:t>
      </w:r>
      <w:r w:rsidRPr="00D87B79">
        <w:rPr>
          <w:rFonts w:cs="Tahoma"/>
          <w:color w:val="1F497D"/>
          <w:lang w:val="it-IT"/>
        </w:rPr>
        <w:t xml:space="preserve"> </w:t>
      </w:r>
      <w:r w:rsidRPr="00D87B79">
        <w:rPr>
          <w:rFonts w:cs="Tahoma"/>
          <w:lang w:val="it-IT"/>
        </w:rPr>
        <w:t>utilizzare la licenza per il sito.</w:t>
      </w:r>
    </w:p>
    <w:p w:rsidR="00A92422" w:rsidRPr="00D87B79" w:rsidRDefault="00A92422" w:rsidP="00A92422">
      <w:pPr>
        <w:rPr>
          <w:rFonts w:cs="Tahoma"/>
        </w:rPr>
      </w:pPr>
    </w:p>
    <w:p w:rsidR="00A92422" w:rsidRPr="00D87B79" w:rsidRDefault="00A92422" w:rsidP="00A92422">
      <w:pPr>
        <w:rPr>
          <w:rFonts w:cs="Tahoma"/>
        </w:rPr>
      </w:pPr>
    </w:p>
    <w:p w:rsidR="00A92422" w:rsidRPr="00D87B79" w:rsidRDefault="00A92422" w:rsidP="00A92422">
      <w:pPr>
        <w:pStyle w:val="Heading2"/>
        <w:ind w:left="0"/>
        <w:rPr>
          <w:rFonts w:ascii="Tahoma" w:hAnsi="Tahoma" w:cs="Tahoma"/>
        </w:rPr>
      </w:pPr>
      <w:bookmarkStart w:id="1374" w:name="_65_Office_365"/>
      <w:bookmarkStart w:id="1375" w:name="_Toc342900375"/>
      <w:bookmarkEnd w:id="1373"/>
      <w:bookmarkEnd w:id="1374"/>
      <w:r w:rsidRPr="00D87B79">
        <w:rPr>
          <w:rFonts w:ascii="Tahoma" w:hAnsi="Tahoma" w:cs="Tahoma"/>
          <w:caps/>
          <w:color w:val="FF6600"/>
          <w:sz w:val="22"/>
          <w:vertAlign w:val="superscript"/>
          <w:lang w:val="it-IT"/>
        </w:rPr>
        <w:t>65</w:t>
      </w:r>
      <w:r w:rsidRPr="00D87B79">
        <w:rPr>
          <w:rFonts w:ascii="Tahoma" w:hAnsi="Tahoma" w:cs="Tahoma"/>
          <w:color w:val="FF6600"/>
          <w:lang w:val="it-IT"/>
        </w:rPr>
        <w:t xml:space="preserve"> </w:t>
      </w:r>
      <w:r w:rsidRPr="00D87B79">
        <w:rPr>
          <w:rFonts w:ascii="Tahoma" w:hAnsi="Tahoma" w:cs="Tahoma"/>
          <w:color w:val="FF6600"/>
          <w:sz w:val="22"/>
          <w:lang w:val="it-IT"/>
        </w:rPr>
        <w:t>Office 365 Piano E1</w:t>
      </w:r>
      <w:bookmarkEnd w:id="1375"/>
    </w:p>
    <w:p w:rsidR="00A92422" w:rsidRPr="00D87B79" w:rsidRDefault="00A92422" w:rsidP="00A92422">
      <w:pPr>
        <w:ind w:left="900"/>
        <w:rPr>
          <w:rFonts w:cs="Tahoma"/>
        </w:rPr>
      </w:pPr>
    </w:p>
    <w:p w:rsidR="00A92422" w:rsidRPr="00D87B79" w:rsidRDefault="00A92422" w:rsidP="00A92422">
      <w:pPr>
        <w:ind w:left="720"/>
        <w:rPr>
          <w:rFonts w:cs="Tahoma"/>
        </w:rPr>
      </w:pPr>
      <w:r w:rsidRPr="00D87B79">
        <w:rPr>
          <w:rFonts w:cs="Tahoma"/>
          <w:color w:val="000000"/>
          <w:lang w:val="it-IT"/>
        </w:rPr>
        <w:t>Office 365 Piano E1 era precedentemente noto come Business Productivity Online Standard Suite (BPOS Standard).</w:t>
      </w:r>
      <w:r w:rsidRPr="00D87B79">
        <w:rPr>
          <w:rFonts w:cs="Tahoma"/>
        </w:rPr>
        <w:t xml:space="preserve"> </w:t>
      </w:r>
      <w:r w:rsidRPr="00D87B79">
        <w:rPr>
          <w:rFonts w:cs="Tahoma"/>
          <w:color w:val="000000"/>
          <w:lang w:val="it-IT"/>
        </w:rPr>
        <w:t>Permette l’accesso a quanto segue:</w:t>
      </w:r>
      <w:r w:rsidRPr="00D87B79">
        <w:rPr>
          <w:rFonts w:cs="Tahoma"/>
          <w:color w:val="000000"/>
          <w:szCs w:val="18"/>
        </w:rPr>
        <w:t xml:space="preserve"> </w:t>
      </w:r>
      <w:r w:rsidRPr="00D87B79">
        <w:rPr>
          <w:rFonts w:cs="Tahoma"/>
          <w:color w:val="000000"/>
          <w:lang w:val="it-IT"/>
        </w:rPr>
        <w:t>Exchange Online Piano 1, SharePoint Online Piano 1, Lync Online Piano 2. Questa lista è soggetta a modifiche.</w:t>
      </w:r>
      <w:r w:rsidRPr="00D87B79">
        <w:rPr>
          <w:rFonts w:cs="Tahoma"/>
        </w:rPr>
        <w:t xml:space="preserve"> </w:t>
      </w:r>
      <w:r w:rsidRPr="00D87B79">
        <w:rPr>
          <w:rFonts w:cs="Tahoma"/>
          <w:color w:val="000000"/>
          <w:lang w:val="it-IT"/>
        </w:rPr>
        <w:t>Nell’eventualità di una discrepanza tra le condizioni di</w:t>
      </w:r>
      <w:r>
        <w:rPr>
          <w:rFonts w:cs="Tahoma"/>
          <w:color w:val="000000"/>
          <w:lang w:val="it-IT"/>
        </w:rPr>
        <w:t> </w:t>
      </w:r>
      <w:r w:rsidRPr="00D87B79">
        <w:rPr>
          <w:rFonts w:cs="Tahoma"/>
          <w:color w:val="000000"/>
          <w:lang w:val="it-IT"/>
        </w:rPr>
        <w:t>licenza per Office 365 Piano E1 e questa nota, i Diritti di Utilizzo del Prodotto correnti avranno prevalenza.</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color w:val="000000"/>
          <w:szCs w:val="18"/>
          <w:lang w:val="it-IT"/>
        </w:rPr>
        <w:t>Lync Online Piano 1 e Piano 2 richiedono l’acquisto separato e l’installazione di Microsoft Lync 2010 (o</w:t>
      </w:r>
      <w:r>
        <w:rPr>
          <w:rFonts w:cs="Tahoma"/>
          <w:color w:val="000000"/>
          <w:szCs w:val="18"/>
          <w:lang w:val="it-IT"/>
        </w:rPr>
        <w:t> </w:t>
      </w:r>
      <w:r w:rsidRPr="00D87B79">
        <w:rPr>
          <w:rFonts w:cs="Tahoma"/>
          <w:color w:val="000000"/>
          <w:szCs w:val="18"/>
          <w:lang w:val="it-IT"/>
        </w:rPr>
        <w:t>Lync</w:t>
      </w:r>
      <w:r>
        <w:rPr>
          <w:rFonts w:cs="Tahoma"/>
          <w:color w:val="000000"/>
          <w:szCs w:val="18"/>
          <w:lang w:val="it-IT"/>
        </w:rPr>
        <w:t> </w:t>
      </w:r>
      <w:r w:rsidRPr="00D87B79">
        <w:rPr>
          <w:rFonts w:cs="Tahoma"/>
          <w:color w:val="000000"/>
          <w:szCs w:val="18"/>
          <w:lang w:val="it-IT"/>
        </w:rPr>
        <w:t>per Mac 2011).</w:t>
      </w:r>
      <w:r w:rsidRPr="00D87B79">
        <w:rPr>
          <w:rFonts w:cs="Tahoma"/>
          <w:color w:val="000000"/>
          <w:szCs w:val="18"/>
        </w:rPr>
        <w:t xml:space="preserve"> </w:t>
      </w:r>
      <w:r w:rsidRPr="00D87B79">
        <w:rPr>
          <w:rFonts w:cs="Tahoma"/>
          <w:color w:val="000000"/>
          <w:szCs w:val="18"/>
          <w:lang w:val="it-IT"/>
        </w:rPr>
        <w:t>Grazie a un’offerta di durata limitata, le società in possesso della licenza per Lync Online riceveranno gratuitamente in licenza una copia di Lync 2010 (o Lync per Mac 2011) per ogni licenza “Subscription” fornita a scopo di valutazione o a pagamento per Lync Online.</w:t>
      </w:r>
      <w:r w:rsidRPr="00D87B79">
        <w:rPr>
          <w:rFonts w:cs="Tahoma"/>
        </w:rPr>
        <w:t xml:space="preserve"> </w:t>
      </w:r>
      <w:r w:rsidRPr="00D87B79">
        <w:rPr>
          <w:rFonts w:cs="Tahoma"/>
          <w:color w:val="000000"/>
          <w:lang w:val="it-IT"/>
        </w:rPr>
        <w:t>Il software potrà essere utilizzato esclusivamente con Lync Online e tutti i diritti di utilizzo del software cesseranno alla scadenza della licenza “Subscription” sottostante oppure in occasione della migrazione alla successiva nuova versione principale di Lync Online, a seconda di quale evento si verificherà per primo.</w:t>
      </w:r>
      <w:r w:rsidRPr="00D87B79">
        <w:rPr>
          <w:rFonts w:cs="Tahoma"/>
        </w:rPr>
        <w:t xml:space="preserve"> </w:t>
      </w:r>
      <w:r w:rsidRPr="00D87B79">
        <w:rPr>
          <w:rFonts w:cs="Tahoma"/>
          <w:color w:val="000000"/>
          <w:lang w:val="it-IT"/>
        </w:rPr>
        <w:t>Le società che non hanno ancora effettuato la migrazione da Office Communications Online potranno utilizzare Office Communicator 2007 R2 al posto di Lync 2010 (o di Lync per Mac 2011) avvalendosi della concessione di licenza in</w:t>
      </w:r>
      <w:r>
        <w:rPr>
          <w:rFonts w:cs="Tahoma"/>
          <w:color w:val="000000"/>
          <w:lang w:val="it-IT"/>
        </w:rPr>
        <w:t> </w:t>
      </w:r>
      <w:r w:rsidRPr="00D87B79">
        <w:rPr>
          <w:rFonts w:cs="Tahoma"/>
          <w:color w:val="000000"/>
          <w:lang w:val="it-IT"/>
        </w:rPr>
        <w:t>questione.</w:t>
      </w:r>
      <w:r w:rsidRPr="00D87B79">
        <w:rPr>
          <w:rFonts w:cs="Tahoma"/>
        </w:rPr>
        <w:t xml:space="preserve"> </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color w:val="000000"/>
          <w:lang w:val="it-IT"/>
        </w:rPr>
        <w:t>Le società esistenti o che rinnovano in possesso di sottoscrizioni attive di Business Productivity Online Suite in data 27 giugno 2011 potranno continuare ad accedere e a utilizzare il servizio Live Meeting ai sensi delle condizioni di licenza contenute nell’edizione di marzo 2011 dei Diritti di Utilizzo del Prodotto dopo avere effettuato la migrazione da Business Productivity Online Suite a Office 365 Piano E1 e fino al 1 aprile 2013 e</w:t>
      </w:r>
      <w:r>
        <w:rPr>
          <w:rFonts w:cs="Tahoma"/>
          <w:color w:val="000000"/>
          <w:lang w:val="it-IT"/>
        </w:rPr>
        <w:t> </w:t>
      </w:r>
      <w:r w:rsidRPr="00D87B79">
        <w:rPr>
          <w:rFonts w:cs="Tahoma"/>
          <w:color w:val="000000"/>
          <w:lang w:val="it-IT"/>
        </w:rPr>
        <w:t>alla scadenza delle licenze “Subscription” per utente per Office 365 Piano E1 corrispondenti, a seconda di</w:t>
      </w:r>
      <w:r>
        <w:rPr>
          <w:rFonts w:cs="Tahoma"/>
          <w:color w:val="000000"/>
          <w:lang w:val="it-IT"/>
        </w:rPr>
        <w:t> </w:t>
      </w:r>
      <w:r w:rsidRPr="00D87B79">
        <w:rPr>
          <w:rFonts w:cs="Tahoma"/>
          <w:color w:val="000000"/>
          <w:lang w:val="it-IT"/>
        </w:rPr>
        <w:t>quale dei due eventi si verificherà per primo.</w:t>
      </w:r>
      <w:r w:rsidRPr="00D87B79">
        <w:rPr>
          <w:rFonts w:cs="Tahoma"/>
        </w:rPr>
        <w:t xml:space="preserve"> </w:t>
      </w:r>
      <w:r w:rsidRPr="00D87B79">
        <w:rPr>
          <w:rFonts w:cs="Tahoma"/>
          <w:color w:val="000000"/>
          <w:lang w:val="it-IT"/>
        </w:rPr>
        <w:t>Le società, le cui condizioni di sottoscrizione si estendono oltre il 1 aprile 2013, dopo tale data potranno accedere solo ai componenti del servizio Office 365.</w:t>
      </w:r>
      <w:r w:rsidRPr="00D87B79">
        <w:rPr>
          <w:rFonts w:cs="Tahoma"/>
        </w:rPr>
        <w:t xml:space="preserve"> </w:t>
      </w:r>
      <w:r w:rsidRPr="00D87B79">
        <w:rPr>
          <w:rFonts w:cs="Tahoma"/>
          <w:color w:val="000000"/>
          <w:lang w:val="it-IT"/>
        </w:rPr>
        <w:t xml:space="preserve">Le </w:t>
      </w:r>
      <w:r w:rsidRPr="00D87B79">
        <w:rPr>
          <w:rFonts w:cs="Tahoma"/>
          <w:color w:val="000000"/>
          <w:lang w:val="it-IT"/>
        </w:rPr>
        <w:lastRenderedPageBreak/>
        <w:t>società con sottoscrizioni nuove di Office 365 Piano E1 effettuate dopo il 27 giugno 2011 non potranno accedere a Live Meeting.</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color w:val="000000"/>
          <w:szCs w:val="18"/>
          <w:lang w:val="it-IT"/>
        </w:rPr>
        <w:t>Le società che, in Brasile o in Cile, acquisteranno Office 365 Piano E1 riceveranno BPOS Standard.</w:t>
      </w:r>
      <w:r w:rsidRPr="00D87B79">
        <w:rPr>
          <w:rFonts w:cs="Tahoma"/>
        </w:rPr>
        <w:t xml:space="preserve"> </w:t>
      </w:r>
      <w:bookmarkStart w:id="1376" w:name="_71_Office_365"/>
      <w:bookmarkEnd w:id="1376"/>
      <w:r w:rsidRPr="00D87B79">
        <w:rPr>
          <w:rFonts w:cs="Tahoma"/>
          <w:color w:val="000000"/>
          <w:lang w:val="it-IT"/>
        </w:rPr>
        <w:t>Tali</w:t>
      </w:r>
      <w:r>
        <w:rPr>
          <w:rFonts w:cs="Tahoma"/>
          <w:color w:val="000000"/>
          <w:lang w:val="it-IT"/>
        </w:rPr>
        <w:t> </w:t>
      </w:r>
      <w:r w:rsidRPr="00D87B79">
        <w:rPr>
          <w:rFonts w:cs="Tahoma"/>
          <w:color w:val="000000"/>
          <w:lang w:val="it-IT"/>
        </w:rPr>
        <w:t>società potranno migrare a Office 365 Piano E1 in un secondo momento.</w:t>
      </w:r>
    </w:p>
    <w:p w:rsidR="00A92422" w:rsidRPr="00D87B79" w:rsidRDefault="00A92422" w:rsidP="00A92422">
      <w:pPr>
        <w:ind w:left="900"/>
        <w:rPr>
          <w:rFonts w:cs="Tahoma"/>
        </w:rPr>
      </w:pPr>
      <w:bookmarkStart w:id="1377" w:name="Srv_73Office365PlanG2toG4"/>
    </w:p>
    <w:p w:rsidR="00A92422" w:rsidRPr="00D87B79" w:rsidRDefault="00A92422" w:rsidP="00A92422">
      <w:pPr>
        <w:ind w:left="900"/>
        <w:rPr>
          <w:rFonts w:cs="Tahoma"/>
        </w:rPr>
      </w:pPr>
    </w:p>
    <w:p w:rsidR="00A92422" w:rsidRPr="00D87B79" w:rsidRDefault="00A92422" w:rsidP="00A92422">
      <w:pPr>
        <w:pStyle w:val="Heading2"/>
        <w:ind w:left="0"/>
        <w:rPr>
          <w:rFonts w:ascii="Tahoma" w:hAnsi="Tahoma" w:cs="Tahoma"/>
        </w:rPr>
      </w:pPr>
      <w:bookmarkStart w:id="1378" w:name="_Toc336338330"/>
      <w:bookmarkStart w:id="1379" w:name="_66_Office_365"/>
      <w:bookmarkStart w:id="1380" w:name="_Toc342900376"/>
      <w:bookmarkEnd w:id="1378"/>
      <w:bookmarkEnd w:id="1379"/>
      <w:r w:rsidRPr="00D87B79">
        <w:rPr>
          <w:rFonts w:ascii="Tahoma" w:hAnsi="Tahoma" w:cs="Tahoma"/>
          <w:caps/>
          <w:color w:val="FF6600"/>
          <w:sz w:val="22"/>
          <w:vertAlign w:val="superscript"/>
          <w:lang w:val="it-IT"/>
        </w:rPr>
        <w:t>66</w:t>
      </w:r>
      <w:r w:rsidRPr="00D87B79">
        <w:rPr>
          <w:rFonts w:ascii="Tahoma" w:hAnsi="Tahoma" w:cs="Tahoma"/>
          <w:color w:val="FF6600"/>
          <w:lang w:val="it-IT"/>
        </w:rPr>
        <w:t xml:space="preserve"> </w:t>
      </w:r>
      <w:r w:rsidRPr="00D87B79">
        <w:rPr>
          <w:rFonts w:ascii="Tahoma" w:hAnsi="Tahoma" w:cs="Tahoma"/>
          <w:color w:val="FF6600"/>
          <w:sz w:val="22"/>
          <w:lang w:val="it-IT"/>
        </w:rPr>
        <w:t>Office 365 Piano G1-G4</w:t>
      </w:r>
      <w:bookmarkEnd w:id="1380"/>
    </w:p>
    <w:p w:rsidR="00A92422" w:rsidRPr="00D87B79" w:rsidRDefault="00A92422" w:rsidP="00A92422">
      <w:pPr>
        <w:rPr>
          <w:rFonts w:cs="Tahoma"/>
        </w:rPr>
      </w:pPr>
    </w:p>
    <w:bookmarkEnd w:id="1377"/>
    <w:p w:rsidR="00A92422" w:rsidRPr="00D87B79" w:rsidRDefault="00A92422" w:rsidP="00A92422">
      <w:pPr>
        <w:ind w:left="720"/>
        <w:rPr>
          <w:rFonts w:cs="Tahoma"/>
        </w:rPr>
      </w:pPr>
      <w:r w:rsidRPr="00D87B79">
        <w:rPr>
          <w:rFonts w:cs="Tahoma"/>
          <w:color w:val="000000"/>
          <w:lang w:val="it-IT"/>
        </w:rPr>
        <w:t>Office 365 Piani G1-G4 permette l’accesso ai seguenti Servizi Online:</w:t>
      </w:r>
    </w:p>
    <w:p w:rsidR="00A92422" w:rsidRPr="00D87B79" w:rsidRDefault="00A92422" w:rsidP="00A92422">
      <w:pPr>
        <w:rPr>
          <w:rFonts w:cs="Tahoma"/>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0"/>
        <w:gridCol w:w="2196"/>
        <w:gridCol w:w="2124"/>
        <w:gridCol w:w="2088"/>
      </w:tblGrid>
      <w:tr w:rsidR="00A92422" w:rsidRPr="00D87B79" w:rsidTr="00EA30FC">
        <w:trPr>
          <w:tblHeader/>
        </w:trPr>
        <w:tc>
          <w:tcPr>
            <w:tcW w:w="2160" w:type="dxa"/>
            <w:shd w:val="clear" w:color="auto" w:fill="FABF8F"/>
          </w:tcPr>
          <w:p w:rsidR="00A92422" w:rsidRPr="00D87B79" w:rsidRDefault="00A92422" w:rsidP="00EA30FC">
            <w:pPr>
              <w:jc w:val="center"/>
              <w:rPr>
                <w:rFonts w:eastAsia="Times New Roman" w:cs="Tahoma"/>
                <w:b/>
                <w:color w:val="000000"/>
                <w:sz w:val="20"/>
              </w:rPr>
            </w:pPr>
            <w:r w:rsidRPr="00D87B79">
              <w:rPr>
                <w:rFonts w:eastAsia="Times New Roman" w:cs="Tahoma"/>
                <w:b/>
                <w:color w:val="000000"/>
                <w:sz w:val="20"/>
                <w:lang w:val="it-IT"/>
              </w:rPr>
              <w:t>Office 365 Piano</w:t>
            </w:r>
            <w:r>
              <w:rPr>
                <w:rFonts w:eastAsia="Times New Roman" w:cs="Tahoma"/>
                <w:b/>
                <w:color w:val="000000"/>
                <w:sz w:val="20"/>
                <w:lang w:val="it-IT"/>
              </w:rPr>
              <w:t> </w:t>
            </w:r>
            <w:r w:rsidRPr="00D87B79">
              <w:rPr>
                <w:rFonts w:eastAsia="Times New Roman" w:cs="Tahoma"/>
                <w:b/>
                <w:color w:val="000000"/>
                <w:sz w:val="20"/>
                <w:lang w:val="it-IT"/>
              </w:rPr>
              <w:t>G1</w:t>
            </w:r>
          </w:p>
        </w:tc>
        <w:tc>
          <w:tcPr>
            <w:tcW w:w="2196" w:type="dxa"/>
            <w:shd w:val="clear" w:color="auto" w:fill="FABF8F"/>
          </w:tcPr>
          <w:p w:rsidR="00A92422" w:rsidRPr="00D87B79" w:rsidRDefault="00A92422" w:rsidP="00EA30FC">
            <w:pPr>
              <w:jc w:val="center"/>
              <w:rPr>
                <w:rFonts w:eastAsia="Times New Roman" w:cs="Tahoma"/>
                <w:b/>
                <w:color w:val="000000"/>
                <w:sz w:val="20"/>
              </w:rPr>
            </w:pPr>
            <w:r w:rsidRPr="00D87B79">
              <w:rPr>
                <w:rFonts w:eastAsia="Times New Roman" w:cs="Tahoma"/>
                <w:b/>
                <w:color w:val="000000"/>
                <w:sz w:val="20"/>
                <w:lang w:val="it-IT"/>
              </w:rPr>
              <w:t>Office 365 Piano</w:t>
            </w:r>
            <w:r>
              <w:rPr>
                <w:rFonts w:eastAsia="Times New Roman" w:cs="Tahoma"/>
                <w:b/>
                <w:color w:val="000000"/>
                <w:sz w:val="20"/>
                <w:lang w:val="it-IT"/>
              </w:rPr>
              <w:t> </w:t>
            </w:r>
            <w:r w:rsidRPr="00D87B79">
              <w:rPr>
                <w:rFonts w:eastAsia="Times New Roman" w:cs="Tahoma"/>
                <w:b/>
                <w:color w:val="000000"/>
                <w:sz w:val="20"/>
                <w:lang w:val="it-IT"/>
              </w:rPr>
              <w:t>G2</w:t>
            </w:r>
          </w:p>
        </w:tc>
        <w:tc>
          <w:tcPr>
            <w:tcW w:w="2124" w:type="dxa"/>
            <w:shd w:val="clear" w:color="auto" w:fill="FABF8F"/>
          </w:tcPr>
          <w:p w:rsidR="00A92422" w:rsidRPr="00D87B79" w:rsidRDefault="00A92422" w:rsidP="00EA30FC">
            <w:pPr>
              <w:jc w:val="center"/>
              <w:rPr>
                <w:rFonts w:eastAsia="Times New Roman" w:cs="Tahoma"/>
                <w:b/>
                <w:color w:val="000000"/>
                <w:sz w:val="20"/>
              </w:rPr>
            </w:pPr>
            <w:r w:rsidRPr="00D87B79">
              <w:rPr>
                <w:rFonts w:eastAsia="Times New Roman" w:cs="Tahoma"/>
                <w:b/>
                <w:color w:val="000000"/>
                <w:sz w:val="20"/>
                <w:lang w:val="it-IT"/>
              </w:rPr>
              <w:t>Office 365 Piano</w:t>
            </w:r>
            <w:r>
              <w:rPr>
                <w:rFonts w:eastAsia="Times New Roman" w:cs="Tahoma"/>
                <w:b/>
                <w:color w:val="000000"/>
                <w:sz w:val="20"/>
                <w:lang w:val="it-IT"/>
              </w:rPr>
              <w:t> </w:t>
            </w:r>
            <w:r w:rsidRPr="00D87B79">
              <w:rPr>
                <w:rFonts w:eastAsia="Times New Roman" w:cs="Tahoma"/>
                <w:b/>
                <w:color w:val="000000"/>
                <w:sz w:val="20"/>
                <w:lang w:val="it-IT"/>
              </w:rPr>
              <w:t>G3</w:t>
            </w:r>
          </w:p>
        </w:tc>
        <w:tc>
          <w:tcPr>
            <w:tcW w:w="2088" w:type="dxa"/>
            <w:shd w:val="clear" w:color="auto" w:fill="FABF8F"/>
          </w:tcPr>
          <w:p w:rsidR="00A92422" w:rsidRPr="00D87B79" w:rsidRDefault="00A92422" w:rsidP="00EA30FC">
            <w:pPr>
              <w:jc w:val="center"/>
              <w:rPr>
                <w:rFonts w:eastAsia="Times New Roman" w:cs="Tahoma"/>
                <w:b/>
                <w:color w:val="000000"/>
                <w:sz w:val="20"/>
              </w:rPr>
            </w:pPr>
            <w:r w:rsidRPr="00D87B79">
              <w:rPr>
                <w:rFonts w:eastAsia="Times New Roman" w:cs="Tahoma"/>
                <w:b/>
                <w:color w:val="000000"/>
                <w:sz w:val="20"/>
                <w:lang w:val="it-IT"/>
              </w:rPr>
              <w:t>Office 365 Piano</w:t>
            </w:r>
            <w:r>
              <w:rPr>
                <w:rFonts w:eastAsia="Times New Roman" w:cs="Tahoma"/>
                <w:b/>
                <w:color w:val="000000"/>
                <w:sz w:val="20"/>
                <w:lang w:val="it-IT"/>
              </w:rPr>
              <w:t> </w:t>
            </w:r>
            <w:r w:rsidRPr="00D87B79">
              <w:rPr>
                <w:rFonts w:eastAsia="Times New Roman" w:cs="Tahoma"/>
                <w:b/>
                <w:color w:val="000000"/>
                <w:sz w:val="20"/>
                <w:lang w:val="it-IT"/>
              </w:rPr>
              <w:t>G4</w:t>
            </w:r>
          </w:p>
        </w:tc>
      </w:tr>
      <w:tr w:rsidR="00A92422" w:rsidRPr="00D87B79" w:rsidTr="00EA30FC">
        <w:tc>
          <w:tcPr>
            <w:tcW w:w="2160" w:type="dxa"/>
          </w:tcPr>
          <w:p w:rsidR="00A92422" w:rsidRPr="00D87B79" w:rsidRDefault="00A92422" w:rsidP="00EA30FC">
            <w:pPr>
              <w:ind w:left="180" w:right="186"/>
              <w:rPr>
                <w:rFonts w:eastAsia="Times New Roman" w:cs="Tahoma"/>
                <w:color w:val="000000"/>
              </w:rPr>
            </w:pPr>
            <w:r w:rsidRPr="00D87B79">
              <w:rPr>
                <w:rFonts w:eastAsia="Times New Roman" w:cs="Tahoma"/>
                <w:color w:val="000000"/>
                <w:lang w:val="it-IT"/>
              </w:rPr>
              <w:t>Exchange Online Piano 1</w:t>
            </w:r>
          </w:p>
        </w:tc>
        <w:tc>
          <w:tcPr>
            <w:tcW w:w="2196" w:type="dxa"/>
          </w:tcPr>
          <w:p w:rsidR="00A92422" w:rsidRPr="00D87B79" w:rsidRDefault="00A92422" w:rsidP="00EA30FC">
            <w:pPr>
              <w:ind w:left="180" w:right="186"/>
              <w:rPr>
                <w:rFonts w:eastAsia="Times New Roman" w:cs="Tahoma"/>
                <w:color w:val="000000"/>
              </w:rPr>
            </w:pPr>
            <w:r w:rsidRPr="00D87B79">
              <w:rPr>
                <w:rFonts w:eastAsia="Times New Roman" w:cs="Tahoma"/>
                <w:color w:val="000000"/>
                <w:lang w:val="it-IT"/>
              </w:rPr>
              <w:t>Exchange Online Piano 1</w:t>
            </w:r>
          </w:p>
        </w:tc>
        <w:tc>
          <w:tcPr>
            <w:tcW w:w="2124" w:type="dxa"/>
          </w:tcPr>
          <w:p w:rsidR="00A92422" w:rsidRPr="00D87B79" w:rsidRDefault="00A92422" w:rsidP="00EA30FC">
            <w:pPr>
              <w:ind w:left="138" w:right="138"/>
              <w:rPr>
                <w:rFonts w:eastAsia="Times New Roman" w:cs="Tahoma"/>
                <w:color w:val="000000"/>
              </w:rPr>
            </w:pPr>
            <w:r w:rsidRPr="00D87B79">
              <w:rPr>
                <w:rFonts w:eastAsia="Times New Roman" w:cs="Tahoma"/>
                <w:color w:val="000000"/>
                <w:lang w:val="it-IT"/>
              </w:rPr>
              <w:t>Exchange Online Piano 2</w:t>
            </w:r>
            <w:r w:rsidRPr="00D87B79">
              <w:rPr>
                <w:rFonts w:eastAsia="Times New Roman" w:cs="Tahoma"/>
                <w:color w:val="000000"/>
              </w:rPr>
              <w:t xml:space="preserve"> </w:t>
            </w:r>
          </w:p>
        </w:tc>
        <w:tc>
          <w:tcPr>
            <w:tcW w:w="2088" w:type="dxa"/>
          </w:tcPr>
          <w:p w:rsidR="00A92422" w:rsidRPr="00D87B79" w:rsidRDefault="00A92422" w:rsidP="00EA30FC">
            <w:pPr>
              <w:ind w:left="186" w:right="180"/>
              <w:rPr>
                <w:rFonts w:eastAsia="Times New Roman" w:cs="Tahoma"/>
                <w:color w:val="000000"/>
              </w:rPr>
            </w:pPr>
            <w:r w:rsidRPr="00D87B79">
              <w:rPr>
                <w:rFonts w:eastAsia="Times New Roman" w:cs="Tahoma"/>
                <w:color w:val="000000"/>
                <w:lang w:val="it-IT"/>
              </w:rPr>
              <w:t>Exchange Online Piano 2</w:t>
            </w:r>
          </w:p>
        </w:tc>
      </w:tr>
      <w:tr w:rsidR="00A92422" w:rsidRPr="00D87B79" w:rsidTr="00EA30FC">
        <w:tc>
          <w:tcPr>
            <w:tcW w:w="2160" w:type="dxa"/>
          </w:tcPr>
          <w:p w:rsidR="00A92422" w:rsidRPr="00D87B79" w:rsidRDefault="00A92422" w:rsidP="00EA30FC">
            <w:pPr>
              <w:ind w:left="180" w:right="186"/>
              <w:rPr>
                <w:rFonts w:eastAsia="Times New Roman" w:cs="Tahoma"/>
                <w:color w:val="000000"/>
              </w:rPr>
            </w:pPr>
            <w:r w:rsidRPr="00D87B79">
              <w:rPr>
                <w:rFonts w:eastAsia="Times New Roman" w:cs="Tahoma"/>
                <w:color w:val="000000"/>
                <w:lang w:val="it-IT"/>
              </w:rPr>
              <w:t>SharePoint Online Piano 1</w:t>
            </w:r>
          </w:p>
        </w:tc>
        <w:tc>
          <w:tcPr>
            <w:tcW w:w="2196" w:type="dxa"/>
          </w:tcPr>
          <w:p w:rsidR="00A92422" w:rsidRPr="00D87B79" w:rsidRDefault="00A92422" w:rsidP="00EA30FC">
            <w:pPr>
              <w:ind w:left="180" w:right="186"/>
              <w:rPr>
                <w:rFonts w:eastAsia="Times New Roman" w:cs="Tahoma"/>
                <w:color w:val="000000"/>
              </w:rPr>
            </w:pPr>
            <w:r w:rsidRPr="00D87B79">
              <w:rPr>
                <w:rFonts w:eastAsia="Times New Roman" w:cs="Tahoma"/>
                <w:color w:val="000000"/>
                <w:lang w:val="it-IT"/>
              </w:rPr>
              <w:t>SharePoint Online Piano 1</w:t>
            </w:r>
          </w:p>
        </w:tc>
        <w:tc>
          <w:tcPr>
            <w:tcW w:w="2124" w:type="dxa"/>
          </w:tcPr>
          <w:p w:rsidR="00A92422" w:rsidRPr="00D87B79" w:rsidRDefault="00A92422" w:rsidP="00EA30FC">
            <w:pPr>
              <w:ind w:left="138" w:right="138"/>
              <w:rPr>
                <w:rFonts w:eastAsia="Times New Roman" w:cs="Tahoma"/>
                <w:color w:val="000000"/>
              </w:rPr>
            </w:pPr>
            <w:r w:rsidRPr="00D87B79">
              <w:rPr>
                <w:rFonts w:eastAsia="Times New Roman" w:cs="Tahoma"/>
                <w:color w:val="000000"/>
                <w:lang w:val="it-IT"/>
              </w:rPr>
              <w:t>SharePoint Online Piano 2</w:t>
            </w:r>
          </w:p>
        </w:tc>
        <w:tc>
          <w:tcPr>
            <w:tcW w:w="2088" w:type="dxa"/>
          </w:tcPr>
          <w:p w:rsidR="00A92422" w:rsidRPr="00D87B79" w:rsidRDefault="00A92422" w:rsidP="00EA30FC">
            <w:pPr>
              <w:ind w:left="186" w:right="180"/>
              <w:rPr>
                <w:rFonts w:eastAsia="Times New Roman" w:cs="Tahoma"/>
                <w:color w:val="000000"/>
              </w:rPr>
            </w:pPr>
            <w:r w:rsidRPr="00D87B79">
              <w:rPr>
                <w:rFonts w:eastAsia="Times New Roman" w:cs="Tahoma"/>
                <w:color w:val="000000"/>
                <w:lang w:val="it-IT"/>
              </w:rPr>
              <w:t>SharePoint Online Piano 2</w:t>
            </w:r>
          </w:p>
        </w:tc>
      </w:tr>
      <w:tr w:rsidR="00A92422" w:rsidRPr="00D87B79" w:rsidTr="00EA30FC">
        <w:trPr>
          <w:cantSplit/>
        </w:trPr>
        <w:tc>
          <w:tcPr>
            <w:tcW w:w="2160" w:type="dxa"/>
          </w:tcPr>
          <w:p w:rsidR="00A92422" w:rsidRPr="00D87B79" w:rsidRDefault="00A92422" w:rsidP="00EA30FC">
            <w:pPr>
              <w:ind w:left="180" w:right="186"/>
              <w:rPr>
                <w:rFonts w:eastAsia="Times New Roman" w:cs="Tahoma"/>
                <w:color w:val="000000"/>
              </w:rPr>
            </w:pPr>
            <w:r w:rsidRPr="00D87B79">
              <w:rPr>
                <w:rFonts w:eastAsia="Times New Roman" w:cs="Tahoma"/>
                <w:color w:val="000000"/>
                <w:lang w:val="it-IT"/>
              </w:rPr>
              <w:t>Lync Online Piano 2</w:t>
            </w:r>
          </w:p>
        </w:tc>
        <w:tc>
          <w:tcPr>
            <w:tcW w:w="2196" w:type="dxa"/>
          </w:tcPr>
          <w:p w:rsidR="00A92422" w:rsidRPr="00D87B79" w:rsidRDefault="00A92422" w:rsidP="00EA30FC">
            <w:pPr>
              <w:ind w:left="180" w:right="186"/>
              <w:rPr>
                <w:rFonts w:eastAsia="Times New Roman" w:cs="Tahoma"/>
                <w:color w:val="000000"/>
              </w:rPr>
            </w:pPr>
            <w:r w:rsidRPr="00D87B79">
              <w:rPr>
                <w:rFonts w:eastAsia="Times New Roman" w:cs="Tahoma"/>
                <w:color w:val="000000"/>
                <w:lang w:val="it-IT"/>
              </w:rPr>
              <w:t>Lync Online Piano 2</w:t>
            </w:r>
          </w:p>
        </w:tc>
        <w:tc>
          <w:tcPr>
            <w:tcW w:w="2124" w:type="dxa"/>
          </w:tcPr>
          <w:p w:rsidR="00A92422" w:rsidRPr="00D87B79" w:rsidRDefault="00A92422" w:rsidP="00EA30FC">
            <w:pPr>
              <w:ind w:left="138" w:right="138"/>
              <w:rPr>
                <w:rFonts w:eastAsia="Times New Roman" w:cs="Tahoma"/>
                <w:color w:val="000000"/>
              </w:rPr>
            </w:pPr>
            <w:r w:rsidRPr="00D87B79">
              <w:rPr>
                <w:rFonts w:eastAsia="Times New Roman" w:cs="Tahoma"/>
                <w:color w:val="000000"/>
                <w:lang w:val="it-IT"/>
              </w:rPr>
              <w:t>Lync Online Piano 2</w:t>
            </w:r>
          </w:p>
        </w:tc>
        <w:tc>
          <w:tcPr>
            <w:tcW w:w="2088" w:type="dxa"/>
          </w:tcPr>
          <w:p w:rsidR="00A92422" w:rsidRPr="00D87B79" w:rsidRDefault="00A92422" w:rsidP="00EA30FC">
            <w:pPr>
              <w:ind w:left="186" w:right="180"/>
              <w:rPr>
                <w:rFonts w:eastAsia="Times New Roman" w:cs="Tahoma"/>
                <w:color w:val="000000"/>
              </w:rPr>
            </w:pPr>
            <w:r w:rsidRPr="00D87B79">
              <w:rPr>
                <w:rFonts w:eastAsia="Times New Roman" w:cs="Tahoma"/>
                <w:color w:val="000000"/>
                <w:lang w:val="it-IT"/>
              </w:rPr>
              <w:t>Lync Online Piano</w:t>
            </w:r>
            <w:r>
              <w:rPr>
                <w:rFonts w:eastAsia="Times New Roman" w:cs="Tahoma"/>
                <w:color w:val="000000"/>
                <w:lang w:val="it-IT"/>
              </w:rPr>
              <w:t> </w:t>
            </w:r>
            <w:r w:rsidRPr="00D87B79">
              <w:rPr>
                <w:rFonts w:eastAsia="Times New Roman" w:cs="Tahoma"/>
                <w:color w:val="000000"/>
                <w:lang w:val="it-IT"/>
              </w:rPr>
              <w:t>2</w:t>
            </w:r>
          </w:p>
        </w:tc>
      </w:tr>
      <w:tr w:rsidR="00A92422" w:rsidRPr="00D87B79" w:rsidTr="00EA30FC">
        <w:tc>
          <w:tcPr>
            <w:tcW w:w="2160" w:type="dxa"/>
          </w:tcPr>
          <w:p w:rsidR="00A92422" w:rsidRPr="00D87B79" w:rsidRDefault="00A92422" w:rsidP="00EA30FC">
            <w:pPr>
              <w:ind w:left="180" w:right="186"/>
              <w:rPr>
                <w:rFonts w:eastAsia="Times New Roman" w:cs="Tahoma"/>
                <w:color w:val="000000"/>
              </w:rPr>
            </w:pPr>
          </w:p>
        </w:tc>
        <w:tc>
          <w:tcPr>
            <w:tcW w:w="2196" w:type="dxa"/>
          </w:tcPr>
          <w:p w:rsidR="00A92422" w:rsidRPr="00D87B79" w:rsidRDefault="00A92422" w:rsidP="00EA30FC">
            <w:pPr>
              <w:ind w:left="180" w:right="186"/>
              <w:rPr>
                <w:rFonts w:eastAsia="Times New Roman" w:cs="Tahoma"/>
                <w:color w:val="000000"/>
              </w:rPr>
            </w:pPr>
            <w:r w:rsidRPr="00D87B79">
              <w:rPr>
                <w:rFonts w:eastAsia="Times New Roman" w:cs="Tahoma"/>
                <w:color w:val="000000"/>
                <w:lang w:val="it-IT"/>
              </w:rPr>
              <w:t>Office Web Applications (Microsoft Hosted)</w:t>
            </w:r>
          </w:p>
        </w:tc>
        <w:tc>
          <w:tcPr>
            <w:tcW w:w="2124" w:type="dxa"/>
          </w:tcPr>
          <w:p w:rsidR="00A92422" w:rsidRPr="00D87B79" w:rsidRDefault="00A92422" w:rsidP="00EA30FC">
            <w:pPr>
              <w:ind w:left="138" w:right="138"/>
              <w:rPr>
                <w:rFonts w:eastAsia="Times New Roman" w:cs="Tahoma"/>
                <w:color w:val="000000"/>
              </w:rPr>
            </w:pPr>
            <w:r w:rsidRPr="00D87B79">
              <w:rPr>
                <w:rFonts w:eastAsia="Times New Roman" w:cs="Tahoma"/>
                <w:color w:val="000000"/>
                <w:lang w:val="it-IT"/>
              </w:rPr>
              <w:t>Office Web Applications (Microsoft Hosted)</w:t>
            </w:r>
          </w:p>
        </w:tc>
        <w:tc>
          <w:tcPr>
            <w:tcW w:w="2088" w:type="dxa"/>
          </w:tcPr>
          <w:p w:rsidR="00A92422" w:rsidRPr="00D87B79" w:rsidRDefault="00A92422" w:rsidP="00EA30FC">
            <w:pPr>
              <w:ind w:left="186" w:right="180"/>
              <w:rPr>
                <w:rFonts w:eastAsia="Times New Roman" w:cs="Tahoma"/>
                <w:color w:val="000000"/>
              </w:rPr>
            </w:pPr>
            <w:r w:rsidRPr="00D87B79">
              <w:rPr>
                <w:rFonts w:cs="Tahoma"/>
                <w:color w:val="000000"/>
                <w:lang w:val="it-IT"/>
              </w:rPr>
              <w:t>Office Web Applications (Microsoft Hosted)</w:t>
            </w:r>
          </w:p>
        </w:tc>
      </w:tr>
      <w:tr w:rsidR="00A92422" w:rsidRPr="00D87B79" w:rsidTr="00EA30FC">
        <w:tc>
          <w:tcPr>
            <w:tcW w:w="2160" w:type="dxa"/>
          </w:tcPr>
          <w:p w:rsidR="00A92422" w:rsidRPr="00D87B79" w:rsidRDefault="00A92422" w:rsidP="00EA30FC">
            <w:pPr>
              <w:ind w:left="180" w:right="186"/>
              <w:rPr>
                <w:rFonts w:eastAsia="Times New Roman" w:cs="Tahoma"/>
                <w:color w:val="000000"/>
              </w:rPr>
            </w:pPr>
          </w:p>
        </w:tc>
        <w:tc>
          <w:tcPr>
            <w:tcW w:w="2196" w:type="dxa"/>
          </w:tcPr>
          <w:p w:rsidR="00A92422" w:rsidRPr="00D87B79" w:rsidRDefault="00A92422" w:rsidP="00EA30FC">
            <w:pPr>
              <w:ind w:left="180" w:right="186"/>
              <w:rPr>
                <w:rFonts w:eastAsia="Times New Roman" w:cs="Tahoma"/>
                <w:color w:val="000000"/>
              </w:rPr>
            </w:pPr>
          </w:p>
        </w:tc>
        <w:tc>
          <w:tcPr>
            <w:tcW w:w="2124" w:type="dxa"/>
          </w:tcPr>
          <w:p w:rsidR="00A92422" w:rsidRPr="00D87B79" w:rsidRDefault="00A92422" w:rsidP="00EA30FC">
            <w:pPr>
              <w:ind w:left="138" w:right="138"/>
              <w:rPr>
                <w:rFonts w:eastAsia="Times New Roman" w:cs="Tahoma"/>
                <w:color w:val="000000"/>
              </w:rPr>
            </w:pPr>
            <w:r w:rsidRPr="00D87B79">
              <w:rPr>
                <w:rFonts w:eastAsia="Times New Roman" w:cs="Tahoma"/>
                <w:color w:val="000000"/>
                <w:lang w:val="it-IT"/>
              </w:rPr>
              <w:t>Sottoscrizione a Office Professional Plus</w:t>
            </w:r>
            <w:r w:rsidRPr="00D87B79">
              <w:rPr>
                <w:rFonts w:eastAsia="Times New Roman" w:cs="Tahoma"/>
                <w:color w:val="000000"/>
              </w:rPr>
              <w:t xml:space="preserve"> </w:t>
            </w:r>
          </w:p>
        </w:tc>
        <w:tc>
          <w:tcPr>
            <w:tcW w:w="2088" w:type="dxa"/>
          </w:tcPr>
          <w:p w:rsidR="00A92422" w:rsidRPr="00D87B79" w:rsidRDefault="00A92422" w:rsidP="00EA30FC">
            <w:pPr>
              <w:ind w:left="186" w:right="180"/>
              <w:rPr>
                <w:rFonts w:eastAsia="Times New Roman" w:cs="Tahoma"/>
                <w:color w:val="000000"/>
              </w:rPr>
            </w:pPr>
            <w:r w:rsidRPr="00D87B79">
              <w:rPr>
                <w:rFonts w:eastAsia="Times New Roman" w:cs="Tahoma"/>
                <w:color w:val="000000"/>
                <w:lang w:val="it-IT"/>
              </w:rPr>
              <w:t>Sottoscrizione a Office Professional Plus</w:t>
            </w:r>
            <w:r w:rsidRPr="00D87B79">
              <w:rPr>
                <w:rFonts w:eastAsia="Times New Roman" w:cs="Tahoma"/>
                <w:color w:val="000000"/>
              </w:rPr>
              <w:t xml:space="preserve"> </w:t>
            </w:r>
          </w:p>
        </w:tc>
      </w:tr>
    </w:tbl>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color w:val="000000"/>
          <w:lang w:val="it-IT"/>
        </w:rPr>
        <w:t>Questa lista è soggetta a modifiche. Nell’eventualità di una discrepanza tra le condizioni di licenza per Office</w:t>
      </w:r>
      <w:r>
        <w:rPr>
          <w:rFonts w:cs="Tahoma"/>
          <w:color w:val="000000"/>
          <w:lang w:val="it-IT"/>
        </w:rPr>
        <w:t> </w:t>
      </w:r>
      <w:r w:rsidRPr="00D87B79">
        <w:rPr>
          <w:rFonts w:cs="Tahoma"/>
          <w:color w:val="000000"/>
          <w:lang w:val="it-IT"/>
        </w:rPr>
        <w:t xml:space="preserve">365 Piani G1 </w:t>
      </w:r>
      <w:r w:rsidRPr="00A83600">
        <w:rPr>
          <w:color w:val="000000"/>
        </w:rPr>
        <w:t>-</w:t>
      </w:r>
      <w:r w:rsidRPr="00D87B79">
        <w:rPr>
          <w:rFonts w:cs="Tahoma"/>
          <w:color w:val="000000"/>
          <w:lang w:val="it-IT"/>
        </w:rPr>
        <w:t xml:space="preserve"> G4 e questa nota, i Diritti di Utilizzo del Prodotto correnti avranno prevalenza. Gli eventuali diritti di accesso aggiuntivi per il software On-Premise concesso in licenza separatamente sono specificati nei</w:t>
      </w:r>
      <w:r>
        <w:rPr>
          <w:rFonts w:cs="Tahoma"/>
          <w:color w:val="000000"/>
          <w:lang w:val="it-IT"/>
        </w:rPr>
        <w:t> </w:t>
      </w:r>
      <w:r w:rsidRPr="00D87B79">
        <w:rPr>
          <w:rFonts w:cs="Tahoma"/>
          <w:color w:val="000000"/>
          <w:lang w:val="it-IT"/>
        </w:rPr>
        <w:t>Diritti di Utilizzo del Prodotto.</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color w:val="000000"/>
          <w:lang w:val="it-IT"/>
        </w:rPr>
        <w:t>Lync Online Piano 1 e Piano 2 richiedono l’acquisto separato e l’installazione di Microsoft Lync 2010 (o</w:t>
      </w:r>
      <w:r>
        <w:rPr>
          <w:rFonts w:cs="Tahoma"/>
          <w:color w:val="000000"/>
          <w:lang w:val="it-IT"/>
        </w:rPr>
        <w:t> </w:t>
      </w:r>
      <w:r w:rsidRPr="00D87B79">
        <w:rPr>
          <w:rFonts w:cs="Tahoma"/>
          <w:color w:val="000000"/>
          <w:lang w:val="it-IT"/>
        </w:rPr>
        <w:t>Lync</w:t>
      </w:r>
      <w:r>
        <w:rPr>
          <w:rFonts w:cs="Tahoma"/>
          <w:color w:val="000000"/>
          <w:lang w:val="it-IT"/>
        </w:rPr>
        <w:t> </w:t>
      </w:r>
      <w:r w:rsidRPr="00D87B79">
        <w:rPr>
          <w:rFonts w:cs="Tahoma"/>
          <w:color w:val="000000"/>
          <w:lang w:val="it-IT"/>
        </w:rPr>
        <w:t>per Mac 2011).</w:t>
      </w:r>
      <w:r w:rsidRPr="00D87B79">
        <w:rPr>
          <w:rFonts w:cs="Tahoma"/>
          <w:color w:val="000000"/>
        </w:rPr>
        <w:t xml:space="preserve"> </w:t>
      </w:r>
      <w:r w:rsidRPr="00D87B79">
        <w:rPr>
          <w:rFonts w:cs="Tahoma"/>
          <w:color w:val="000000"/>
          <w:lang w:val="it-IT"/>
        </w:rPr>
        <w:t>Grazie a un’offerta di durata limitata, le società in possesso della licenza per Lync Online riceveranno gratuitamente in licenza una copia di Lync 2010 (o Lync per Mac 2011) per ogni licenza “Subscription” fornita a scopo di valutazione o a pagamento per Lync Online.</w:t>
      </w:r>
      <w:r w:rsidRPr="00D87B79">
        <w:rPr>
          <w:rFonts w:cs="Tahoma"/>
        </w:rPr>
        <w:t xml:space="preserve"> </w:t>
      </w:r>
      <w:r w:rsidRPr="00D87B79">
        <w:rPr>
          <w:rFonts w:cs="Tahoma"/>
          <w:color w:val="000000"/>
          <w:lang w:val="it-IT"/>
        </w:rPr>
        <w:t>Il software potrà essere utilizzato esclusivamente con Lync Online e tutti i diritti sull’utilizzo del software cesseranno alla scadenza della licenza “Subscription” sottostante oppure in occasione della migrazione alla successiva nuova versione principale di Lync Online, a seconda di quale evento si verificherà per primo. Le Società che non abbiano ancora effettuato la migrazione da Office Communications Online potranno utilizzare Office Communicator 2007 R2 al posto di Lync 2010 (o Lync per Mac 2011) ai sensi della concessione di licenza in questione.</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color w:val="000000"/>
          <w:lang w:val="it-IT"/>
        </w:rPr>
        <w:t>G1-G4 non potranno essere distribuiti nello stesso dominio in cui vengono distribuiti servizi specifici di</w:t>
      </w:r>
      <w:r>
        <w:rPr>
          <w:rFonts w:cs="Tahoma"/>
          <w:color w:val="000000"/>
          <w:lang w:val="it-IT"/>
        </w:rPr>
        <w:t> </w:t>
      </w:r>
      <w:r w:rsidRPr="00D87B79">
        <w:rPr>
          <w:rFonts w:cs="Tahoma"/>
          <w:color w:val="000000"/>
          <w:lang w:val="it-IT"/>
        </w:rPr>
        <w:t>community cloud per enti non pubblici. Tale limitazione si estende a qualsiasi servizio online facente parte</w:t>
      </w:r>
      <w:r>
        <w:rPr>
          <w:rFonts w:cs="Tahoma"/>
          <w:color w:val="000000"/>
          <w:lang w:val="it-IT"/>
        </w:rPr>
        <w:t> </w:t>
      </w:r>
      <w:r w:rsidRPr="00D87B79">
        <w:rPr>
          <w:rFonts w:cs="Tahoma"/>
          <w:color w:val="000000"/>
          <w:lang w:val="it-IT"/>
        </w:rPr>
        <w:t>della famiglia di prodotti Office 365, inclusi Exchange Online, SharePoint Online e Lync Online.</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eastAsia="Times New Roman"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w:t>
      </w:r>
      <w:r>
        <w:rPr>
          <w:rFonts w:eastAsia="Times New Roman" w:cs="Tahoma"/>
          <w:color w:val="000000"/>
          <w:szCs w:val="18"/>
          <w:lang w:val="it-IT"/>
        </w:rPr>
        <w:t> </w:t>
      </w:r>
      <w:r w:rsidRPr="00D87B79">
        <w:rPr>
          <w:rFonts w:eastAsia="Times New Roman" w:cs="Tahoma"/>
          <w:color w:val="000000"/>
          <w:szCs w:val="18"/>
          <w:lang w:val="it-IT"/>
        </w:rPr>
        <w:t>o tribali negli Stati Uniti dovranno essere in possesso di un’Iscrizione Enterprise o Enterprise Subscription per Enti Pubblici Statunitensi per essere idonei all’acquisto di servizi online designati come community cloud per enti pubblici.</w:t>
      </w:r>
      <w:r w:rsidRPr="00D87B79">
        <w:rPr>
          <w:rFonts w:cs="Tahoma"/>
        </w:rPr>
        <w:t xml:space="preserve"> </w:t>
      </w:r>
      <w:r w:rsidRPr="00D87B79">
        <w:rPr>
          <w:rFonts w:cs="Tahoma"/>
          <w:color w:val="000000"/>
          <w:lang w:val="it-IT"/>
        </w:rPr>
        <w:t>I Diritti sull’Utilizzo relativi ai servizi di community cloud per enti pubblici sono simili a quelli dei loro equivalenti multi-tenant standard, come indicato nella seguente tabella:</w:t>
      </w:r>
    </w:p>
    <w:p w:rsidR="00A92422" w:rsidRPr="00D87B79" w:rsidRDefault="00A92422" w:rsidP="00A92422">
      <w:pPr>
        <w:ind w:left="900"/>
        <w:rPr>
          <w:rFonts w:cs="Tahoma"/>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A92422" w:rsidRPr="00D87B79" w:rsidTr="00EA30FC">
        <w:tc>
          <w:tcPr>
            <w:tcW w:w="4202" w:type="dxa"/>
            <w:shd w:val="clear" w:color="auto" w:fill="FABF8F"/>
          </w:tcPr>
          <w:p w:rsidR="00A92422" w:rsidRPr="00D87B79" w:rsidRDefault="00A92422" w:rsidP="00EA30FC">
            <w:pPr>
              <w:rPr>
                <w:rFonts w:eastAsia="Times New Roman" w:cs="Tahoma"/>
                <w:b/>
                <w:color w:val="000000"/>
                <w:sz w:val="20"/>
                <w:szCs w:val="20"/>
              </w:rPr>
            </w:pPr>
            <w:r w:rsidRPr="00D87B79">
              <w:rPr>
                <w:rFonts w:eastAsia="Times New Roman" w:cs="Tahoma"/>
                <w:b/>
                <w:color w:val="000000"/>
                <w:sz w:val="20"/>
                <w:szCs w:val="20"/>
                <w:lang w:val="it-IT"/>
              </w:rPr>
              <w:t>Office 365 (Piano E)</w:t>
            </w:r>
          </w:p>
        </w:tc>
        <w:tc>
          <w:tcPr>
            <w:tcW w:w="4366" w:type="dxa"/>
            <w:shd w:val="clear" w:color="auto" w:fill="FABF8F"/>
          </w:tcPr>
          <w:p w:rsidR="00A92422" w:rsidRPr="00D87B79" w:rsidRDefault="00A92422" w:rsidP="00EA30FC">
            <w:pPr>
              <w:rPr>
                <w:rFonts w:eastAsia="Times New Roman" w:cs="Tahoma"/>
                <w:b/>
                <w:color w:val="000000"/>
                <w:sz w:val="20"/>
                <w:szCs w:val="20"/>
              </w:rPr>
            </w:pPr>
            <w:r w:rsidRPr="00D87B79">
              <w:rPr>
                <w:rFonts w:eastAsia="Times New Roman" w:cs="Tahoma"/>
                <w:b/>
                <w:color w:val="000000"/>
                <w:sz w:val="20"/>
                <w:szCs w:val="20"/>
                <w:lang w:val="it-IT"/>
              </w:rPr>
              <w:t>Servizio per Office 365 Piano G con Diritti sull’Utilizzo equivalenti</w:t>
            </w:r>
          </w:p>
        </w:tc>
      </w:tr>
      <w:tr w:rsidR="00A92422" w:rsidRPr="00D87B79" w:rsidTr="00EA30FC">
        <w:tc>
          <w:tcPr>
            <w:tcW w:w="4202" w:type="dxa"/>
          </w:tcPr>
          <w:p w:rsidR="00A92422" w:rsidRPr="00D87B79" w:rsidRDefault="00A92422" w:rsidP="00EA30FC">
            <w:pPr>
              <w:rPr>
                <w:rFonts w:eastAsia="Times New Roman" w:cs="Tahoma"/>
                <w:color w:val="000000"/>
              </w:rPr>
            </w:pPr>
            <w:r w:rsidRPr="00D87B79">
              <w:rPr>
                <w:rFonts w:eastAsia="Times New Roman" w:cs="Tahoma"/>
                <w:color w:val="000000"/>
                <w:lang w:val="it-IT"/>
              </w:rPr>
              <w:t>Office 365 Piano E1</w:t>
            </w:r>
          </w:p>
        </w:tc>
        <w:tc>
          <w:tcPr>
            <w:tcW w:w="4366" w:type="dxa"/>
          </w:tcPr>
          <w:p w:rsidR="00A92422" w:rsidRPr="00D87B79" w:rsidRDefault="00A92422" w:rsidP="00EA30FC">
            <w:pPr>
              <w:rPr>
                <w:rFonts w:eastAsia="Times New Roman" w:cs="Tahoma"/>
                <w:color w:val="000000"/>
              </w:rPr>
            </w:pPr>
            <w:r w:rsidRPr="00D87B79">
              <w:rPr>
                <w:rFonts w:eastAsia="Times New Roman" w:cs="Tahoma"/>
                <w:color w:val="000000"/>
                <w:lang w:val="it-IT"/>
              </w:rPr>
              <w:t>Office 365 Piano G1</w:t>
            </w:r>
          </w:p>
        </w:tc>
      </w:tr>
      <w:tr w:rsidR="00A92422" w:rsidRPr="00D87B79" w:rsidTr="00EA30FC">
        <w:tc>
          <w:tcPr>
            <w:tcW w:w="4202" w:type="dxa"/>
          </w:tcPr>
          <w:p w:rsidR="00A92422" w:rsidRPr="00D87B79" w:rsidRDefault="00A92422" w:rsidP="00EA30FC">
            <w:pPr>
              <w:rPr>
                <w:rFonts w:eastAsia="Times New Roman" w:cs="Tahoma"/>
                <w:color w:val="000000"/>
              </w:rPr>
            </w:pPr>
            <w:r w:rsidRPr="00D87B79">
              <w:rPr>
                <w:rFonts w:eastAsia="Times New Roman" w:cs="Tahoma"/>
                <w:color w:val="000000"/>
                <w:lang w:val="it-IT"/>
              </w:rPr>
              <w:t>Office 365 Piano E2</w:t>
            </w:r>
          </w:p>
        </w:tc>
        <w:tc>
          <w:tcPr>
            <w:tcW w:w="4366" w:type="dxa"/>
          </w:tcPr>
          <w:p w:rsidR="00A92422" w:rsidRPr="00D87B79" w:rsidRDefault="00A92422" w:rsidP="00EA30FC">
            <w:pPr>
              <w:rPr>
                <w:rFonts w:eastAsia="Times New Roman" w:cs="Tahoma"/>
                <w:color w:val="000000"/>
              </w:rPr>
            </w:pPr>
            <w:r w:rsidRPr="00D87B79">
              <w:rPr>
                <w:rFonts w:eastAsia="Times New Roman" w:cs="Tahoma"/>
                <w:color w:val="000000"/>
                <w:lang w:val="it-IT"/>
              </w:rPr>
              <w:t>Office 365 Piano G2</w:t>
            </w:r>
          </w:p>
        </w:tc>
      </w:tr>
      <w:tr w:rsidR="00A92422" w:rsidRPr="00D87B79" w:rsidTr="00EA30FC">
        <w:tc>
          <w:tcPr>
            <w:tcW w:w="4202" w:type="dxa"/>
          </w:tcPr>
          <w:p w:rsidR="00A92422" w:rsidRPr="00D87B79" w:rsidRDefault="00A92422" w:rsidP="00EA30FC">
            <w:pPr>
              <w:rPr>
                <w:rFonts w:eastAsia="Times New Roman" w:cs="Tahoma"/>
                <w:color w:val="000000"/>
              </w:rPr>
            </w:pPr>
            <w:r w:rsidRPr="00D87B79">
              <w:rPr>
                <w:rFonts w:eastAsia="Times New Roman" w:cs="Tahoma"/>
                <w:color w:val="000000"/>
                <w:lang w:val="it-IT"/>
              </w:rPr>
              <w:t>Office 365 Piano E3</w:t>
            </w:r>
          </w:p>
        </w:tc>
        <w:tc>
          <w:tcPr>
            <w:tcW w:w="4366" w:type="dxa"/>
          </w:tcPr>
          <w:p w:rsidR="00A92422" w:rsidRPr="00D87B79" w:rsidRDefault="00A92422" w:rsidP="00EA30FC">
            <w:pPr>
              <w:rPr>
                <w:rFonts w:eastAsia="Times New Roman" w:cs="Tahoma"/>
                <w:color w:val="000000"/>
              </w:rPr>
            </w:pPr>
            <w:r w:rsidRPr="00D87B79">
              <w:rPr>
                <w:rFonts w:eastAsia="Times New Roman" w:cs="Tahoma"/>
                <w:color w:val="000000"/>
                <w:lang w:val="it-IT"/>
              </w:rPr>
              <w:t>Office 365 Piano G3</w:t>
            </w:r>
          </w:p>
        </w:tc>
      </w:tr>
      <w:tr w:rsidR="00A92422" w:rsidRPr="00D87B79" w:rsidTr="00EA30FC">
        <w:tc>
          <w:tcPr>
            <w:tcW w:w="4202" w:type="dxa"/>
          </w:tcPr>
          <w:p w:rsidR="00A92422" w:rsidRPr="00D87B79" w:rsidRDefault="00A92422" w:rsidP="00EA30FC">
            <w:pPr>
              <w:rPr>
                <w:rFonts w:eastAsia="Times New Roman" w:cs="Tahoma"/>
                <w:color w:val="000000"/>
              </w:rPr>
            </w:pPr>
            <w:r w:rsidRPr="00D87B79">
              <w:rPr>
                <w:rFonts w:eastAsia="Times New Roman" w:cs="Tahoma"/>
                <w:color w:val="000000"/>
                <w:lang w:val="it-IT"/>
              </w:rPr>
              <w:t>Office 365 Piano E4</w:t>
            </w:r>
          </w:p>
        </w:tc>
        <w:tc>
          <w:tcPr>
            <w:tcW w:w="4366" w:type="dxa"/>
          </w:tcPr>
          <w:p w:rsidR="00A92422" w:rsidRPr="00D87B79" w:rsidRDefault="00A92422" w:rsidP="00EA30FC">
            <w:pPr>
              <w:rPr>
                <w:rFonts w:eastAsia="Times New Roman" w:cs="Tahoma"/>
                <w:color w:val="000000"/>
              </w:rPr>
            </w:pPr>
            <w:r w:rsidRPr="00D87B79">
              <w:rPr>
                <w:rFonts w:eastAsia="Times New Roman" w:cs="Tahoma"/>
                <w:color w:val="000000"/>
                <w:lang w:val="it-IT"/>
              </w:rPr>
              <w:t>Office 365 Piano G4</w:t>
            </w:r>
          </w:p>
        </w:tc>
      </w:tr>
    </w:tbl>
    <w:p w:rsidR="00A92422" w:rsidRPr="00D87B79" w:rsidRDefault="00A92422" w:rsidP="00A92422">
      <w:pPr>
        <w:rPr>
          <w:rFonts w:cs="Tahoma"/>
        </w:rPr>
      </w:pPr>
    </w:p>
    <w:p w:rsidR="00A92422" w:rsidRPr="00D87B79" w:rsidRDefault="00A92422" w:rsidP="00A92422">
      <w:pPr>
        <w:rPr>
          <w:rFonts w:cs="Tahoma"/>
        </w:rPr>
      </w:pPr>
    </w:p>
    <w:p w:rsidR="00A92422" w:rsidRPr="00D87B79" w:rsidRDefault="00A92422" w:rsidP="00A92422">
      <w:pPr>
        <w:pStyle w:val="Heading2"/>
        <w:ind w:left="0"/>
        <w:rPr>
          <w:rFonts w:ascii="Tahoma" w:hAnsi="Tahoma" w:cs="Tahoma"/>
        </w:rPr>
      </w:pPr>
      <w:bookmarkStart w:id="1381" w:name="_59_Office_Communications"/>
      <w:bookmarkStart w:id="1382" w:name="_57_Office_Communications"/>
      <w:bookmarkStart w:id="1383" w:name="_59_Office_Groove"/>
      <w:bookmarkStart w:id="1384" w:name="_Toc336338331"/>
      <w:bookmarkStart w:id="1385" w:name="Srv_74Office365PlanK1K2"/>
      <w:bookmarkStart w:id="1386" w:name="_67_Office_365"/>
      <w:bookmarkStart w:id="1387" w:name="_Toc342900377"/>
      <w:bookmarkEnd w:id="1381"/>
      <w:bookmarkEnd w:id="1382"/>
      <w:bookmarkEnd w:id="1383"/>
      <w:bookmarkEnd w:id="1384"/>
      <w:bookmarkEnd w:id="1385"/>
      <w:bookmarkEnd w:id="1386"/>
      <w:r w:rsidRPr="00D87B79">
        <w:rPr>
          <w:rFonts w:ascii="Tahoma" w:hAnsi="Tahoma" w:cs="Tahoma"/>
          <w:caps/>
          <w:color w:val="F66400"/>
          <w:sz w:val="22"/>
          <w:vertAlign w:val="superscript"/>
          <w:lang w:val="it-IT"/>
        </w:rPr>
        <w:t>67</w:t>
      </w:r>
      <w:r w:rsidRPr="00BC6DB4">
        <w:rPr>
          <w:rFonts w:ascii="Tahoma" w:hAnsi="Tahoma" w:cs="Tahoma"/>
          <w:caps/>
          <w:color w:val="F66400"/>
          <w:sz w:val="22"/>
          <w:lang w:val="it-IT"/>
        </w:rPr>
        <w:t xml:space="preserve"> </w:t>
      </w:r>
      <w:r w:rsidRPr="00D87B79">
        <w:rPr>
          <w:rFonts w:ascii="Tahoma" w:hAnsi="Tahoma" w:cs="Tahoma"/>
          <w:color w:val="FF6600"/>
          <w:sz w:val="22"/>
          <w:lang w:val="it-IT"/>
        </w:rPr>
        <w:t>O</w:t>
      </w:r>
      <w:r w:rsidRPr="00D87B79">
        <w:rPr>
          <w:rFonts w:ascii="Tahoma" w:hAnsi="Tahoma" w:cs="Tahoma"/>
          <w:color w:val="F66400"/>
          <w:sz w:val="22"/>
          <w:lang w:val="it-IT"/>
        </w:rPr>
        <w:t>ffice 365 Piano K1 e K2 (SL per Utente)</w:t>
      </w:r>
      <w:bookmarkEnd w:id="1387"/>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color w:val="000000"/>
          <w:lang w:val="it-IT"/>
        </w:rPr>
        <w:t>Nonostante quanto diversamente stabilito nei contratti di licenza delle società, gli utenti qualificati non</w:t>
      </w:r>
      <w:r>
        <w:rPr>
          <w:rFonts w:cs="Tahoma"/>
          <w:color w:val="000000"/>
          <w:lang w:val="it-IT"/>
        </w:rPr>
        <w:t> </w:t>
      </w:r>
      <w:r w:rsidRPr="00D87B79">
        <w:rPr>
          <w:rFonts w:cs="Tahoma"/>
          <w:color w:val="000000"/>
          <w:lang w:val="it-IT"/>
        </w:rPr>
        <w:t>includono gli utenti titolari di licenza Chiosco Exchange Online, Chiosco SharePoint Online Kiosk, o</w:t>
      </w:r>
      <w:r>
        <w:rPr>
          <w:rFonts w:cs="Tahoma"/>
          <w:color w:val="000000"/>
          <w:lang w:val="it-IT"/>
        </w:rPr>
        <w:t> </w:t>
      </w:r>
      <w:r w:rsidRPr="00D87B79">
        <w:rPr>
          <w:rFonts w:cs="Tahoma"/>
          <w:color w:val="000000"/>
          <w:lang w:val="it-IT"/>
        </w:rPr>
        <w:t>Office 365 Piano K1 o K2</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color w:val="000000"/>
          <w:szCs w:val="18"/>
          <w:lang w:val="it-IT"/>
        </w:rPr>
        <w:t>Office 365 Piano K1 era precedentemente noto come Business Productivity Online Deskless Suite (BPOS</w:t>
      </w:r>
      <w:r>
        <w:rPr>
          <w:rFonts w:cs="Tahoma"/>
          <w:color w:val="000000"/>
          <w:szCs w:val="18"/>
          <w:lang w:val="it-IT"/>
        </w:rPr>
        <w:t> </w:t>
      </w:r>
      <w:r w:rsidRPr="00D87B79">
        <w:rPr>
          <w:rFonts w:cs="Tahoma"/>
          <w:color w:val="000000"/>
          <w:szCs w:val="18"/>
          <w:lang w:val="it-IT"/>
        </w:rPr>
        <w:t>Deskless).</w:t>
      </w:r>
      <w:r w:rsidRPr="00D87B79">
        <w:rPr>
          <w:rFonts w:cs="Tahoma"/>
          <w:color w:val="000000"/>
          <w:szCs w:val="18"/>
        </w:rPr>
        <w:t xml:space="preserve"> </w:t>
      </w:r>
      <w:r w:rsidRPr="00D87B79">
        <w:rPr>
          <w:rFonts w:cs="Tahoma"/>
          <w:color w:val="000000"/>
          <w:szCs w:val="18"/>
          <w:lang w:val="it-IT"/>
        </w:rPr>
        <w:t>Le società che, in Brasile o in Cile, acquisteranno Office 365 Piano K1 riceveranno BPOS</w:t>
      </w:r>
      <w:r>
        <w:t> </w:t>
      </w:r>
      <w:r w:rsidRPr="00D87B79">
        <w:rPr>
          <w:rFonts w:cs="Tahoma"/>
          <w:color w:val="000000"/>
          <w:szCs w:val="18"/>
          <w:lang w:val="it-IT"/>
        </w:rPr>
        <w:t>Deskless.</w:t>
      </w:r>
      <w:r w:rsidRPr="00D87B79">
        <w:rPr>
          <w:rFonts w:cs="Tahoma"/>
        </w:rPr>
        <w:t xml:space="preserve"> </w:t>
      </w:r>
      <w:r w:rsidRPr="00D87B79">
        <w:rPr>
          <w:rFonts w:cs="Tahoma"/>
          <w:color w:val="000000"/>
          <w:lang w:val="it-IT"/>
        </w:rPr>
        <w:t>Tali società potranno migrare a Office 365 Piano K1 in un secondo momento.</w:t>
      </w:r>
    </w:p>
    <w:p w:rsidR="00A92422"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color w:val="000000"/>
          <w:lang w:val="it-IT"/>
        </w:rPr>
        <w:t>Community Cloud per Enti Pubblici (solo Stati Uniti)</w:t>
      </w:r>
    </w:p>
    <w:p w:rsidR="00A92422" w:rsidRPr="00D87B79" w:rsidRDefault="00A92422" w:rsidP="00A92422">
      <w:pPr>
        <w:ind w:left="720"/>
        <w:rPr>
          <w:rFonts w:cs="Tahoma"/>
        </w:rPr>
      </w:pPr>
      <w:r w:rsidRPr="00D87B79">
        <w:rPr>
          <w:rFonts w:eastAsia="Times New Roman" w:cs="Tahoma"/>
          <w:color w:val="000000"/>
          <w:szCs w:val="18"/>
          <w:lang w:val="it-IT"/>
        </w:rPr>
        <w:t>Alcuni servizi online della famiglia di prodotti Office 365 (incluso Office 365 Piano K1 e K2) sono offerti come</w:t>
      </w:r>
      <w:r>
        <w:rPr>
          <w:rFonts w:eastAsia="Times New Roman" w:cs="Tahoma"/>
          <w:color w:val="000000"/>
          <w:szCs w:val="18"/>
          <w:lang w:val="it-IT"/>
        </w:rPr>
        <w:t> </w:t>
      </w:r>
      <w:r w:rsidRPr="00D87B79">
        <w:rPr>
          <w:rFonts w:eastAsia="Times New Roman" w:cs="Tahoma"/>
          <w:color w:val="000000"/>
          <w:szCs w:val="18"/>
          <w:lang w:val="it-IT"/>
        </w:rPr>
        <w:t>servizi di community cloud per enti pubblici e come servizi di community cloud per enti non pubblici.</w:t>
      </w:r>
      <w:r w:rsidRPr="00D87B79">
        <w:rPr>
          <w:rFonts w:eastAsia="Times New Roman" w:cs="Tahoma"/>
          <w:color w:val="000000"/>
          <w:szCs w:val="18"/>
        </w:rPr>
        <w:t xml:space="preserve"> </w:t>
      </w:r>
      <w:r w:rsidRPr="00D87B79">
        <w:rPr>
          <w:rFonts w:eastAsia="Times New Roman" w:cs="Tahoma"/>
          <w:color w:val="000000"/>
          <w:szCs w:val="18"/>
          <w:lang w:val="it-IT"/>
        </w:rPr>
        <w:t>Alle società potrà essere effettuato il provisioning come ente pubblico o non pubblico, ma non come una combinazione di entrambi.</w:t>
      </w:r>
      <w:r w:rsidRPr="00D87B79">
        <w:rPr>
          <w:rFonts w:cs="Tahoma"/>
        </w:rPr>
        <w:t xml:space="preserve"> </w:t>
      </w:r>
      <w:r w:rsidRPr="00D87B79">
        <w:rPr>
          <w:rFonts w:cs="Tahoma"/>
          <w:color w:val="000000"/>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Pr="00D87B79">
        <w:rPr>
          <w:rFonts w:cs="Tahoma"/>
        </w:rPr>
        <w:t xml:space="preserve"> </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eastAsia="Times New Roman"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w:t>
      </w:r>
      <w:r>
        <w:rPr>
          <w:rFonts w:eastAsia="Times New Roman" w:cs="Tahoma"/>
          <w:color w:val="000000"/>
          <w:szCs w:val="18"/>
          <w:lang w:val="it-IT"/>
        </w:rPr>
        <w:t> </w:t>
      </w:r>
      <w:r w:rsidRPr="00D87B79">
        <w:rPr>
          <w:rFonts w:eastAsia="Times New Roman" w:cs="Tahoma"/>
          <w:color w:val="000000"/>
          <w:szCs w:val="18"/>
          <w:lang w:val="it-IT"/>
        </w:rPr>
        <w:t>o tribali negli Stati Uniti dovranno essere in possesso di un’Iscrizione Enterprise o Enterprise Subscription per Enti Pubblici Statunitensi per essere idonei all’acquisto di servizi online designati come community cloud per enti pubblici.</w:t>
      </w:r>
      <w:r w:rsidRPr="00D87B79">
        <w:rPr>
          <w:rFonts w:cs="Tahoma"/>
        </w:rPr>
        <w:t xml:space="preserve"> </w:t>
      </w:r>
      <w:r w:rsidRPr="00D87B79">
        <w:rPr>
          <w:rFonts w:cs="Tahoma"/>
          <w:color w:val="000000"/>
          <w:lang w:val="it-IT"/>
        </w:rPr>
        <w:t>I Diritti sull’Utilizzo relativi ai servizi di community cloud per enti pubblici sono simili a quelli dei loro equivalenti multi-tenant standard.</w:t>
      </w:r>
    </w:p>
    <w:p w:rsidR="00A92422" w:rsidRPr="00D87B79" w:rsidRDefault="00A92422" w:rsidP="00A92422">
      <w:pPr>
        <w:rPr>
          <w:rFonts w:cs="Tahoma"/>
        </w:rPr>
      </w:pPr>
    </w:p>
    <w:p w:rsidR="00A92422" w:rsidRPr="00DD0C96" w:rsidRDefault="00A92422" w:rsidP="00A92422">
      <w:pPr>
        <w:pStyle w:val="EndnoteText"/>
        <w:ind w:left="0"/>
        <w:rPr>
          <w:rFonts w:ascii="Tahoma" w:hAnsi="Tahoma" w:cs="Tahoma"/>
          <w:sz w:val="18"/>
          <w:szCs w:val="18"/>
        </w:rPr>
      </w:pPr>
    </w:p>
    <w:p w:rsidR="00A92422" w:rsidRPr="00D87B79" w:rsidRDefault="00A92422" w:rsidP="00A92422">
      <w:pPr>
        <w:pStyle w:val="Heading2"/>
        <w:ind w:left="0"/>
        <w:rPr>
          <w:rFonts w:ascii="Tahoma" w:hAnsi="Tahoma" w:cs="Tahoma"/>
        </w:rPr>
      </w:pPr>
      <w:bookmarkStart w:id="1388" w:name="_Toc336338334"/>
      <w:bookmarkStart w:id="1389" w:name="Srv_62OfficePerfPointSvr07"/>
      <w:bookmarkStart w:id="1390" w:name="Srv_73SharepointOnlinePlan1"/>
      <w:bookmarkStart w:id="1391" w:name="Srv_74SharepointOnlinePlan1"/>
      <w:bookmarkStart w:id="1392" w:name="_68_SharePoint_Online"/>
      <w:bookmarkStart w:id="1393" w:name="_Toc342900378"/>
      <w:bookmarkEnd w:id="1388"/>
      <w:bookmarkEnd w:id="1389"/>
      <w:bookmarkEnd w:id="1390"/>
      <w:bookmarkEnd w:id="1391"/>
      <w:bookmarkEnd w:id="1392"/>
      <w:r w:rsidRPr="00D87B79">
        <w:rPr>
          <w:rFonts w:ascii="Tahoma" w:hAnsi="Tahoma" w:cs="Tahoma"/>
          <w:caps/>
          <w:color w:val="FF6600"/>
          <w:sz w:val="22"/>
          <w:vertAlign w:val="superscript"/>
          <w:lang w:val="it-IT"/>
        </w:rPr>
        <w:t>68</w:t>
      </w:r>
      <w:r w:rsidRPr="00D87B79">
        <w:rPr>
          <w:rFonts w:ascii="Tahoma" w:hAnsi="Tahoma" w:cs="Tahoma"/>
          <w:color w:val="FF6600"/>
          <w:lang w:val="it-IT"/>
        </w:rPr>
        <w:t xml:space="preserve"> </w:t>
      </w:r>
      <w:r w:rsidRPr="00D87B79">
        <w:rPr>
          <w:rFonts w:ascii="Tahoma" w:hAnsi="Tahoma" w:cs="Tahoma"/>
          <w:color w:val="FF6600"/>
          <w:sz w:val="22"/>
          <w:lang w:val="it-IT"/>
        </w:rPr>
        <w:t>SharePoint Online Piano 1 e Piano 2</w:t>
      </w:r>
      <w:bookmarkEnd w:id="1393"/>
    </w:p>
    <w:p w:rsidR="00A92422" w:rsidRPr="00D87B79" w:rsidRDefault="00A92422" w:rsidP="00A92422">
      <w:pPr>
        <w:rPr>
          <w:rFonts w:cs="Tahoma"/>
        </w:rPr>
      </w:pPr>
    </w:p>
    <w:p w:rsidR="00A92422" w:rsidRPr="00D87B79" w:rsidRDefault="00A92422" w:rsidP="00A92422">
      <w:pPr>
        <w:pStyle w:val="EndnoteText"/>
        <w:ind w:left="720"/>
        <w:rPr>
          <w:rFonts w:ascii="Tahoma" w:hAnsi="Tahoma" w:cs="Tahoma"/>
        </w:rPr>
      </w:pPr>
      <w:r w:rsidRPr="00D87B79">
        <w:rPr>
          <w:rFonts w:ascii="Tahoma" w:hAnsi="Tahoma" w:cs="Tahoma"/>
          <w:color w:val="000000"/>
          <w:sz w:val="18"/>
          <w:lang w:val="it-IT"/>
        </w:rPr>
        <w:t>SharePoint Online Piano 1 era precedentemente noto come SharePoint Online Standard.</w:t>
      </w:r>
    </w:p>
    <w:p w:rsidR="00A92422" w:rsidRPr="00DD0C96" w:rsidRDefault="00A92422" w:rsidP="00A92422">
      <w:pPr>
        <w:pStyle w:val="EndnoteText"/>
        <w:ind w:left="720"/>
        <w:rPr>
          <w:rFonts w:ascii="Tahoma" w:hAnsi="Tahoma" w:cs="Tahoma"/>
          <w:sz w:val="18"/>
          <w:szCs w:val="18"/>
        </w:rPr>
      </w:pPr>
    </w:p>
    <w:p w:rsidR="00A92422" w:rsidRPr="00D87B79" w:rsidRDefault="00A92422" w:rsidP="00A92422">
      <w:pPr>
        <w:pStyle w:val="EndnoteText"/>
        <w:ind w:left="720"/>
        <w:rPr>
          <w:rFonts w:ascii="Tahoma" w:hAnsi="Tahoma" w:cs="Tahoma"/>
        </w:rPr>
      </w:pPr>
      <w:r w:rsidRPr="00D87B79">
        <w:rPr>
          <w:rFonts w:ascii="Tahoma" w:hAnsi="Tahoma" w:cs="Tahoma"/>
          <w:color w:val="000000"/>
          <w:sz w:val="18"/>
          <w:lang w:val="it-IT"/>
        </w:rPr>
        <w:t>Le società che, in Brasile o in Cile, acquisteranno SharePoint Online Piano 1 riceveranno SharePoint Online Standard.</w:t>
      </w:r>
      <w:r w:rsidRPr="00D87B79">
        <w:rPr>
          <w:rFonts w:ascii="Tahoma" w:hAnsi="Tahoma" w:cs="Tahoma"/>
        </w:rPr>
        <w:t xml:space="preserve"> </w:t>
      </w:r>
      <w:r w:rsidRPr="00D87B79">
        <w:rPr>
          <w:rFonts w:ascii="Tahoma" w:hAnsi="Tahoma" w:cs="Tahoma"/>
          <w:color w:val="000000"/>
          <w:sz w:val="18"/>
          <w:lang w:val="it-IT"/>
        </w:rPr>
        <w:t>Tali società potranno migrare a SharePoint Online Piano 1 in un secondo momento.</w:t>
      </w:r>
    </w:p>
    <w:p w:rsidR="00A92422" w:rsidRPr="00DD0C96" w:rsidRDefault="00A92422" w:rsidP="00A92422">
      <w:pPr>
        <w:pStyle w:val="EndnoteText"/>
        <w:ind w:left="720"/>
        <w:rPr>
          <w:rFonts w:ascii="Tahoma" w:hAnsi="Tahoma" w:cs="Tahoma"/>
          <w:sz w:val="18"/>
          <w:szCs w:val="18"/>
        </w:rPr>
      </w:pPr>
    </w:p>
    <w:p w:rsidR="00A92422" w:rsidRPr="00D87B79" w:rsidRDefault="00A92422" w:rsidP="00A92422">
      <w:pPr>
        <w:spacing w:after="60"/>
        <w:ind w:left="720"/>
        <w:rPr>
          <w:rFonts w:cs="Tahoma"/>
        </w:rPr>
      </w:pPr>
      <w:r w:rsidRPr="00D87B79">
        <w:rPr>
          <w:rFonts w:cs="Tahoma"/>
          <w:b/>
          <w:color w:val="000000"/>
          <w:lang w:val="it-IT"/>
        </w:rPr>
        <w:t>Community Cloud per Enti Pubblici (solo Stati Uniti)</w:t>
      </w:r>
    </w:p>
    <w:p w:rsidR="00A92422" w:rsidRPr="00D87B79" w:rsidRDefault="00A92422" w:rsidP="00A92422">
      <w:pPr>
        <w:ind w:left="720"/>
        <w:rPr>
          <w:rFonts w:cs="Tahoma"/>
        </w:rPr>
      </w:pPr>
      <w:r w:rsidRPr="00D87B79">
        <w:rPr>
          <w:rFonts w:eastAsia="Times New Roman" w:cs="Tahoma"/>
          <w:color w:val="000000"/>
          <w:szCs w:val="18"/>
          <w:lang w:val="it-IT"/>
        </w:rPr>
        <w:t>Alcuni servizi online della famiglia di prodotti Office 365 (incluso SharePoint Online Piano 1 e 2) sono offerti come servizi di community cloud per enti pubblici e come servizi di community cloud per enti non pubblici.</w:t>
      </w:r>
      <w:r w:rsidRPr="00D87B79">
        <w:rPr>
          <w:rFonts w:eastAsia="Times New Roman" w:cs="Tahoma"/>
          <w:color w:val="000000"/>
          <w:szCs w:val="18"/>
        </w:rPr>
        <w:t xml:space="preserve"> </w:t>
      </w:r>
      <w:r w:rsidRPr="00D87B79">
        <w:rPr>
          <w:rFonts w:eastAsia="Times New Roman" w:cs="Tahoma"/>
          <w:color w:val="000000"/>
          <w:szCs w:val="18"/>
          <w:lang w:val="it-IT"/>
        </w:rPr>
        <w:t>Alle società potrà essere effettuato il provisioning come ente pubblico o non pubblico, ma non come una combinazione di entrambi.</w:t>
      </w:r>
      <w:r w:rsidRPr="00D87B79">
        <w:rPr>
          <w:rFonts w:cs="Tahoma"/>
        </w:rPr>
        <w:t xml:space="preserve"> </w:t>
      </w:r>
      <w:r w:rsidRPr="00D87B79">
        <w:rPr>
          <w:rFonts w:cs="Tahoma"/>
          <w:color w:val="000000"/>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Pr="00D87B79">
        <w:rPr>
          <w:rFonts w:cs="Tahoma"/>
        </w:rPr>
        <w:t xml:space="preserve"> </w:t>
      </w:r>
    </w:p>
    <w:p w:rsidR="00A92422" w:rsidRPr="00D87B79" w:rsidRDefault="00A92422" w:rsidP="00A92422">
      <w:pPr>
        <w:ind w:left="720"/>
        <w:rPr>
          <w:rFonts w:cs="Tahoma"/>
        </w:rPr>
      </w:pPr>
    </w:p>
    <w:p w:rsidR="00A92422" w:rsidRPr="00DD0C96" w:rsidRDefault="00A92422" w:rsidP="00A92422">
      <w:pPr>
        <w:ind w:left="720"/>
        <w:rPr>
          <w:rFonts w:cs="Tahoma"/>
          <w:szCs w:val="18"/>
        </w:rPr>
      </w:pPr>
      <w:r w:rsidRPr="00D87B79">
        <w:rPr>
          <w:rFonts w:cs="Tahoma"/>
          <w:color w:val="000000"/>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un’Iscrizione Enterprise o Enterprise Subscription per Enti Pubblici Statunitensi per essere idonei all’acquisto di servizi online designati come community cloud per enti pubblici.</w:t>
      </w:r>
      <w:r w:rsidRPr="00D87B79">
        <w:rPr>
          <w:rFonts w:cs="Tahoma"/>
        </w:rPr>
        <w:t xml:space="preserve"> </w:t>
      </w:r>
      <w:r w:rsidRPr="00D87B79">
        <w:rPr>
          <w:rFonts w:cs="Tahoma"/>
          <w:color w:val="000000"/>
          <w:lang w:val="it-IT"/>
        </w:rPr>
        <w:t>I Diritti sull’Utilizzo relativi ai servizi di community cloud per enti pubblici sono simili a quelli dei loro equivalenti multi-tenant standard.</w:t>
      </w:r>
    </w:p>
    <w:p w:rsidR="00A92422" w:rsidRPr="00DD0C96" w:rsidRDefault="00A92422" w:rsidP="00A92422">
      <w:pPr>
        <w:pStyle w:val="EndnoteText"/>
        <w:ind w:left="0"/>
        <w:rPr>
          <w:rFonts w:ascii="Tahoma" w:hAnsi="Tahoma" w:cs="Tahoma"/>
          <w:sz w:val="18"/>
          <w:szCs w:val="18"/>
        </w:rPr>
      </w:pPr>
    </w:p>
    <w:p w:rsidR="00A92422" w:rsidRDefault="00A92422" w:rsidP="00A92422">
      <w:pPr>
        <w:rPr>
          <w:rFonts w:cs="Tahoma"/>
          <w:b/>
          <w:caps/>
          <w:color w:val="FA6500"/>
          <w:sz w:val="22"/>
          <w:szCs w:val="24"/>
          <w:vertAlign w:val="superscript"/>
          <w:lang w:val="it-IT"/>
        </w:rPr>
      </w:pPr>
      <w:bookmarkStart w:id="1394" w:name="_Toc336338335"/>
      <w:bookmarkStart w:id="1395" w:name="Srv_65ShareptSvr10"/>
      <w:bookmarkStart w:id="1396" w:name="Srv_64OfficeShareptSvr10"/>
      <w:bookmarkStart w:id="1397" w:name="Srv_63OfficeShareptSvr07"/>
      <w:bookmarkStart w:id="1398" w:name="Srv_62OfficeShareptSvr07"/>
      <w:bookmarkStart w:id="1399" w:name="_69_SharePoint_Server"/>
      <w:bookmarkStart w:id="1400" w:name="_Toc342900379"/>
      <w:bookmarkEnd w:id="1394"/>
      <w:bookmarkEnd w:id="1395"/>
      <w:bookmarkEnd w:id="1396"/>
      <w:bookmarkEnd w:id="1397"/>
      <w:bookmarkEnd w:id="1398"/>
      <w:bookmarkEnd w:id="1399"/>
      <w:r>
        <w:rPr>
          <w:rFonts w:cs="Tahoma"/>
          <w:caps/>
          <w:color w:val="FA6500"/>
          <w:sz w:val="22"/>
          <w:vertAlign w:val="superscript"/>
          <w:lang w:val="it-IT"/>
        </w:rPr>
        <w:br w:type="page"/>
      </w:r>
    </w:p>
    <w:p w:rsidR="00A92422" w:rsidRPr="00D87B79" w:rsidRDefault="00A92422" w:rsidP="00A92422">
      <w:pPr>
        <w:pStyle w:val="Heading2"/>
        <w:ind w:left="0"/>
        <w:rPr>
          <w:rFonts w:ascii="Tahoma" w:hAnsi="Tahoma" w:cs="Tahoma"/>
        </w:rPr>
      </w:pPr>
      <w:r w:rsidRPr="00D87B79">
        <w:rPr>
          <w:rFonts w:ascii="Tahoma" w:hAnsi="Tahoma" w:cs="Tahoma"/>
          <w:caps/>
          <w:color w:val="FA6500"/>
          <w:sz w:val="22"/>
          <w:vertAlign w:val="superscript"/>
          <w:lang w:val="it-IT"/>
        </w:rPr>
        <w:lastRenderedPageBreak/>
        <w:t xml:space="preserve">69 </w:t>
      </w:r>
      <w:r w:rsidRPr="00D87B79">
        <w:rPr>
          <w:rFonts w:ascii="Tahoma" w:hAnsi="Tahoma" w:cs="Tahoma"/>
          <w:color w:val="FA6500"/>
          <w:sz w:val="22"/>
          <w:lang w:val="it-IT"/>
        </w:rPr>
        <w:t>SharePoint Server 2013</w:t>
      </w:r>
      <w:bookmarkEnd w:id="1400"/>
      <w:r w:rsidRPr="00D87B79">
        <w:rPr>
          <w:rFonts w:ascii="Tahoma" w:hAnsi="Tahoma" w:cs="Tahoma"/>
        </w:rPr>
        <w:t xml:space="preserve"> </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color w:val="000000"/>
          <w:lang w:val="it-IT"/>
        </w:rPr>
        <w:t>SharePoint Server 2013 è l’ultima versione di SharePoint Server.</w:t>
      </w:r>
    </w:p>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color w:val="000000"/>
          <w:lang w:val="it-IT"/>
        </w:rPr>
        <w:t>Concessioni di Licenza per le Società Titolari di Licenze SharePoint Server 2010 for Internet Sites Enterprise, SharePoint Server 2010 for Internet Sites Standard, FAST Search Server 2010</w:t>
      </w:r>
      <w:r>
        <w:rPr>
          <w:rFonts w:cs="Tahoma"/>
          <w:b/>
          <w:color w:val="000000"/>
          <w:lang w:val="it-IT"/>
        </w:rPr>
        <w:t> </w:t>
      </w:r>
      <w:r w:rsidRPr="00D87B79">
        <w:rPr>
          <w:rFonts w:cs="Tahoma"/>
          <w:b/>
          <w:color w:val="000000"/>
          <w:lang w:val="it-IT"/>
        </w:rPr>
        <w:t>for SharePoint Server, Search Server 2010</w:t>
      </w:r>
    </w:p>
    <w:p w:rsidR="00A92422" w:rsidRPr="00D87B79" w:rsidRDefault="00A92422" w:rsidP="00A92422">
      <w:pPr>
        <w:ind w:left="720"/>
        <w:rPr>
          <w:rFonts w:cs="Tahoma"/>
        </w:rPr>
      </w:pPr>
      <w:r w:rsidRPr="00D87B79">
        <w:rPr>
          <w:rFonts w:cs="Tahoma"/>
          <w:color w:val="000000"/>
          <w:lang w:val="it-IT"/>
        </w:rPr>
        <w:t>La versione 2010 delle licenze per SharePoint Server for Internet Sites Enterprise e SharePoint Server for Internet Sites Standard, FAST Search Server for SharePoint Server e Search Server è la versione finale di tali</w:t>
      </w:r>
      <w:r>
        <w:rPr>
          <w:rFonts w:cs="Tahoma"/>
          <w:color w:val="000000"/>
          <w:lang w:val="it-IT"/>
        </w:rPr>
        <w:t> </w:t>
      </w:r>
      <w:r w:rsidRPr="00D87B79">
        <w:rPr>
          <w:rFonts w:cs="Tahoma"/>
          <w:color w:val="000000"/>
          <w:lang w:val="it-IT"/>
        </w:rPr>
        <w:t>prodotti.</w:t>
      </w:r>
      <w:r w:rsidRPr="00D87B79">
        <w:rPr>
          <w:rFonts w:cs="Tahoma"/>
        </w:rPr>
        <w:t xml:space="preserve"> </w:t>
      </w:r>
      <w:r w:rsidRPr="00D87B79">
        <w:rPr>
          <w:rFonts w:cs="Tahoma"/>
          <w:color w:val="000000"/>
          <w:lang w:val="it-IT"/>
        </w:rPr>
        <w:t>Alla luce di ciò, le società con licenze per SharePoint Server 2010 for Internet Sites Enterprise, SharePoint Server 2010 for Internet Sites Standard, FAST Search Server 2010 for SharePoint, Search Server 2010 con copertura Software Assurance attiva a partire dal 1 dicembre 2012 sono idonee alle concessioni di</w:t>
      </w:r>
      <w:r>
        <w:rPr>
          <w:rFonts w:cs="Tahoma"/>
          <w:color w:val="000000"/>
          <w:lang w:val="it-IT"/>
        </w:rPr>
        <w:t> </w:t>
      </w:r>
      <w:r w:rsidRPr="00D87B79">
        <w:rPr>
          <w:rFonts w:cs="Tahoma"/>
          <w:color w:val="000000"/>
          <w:lang w:val="it-IT"/>
        </w:rPr>
        <w:t>licenze che seguono.</w:t>
      </w:r>
    </w:p>
    <w:p w:rsidR="00A92422" w:rsidRDefault="00A92422" w:rsidP="00A92422">
      <w:pPr>
        <w:ind w:left="900"/>
        <w:rPr>
          <w:rFonts w:cs="Tahoma"/>
        </w:rPr>
      </w:pPr>
    </w:p>
    <w:p w:rsidR="00A92422" w:rsidRDefault="00A92422" w:rsidP="00A92422">
      <w:pPr>
        <w:ind w:left="900"/>
        <w:rPr>
          <w:rFonts w:cs="Tahoma"/>
        </w:rPr>
      </w:pPr>
    </w:p>
    <w:p w:rsidR="00A92422" w:rsidRPr="00D87B79" w:rsidRDefault="00A92422" w:rsidP="00A92422">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A92422" w:rsidRPr="00D87B79" w:rsidTr="00EA30FC">
        <w:trPr>
          <w:trHeight w:val="332"/>
        </w:trPr>
        <w:tc>
          <w:tcPr>
            <w:tcW w:w="4500" w:type="dxa"/>
            <w:shd w:val="clear" w:color="auto" w:fill="FABF8F"/>
          </w:tcPr>
          <w:p w:rsidR="00A92422" w:rsidRPr="00D87B79" w:rsidRDefault="00A92422" w:rsidP="00EA30FC">
            <w:pPr>
              <w:rPr>
                <w:rFonts w:cs="Tahoma"/>
                <w:b/>
                <w:color w:val="000000"/>
                <w:szCs w:val="18"/>
              </w:rPr>
            </w:pPr>
            <w:r w:rsidRPr="00D87B79">
              <w:rPr>
                <w:rFonts w:cs="Tahoma"/>
                <w:b/>
                <w:color w:val="000000"/>
                <w:szCs w:val="18"/>
                <w:lang w:val="it-IT"/>
              </w:rPr>
              <w:t>Licenza Qualificante</w:t>
            </w:r>
          </w:p>
        </w:tc>
        <w:tc>
          <w:tcPr>
            <w:tcW w:w="3600" w:type="dxa"/>
            <w:shd w:val="clear" w:color="auto" w:fill="FABF8F"/>
          </w:tcPr>
          <w:p w:rsidR="00A92422" w:rsidRPr="00D87B79" w:rsidRDefault="00A92422" w:rsidP="00EA30FC">
            <w:pPr>
              <w:rPr>
                <w:rFonts w:cs="Tahoma"/>
                <w:b/>
                <w:color w:val="000000"/>
                <w:szCs w:val="18"/>
              </w:rPr>
            </w:pPr>
            <w:r w:rsidRPr="00D87B79">
              <w:rPr>
                <w:rFonts w:cs="Tahoma"/>
                <w:b/>
                <w:color w:val="000000"/>
                <w:lang w:val="it-IT"/>
              </w:rPr>
              <w:t>Licenza Gratuita e Vantaggi</w:t>
            </w:r>
          </w:p>
        </w:tc>
      </w:tr>
      <w:tr w:rsidR="00A92422" w:rsidRPr="00D87B79" w:rsidTr="00EA30FC">
        <w:trPr>
          <w:trHeight w:val="70"/>
        </w:trPr>
        <w:tc>
          <w:tcPr>
            <w:tcW w:w="4500" w:type="dxa"/>
          </w:tcPr>
          <w:p w:rsidR="00A92422" w:rsidRPr="00D87B79" w:rsidRDefault="00A92422" w:rsidP="00EA30FC">
            <w:pPr>
              <w:rPr>
                <w:rFonts w:cs="Tahoma"/>
                <w:color w:val="000000"/>
                <w:szCs w:val="18"/>
              </w:rPr>
            </w:pPr>
            <w:r w:rsidRPr="00D87B79">
              <w:rPr>
                <w:rFonts w:cs="Tahoma"/>
                <w:color w:val="000000"/>
                <w:lang w:val="it-IT"/>
              </w:rPr>
              <w:t>Licenza per SharePoint Server 2010 for Internet Sites Enterprise con Software Assurance attiva a partire dal 1 dicembre 2012</w:t>
            </w:r>
          </w:p>
        </w:tc>
        <w:tc>
          <w:tcPr>
            <w:tcW w:w="3600" w:type="dxa"/>
          </w:tcPr>
          <w:p w:rsidR="00A92422" w:rsidRPr="00D87B79" w:rsidRDefault="00A92422" w:rsidP="00EA30FC">
            <w:pPr>
              <w:rPr>
                <w:rFonts w:cs="Tahoma"/>
                <w:color w:val="000000"/>
                <w:szCs w:val="18"/>
              </w:rPr>
            </w:pPr>
            <w:r w:rsidRPr="00D87B79">
              <w:rPr>
                <w:rFonts w:cs="Tahoma"/>
                <w:color w:val="000000"/>
                <w:lang w:val="it-IT"/>
              </w:rPr>
              <w:t>Una licenza per SharePoint Server 2013</w:t>
            </w:r>
          </w:p>
        </w:tc>
      </w:tr>
      <w:tr w:rsidR="00A92422" w:rsidRPr="00D87B79" w:rsidTr="00EA30FC">
        <w:trPr>
          <w:trHeight w:val="152"/>
        </w:trPr>
        <w:tc>
          <w:tcPr>
            <w:tcW w:w="4500" w:type="dxa"/>
          </w:tcPr>
          <w:p w:rsidR="00A92422" w:rsidRPr="00D87B79" w:rsidRDefault="00A92422" w:rsidP="00EA30FC">
            <w:pPr>
              <w:rPr>
                <w:rFonts w:cs="Tahoma"/>
                <w:color w:val="000000"/>
                <w:szCs w:val="18"/>
              </w:rPr>
            </w:pPr>
            <w:r w:rsidRPr="00D87B79">
              <w:rPr>
                <w:rFonts w:cs="Tahoma"/>
                <w:color w:val="000000"/>
                <w:szCs w:val="18"/>
                <w:lang w:val="it-IT"/>
              </w:rPr>
              <w:t>Licenza per SharePoint Server 2010 for Internet Sites Standard con Software Assurance attiva a partire dal 1 dicembre 2012</w:t>
            </w:r>
            <w:r w:rsidRPr="00D87B79">
              <w:rPr>
                <w:rFonts w:cs="Tahoma"/>
                <w:color w:val="000000"/>
                <w:szCs w:val="18"/>
              </w:rPr>
              <w:t xml:space="preserve"> </w:t>
            </w:r>
          </w:p>
        </w:tc>
        <w:tc>
          <w:tcPr>
            <w:tcW w:w="3600" w:type="dxa"/>
          </w:tcPr>
          <w:p w:rsidR="00A92422" w:rsidRPr="00D87B79" w:rsidRDefault="00A92422" w:rsidP="00EA30FC">
            <w:pPr>
              <w:rPr>
                <w:rFonts w:cs="Tahoma"/>
                <w:color w:val="000000"/>
                <w:szCs w:val="18"/>
              </w:rPr>
            </w:pPr>
            <w:r w:rsidRPr="00D87B79">
              <w:rPr>
                <w:rFonts w:cs="Tahoma"/>
                <w:color w:val="000000"/>
                <w:szCs w:val="18"/>
                <w:lang w:val="it-IT"/>
              </w:rPr>
              <w:t>Una licenza per SharePoint Server 2013</w:t>
            </w:r>
          </w:p>
        </w:tc>
      </w:tr>
      <w:tr w:rsidR="00A92422" w:rsidRPr="00D87B79" w:rsidTr="00EA30FC">
        <w:trPr>
          <w:trHeight w:val="152"/>
        </w:trPr>
        <w:tc>
          <w:tcPr>
            <w:tcW w:w="4500" w:type="dxa"/>
          </w:tcPr>
          <w:p w:rsidR="00A92422" w:rsidRPr="00D87B79" w:rsidRDefault="00A92422" w:rsidP="00EA30FC">
            <w:pPr>
              <w:rPr>
                <w:rFonts w:cs="Tahoma"/>
                <w:color w:val="000000"/>
                <w:szCs w:val="18"/>
              </w:rPr>
            </w:pPr>
            <w:r w:rsidRPr="00D87B79">
              <w:rPr>
                <w:rFonts w:cs="Tahoma"/>
                <w:color w:val="000000"/>
                <w:lang w:val="it-IT"/>
              </w:rPr>
              <w:t>Licenza per FAST Search Server 2010 for SharePoint Server con Software Assurance attiva a partire dal 1 dicembre 2012</w:t>
            </w:r>
          </w:p>
        </w:tc>
        <w:tc>
          <w:tcPr>
            <w:tcW w:w="3600" w:type="dxa"/>
          </w:tcPr>
          <w:p w:rsidR="00A92422" w:rsidRPr="00D87B79" w:rsidRDefault="00A92422" w:rsidP="00EA30FC">
            <w:pPr>
              <w:rPr>
                <w:rFonts w:cs="Tahoma"/>
                <w:color w:val="000000"/>
                <w:szCs w:val="18"/>
              </w:rPr>
            </w:pPr>
            <w:r w:rsidRPr="00D87B79">
              <w:rPr>
                <w:rFonts w:cs="Tahoma"/>
                <w:color w:val="000000"/>
                <w:lang w:val="it-IT"/>
              </w:rPr>
              <w:t>Una licenza per SharePoint Server 2013</w:t>
            </w:r>
          </w:p>
        </w:tc>
      </w:tr>
      <w:tr w:rsidR="00A92422" w:rsidRPr="00D87B79" w:rsidTr="00EA30FC">
        <w:trPr>
          <w:trHeight w:val="233"/>
        </w:trPr>
        <w:tc>
          <w:tcPr>
            <w:tcW w:w="4500" w:type="dxa"/>
          </w:tcPr>
          <w:p w:rsidR="00A92422" w:rsidRPr="00D87B79" w:rsidRDefault="00A92422" w:rsidP="00EA30FC">
            <w:pPr>
              <w:rPr>
                <w:rFonts w:cs="Tahoma"/>
                <w:color w:val="000000"/>
                <w:szCs w:val="18"/>
              </w:rPr>
            </w:pPr>
            <w:r w:rsidRPr="00D87B79">
              <w:rPr>
                <w:rFonts w:cs="Tahoma"/>
                <w:color w:val="000000"/>
                <w:lang w:val="it-IT"/>
              </w:rPr>
              <w:t>Licenza per Search Server 2010 con Software Assurance attiva a partire dal 1 dicembre 2012</w:t>
            </w:r>
          </w:p>
        </w:tc>
        <w:tc>
          <w:tcPr>
            <w:tcW w:w="3600" w:type="dxa"/>
          </w:tcPr>
          <w:p w:rsidR="00A92422" w:rsidRPr="00D87B79" w:rsidRDefault="00A92422" w:rsidP="00EA30FC">
            <w:pPr>
              <w:rPr>
                <w:rFonts w:cs="Tahoma"/>
              </w:rPr>
            </w:pPr>
            <w:r w:rsidRPr="00D87B79">
              <w:rPr>
                <w:rFonts w:cs="Tahoma"/>
                <w:color w:val="000000"/>
                <w:lang w:val="it-IT"/>
              </w:rPr>
              <w:t xml:space="preserve">Una licenza per SharePoint Server 2013 </w:t>
            </w:r>
            <w:r w:rsidRPr="00D87B79">
              <w:rPr>
                <w:rFonts w:cs="Tahoma"/>
                <w:b/>
                <w:color w:val="000000"/>
                <w:lang w:val="it-IT"/>
              </w:rPr>
              <w:t>e</w:t>
            </w:r>
          </w:p>
          <w:p w:rsidR="00A92422" w:rsidRPr="00D87B79" w:rsidRDefault="00A92422" w:rsidP="00EA30FC">
            <w:pPr>
              <w:rPr>
                <w:rFonts w:cs="Tahoma"/>
              </w:rPr>
            </w:pPr>
          </w:p>
          <w:p w:rsidR="00A92422" w:rsidRPr="00D87B79" w:rsidRDefault="00A92422" w:rsidP="00EA30FC">
            <w:pPr>
              <w:rPr>
                <w:rFonts w:cs="Tahoma"/>
                <w:color w:val="000000"/>
                <w:szCs w:val="18"/>
              </w:rPr>
            </w:pPr>
            <w:r w:rsidRPr="00D87B79">
              <w:rPr>
                <w:rFonts w:cs="Tahoma"/>
                <w:color w:val="000000"/>
                <w:lang w:val="it-IT"/>
              </w:rPr>
              <w:t>100 licenze Standard CAL per SharePoint Server 2013</w:t>
            </w:r>
          </w:p>
        </w:tc>
      </w:tr>
    </w:tbl>
    <w:p w:rsidR="00A92422" w:rsidRPr="00D87B79" w:rsidRDefault="00A92422" w:rsidP="00A92422">
      <w:pPr>
        <w:rPr>
          <w:rFonts w:cs="Tahoma"/>
        </w:rPr>
      </w:pPr>
    </w:p>
    <w:p w:rsidR="00A92422" w:rsidRPr="00D87B79" w:rsidRDefault="00A92422" w:rsidP="00A92422">
      <w:pPr>
        <w:ind w:left="720"/>
        <w:rPr>
          <w:rFonts w:cs="Tahoma"/>
        </w:rPr>
      </w:pPr>
      <w:r w:rsidRPr="00D87B79">
        <w:rPr>
          <w:rFonts w:cs="Tahoma"/>
          <w:color w:val="000000"/>
          <w:lang w:val="it-IT"/>
        </w:rPr>
        <w:t>Le condizioni che seguono si applicano alle concessioni di licenze riportate sopra.</w:t>
      </w:r>
    </w:p>
    <w:p w:rsidR="00A92422" w:rsidRPr="00D87B79" w:rsidRDefault="00A92422" w:rsidP="00A92422">
      <w:pPr>
        <w:ind w:left="720"/>
        <w:rPr>
          <w:rFonts w:cs="Tahoma"/>
        </w:rPr>
      </w:pPr>
    </w:p>
    <w:p w:rsidR="00A92422" w:rsidRPr="00D87B79" w:rsidRDefault="00A92422" w:rsidP="00A92422">
      <w:pPr>
        <w:numPr>
          <w:ilvl w:val="0"/>
          <w:numId w:val="117"/>
        </w:numPr>
        <w:spacing w:after="60"/>
        <w:ind w:left="1440"/>
        <w:rPr>
          <w:rFonts w:cs="Tahoma"/>
        </w:rPr>
      </w:pPr>
      <w:r w:rsidRPr="00D87B79">
        <w:rPr>
          <w:rFonts w:cs="Tahoma"/>
          <w:color w:val="000000"/>
          <w:u w:val="single"/>
          <w:lang w:val="it-IT"/>
        </w:rPr>
        <w:t>Percorso di Migrazione</w:t>
      </w:r>
      <w:r w:rsidRPr="00C42BB5">
        <w:rPr>
          <w:rFonts w:cs="Tahoma"/>
          <w:color w:val="000000"/>
          <w:lang w:val="it-IT"/>
        </w:rPr>
        <w:t>:</w:t>
      </w:r>
      <w:r w:rsidRPr="00D87B79">
        <w:rPr>
          <w:rFonts w:cs="Tahoma"/>
          <w:color w:val="000000"/>
          <w:szCs w:val="18"/>
        </w:rPr>
        <w:t xml:space="preserve"> </w:t>
      </w:r>
      <w:r w:rsidRPr="00D87B79">
        <w:rPr>
          <w:rFonts w:cs="Tahoma"/>
          <w:color w:val="000000"/>
          <w:lang w:val="it-IT"/>
        </w:rPr>
        <w:t>Le società con copertura Software Assurance attiva per una determinata licenza Qualificante al 1 dicembre 2012 e al rilascio della versione commerciale di SharePoint Server 2013 sono idonee a effettuare l’aggiornamento al software SharePoint 2013 e a utilizzarlo ai</w:t>
      </w:r>
      <w:r>
        <w:rPr>
          <w:rFonts w:cs="Tahoma"/>
          <w:color w:val="000000"/>
          <w:lang w:val="it-IT"/>
        </w:rPr>
        <w:t> </w:t>
      </w:r>
      <w:r w:rsidRPr="00D87B79">
        <w:rPr>
          <w:rFonts w:cs="Tahoma"/>
          <w:color w:val="000000"/>
          <w:lang w:val="it-IT"/>
        </w:rPr>
        <w:t>sensi della Licenza Gratuita al posto della corrispondente copia con licenza della versione 2010 del software.</w:t>
      </w:r>
      <w:r w:rsidRPr="00D87B79">
        <w:rPr>
          <w:rFonts w:cs="Tahoma"/>
        </w:rPr>
        <w:t xml:space="preserve"> </w:t>
      </w:r>
    </w:p>
    <w:p w:rsidR="00A92422" w:rsidRPr="00D87B79" w:rsidRDefault="00A92422" w:rsidP="00A92422">
      <w:pPr>
        <w:numPr>
          <w:ilvl w:val="0"/>
          <w:numId w:val="117"/>
        </w:numPr>
        <w:spacing w:after="60"/>
        <w:ind w:left="1440"/>
        <w:rPr>
          <w:rFonts w:cs="Tahoma"/>
        </w:rPr>
      </w:pPr>
      <w:r w:rsidRPr="00D87B79">
        <w:rPr>
          <w:rFonts w:cs="Tahoma"/>
          <w:color w:val="000000"/>
          <w:u w:val="single"/>
          <w:lang w:val="it-IT"/>
        </w:rPr>
        <w:t>Diritti sull’utilizzo</w:t>
      </w:r>
      <w:r w:rsidRPr="00D87B79">
        <w:rPr>
          <w:rFonts w:cs="Tahoma"/>
          <w:color w:val="000000"/>
          <w:lang w:val="it-IT"/>
        </w:rPr>
        <w:t>:</w:t>
      </w:r>
      <w:r w:rsidRPr="00D87B79">
        <w:rPr>
          <w:rFonts w:cs="Tahoma"/>
          <w:color w:val="000000"/>
          <w:szCs w:val="18"/>
        </w:rPr>
        <w:t xml:space="preserve"> </w:t>
      </w:r>
      <w:r w:rsidRPr="00D87B79">
        <w:rPr>
          <w:rFonts w:cs="Tahoma"/>
          <w:color w:val="000000"/>
          <w:szCs w:val="18"/>
          <w:lang w:val="it-IT"/>
        </w:rPr>
        <w:t>Il diritto di utilizzo del software ai sensi della Licenza Gratuita della presente offerta scadrà alla scadenza del diritto di utilizzo del software ai sensi della Licenza Qualificante.</w:t>
      </w:r>
      <w:r w:rsidRPr="00D87B79">
        <w:rPr>
          <w:rFonts w:cs="Tahoma"/>
          <w:color w:val="000000"/>
          <w:szCs w:val="18"/>
        </w:rPr>
        <w:t xml:space="preserve"> </w:t>
      </w:r>
      <w:r w:rsidRPr="00D87B79">
        <w:rPr>
          <w:rFonts w:cs="Tahoma"/>
          <w:color w:val="000000"/>
          <w:szCs w:val="18"/>
          <w:lang w:val="it-IT"/>
        </w:rPr>
        <w:t>L’utilizzo di tale software è regolato dai diritti sull’utilizzo del software e dalle condizioni del contratto Volume License della società.</w:t>
      </w:r>
      <w:r w:rsidRPr="00D87B79">
        <w:rPr>
          <w:rFonts w:cs="Tahoma"/>
        </w:rPr>
        <w:t xml:space="preserve"> </w:t>
      </w:r>
      <w:r w:rsidRPr="00D87B79">
        <w:rPr>
          <w:rFonts w:cs="Tahoma"/>
          <w:color w:val="000000"/>
          <w:lang w:val="it-IT"/>
        </w:rPr>
        <w:t>Questa nota relativa alle condizioni del prodotto e la prova</w:t>
      </w:r>
      <w:r>
        <w:rPr>
          <w:rFonts w:cs="Tahoma"/>
          <w:color w:val="000000"/>
          <w:lang w:val="it-IT"/>
        </w:rPr>
        <w:t> </w:t>
      </w:r>
      <w:r w:rsidRPr="00D87B79">
        <w:rPr>
          <w:rFonts w:cs="Tahoma"/>
          <w:color w:val="000000"/>
          <w:lang w:val="it-IT"/>
        </w:rPr>
        <w:t>da parte della società della corrispondente Licenza e Software Assurance (L&amp;SA) Qualificante costituiscono insieme la prova del diritto di utilizzo del software ai sensi della Licenza Gratuita della</w:t>
      </w:r>
      <w:r>
        <w:rPr>
          <w:rFonts w:cs="Tahoma"/>
          <w:color w:val="000000"/>
          <w:lang w:val="it-IT"/>
        </w:rPr>
        <w:t> </w:t>
      </w:r>
      <w:r w:rsidRPr="00D87B79">
        <w:rPr>
          <w:rFonts w:cs="Tahoma"/>
          <w:color w:val="000000"/>
          <w:lang w:val="it-IT"/>
        </w:rPr>
        <w:t>presente offerta.</w:t>
      </w:r>
      <w:r w:rsidRPr="00D87B79">
        <w:rPr>
          <w:rFonts w:cs="Tahoma"/>
        </w:rPr>
        <w:t xml:space="preserve"> </w:t>
      </w:r>
    </w:p>
    <w:p w:rsidR="00A92422" w:rsidRPr="00D87B79" w:rsidRDefault="00A92422" w:rsidP="00A92422">
      <w:pPr>
        <w:numPr>
          <w:ilvl w:val="0"/>
          <w:numId w:val="68"/>
        </w:numPr>
        <w:spacing w:after="60"/>
        <w:ind w:left="1440"/>
        <w:rPr>
          <w:rFonts w:cs="Tahoma"/>
        </w:rPr>
      </w:pPr>
      <w:r w:rsidRPr="00D87B79">
        <w:rPr>
          <w:rFonts w:cs="Tahoma"/>
          <w:color w:val="000000"/>
          <w:u w:val="single"/>
          <w:lang w:val="it-IT"/>
        </w:rPr>
        <w:t>Licenza e Software Assurance (L&amp;SA)</w:t>
      </w:r>
      <w:r w:rsidRPr="00D87B79">
        <w:rPr>
          <w:rFonts w:cs="Tahoma"/>
          <w:color w:val="000000"/>
          <w:lang w:val="it-IT"/>
        </w:rPr>
        <w:t>:</w:t>
      </w:r>
      <w:r w:rsidRPr="00D87B79">
        <w:rPr>
          <w:rFonts w:cs="Tahoma"/>
          <w:color w:val="000000"/>
          <w:szCs w:val="18"/>
        </w:rPr>
        <w:t xml:space="preserve"> </w:t>
      </w:r>
      <w:r w:rsidRPr="00D87B79">
        <w:rPr>
          <w:rFonts w:cs="Tahoma"/>
          <w:color w:val="000000"/>
          <w:szCs w:val="18"/>
          <w:lang w:val="it-IT"/>
        </w:rPr>
        <w:t>la Licenza Gratuita include la copertura Software Assurance.</w:t>
      </w:r>
      <w:r w:rsidRPr="00D87B79">
        <w:rPr>
          <w:rFonts w:cs="Tahoma"/>
          <w:color w:val="000000"/>
          <w:szCs w:val="18"/>
        </w:rPr>
        <w:t xml:space="preserve"> </w:t>
      </w:r>
      <w:r w:rsidRPr="00D87B79">
        <w:rPr>
          <w:rFonts w:cs="Tahoma"/>
          <w:color w:val="000000"/>
          <w:szCs w:val="18"/>
          <w:lang w:val="it-IT"/>
        </w:rPr>
        <w:t>La copertura Software Assurance per la Licenza Gratuita scadrà alla scadenza della copertura per</w:t>
      </w:r>
      <w:r>
        <w:rPr>
          <w:rFonts w:cs="Tahoma"/>
          <w:color w:val="000000"/>
          <w:szCs w:val="18"/>
          <w:lang w:val="it-IT"/>
        </w:rPr>
        <w:t> </w:t>
      </w:r>
      <w:r w:rsidRPr="00D87B79">
        <w:rPr>
          <w:rFonts w:cs="Tahoma"/>
          <w:color w:val="000000"/>
          <w:szCs w:val="18"/>
          <w:lang w:val="it-IT"/>
        </w:rPr>
        <w:t>la</w:t>
      </w:r>
      <w:r>
        <w:rPr>
          <w:rFonts w:cs="Tahoma"/>
          <w:color w:val="000000"/>
          <w:szCs w:val="18"/>
          <w:lang w:val="it-IT"/>
        </w:rPr>
        <w:t> </w:t>
      </w:r>
      <w:r w:rsidRPr="00D87B79">
        <w:rPr>
          <w:rFonts w:cs="Tahoma"/>
          <w:color w:val="000000"/>
          <w:szCs w:val="18"/>
          <w:lang w:val="it-IT"/>
        </w:rPr>
        <w:t>Licenza Qualificante.</w:t>
      </w:r>
      <w:r w:rsidRPr="00D87B79">
        <w:rPr>
          <w:rFonts w:cs="Tahoma"/>
        </w:rPr>
        <w:t xml:space="preserve"> </w:t>
      </w:r>
      <w:r w:rsidRPr="00D87B79">
        <w:rPr>
          <w:rFonts w:cs="Tahoma"/>
          <w:color w:val="000000"/>
          <w:lang w:val="it-IT"/>
        </w:rPr>
        <w:t>Alla scadenza della copertura Software Assurance per la Licenza Qualificante, la società potrà rinnovare Software Assurance per la Licenza Gratuita senza dover acquistare una nuova licenza specifica.</w:t>
      </w:r>
    </w:p>
    <w:p w:rsidR="00A92422" w:rsidRPr="00D87B79" w:rsidRDefault="00A92422" w:rsidP="00A92422">
      <w:pPr>
        <w:numPr>
          <w:ilvl w:val="0"/>
          <w:numId w:val="79"/>
        </w:numPr>
        <w:spacing w:after="60"/>
        <w:rPr>
          <w:rFonts w:cs="Tahoma"/>
        </w:rPr>
      </w:pPr>
      <w:r w:rsidRPr="00D87B79">
        <w:rPr>
          <w:rFonts w:cs="Tahoma"/>
          <w:color w:val="000000"/>
          <w:u w:val="single"/>
          <w:lang w:val="it-IT"/>
        </w:rPr>
        <w:t>True-up</w:t>
      </w:r>
      <w:r w:rsidRPr="00D87B79">
        <w:rPr>
          <w:rFonts w:cs="Tahoma"/>
          <w:color w:val="000000"/>
          <w:lang w:val="it-IT"/>
        </w:rPr>
        <w:t>.</w:t>
      </w:r>
      <w:r w:rsidRPr="00D87B79">
        <w:rPr>
          <w:rFonts w:cs="Tahoma"/>
        </w:rPr>
        <w:t xml:space="preserve"> </w:t>
      </w:r>
      <w:r w:rsidRPr="00D87B79">
        <w:rPr>
          <w:rFonts w:cs="Tahoma"/>
          <w:color w:val="000000"/>
          <w:lang w:val="it-IT"/>
        </w:rPr>
        <w:t>Per le società titolari di un Contratto Enterprise idonee a ricevere tali Licenze gratuite e</w:t>
      </w:r>
      <w:r>
        <w:rPr>
          <w:rFonts w:cs="Tahoma"/>
          <w:color w:val="000000"/>
          <w:lang w:val="it-IT"/>
        </w:rPr>
        <w:t> </w:t>
      </w:r>
      <w:r w:rsidRPr="00D87B79">
        <w:rPr>
          <w:rFonts w:cs="Tahoma"/>
          <w:color w:val="000000"/>
          <w:lang w:val="it-IT"/>
        </w:rPr>
        <w:t>diritti descritti in precedenza, le licenze SharePoint Server 2010 for Internet Sites Enterprise, SharePoint Server 2010 for Internet Sites Standard e FAST Search Server 2010 for SharePoint Server acquistate nell'ambito di una procedura annuale di true-up sono, anch'esse, licenze qualificanti.</w:t>
      </w:r>
      <w:r w:rsidRPr="00D87B79">
        <w:rPr>
          <w:rFonts w:cs="Tahoma"/>
        </w:rPr>
        <w:t xml:space="preserve"> </w:t>
      </w:r>
    </w:p>
    <w:p w:rsidR="00A92422" w:rsidRPr="00D87B79" w:rsidRDefault="00A92422" w:rsidP="00A92422">
      <w:pPr>
        <w:numPr>
          <w:ilvl w:val="0"/>
          <w:numId w:val="79"/>
        </w:numPr>
        <w:spacing w:after="60"/>
        <w:rPr>
          <w:rFonts w:cs="Tahoma"/>
        </w:rPr>
      </w:pPr>
      <w:r w:rsidRPr="00D87B79">
        <w:rPr>
          <w:rFonts w:cs="Tahoma"/>
          <w:color w:val="000000"/>
          <w:u w:val="single"/>
          <w:lang w:val="it-IT"/>
        </w:rPr>
        <w:lastRenderedPageBreak/>
        <w:t>Contratti “Subscription”</w:t>
      </w:r>
      <w:r w:rsidRPr="00C42BB5">
        <w:rPr>
          <w:rFonts w:cs="Tahoma"/>
          <w:color w:val="000000"/>
          <w:lang w:val="it-IT"/>
        </w:rPr>
        <w:t>.</w:t>
      </w:r>
      <w:r w:rsidRPr="00D87B79">
        <w:rPr>
          <w:rFonts w:cs="Tahoma"/>
        </w:rPr>
        <w:t xml:space="preserve"> </w:t>
      </w:r>
      <w:r w:rsidRPr="00D87B79">
        <w:rPr>
          <w:rFonts w:cs="Tahoma"/>
          <w:lang w:val="it-IT"/>
        </w:rPr>
        <w:t>Per Contratti Enterprise Subscription, Open Value Subscription, Campus e</w:t>
      </w:r>
      <w:r>
        <w:rPr>
          <w:rFonts w:cs="Tahoma"/>
          <w:lang w:val="it-IT"/>
        </w:rPr>
        <w:t> </w:t>
      </w:r>
      <w:r w:rsidRPr="00D87B79">
        <w:rPr>
          <w:rFonts w:cs="Tahoma"/>
          <w:lang w:val="it-IT"/>
        </w:rPr>
        <w:t>School, Enrollment for Education Solutions e Open Value Subscription-Education Solutions, gli stessi diritti verranno concessi temporaneamente, in base alle medesime condizioni, fino al termine del periodo di validità corrente dell’iscrizione (o del periodo di validità del contratto nel caso di Open Value).</w:t>
      </w:r>
      <w:r w:rsidRPr="00D87B79">
        <w:rPr>
          <w:rFonts w:cs="Tahoma"/>
        </w:rPr>
        <w:t xml:space="preserve"> </w:t>
      </w:r>
      <w:r w:rsidRPr="00D87B79">
        <w:rPr>
          <w:rFonts w:cs="Tahoma"/>
          <w:color w:val="000000"/>
          <w:lang w:val="it-IT"/>
        </w:rPr>
        <w:t>La società dovrà mantenere la copertura dell’abbonamento in via continuativa.</w:t>
      </w:r>
      <w:r w:rsidRPr="00D87B79">
        <w:rPr>
          <w:rFonts w:cs="Tahoma"/>
        </w:rPr>
        <w:t xml:space="preserve"> </w:t>
      </w:r>
      <w:r w:rsidRPr="00D87B79">
        <w:rPr>
          <w:rFonts w:cs="Tahoma"/>
          <w:color w:val="000000"/>
          <w:lang w:val="it-IT"/>
        </w:rPr>
        <w:t>Tali diritti diventeranno permanenti soltanto all’esercizio dell’opzione buy-out e resteranno soggetti a</w:t>
      </w:r>
      <w:r>
        <w:t> </w:t>
      </w:r>
      <w:r w:rsidRPr="00D87B79">
        <w:rPr>
          <w:rFonts w:cs="Tahoma"/>
          <w:color w:val="000000"/>
          <w:lang w:val="it-IT"/>
        </w:rPr>
        <w:t>tutte le condizioni del contratto di licenza della società.</w:t>
      </w:r>
    </w:p>
    <w:p w:rsidR="00A92422" w:rsidRPr="00D87B79" w:rsidRDefault="00A92422" w:rsidP="00A92422">
      <w:pPr>
        <w:numPr>
          <w:ilvl w:val="0"/>
          <w:numId w:val="118"/>
        </w:numPr>
        <w:spacing w:after="60"/>
        <w:ind w:left="1440"/>
        <w:rPr>
          <w:rFonts w:cs="Tahoma"/>
        </w:rPr>
      </w:pPr>
      <w:r w:rsidRPr="00D87B79">
        <w:rPr>
          <w:rFonts w:cs="Tahoma"/>
          <w:u w:val="single"/>
          <w:lang w:val="it-IT"/>
        </w:rPr>
        <w:t>Transizioni ai Contratti Campus e School</w:t>
      </w:r>
      <w:r w:rsidRPr="00C42BB5">
        <w:rPr>
          <w:rFonts w:cs="Tahoma"/>
          <w:lang w:val="it-IT"/>
        </w:rPr>
        <w:t>.</w:t>
      </w:r>
      <w:r w:rsidRPr="00D87B79">
        <w:rPr>
          <w:rFonts w:cs="Tahoma"/>
        </w:rPr>
        <w:t xml:space="preserve"> </w:t>
      </w:r>
      <w:r w:rsidRPr="00D87B79">
        <w:rPr>
          <w:rFonts w:cs="Tahoma"/>
          <w:lang w:val="it-IT"/>
        </w:rPr>
        <w:t>Per quanto riguarda le società che a metà del periodo di</w:t>
      </w:r>
      <w:r>
        <w:rPr>
          <w:rFonts w:cs="Tahoma"/>
          <w:lang w:val="it-IT"/>
        </w:rPr>
        <w:t> </w:t>
      </w:r>
      <w:r w:rsidRPr="00D87B79">
        <w:rPr>
          <w:rFonts w:cs="Tahoma"/>
          <w:lang w:val="it-IT"/>
        </w:rPr>
        <w:t>validità effettuano la transizione dai contratti Campus e School al contratto Enrollment for Education Solutions o Open Value Subscription-Education Solutions mantenendo la copertura della</w:t>
      </w:r>
      <w:r>
        <w:rPr>
          <w:rFonts w:cs="Tahoma"/>
          <w:lang w:val="it-IT"/>
        </w:rPr>
        <w:t> </w:t>
      </w:r>
      <w:r w:rsidRPr="00D87B79">
        <w:rPr>
          <w:rFonts w:cs="Tahoma"/>
          <w:lang w:val="it-IT"/>
        </w:rPr>
        <w:t>sottoscrizione in via continuativa:</w:t>
      </w:r>
    </w:p>
    <w:p w:rsidR="00A92422" w:rsidRPr="00D87B79" w:rsidRDefault="00A92422" w:rsidP="00A92422">
      <w:pPr>
        <w:pStyle w:val="ListParagraph"/>
        <w:numPr>
          <w:ilvl w:val="0"/>
          <w:numId w:val="104"/>
        </w:numPr>
        <w:spacing w:after="60"/>
        <w:ind w:left="1800"/>
        <w:rPr>
          <w:rFonts w:ascii="Tahoma" w:hAnsi="Tahoma" w:cs="Tahoma"/>
        </w:rPr>
      </w:pPr>
      <w:r w:rsidRPr="00D87B79">
        <w:rPr>
          <w:rFonts w:ascii="Tahoma" w:hAnsi="Tahoma" w:cs="Tahoma"/>
          <w:sz w:val="18"/>
          <w:szCs w:val="18"/>
          <w:lang w:val="it-IT"/>
        </w:rPr>
        <w:t>Vengono concessi gli stessi diritti su base temporanea, ai sensi delle medesime condizioni, fino al termine, rispettivamente, del loro contratto Enrollment for Education Solutions o Open Value Subscription-Education Solutions.</w:t>
      </w:r>
      <w:r w:rsidRPr="00D87B79">
        <w:rPr>
          <w:rFonts w:ascii="Tahoma" w:hAnsi="Tahoma" w:cs="Tahoma"/>
          <w:sz w:val="18"/>
          <w:szCs w:val="18"/>
        </w:rPr>
        <w:t xml:space="preserve"> </w:t>
      </w:r>
    </w:p>
    <w:p w:rsidR="00A92422" w:rsidRPr="00D87B79" w:rsidRDefault="00A92422" w:rsidP="00A92422">
      <w:pPr>
        <w:pStyle w:val="ListParagraph"/>
        <w:numPr>
          <w:ilvl w:val="0"/>
          <w:numId w:val="104"/>
        </w:numPr>
        <w:spacing w:after="60"/>
        <w:ind w:left="1800"/>
        <w:rPr>
          <w:rFonts w:ascii="Tahoma" w:hAnsi="Tahoma" w:cs="Tahoma"/>
        </w:rPr>
      </w:pPr>
      <w:r w:rsidRPr="00D87B79">
        <w:rPr>
          <w:rFonts w:ascii="Tahoma" w:hAnsi="Tahoma" w:cs="Tahoma"/>
          <w:sz w:val="18"/>
          <w:lang w:val="it-IT"/>
        </w:rPr>
        <w:t>Tali diritti diventeranno permanenti soltanto all’esercizio dell’opzione buy-out e resteranno soggetti a tutte le condizioni del contratto di licenza della società.</w:t>
      </w:r>
    </w:p>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color w:val="000000"/>
          <w:lang w:val="it-IT"/>
        </w:rPr>
        <w:t>Diritti di Downgrade Eccezionali per Office SharePoint Server 2013</w:t>
      </w:r>
    </w:p>
    <w:p w:rsidR="00A92422" w:rsidRPr="00D87B79" w:rsidRDefault="00A92422" w:rsidP="00A92422">
      <w:pPr>
        <w:ind w:left="720"/>
        <w:rPr>
          <w:rFonts w:cs="Tahoma"/>
        </w:rPr>
      </w:pPr>
      <w:r w:rsidRPr="00D87B79">
        <w:rPr>
          <w:rFonts w:cs="Tahoma"/>
          <w:lang w:val="it-IT"/>
        </w:rPr>
        <w:t>Le società titolari di una licenza per SharePoint Server 2013 potranno accedere a qualsiasi prodotto elencato nella tabella che segue e utilizzarlo al posto di SharePoint Server 2013 come descritto di seguito:</w:t>
      </w:r>
    </w:p>
    <w:p w:rsidR="00A92422" w:rsidRPr="00D87B79" w:rsidRDefault="00A92422" w:rsidP="00A92422">
      <w:pPr>
        <w:ind w:left="810"/>
        <w:rPr>
          <w:rFonts w:cs="Tahoma"/>
        </w:rPr>
      </w:pPr>
    </w:p>
    <w:tbl>
      <w:tblPr>
        <w:tblW w:w="8688" w:type="dxa"/>
        <w:tblInd w:w="960" w:type="dxa"/>
        <w:tblCellMar>
          <w:left w:w="0" w:type="dxa"/>
          <w:right w:w="0" w:type="dxa"/>
        </w:tblCellMar>
        <w:tblLook w:val="04A0" w:firstRow="1" w:lastRow="0" w:firstColumn="1" w:lastColumn="0" w:noHBand="0" w:noVBand="1"/>
      </w:tblPr>
      <w:tblGrid>
        <w:gridCol w:w="4392"/>
        <w:gridCol w:w="4296"/>
      </w:tblGrid>
      <w:tr w:rsidR="00A92422" w:rsidRPr="00D87B79" w:rsidTr="00EA30FC">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A92422" w:rsidRPr="00D87B79" w:rsidRDefault="00A92422" w:rsidP="00EA30FC">
            <w:pPr>
              <w:ind w:left="162"/>
              <w:rPr>
                <w:rFonts w:cs="Tahoma"/>
                <w:b/>
                <w:bCs/>
                <w:color w:val="000000"/>
                <w:szCs w:val="18"/>
              </w:rPr>
            </w:pPr>
            <w:r w:rsidRPr="00D87B79">
              <w:rPr>
                <w:rFonts w:cs="Tahoma"/>
                <w:b/>
                <w:color w:val="000000"/>
                <w:lang w:val="it-IT"/>
              </w:rPr>
              <w:t>Licenze per SharePoint Server 2013</w:t>
            </w:r>
          </w:p>
        </w:tc>
        <w:tc>
          <w:tcPr>
            <w:tcW w:w="4050" w:type="dxa"/>
            <w:tcBorders>
              <w:top w:val="single" w:sz="8" w:space="0" w:color="000000"/>
              <w:left w:val="nil"/>
              <w:bottom w:val="single" w:sz="8" w:space="0" w:color="000000"/>
              <w:right w:val="single" w:sz="8" w:space="0" w:color="auto"/>
            </w:tcBorders>
            <w:shd w:val="clear" w:color="auto" w:fill="FABF8F"/>
          </w:tcPr>
          <w:p w:rsidR="00A92422" w:rsidRPr="00D87B79" w:rsidRDefault="00A92422" w:rsidP="00EA30FC">
            <w:pPr>
              <w:ind w:left="180"/>
              <w:rPr>
                <w:rFonts w:cs="Tahoma"/>
                <w:b/>
                <w:bCs/>
                <w:color w:val="000000"/>
                <w:szCs w:val="18"/>
              </w:rPr>
            </w:pPr>
            <w:r w:rsidRPr="00D87B79">
              <w:rPr>
                <w:rFonts w:cs="Tahoma"/>
                <w:b/>
                <w:bCs/>
                <w:color w:val="000000"/>
                <w:szCs w:val="18"/>
                <w:lang w:val="it-IT"/>
              </w:rPr>
              <w:t>Downgrade a</w:t>
            </w:r>
          </w:p>
        </w:tc>
      </w:tr>
      <w:tr w:rsidR="00A92422" w:rsidRPr="00D87B79" w:rsidTr="00EA30FC">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A92422" w:rsidRPr="00D87B79" w:rsidRDefault="00A92422" w:rsidP="00EA30FC">
            <w:pPr>
              <w:ind w:left="162"/>
              <w:rPr>
                <w:rFonts w:cs="Tahoma"/>
                <w:color w:val="000000"/>
                <w:szCs w:val="18"/>
              </w:rPr>
            </w:pPr>
            <w:r w:rsidRPr="00D87B79">
              <w:rPr>
                <w:rFonts w:cs="Tahoma"/>
                <w:color w:val="000000"/>
                <w:lang w:val="it-IT"/>
              </w:rPr>
              <w:t>Licenza per SharePoint Server 2013</w:t>
            </w:r>
          </w:p>
        </w:tc>
        <w:tc>
          <w:tcPr>
            <w:tcW w:w="4050" w:type="dxa"/>
            <w:tcBorders>
              <w:top w:val="nil"/>
              <w:left w:val="nil"/>
              <w:bottom w:val="single" w:sz="8" w:space="0" w:color="000000"/>
              <w:right w:val="single" w:sz="8" w:space="0" w:color="000000"/>
            </w:tcBorders>
          </w:tcPr>
          <w:p w:rsidR="00A92422" w:rsidRPr="00D87B79" w:rsidRDefault="00A92422" w:rsidP="00EA30FC">
            <w:pPr>
              <w:ind w:left="162" w:right="180"/>
              <w:rPr>
                <w:rFonts w:cs="Tahoma"/>
              </w:rPr>
            </w:pPr>
            <w:r w:rsidRPr="00D87B79">
              <w:rPr>
                <w:rFonts w:cs="Tahoma"/>
                <w:color w:val="000000"/>
                <w:lang w:val="it-IT"/>
              </w:rPr>
              <w:t xml:space="preserve">SharePoint Server 2010 </w:t>
            </w:r>
            <w:r w:rsidRPr="00D87B79">
              <w:rPr>
                <w:rFonts w:cs="Tahoma"/>
                <w:b/>
                <w:color w:val="000000"/>
                <w:lang w:val="it-IT"/>
              </w:rPr>
              <w:t>o</w:t>
            </w:r>
          </w:p>
          <w:p w:rsidR="00A92422" w:rsidRPr="00D87B79" w:rsidRDefault="00A92422" w:rsidP="00EA30FC">
            <w:pPr>
              <w:ind w:left="162" w:right="180"/>
              <w:rPr>
                <w:rFonts w:cs="Tahoma"/>
              </w:rPr>
            </w:pPr>
          </w:p>
          <w:p w:rsidR="00A92422" w:rsidRPr="00D87B79" w:rsidRDefault="00A92422" w:rsidP="00EA30FC">
            <w:pPr>
              <w:ind w:left="162" w:right="180"/>
              <w:rPr>
                <w:rFonts w:cs="Tahoma"/>
                <w:color w:val="000000"/>
                <w:szCs w:val="18"/>
              </w:rPr>
            </w:pPr>
            <w:r w:rsidRPr="00D87B79">
              <w:rPr>
                <w:rFonts w:cs="Tahoma"/>
                <w:color w:val="000000"/>
                <w:lang w:val="it-IT"/>
              </w:rPr>
              <w:t>FAST Search Server 2010 for SharePoint Server</w:t>
            </w:r>
            <w:r w:rsidRPr="00D87B79">
              <w:rPr>
                <w:rFonts w:cs="Tahoma"/>
              </w:rPr>
              <w:t xml:space="preserve"> </w:t>
            </w:r>
          </w:p>
        </w:tc>
      </w:tr>
    </w:tbl>
    <w:p w:rsidR="00A92422" w:rsidRPr="00D87B79" w:rsidRDefault="00A92422" w:rsidP="00A92422">
      <w:pPr>
        <w:ind w:left="810"/>
        <w:rPr>
          <w:rFonts w:cs="Tahoma"/>
        </w:rPr>
      </w:pPr>
    </w:p>
    <w:p w:rsidR="00A92422" w:rsidRPr="00D87B79" w:rsidRDefault="00A92422" w:rsidP="00A92422">
      <w:pPr>
        <w:ind w:left="720"/>
        <w:rPr>
          <w:rFonts w:cs="Tahoma"/>
        </w:rPr>
      </w:pPr>
      <w:r w:rsidRPr="00D87B79">
        <w:rPr>
          <w:rFonts w:cs="Tahoma"/>
          <w:color w:val="000000"/>
          <w:lang w:val="it-IT"/>
        </w:rPr>
        <w:t xml:space="preserve">Il diritto di accesso a, e di utilizzo di, </w:t>
      </w:r>
      <w:r>
        <w:rPr>
          <w:rFonts w:cs="Tahoma"/>
          <w:color w:val="000000"/>
          <w:lang w:val="it-IT"/>
        </w:rPr>
        <w:t>copie di SharePoint Server 2010 o</w:t>
      </w:r>
      <w:r w:rsidRPr="00D87B79">
        <w:rPr>
          <w:rFonts w:cs="Tahoma"/>
          <w:color w:val="000000"/>
          <w:lang w:val="it-IT"/>
        </w:rPr>
        <w:t xml:space="preserve"> FAST Search Server 2010 for SharePoint Server da parte di una società al posto di copie con licenza di SharePoint Server 2013 ai</w:t>
      </w:r>
      <w:r>
        <w:rPr>
          <w:rFonts w:cs="Tahoma"/>
          <w:color w:val="000000"/>
          <w:lang w:val="it-IT"/>
        </w:rPr>
        <w:t> </w:t>
      </w:r>
      <w:r w:rsidRPr="00D87B79">
        <w:rPr>
          <w:rFonts w:cs="Tahoma"/>
          <w:color w:val="000000"/>
          <w:lang w:val="it-IT"/>
        </w:rPr>
        <w:t>sensi della presente offerta è soggetto alle condizioni di un contratto multilicenza, ai diritti di utilizzo del prodotto per SharePoint Server 2013 e a queste condizioni.</w:t>
      </w:r>
      <w:r w:rsidRPr="00D87B79">
        <w:rPr>
          <w:rFonts w:cs="Tahoma"/>
        </w:rPr>
        <w:t xml:space="preserve"> </w:t>
      </w:r>
      <w:r w:rsidRPr="00D87B79">
        <w:rPr>
          <w:rFonts w:cs="Tahoma"/>
          <w:color w:val="000000"/>
          <w:lang w:val="it-IT"/>
        </w:rPr>
        <w:t>Tale diritto cesserà alla scadenza o risoluzione delle licenze per SharePoint Server.</w:t>
      </w:r>
    </w:p>
    <w:p w:rsidR="00A92422" w:rsidRPr="00D87B79" w:rsidRDefault="00A92422" w:rsidP="00A92422">
      <w:pPr>
        <w:ind w:left="720"/>
        <w:rPr>
          <w:rFonts w:cs="Tahoma"/>
        </w:rPr>
      </w:pPr>
    </w:p>
    <w:p w:rsidR="00A92422" w:rsidRPr="00D87B79" w:rsidRDefault="00A92422" w:rsidP="00A92422">
      <w:pPr>
        <w:spacing w:after="60"/>
        <w:ind w:left="720"/>
        <w:rPr>
          <w:rFonts w:cs="Tahoma"/>
        </w:rPr>
      </w:pPr>
      <w:bookmarkStart w:id="1401" w:name="Srv_65SharepointSvr10IntSites"/>
      <w:bookmarkStart w:id="1402" w:name="_Toc336338336"/>
      <w:bookmarkStart w:id="1403" w:name="Srv_66SharepointSvr10IntSites"/>
      <w:bookmarkStart w:id="1404" w:name="Srv_63SharepointSvr07IntSites"/>
      <w:bookmarkStart w:id="1405" w:name="Srv_64SharepointSvr07IntSites"/>
      <w:bookmarkEnd w:id="1401"/>
      <w:bookmarkEnd w:id="1402"/>
      <w:bookmarkEnd w:id="1403"/>
      <w:bookmarkEnd w:id="1404"/>
      <w:r w:rsidRPr="00D87B79">
        <w:rPr>
          <w:rFonts w:cs="Tahoma"/>
          <w:b/>
          <w:color w:val="000000"/>
          <w:lang w:val="it-IT"/>
        </w:rPr>
        <w:t>Estensione dei diritti delle Applicazioni Self-Hosted con Software Assurance per le Società in</w:t>
      </w:r>
      <w:r>
        <w:rPr>
          <w:rFonts w:cs="Tahoma"/>
          <w:b/>
          <w:color w:val="000000"/>
          <w:lang w:val="it-IT"/>
        </w:rPr>
        <w:t> </w:t>
      </w:r>
      <w:r w:rsidRPr="00D87B79">
        <w:rPr>
          <w:rFonts w:cs="Tahoma"/>
          <w:b/>
          <w:color w:val="000000"/>
          <w:lang w:val="it-IT"/>
        </w:rPr>
        <w:t>possesso di SharePoint Server for Internet Sites Enterprise</w:t>
      </w:r>
    </w:p>
    <w:bookmarkEnd w:id="1405"/>
    <w:p w:rsidR="00A92422" w:rsidRDefault="00A92422" w:rsidP="00A92422">
      <w:pPr>
        <w:ind w:left="720"/>
        <w:rPr>
          <w:rFonts w:cs="Tahoma"/>
          <w:color w:val="000000"/>
          <w:szCs w:val="18"/>
        </w:rPr>
      </w:pPr>
      <w:r w:rsidRPr="00D87B79">
        <w:rPr>
          <w:rFonts w:cs="Tahoma"/>
          <w:color w:val="000000"/>
          <w:szCs w:val="18"/>
          <w:lang w:val="it-IT"/>
        </w:rPr>
        <w:t>Le società in possesso di SharePoint Server 2010 for Internet Sites Enterprise, alle quali sono concesse le</w:t>
      </w:r>
      <w:r>
        <w:rPr>
          <w:rFonts w:cs="Tahoma"/>
          <w:color w:val="000000"/>
          <w:szCs w:val="18"/>
          <w:lang w:val="it-IT"/>
        </w:rPr>
        <w:t> </w:t>
      </w:r>
      <w:r w:rsidRPr="00D87B79">
        <w:rPr>
          <w:rFonts w:cs="Tahoma"/>
          <w:color w:val="000000"/>
          <w:szCs w:val="18"/>
          <w:lang w:val="it-IT"/>
        </w:rPr>
        <w:t>licenze per SharePoint Server 2013 tramite la concessione di licenza delineata sopra, potranno effettuare l’aggiornamento a SharePoint Server 2013 (come stabilito nella suddetta concessione) e utilizzare SharePoint Server 2013 ai sensi dei diritti di utilizzo del prodotto relativi a SharePoint Server 2013 e le condizioni della sezione “Applicazioni Server - Self-Hosted” dei Diritti di Utilizzo del Prodotto.</w:t>
      </w:r>
      <w:r w:rsidRPr="00D87B79">
        <w:rPr>
          <w:rFonts w:cs="Tahoma"/>
          <w:color w:val="000000"/>
          <w:szCs w:val="18"/>
        </w:rPr>
        <w:t xml:space="preserve"> </w:t>
      </w:r>
      <w:r w:rsidRPr="00D87B79">
        <w:rPr>
          <w:rFonts w:cs="Tahoma"/>
          <w:color w:val="000000"/>
          <w:szCs w:val="18"/>
          <w:lang w:val="it-IT"/>
        </w:rPr>
        <w:t>Le società idonee mantengono la copertura Software Assurance per le licenze gratuite per SharePoint Server 2013, in</w:t>
      </w:r>
      <w:r>
        <w:rPr>
          <w:rFonts w:cs="Tahoma"/>
          <w:color w:val="000000"/>
          <w:szCs w:val="18"/>
          <w:lang w:val="it-IT"/>
        </w:rPr>
        <w:t> </w:t>
      </w:r>
      <w:r w:rsidRPr="00D87B79">
        <w:rPr>
          <w:rFonts w:cs="Tahoma"/>
          <w:color w:val="000000"/>
          <w:szCs w:val="18"/>
          <w:lang w:val="it-IT"/>
        </w:rPr>
        <w:t>questo modo il diritto di utilizzo di SharePoint Server 2013 si applicherà fino a quando non sarà disponibile la versione successiva di SharePoint Server 2013.</w:t>
      </w:r>
      <w:r w:rsidRPr="00D87B79">
        <w:rPr>
          <w:rFonts w:cs="Tahoma"/>
          <w:color w:val="000000"/>
          <w:szCs w:val="18"/>
        </w:rPr>
        <w:t xml:space="preserve"> </w:t>
      </w:r>
    </w:p>
    <w:p w:rsidR="00A92422" w:rsidRPr="00D87B79" w:rsidRDefault="00A92422" w:rsidP="00A92422">
      <w:pPr>
        <w:rPr>
          <w:rFonts w:cs="Tahoma"/>
        </w:rPr>
      </w:pPr>
    </w:p>
    <w:p w:rsidR="00A92422" w:rsidRPr="00CB7283" w:rsidRDefault="00A92422" w:rsidP="00A92422">
      <w:pPr>
        <w:pStyle w:val="EndnoteText"/>
        <w:ind w:left="0"/>
        <w:rPr>
          <w:rFonts w:ascii="Tahoma" w:hAnsi="Tahoma" w:cs="Tahoma"/>
          <w:sz w:val="18"/>
          <w:szCs w:val="18"/>
        </w:rPr>
      </w:pPr>
      <w:bookmarkStart w:id="1406" w:name="_78_SharePoint™_Server"/>
      <w:bookmarkStart w:id="1407" w:name="_Toc336338339"/>
      <w:bookmarkStart w:id="1408" w:name="Srv_81SQLSvr08R2DataCenter"/>
      <w:bookmarkEnd w:id="1406"/>
    </w:p>
    <w:p w:rsidR="00A92422" w:rsidRPr="00D87B79" w:rsidRDefault="00A92422" w:rsidP="00A92422">
      <w:pPr>
        <w:pStyle w:val="Heading3"/>
        <w:rPr>
          <w:rFonts w:ascii="Tahoma" w:hAnsi="Tahoma" w:cs="Tahoma"/>
        </w:rPr>
      </w:pPr>
      <w:bookmarkStart w:id="1409" w:name="_70_SQL_Server®"/>
      <w:bookmarkStart w:id="1410" w:name="_Toc342900380"/>
      <w:bookmarkEnd w:id="1407"/>
      <w:bookmarkEnd w:id="1409"/>
      <w:r w:rsidRPr="00D87B79">
        <w:rPr>
          <w:rFonts w:ascii="Tahoma" w:hAnsi="Tahoma" w:cs="Tahoma"/>
          <w:caps/>
          <w:color w:val="F66400"/>
          <w:sz w:val="22"/>
          <w:vertAlign w:val="superscript"/>
          <w:lang w:val="it-IT"/>
        </w:rPr>
        <w:t>70</w:t>
      </w:r>
      <w:r w:rsidRPr="00D87B79">
        <w:rPr>
          <w:rFonts w:ascii="Tahoma" w:hAnsi="Tahoma" w:cs="Tahoma"/>
          <w:color w:val="F66400"/>
          <w:sz w:val="22"/>
          <w:lang w:val="it-IT"/>
        </w:rPr>
        <w:t xml:space="preserve"> SQL Server</w:t>
      </w:r>
      <w:r w:rsidRPr="003A0F2F">
        <w:rPr>
          <w:rFonts w:ascii="Tahoma" w:hAnsi="Tahoma" w:cs="Tahoma"/>
          <w:color w:val="F66400"/>
          <w:sz w:val="22"/>
          <w:vertAlign w:val="superscript"/>
          <w:lang w:val="it-IT"/>
        </w:rPr>
        <w:t>®</w:t>
      </w:r>
      <w:r w:rsidRPr="00D87B79">
        <w:rPr>
          <w:rFonts w:ascii="Tahoma" w:hAnsi="Tahoma" w:cs="Tahoma"/>
          <w:color w:val="F66400"/>
          <w:sz w:val="22"/>
          <w:lang w:val="it-IT"/>
        </w:rPr>
        <w:t xml:space="preserve"> 2008 R2 Datacenter</w:t>
      </w:r>
      <w:bookmarkEnd w:id="1410"/>
    </w:p>
    <w:bookmarkEnd w:id="1408"/>
    <w:p w:rsidR="00A92422" w:rsidRPr="00D87B79" w:rsidRDefault="00A92422" w:rsidP="00A92422">
      <w:pPr>
        <w:rPr>
          <w:rFonts w:cs="Tahoma"/>
        </w:rPr>
      </w:pPr>
    </w:p>
    <w:p w:rsidR="00A92422" w:rsidRPr="00D87B79" w:rsidRDefault="00A92422" w:rsidP="00A92422">
      <w:pPr>
        <w:spacing w:after="60"/>
        <w:ind w:left="720"/>
        <w:rPr>
          <w:rFonts w:cs="Tahoma"/>
        </w:rPr>
      </w:pPr>
      <w:bookmarkStart w:id="1411" w:name="Srv_69SQLSvr08EntandEntProc"/>
      <w:bookmarkStart w:id="1412" w:name="Srv_70SQLSvr08EntandEntProc"/>
      <w:bookmarkStart w:id="1413" w:name="Srv_72SQLSvr08R2developer"/>
      <w:bookmarkStart w:id="1414" w:name="Srv_72SQLSvr08R2DataCenter"/>
      <w:bookmarkEnd w:id="1411"/>
      <w:bookmarkEnd w:id="1412"/>
      <w:bookmarkEnd w:id="1413"/>
      <w:bookmarkEnd w:id="1414"/>
      <w:r w:rsidRPr="00D87B79">
        <w:rPr>
          <w:rFonts w:cs="Tahoma"/>
          <w:b/>
          <w:color w:val="000000"/>
          <w:lang w:val="it-IT"/>
        </w:rPr>
        <w:t>Concessioni di Licenza Associate alla Variazione del Modello di Licenza e della Fine del Ciclo di</w:t>
      </w:r>
      <w:r>
        <w:rPr>
          <w:rFonts w:cs="Tahoma"/>
          <w:b/>
          <w:color w:val="000000"/>
          <w:lang w:val="it-IT"/>
        </w:rPr>
        <w:t> </w:t>
      </w:r>
      <w:r w:rsidRPr="00D87B79">
        <w:rPr>
          <w:rFonts w:cs="Tahoma"/>
          <w:b/>
          <w:color w:val="000000"/>
          <w:lang w:val="it-IT"/>
        </w:rPr>
        <w:t>Vita di SQL Server Datacenter</w:t>
      </w:r>
    </w:p>
    <w:p w:rsidR="00A92422" w:rsidRPr="00D87B79" w:rsidRDefault="00A92422" w:rsidP="00A92422">
      <w:pPr>
        <w:ind w:left="720"/>
        <w:rPr>
          <w:rFonts w:cs="Tahoma"/>
        </w:rPr>
      </w:pPr>
      <w:r w:rsidRPr="00D87B79">
        <w:rPr>
          <w:rFonts w:cs="Tahoma"/>
          <w:color w:val="000000"/>
          <w:lang w:val="it-IT"/>
        </w:rPr>
        <w:t>SQL Server 2008 R2 sarà l’ultima versione di SQL Server concessa in licenza ai sensi del modello di licenza per processore e l’ultima versione di SQL Server Datacenter.</w:t>
      </w:r>
      <w:r w:rsidRPr="00D87B79">
        <w:rPr>
          <w:rFonts w:cs="Tahoma"/>
          <w:color w:val="000000"/>
        </w:rPr>
        <w:t xml:space="preserve"> </w:t>
      </w:r>
      <w:r w:rsidRPr="00D87B79">
        <w:rPr>
          <w:rFonts w:cs="Tahoma"/>
          <w:color w:val="000000"/>
          <w:lang w:val="it-IT"/>
        </w:rPr>
        <w:t>In via eccezionale, alle società con contratti multilicenza e copertura Software Assurance attiva per le licenze per processore per SQL Server 2008 R2 Datacenter in data 1 aprile 2012 (“licenze qualificanti”) vengono offerte le opzioni che seguono.</w:t>
      </w:r>
      <w:r w:rsidRPr="00D87B79">
        <w:rPr>
          <w:rFonts w:cs="Tahoma"/>
        </w:rPr>
        <w:t xml:space="preserve"> </w:t>
      </w:r>
      <w:r w:rsidRPr="00D87B79">
        <w:rPr>
          <w:rFonts w:cs="Tahoma"/>
          <w:color w:val="000000"/>
          <w:lang w:val="it-IT"/>
        </w:rPr>
        <w:t>Le licenze per processore per SQL Server 2008 R2 Datacenter acquistate successivamente nello stesso periodo di validità dell’iscrizione, ma prima del 1 aprile 2015 nell’ambito di una procedura pianificata di true-up della</w:t>
      </w:r>
      <w:r>
        <w:rPr>
          <w:rFonts w:cs="Tahoma"/>
          <w:color w:val="000000"/>
          <w:lang w:val="it-IT"/>
        </w:rPr>
        <w:t> </w:t>
      </w:r>
      <w:r w:rsidRPr="00D87B79">
        <w:rPr>
          <w:rFonts w:cs="Tahoma"/>
          <w:color w:val="000000"/>
          <w:lang w:val="it-IT"/>
        </w:rPr>
        <w:t>società Enterprise, Enterprise Subscription, Open Value Subscription o EES, sono anch’esse licenze qualificanti per gli scopi previsti da tali opzioni.</w:t>
      </w:r>
      <w:r w:rsidRPr="00D87B79">
        <w:rPr>
          <w:rFonts w:cs="Tahoma"/>
        </w:rPr>
        <w:t xml:space="preserve"> </w:t>
      </w:r>
      <w:r w:rsidRPr="00D87B79">
        <w:rPr>
          <w:rFonts w:cs="Tahoma"/>
          <w:color w:val="000000"/>
          <w:lang w:val="it-IT"/>
        </w:rPr>
        <w:t xml:space="preserve">Le licenze acquistate dopo il 1 aprile 2015, o in un periodo </w:t>
      </w:r>
      <w:r w:rsidRPr="00D87B79">
        <w:rPr>
          <w:rFonts w:cs="Tahoma"/>
          <w:color w:val="000000"/>
          <w:lang w:val="it-IT"/>
        </w:rPr>
        <w:lastRenderedPageBreak/>
        <w:t>di</w:t>
      </w:r>
      <w:r>
        <w:rPr>
          <w:rFonts w:cs="Tahoma"/>
          <w:color w:val="000000"/>
          <w:lang w:val="it-IT"/>
        </w:rPr>
        <w:t> </w:t>
      </w:r>
      <w:r w:rsidRPr="00D87B79">
        <w:rPr>
          <w:rFonts w:cs="Tahoma"/>
          <w:color w:val="000000"/>
          <w:lang w:val="it-IT"/>
        </w:rPr>
        <w:t>validità dell’iscrizione successivo, ai sensi di un contratto distinto o di un’iscrizione con la data di entrata in</w:t>
      </w:r>
      <w:r>
        <w:rPr>
          <w:rFonts w:cs="Tahoma"/>
          <w:color w:val="000000"/>
          <w:lang w:val="it-IT"/>
        </w:rPr>
        <w:t> </w:t>
      </w:r>
      <w:r w:rsidRPr="00D87B79">
        <w:rPr>
          <w:rFonts w:cs="Tahoma"/>
          <w:color w:val="000000"/>
          <w:lang w:val="it-IT"/>
        </w:rPr>
        <w:t>vigore posteriore al 1 aprile 2012, non sono licenze qualificanti.</w:t>
      </w:r>
    </w:p>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color w:val="000000"/>
          <w:lang w:val="it-IT"/>
        </w:rPr>
        <w:t>Periodo di Validità Corrente</w:t>
      </w:r>
    </w:p>
    <w:p w:rsidR="00A92422" w:rsidRPr="00D87B79" w:rsidRDefault="00A92422" w:rsidP="00A92422">
      <w:pPr>
        <w:ind w:left="720"/>
        <w:contextualSpacing/>
        <w:rPr>
          <w:rFonts w:cs="Tahoma"/>
        </w:rPr>
      </w:pPr>
      <w:r w:rsidRPr="00D87B79">
        <w:rPr>
          <w:rFonts w:eastAsia="Times New Roman" w:cs="Tahoma"/>
          <w:szCs w:val="18"/>
          <w:lang w:val="it-IT"/>
        </w:rPr>
        <w:t>durante il periodo di validità corrente della copertura Software Assurance a partire dal 1 aprile 2012 le società (incluse le società titolari di contratti “subscription”) potranno, ai sensi di una licenza qualificante, effettuare l’aggiornamento al software SQL Server 2012 Enterprise Core e utilizzarlo al posto di SQL Server 2008 R2 Datacenter in conformità ai diritti di utilizzo del prodotto previsti dalla licenza per processore SQL Server 2008 R2 Enterprise (come indicato nei Diritti di Utilizzo del Prodotto del mese di gennaio 2012).</w:t>
      </w:r>
      <w:r w:rsidRPr="00D87B79">
        <w:rPr>
          <w:rFonts w:cs="Tahoma"/>
        </w:rPr>
        <w:t xml:space="preserve"> </w:t>
      </w:r>
      <w:r w:rsidRPr="00D87B79">
        <w:rPr>
          <w:rFonts w:cs="Tahoma"/>
          <w:lang w:val="it-IT"/>
        </w:rPr>
        <w:t>Tali società dispongono anche dei diritti sull’utilizzo per la Virtualizzazione Illimitata come descritto nelle note del</w:t>
      </w:r>
      <w:r>
        <w:rPr>
          <w:rFonts w:cs="Tahoma"/>
          <w:lang w:val="it-IT"/>
        </w:rPr>
        <w:t> </w:t>
      </w:r>
      <w:r w:rsidRPr="00D87B79">
        <w:rPr>
          <w:rFonts w:cs="Tahoma"/>
          <w:lang w:val="it-IT"/>
        </w:rPr>
        <w:t>prodotto SQL Server 2012 Enterprise della presente Lista dei Prodotti.</w:t>
      </w:r>
    </w:p>
    <w:p w:rsidR="00A92422" w:rsidRPr="00D87B79" w:rsidRDefault="00A92422" w:rsidP="00A92422">
      <w:pPr>
        <w:spacing w:after="60"/>
        <w:ind w:left="720"/>
        <w:rPr>
          <w:rFonts w:cs="Tahoma"/>
        </w:rPr>
      </w:pPr>
      <w:r w:rsidRPr="00D87B79">
        <w:rPr>
          <w:rFonts w:cs="Tahoma"/>
          <w:b/>
          <w:color w:val="000000"/>
          <w:lang w:val="it-IT"/>
        </w:rPr>
        <w:t>Primo Periodo di Rinnovo (prima del 1 aprile 2015)</w:t>
      </w:r>
    </w:p>
    <w:p w:rsidR="00A92422" w:rsidRPr="00D87B79" w:rsidRDefault="00A92422" w:rsidP="00A92422">
      <w:pPr>
        <w:tabs>
          <w:tab w:val="left" w:pos="720"/>
        </w:tabs>
        <w:ind w:left="720"/>
        <w:contextualSpacing/>
        <w:rPr>
          <w:rFonts w:cs="Tahoma"/>
        </w:rPr>
      </w:pPr>
      <w:r w:rsidRPr="00D87B79">
        <w:rPr>
          <w:rFonts w:cs="Tahoma"/>
          <w:lang w:val="it-IT"/>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la società potrà acquistare la</w:t>
      </w:r>
      <w:r>
        <w:rPr>
          <w:rFonts w:cs="Tahoma"/>
          <w:lang w:val="it-IT"/>
        </w:rPr>
        <w:t> </w:t>
      </w:r>
      <w:r w:rsidRPr="00D87B79">
        <w:rPr>
          <w:rFonts w:cs="Tahoma"/>
          <w:lang w:val="it-IT"/>
        </w:rPr>
        <w:t>copertura Software Assurance per le licenze core per SQL Server Enterprise senza dovere acquistare le</w:t>
      </w:r>
      <w:r>
        <w:rPr>
          <w:rFonts w:cs="Tahoma"/>
          <w:lang w:val="it-IT"/>
        </w:rPr>
        <w:t> </w:t>
      </w:r>
      <w:r w:rsidRPr="00D87B79">
        <w:rPr>
          <w:rFonts w:cs="Tahoma"/>
          <w:lang w:val="it-IT"/>
        </w:rPr>
        <w:t>licenze core sottostanti per un numero di licenze core pari alla somma di (a) e (b):</w:t>
      </w:r>
    </w:p>
    <w:p w:rsidR="00A92422" w:rsidRPr="00D87B79" w:rsidRDefault="00A92422" w:rsidP="00A92422">
      <w:pPr>
        <w:numPr>
          <w:ilvl w:val="1"/>
          <w:numId w:val="90"/>
        </w:numPr>
        <w:tabs>
          <w:tab w:val="left" w:pos="1440"/>
        </w:tabs>
        <w:contextualSpacing/>
        <w:rPr>
          <w:rFonts w:cs="Tahoma"/>
        </w:rPr>
      </w:pPr>
      <w:r w:rsidRPr="00D87B79">
        <w:rPr>
          <w:rFonts w:cs="Tahoma"/>
          <w:lang w:val="it-IT"/>
        </w:rPr>
        <w:t>un numero pari al numero minore delle licenze qualificanti cedute al server o al numero totale dei</w:t>
      </w:r>
      <w:r>
        <w:t> </w:t>
      </w:r>
      <w:r w:rsidRPr="00D87B79">
        <w:rPr>
          <w:rFonts w:cs="Tahoma"/>
          <w:lang w:val="it-IT"/>
        </w:rPr>
        <w:t>processori fisici sul server moltiplicato per il maggiore tra:</w:t>
      </w:r>
      <w:r w:rsidRPr="00D87B79">
        <w:rPr>
          <w:rFonts w:eastAsia="Times New Roman" w:cs="Tahoma"/>
          <w:szCs w:val="18"/>
        </w:rPr>
        <w:t xml:space="preserve"> </w:t>
      </w:r>
    </w:p>
    <w:p w:rsidR="00A92422" w:rsidRPr="00D87B79" w:rsidRDefault="00A92422" w:rsidP="00A92422">
      <w:pPr>
        <w:numPr>
          <w:ilvl w:val="2"/>
          <w:numId w:val="94"/>
        </w:numPr>
        <w:tabs>
          <w:tab w:val="left" w:pos="1800"/>
        </w:tabs>
        <w:ind w:left="1800" w:hanging="360"/>
        <w:contextualSpacing/>
        <w:rPr>
          <w:rFonts w:cs="Tahoma"/>
        </w:rPr>
      </w:pPr>
      <w:r w:rsidRPr="00D87B79">
        <w:rPr>
          <w:rFonts w:cs="Tahoma"/>
          <w:lang w:val="it-IT"/>
        </w:rPr>
        <w:t>otto O</w:t>
      </w:r>
    </w:p>
    <w:p w:rsidR="00A92422" w:rsidRPr="00D87B79" w:rsidRDefault="00A92422" w:rsidP="00A92422">
      <w:pPr>
        <w:numPr>
          <w:ilvl w:val="2"/>
          <w:numId w:val="94"/>
        </w:numPr>
        <w:tabs>
          <w:tab w:val="left" w:pos="1800"/>
        </w:tabs>
        <w:ind w:left="1800" w:hanging="360"/>
        <w:contextualSpacing/>
        <w:rPr>
          <w:rFonts w:cs="Tahoma"/>
        </w:rPr>
      </w:pPr>
      <w:r w:rsidRPr="00D87B79">
        <w:rPr>
          <w:rFonts w:eastAsia="Times New Roman" w:cs="Tahoma"/>
          <w:szCs w:val="18"/>
          <w:lang w:val="it-IT"/>
        </w:rPr>
        <w:t>il numero effettivo di core per processore fisico moltiplicato per il fattore core appropriato.</w:t>
      </w:r>
      <w:r w:rsidRPr="00D87B79">
        <w:rPr>
          <w:rFonts w:eastAsia="Times New Roman" w:cs="Tahoma"/>
          <w:szCs w:val="18"/>
        </w:rPr>
        <w:t xml:space="preserve"> </w:t>
      </w:r>
      <w:r w:rsidRPr="00D87B79">
        <w:rPr>
          <w:rFonts w:eastAsia="Times New Roman" w:cs="Tahoma"/>
          <w:szCs w:val="18"/>
          <w:lang w:val="it-IT"/>
        </w:rPr>
        <w:t>(Nei</w:t>
      </w:r>
      <w:r>
        <w:rPr>
          <w:rFonts w:eastAsia="Times New Roman" w:cs="Tahoma"/>
          <w:szCs w:val="18"/>
          <w:lang w:val="it-IT"/>
        </w:rPr>
        <w:t> </w:t>
      </w:r>
      <w:r w:rsidRPr="00D87B79">
        <w:rPr>
          <w:rFonts w:eastAsia="Times New Roman" w:cs="Tahoma"/>
          <w:szCs w:val="18"/>
          <w:lang w:val="it-IT"/>
        </w:rPr>
        <w:t>casi in cui il numero effettivo di core per processore fisico superi otto, le società dovranno conservare un record della configurazione del software SQL Server in esecuzione sul server (istanze con licenza in esecuzione negli ambienti del sistema operativo sul server con licenza) e l’hardware fisico che supporta tale software appena prima del rinnovo di Software Assurance utilizzando lo strumento MAP di Microsoft o un software equivalente).</w:t>
      </w:r>
      <w:r w:rsidRPr="00D87B79">
        <w:rPr>
          <w:rFonts w:eastAsia="Times New Roman" w:cs="Tahoma"/>
          <w:szCs w:val="18"/>
        </w:rPr>
        <w:t xml:space="preserve"> </w:t>
      </w:r>
    </w:p>
    <w:p w:rsidR="00A92422" w:rsidRPr="00D87B79" w:rsidRDefault="00A92422" w:rsidP="00A92422">
      <w:pPr>
        <w:numPr>
          <w:ilvl w:val="1"/>
          <w:numId w:val="90"/>
        </w:numPr>
        <w:tabs>
          <w:tab w:val="left" w:pos="1440"/>
          <w:tab w:val="left" w:pos="2970"/>
        </w:tabs>
        <w:contextualSpacing/>
        <w:rPr>
          <w:rFonts w:cs="Tahoma"/>
        </w:rPr>
      </w:pPr>
      <w:r w:rsidRPr="00D87B79">
        <w:rPr>
          <w:rFonts w:cs="Tahoma"/>
          <w:lang w:val="it-IT"/>
        </w:rPr>
        <w:t>un numero pari al numero di licenze qualificanti cedute al server oltre al numero effettivo di</w:t>
      </w:r>
      <w:r>
        <w:rPr>
          <w:rFonts w:cs="Tahoma"/>
          <w:lang w:val="it-IT"/>
        </w:rPr>
        <w:t> </w:t>
      </w:r>
      <w:r w:rsidRPr="00D87B79">
        <w:rPr>
          <w:rFonts w:cs="Tahoma"/>
          <w:lang w:val="it-IT"/>
        </w:rPr>
        <w:t>processori fisici sul server moltiplicato per otto.</w:t>
      </w:r>
    </w:p>
    <w:p w:rsidR="00A92422" w:rsidRPr="00D87B79" w:rsidRDefault="00A92422" w:rsidP="00A92422">
      <w:pPr>
        <w:ind w:left="720"/>
        <w:contextualSpacing/>
        <w:rPr>
          <w:rFonts w:cs="Tahoma"/>
        </w:rPr>
      </w:pPr>
    </w:p>
    <w:p w:rsidR="00A92422" w:rsidRPr="00D87B79" w:rsidRDefault="00A92422" w:rsidP="00A92422">
      <w:pPr>
        <w:spacing w:after="60"/>
        <w:ind w:left="720"/>
        <w:rPr>
          <w:rFonts w:cs="Tahoma"/>
        </w:rPr>
      </w:pPr>
      <w:r w:rsidRPr="00D87B79">
        <w:rPr>
          <w:rFonts w:cs="Tahoma"/>
          <w:b/>
          <w:lang w:val="it-IT"/>
        </w:rPr>
        <w:t>Primo Periodo di Rinnovo (in data 1 aprile 2015 o successiva)</w:t>
      </w:r>
    </w:p>
    <w:p w:rsidR="00A92422" w:rsidRPr="00D87B79" w:rsidRDefault="00A92422" w:rsidP="00A92422">
      <w:pPr>
        <w:ind w:left="720"/>
        <w:contextualSpacing/>
        <w:rPr>
          <w:rFonts w:cs="Tahoma"/>
        </w:rPr>
      </w:pPr>
      <w:r w:rsidRPr="00D87B79">
        <w:rPr>
          <w:rFonts w:cs="Tahoma"/>
          <w:lang w:val="it-IT"/>
        </w:rPr>
        <w:t>le società che rinnovano per la prima volta la copertura in data 1 aprile 2015 potranno, per ogni server ottenuto in licenza in conformità ai diritti di utilizzo del prodotto previsti dalla licenza per processore SQL</w:t>
      </w:r>
      <w:r>
        <w:rPr>
          <w:rFonts w:cs="Tahoma"/>
          <w:lang w:val="it-IT"/>
        </w:rPr>
        <w:t> </w:t>
      </w:r>
      <w:r w:rsidRPr="00D87B79">
        <w:rPr>
          <w:rFonts w:cs="Tahoma"/>
          <w:lang w:val="it-IT"/>
        </w:rPr>
        <w:t>Server 2008 R2, acquistare la copertura Software Assurance come di seguito indicato:</w:t>
      </w:r>
    </w:p>
    <w:p w:rsidR="00A92422" w:rsidRPr="00D87B79" w:rsidRDefault="00A92422" w:rsidP="00A92422">
      <w:pPr>
        <w:ind w:left="720"/>
        <w:contextualSpacing/>
        <w:rPr>
          <w:rFonts w:cs="Tahoma"/>
        </w:rPr>
      </w:pPr>
    </w:p>
    <w:p w:rsidR="00A92422" w:rsidRPr="00D87B79" w:rsidRDefault="00A92422" w:rsidP="00A92422">
      <w:pPr>
        <w:numPr>
          <w:ilvl w:val="2"/>
          <w:numId w:val="90"/>
        </w:numPr>
        <w:spacing w:after="60"/>
        <w:ind w:left="1440"/>
        <w:rPr>
          <w:rFonts w:cs="Tahoma"/>
        </w:rPr>
      </w:pPr>
      <w:r w:rsidRPr="00D87B79">
        <w:rPr>
          <w:rFonts w:cs="Tahoma"/>
          <w:lang w:val="it-IT"/>
        </w:rPr>
        <w:t>come stabilito nel primo paragrafo di questa nota relativa al prodotto, le licenze acquistate prima del 1 aprile 2015 sono licenze qualificanti e le società potranno rinnovare la copertura Software Assurance in base alle condizioni riportate nel precedente Articolo “Primo Periodo di Rinnovo (prima</w:t>
      </w:r>
      <w:r>
        <w:rPr>
          <w:rFonts w:cs="Tahoma"/>
          <w:lang w:val="it-IT"/>
        </w:rPr>
        <w:t> </w:t>
      </w:r>
      <w:r w:rsidRPr="00D87B79">
        <w:rPr>
          <w:rFonts w:cs="Tahoma"/>
          <w:lang w:val="it-IT"/>
        </w:rPr>
        <w:t>del 1 aprile 2015)” e</w:t>
      </w:r>
      <w:r w:rsidRPr="00D87B79">
        <w:rPr>
          <w:rFonts w:cs="Tahoma"/>
        </w:rPr>
        <w:t xml:space="preserve"> </w:t>
      </w:r>
    </w:p>
    <w:p w:rsidR="00A92422" w:rsidRPr="00D87B79" w:rsidRDefault="00A92422" w:rsidP="00A92422">
      <w:pPr>
        <w:numPr>
          <w:ilvl w:val="2"/>
          <w:numId w:val="90"/>
        </w:numPr>
        <w:spacing w:after="60"/>
        <w:ind w:left="1440"/>
        <w:rPr>
          <w:rFonts w:cs="Tahoma"/>
        </w:rPr>
      </w:pPr>
      <w:r w:rsidRPr="00D87B79">
        <w:rPr>
          <w:rFonts w:cs="Tahoma"/>
          <w:lang w:val="it-IT"/>
        </w:rPr>
        <w:t>per le licenze acquistate dopo il 1 aprile 2015 le società potranno rinnovare la copertura Software Assurance per otto licenze core per SQL Server Enterprise senza dover acquistare le licenze core sottostanti per ogni licenza per processore per SQL Server 2008 R2 Datacenter.</w:t>
      </w:r>
      <w:r w:rsidRPr="00D87B79">
        <w:rPr>
          <w:rFonts w:cs="Tahoma"/>
        </w:rPr>
        <w:t xml:space="preserve"> </w:t>
      </w:r>
      <w:r w:rsidRPr="00D87B79">
        <w:rPr>
          <w:rFonts w:cs="Tahoma"/>
          <w:lang w:val="it-IT"/>
        </w:rPr>
        <w:t>Per l’utilizzo continuativo di SQL Server 2012 su processori che richiedono più di otto licenze core per processore la società deve acquistare le licenze core aggiuntive.</w:t>
      </w:r>
    </w:p>
    <w:p w:rsidR="00A92422" w:rsidRPr="00D87B79" w:rsidRDefault="00A92422" w:rsidP="00A92422">
      <w:pPr>
        <w:ind w:left="1440"/>
        <w:contextualSpacing/>
        <w:rPr>
          <w:rFonts w:cs="Tahoma"/>
        </w:rPr>
      </w:pPr>
    </w:p>
    <w:p w:rsidR="00A92422" w:rsidRPr="00D87B79" w:rsidRDefault="00A92422" w:rsidP="00A92422">
      <w:pPr>
        <w:ind w:left="720"/>
        <w:contextualSpacing/>
        <w:rPr>
          <w:rFonts w:cs="Tahoma"/>
        </w:rPr>
      </w:pPr>
      <w:r w:rsidRPr="00D87B79">
        <w:rPr>
          <w:rFonts w:eastAsia="Times New Roman" w:cs="Tahoma"/>
          <w:szCs w:val="18"/>
          <w:lang w:val="it-IT"/>
        </w:rPr>
        <w:t>Le licenze per processore delle società non sono più valide se si acquista la copertura Software Assurance per licenze core ai sensi della presente offerta.</w:t>
      </w:r>
      <w:r w:rsidRPr="00D87B79">
        <w:rPr>
          <w:rFonts w:cs="Tahoma"/>
        </w:rPr>
        <w:t xml:space="preserve"> </w:t>
      </w:r>
      <w:r w:rsidRPr="00D87B79">
        <w:rPr>
          <w:rFonts w:cs="Tahoma"/>
          <w:lang w:val="it-IT"/>
        </w:rPr>
        <w:t>L’opzione di acquistare Software Assurance per le licenze core per SQL Server non è applicabile al rinnovo della copertura ai sensi dei programmi di sottoscrizione.</w:t>
      </w:r>
    </w:p>
    <w:p w:rsidR="00A92422" w:rsidRPr="00D87B79" w:rsidRDefault="00A92422" w:rsidP="00A92422">
      <w:pPr>
        <w:tabs>
          <w:tab w:val="left" w:pos="720"/>
        </w:tabs>
        <w:ind w:left="720"/>
        <w:contextualSpacing/>
        <w:rPr>
          <w:rFonts w:cs="Tahoma"/>
        </w:rPr>
      </w:pPr>
    </w:p>
    <w:p w:rsidR="00A92422" w:rsidRPr="00D87B79" w:rsidRDefault="00A92422" w:rsidP="00A92422">
      <w:pPr>
        <w:tabs>
          <w:tab w:val="left" w:pos="720"/>
        </w:tabs>
        <w:spacing w:after="60"/>
        <w:ind w:left="720"/>
        <w:rPr>
          <w:rFonts w:cs="Tahoma"/>
        </w:rPr>
      </w:pPr>
      <w:r w:rsidRPr="00D87B79">
        <w:rPr>
          <w:rFonts w:cs="Tahoma"/>
          <w:b/>
          <w:lang w:val="it-IT"/>
        </w:rPr>
        <w:t>Per le Società con copertura Software Assurance in scadenza prima del 1 aprile 2015 che</w:t>
      </w:r>
      <w:r>
        <w:rPr>
          <w:rFonts w:cs="Tahoma"/>
          <w:b/>
          <w:lang w:val="it-IT"/>
        </w:rPr>
        <w:t> </w:t>
      </w:r>
      <w:r w:rsidRPr="00D87B79">
        <w:rPr>
          <w:rFonts w:cs="Tahoma"/>
          <w:b/>
          <w:lang w:val="it-IT"/>
        </w:rPr>
        <w:t>scelgono di non effettuare il rinnovo</w:t>
      </w:r>
    </w:p>
    <w:p w:rsidR="00A92422" w:rsidRDefault="00A92422" w:rsidP="00A92422">
      <w:pPr>
        <w:tabs>
          <w:tab w:val="left" w:pos="720"/>
        </w:tabs>
        <w:ind w:left="720"/>
        <w:contextualSpacing/>
        <w:rPr>
          <w:rFonts w:cs="Tahoma"/>
        </w:rPr>
      </w:pPr>
      <w:r w:rsidRPr="00D87B79">
        <w:rPr>
          <w:rFonts w:cs="Tahoma"/>
          <w:lang w:val="it-IT"/>
        </w:rPr>
        <w:t xml:space="preserve">le società titolari di contratti Enterprise Subscription e </w:t>
      </w:r>
      <w:r w:rsidRPr="00D87B79">
        <w:rPr>
          <w:rFonts w:cs="Tahoma"/>
          <w:color w:val="000000"/>
          <w:lang w:val="it-IT"/>
        </w:rPr>
        <w:t xml:space="preserve">Open Value Subscription </w:t>
      </w:r>
      <w:r w:rsidRPr="00D87B79">
        <w:rPr>
          <w:rFonts w:cs="Tahoma"/>
          <w:lang w:val="it-IT"/>
        </w:rPr>
        <w:t>con copertura in scadenza prima del 1 aprile 2015 che scelgono di effettuare il buy-out delle licenze per processore e altre società che</w:t>
      </w:r>
      <w:r>
        <w:rPr>
          <w:rFonts w:cs="Tahoma"/>
          <w:lang w:val="it-IT"/>
        </w:rPr>
        <w:t> </w:t>
      </w:r>
      <w:r w:rsidRPr="00D87B79">
        <w:rPr>
          <w:rFonts w:cs="Tahoma"/>
          <w:lang w:val="it-IT"/>
        </w:rPr>
        <w:t>acquistano licenze perpetue ai sensi del loro contratto e scelgano di non rinnovare Software Assurance potranno eseguire SQL Server 2008 R2 o SQL Server 2012 ai sensi di tali licenze come indicato sotto:</w:t>
      </w:r>
    </w:p>
    <w:p w:rsidR="00A92422" w:rsidRPr="00D87B79" w:rsidRDefault="00A92422" w:rsidP="00A92422">
      <w:pPr>
        <w:tabs>
          <w:tab w:val="left" w:pos="720"/>
        </w:tabs>
        <w:ind w:left="720"/>
        <w:contextualSpacing/>
        <w:rPr>
          <w:rFonts w:cs="Tahoma"/>
        </w:rPr>
      </w:pPr>
    </w:p>
    <w:p w:rsidR="00A92422" w:rsidRPr="00D87B79" w:rsidRDefault="00A92422" w:rsidP="00A92422">
      <w:pPr>
        <w:numPr>
          <w:ilvl w:val="0"/>
          <w:numId w:val="91"/>
        </w:numPr>
        <w:tabs>
          <w:tab w:val="left" w:pos="1440"/>
        </w:tabs>
        <w:spacing w:after="60"/>
        <w:rPr>
          <w:rFonts w:cs="Tahoma"/>
        </w:rPr>
      </w:pPr>
      <w:r w:rsidRPr="00D87B79">
        <w:rPr>
          <w:rFonts w:cs="Tahoma"/>
          <w:b/>
          <w:lang w:val="it-IT"/>
        </w:rPr>
        <w:lastRenderedPageBreak/>
        <w:t>SQL Server 2008 R2 Datacenter:</w:t>
      </w:r>
      <w:r w:rsidRPr="00D87B79">
        <w:rPr>
          <w:rFonts w:eastAsia="Times New Roman" w:cs="Tahoma"/>
          <w:szCs w:val="18"/>
        </w:rPr>
        <w:t xml:space="preserve"> </w:t>
      </w:r>
      <w:r w:rsidRPr="00D87B79">
        <w:rPr>
          <w:rFonts w:eastAsia="Times New Roman" w:cs="Tahoma"/>
          <w:szCs w:val="18"/>
          <w:lang w:val="it-IT"/>
        </w:rPr>
        <w:t>l’utilizzo continuativo di tale versione del software è soggetto ai diritti di utilizzo del prodotto previsti dalla licenza per processore SQL Server 2008 R2 Datacenter.</w:t>
      </w:r>
      <w:r w:rsidRPr="00D87B79">
        <w:rPr>
          <w:rFonts w:eastAsia="Times New Roman" w:cs="Tahoma"/>
          <w:szCs w:val="18"/>
        </w:rPr>
        <w:t xml:space="preserve"> </w:t>
      </w:r>
    </w:p>
    <w:p w:rsidR="00A92422" w:rsidRPr="00D87B79" w:rsidRDefault="00A92422" w:rsidP="00A92422">
      <w:pPr>
        <w:numPr>
          <w:ilvl w:val="0"/>
          <w:numId w:val="91"/>
        </w:numPr>
        <w:tabs>
          <w:tab w:val="left" w:pos="1440"/>
          <w:tab w:val="left" w:pos="2970"/>
        </w:tabs>
        <w:spacing w:after="60"/>
        <w:rPr>
          <w:rFonts w:cs="Tahoma"/>
        </w:rPr>
      </w:pPr>
      <w:r w:rsidRPr="00D87B79">
        <w:rPr>
          <w:rFonts w:eastAsia="Times New Roman" w:cs="Tahoma"/>
          <w:b/>
          <w:szCs w:val="18"/>
          <w:lang w:val="it-IT"/>
        </w:rPr>
        <w:t>SQL Server 2012 Enterprise Core:</w:t>
      </w:r>
      <w:r w:rsidRPr="00D87B79">
        <w:rPr>
          <w:rFonts w:eastAsia="Times New Roman" w:cs="Tahoma"/>
          <w:b/>
          <w:szCs w:val="18"/>
        </w:rPr>
        <w:t xml:space="preserve"> </w:t>
      </w:r>
      <w:r w:rsidRPr="00D87B79">
        <w:rPr>
          <w:rFonts w:eastAsia="Times New Roman" w:cs="Tahoma"/>
          <w:szCs w:val="18"/>
          <w:lang w:val="it-IT"/>
        </w:rPr>
        <w:t>l’utilizzo di tale versione del software è soggetto ai diritti di utilizzo del prodotto previsti dalla licenza per processore SQL Server 2008 R2 Enterprise, tuttavia:</w:t>
      </w:r>
      <w:r w:rsidRPr="00D87B79">
        <w:rPr>
          <w:rFonts w:eastAsia="Times New Roman" w:cs="Tahoma"/>
          <w:szCs w:val="18"/>
        </w:rPr>
        <w:t xml:space="preserve"> </w:t>
      </w:r>
    </w:p>
    <w:p w:rsidR="00A92422" w:rsidRPr="00D87B79" w:rsidRDefault="00A92422" w:rsidP="00A92422">
      <w:pPr>
        <w:numPr>
          <w:ilvl w:val="1"/>
          <w:numId w:val="91"/>
        </w:numPr>
        <w:tabs>
          <w:tab w:val="left" w:pos="1800"/>
        </w:tabs>
        <w:spacing w:after="60"/>
        <w:ind w:left="1800"/>
        <w:rPr>
          <w:rFonts w:cs="Tahoma"/>
        </w:rPr>
      </w:pPr>
      <w:r w:rsidRPr="00D87B79">
        <w:rPr>
          <w:rFonts w:cs="Tahoma"/>
          <w:lang w:val="it-IT"/>
        </w:rPr>
        <w:t>le società non disporranno più di diritti sull’utilizzo per la Virtualizzazione Illimitata, la Mobilità delle Licenze all’interno di Server Farm o la Mobilità delle Licenze tramite Software Assurance e</w:t>
      </w:r>
      <w:r w:rsidRPr="00D87B79">
        <w:rPr>
          <w:rFonts w:cs="Tahoma"/>
        </w:rPr>
        <w:t xml:space="preserve"> </w:t>
      </w:r>
    </w:p>
    <w:p w:rsidR="00A92422" w:rsidRPr="000D23C9" w:rsidRDefault="00A92422" w:rsidP="00A92422">
      <w:pPr>
        <w:numPr>
          <w:ilvl w:val="1"/>
          <w:numId w:val="91"/>
        </w:numPr>
        <w:tabs>
          <w:tab w:val="left" w:pos="1800"/>
        </w:tabs>
        <w:spacing w:after="60"/>
        <w:ind w:left="1800"/>
        <w:rPr>
          <w:rFonts w:cs="Tahoma"/>
        </w:rPr>
      </w:pPr>
      <w:r w:rsidRPr="000D23C9">
        <w:rPr>
          <w:rFonts w:eastAsia="Times New Roman" w:cs="Tahoma"/>
          <w:szCs w:val="18"/>
          <w:lang w:val="it-IT"/>
        </w:rPr>
        <w:t>l’eventuale riassegnazione di licenze è soggetta ai limiti indicati nei paragrafi (i) e (ii) che seguono relativi alla loro “equivalenza di licenze core”. L’equivalenza di licenze core è determinata come di seguito riportato.</w:t>
      </w:r>
      <w:r w:rsidRPr="000D23C9">
        <w:rPr>
          <w:rFonts w:eastAsia="Times New Roman" w:cs="Tahoma"/>
          <w:szCs w:val="18"/>
        </w:rPr>
        <w:t xml:space="preserve"> </w:t>
      </w:r>
    </w:p>
    <w:p w:rsidR="00A92422" w:rsidRPr="00D87B79" w:rsidRDefault="00A92422" w:rsidP="00A92422">
      <w:pPr>
        <w:numPr>
          <w:ilvl w:val="2"/>
          <w:numId w:val="91"/>
        </w:numPr>
        <w:tabs>
          <w:tab w:val="left" w:pos="2160"/>
        </w:tabs>
        <w:spacing w:after="60"/>
        <w:ind w:left="2160" w:hanging="360"/>
        <w:rPr>
          <w:rFonts w:cs="Tahoma"/>
        </w:rPr>
      </w:pPr>
      <w:r w:rsidRPr="00D87B79">
        <w:rPr>
          <w:rFonts w:eastAsia="Times New Roman" w:cs="Tahoma"/>
          <w:szCs w:val="18"/>
          <w:lang w:val="it-IT"/>
        </w:rPr>
        <w:t>Per un numero di licenze pari al numero inferiore tra (x) il numero totale di licenze per processore cedute a un server con licenza appena prima della scadenza di Software Assurance o (y) il numero totale di processori fisici su tale server, l’equivalenza di licenze core è il numero maggiore tra:</w:t>
      </w:r>
      <w:r w:rsidRPr="00D87B79">
        <w:rPr>
          <w:rFonts w:eastAsia="Times New Roman" w:cs="Tahoma"/>
          <w:szCs w:val="18"/>
        </w:rPr>
        <w:t xml:space="preserve"> </w:t>
      </w:r>
    </w:p>
    <w:p w:rsidR="00A92422" w:rsidRPr="00D87B79" w:rsidRDefault="00A92422" w:rsidP="00A92422">
      <w:pPr>
        <w:numPr>
          <w:ilvl w:val="4"/>
          <w:numId w:val="90"/>
        </w:numPr>
        <w:tabs>
          <w:tab w:val="left" w:pos="2520"/>
        </w:tabs>
        <w:spacing w:after="60"/>
        <w:ind w:left="2520"/>
        <w:rPr>
          <w:rFonts w:cs="Tahoma"/>
        </w:rPr>
      </w:pPr>
      <w:r w:rsidRPr="00D87B79">
        <w:rPr>
          <w:rFonts w:cs="Tahoma"/>
          <w:lang w:val="it-IT"/>
        </w:rPr>
        <w:t>otto core per licenza per processore O</w:t>
      </w:r>
      <w:r w:rsidRPr="00D87B79">
        <w:rPr>
          <w:rFonts w:cs="Tahoma"/>
        </w:rPr>
        <w:t xml:space="preserve"> </w:t>
      </w:r>
    </w:p>
    <w:p w:rsidR="00A92422" w:rsidRPr="00D87B79" w:rsidRDefault="00A92422" w:rsidP="00A92422">
      <w:pPr>
        <w:numPr>
          <w:ilvl w:val="4"/>
          <w:numId w:val="90"/>
        </w:numPr>
        <w:tabs>
          <w:tab w:val="left" w:pos="2520"/>
        </w:tabs>
        <w:spacing w:after="60"/>
        <w:ind w:left="2520"/>
        <w:rPr>
          <w:rFonts w:cs="Tahoma"/>
        </w:rPr>
      </w:pPr>
      <w:r w:rsidRPr="00D87B79">
        <w:rPr>
          <w:rFonts w:eastAsia="Times New Roman" w:cs="Tahoma"/>
          <w:szCs w:val="18"/>
          <w:lang w:val="it-IT"/>
        </w:rPr>
        <w:t>un numero di core per licenza per processore basato sul numero effettivo di core per</w:t>
      </w:r>
      <w:r>
        <w:rPr>
          <w:rFonts w:eastAsia="Times New Roman" w:cs="Tahoma"/>
          <w:szCs w:val="18"/>
          <w:lang w:val="it-IT"/>
        </w:rPr>
        <w:t> </w:t>
      </w:r>
      <w:r w:rsidRPr="00D87B79">
        <w:rPr>
          <w:rFonts w:eastAsia="Times New Roman" w:cs="Tahoma"/>
          <w:szCs w:val="18"/>
          <w:lang w:val="it-IT"/>
        </w:rPr>
        <w:t>processore fisico moltiplicato per il fattore core appropriato.</w:t>
      </w:r>
      <w:r w:rsidRPr="00D87B79">
        <w:rPr>
          <w:rFonts w:eastAsia="Times New Roman" w:cs="Tahoma"/>
          <w:szCs w:val="18"/>
        </w:rPr>
        <w:t xml:space="preserve"> </w:t>
      </w:r>
      <w:r w:rsidRPr="00D87B79">
        <w:rPr>
          <w:rFonts w:eastAsia="Times New Roman" w:cs="Tahoma"/>
          <w:szCs w:val="18"/>
          <w:lang w:val="it-IT"/>
        </w:rPr>
        <w:t>(Nei casi in cui il</w:t>
      </w:r>
      <w:r>
        <w:rPr>
          <w:rFonts w:eastAsia="Times New Roman" w:cs="Tahoma"/>
          <w:szCs w:val="18"/>
          <w:lang w:val="it-IT"/>
        </w:rPr>
        <w:t> </w:t>
      </w:r>
      <w:r w:rsidRPr="00D87B79">
        <w:rPr>
          <w:rFonts w:eastAsia="Times New Roman" w:cs="Tahoma"/>
          <w:szCs w:val="18"/>
          <w:lang w:val="it-IT"/>
        </w:rPr>
        <w:t>numero effettivo di core per processore fisico superi otto, le società dovranno conservare un record della configurazione del software SQL Server in esecuzione sul</w:t>
      </w:r>
      <w:r>
        <w:t> </w:t>
      </w:r>
      <w:r w:rsidRPr="00D87B79">
        <w:rPr>
          <w:rFonts w:eastAsia="Times New Roman" w:cs="Tahoma"/>
          <w:szCs w:val="18"/>
          <w:lang w:val="it-IT"/>
        </w:rPr>
        <w:t>server (istanze con licenza in esecuzione negli ambienti del sistema operativo sul server con licenza) e l’hardware fisico che supporta tale software appena prima della scadenza di Software Assurance utilizzando lo strumento MAP di Microsoft o un software equivalente).</w:t>
      </w:r>
      <w:r w:rsidRPr="00D87B79">
        <w:rPr>
          <w:rFonts w:eastAsia="Times New Roman" w:cs="Tahoma"/>
          <w:szCs w:val="18"/>
        </w:rPr>
        <w:t xml:space="preserve"> </w:t>
      </w:r>
    </w:p>
    <w:p w:rsidR="00A92422" w:rsidRPr="00D87B79" w:rsidRDefault="00A92422" w:rsidP="00A92422">
      <w:pPr>
        <w:numPr>
          <w:ilvl w:val="2"/>
          <w:numId w:val="91"/>
        </w:numPr>
        <w:tabs>
          <w:tab w:val="left" w:pos="2160"/>
        </w:tabs>
        <w:spacing w:after="60"/>
        <w:ind w:left="2160" w:hanging="360"/>
        <w:rPr>
          <w:rFonts w:cs="Tahoma"/>
        </w:rPr>
      </w:pPr>
      <w:r w:rsidRPr="00D87B79">
        <w:rPr>
          <w:rFonts w:cs="Tahoma"/>
          <w:lang w:val="it-IT"/>
        </w:rPr>
        <w:t>Per qualsiasi licenza per processore con la copertura Software Assurance in scadenza ceduta allo stesso server con licenza che ecceda il numero effettivo di processori fisici sul</w:t>
      </w:r>
      <w:r>
        <w:rPr>
          <w:rFonts w:cs="Tahoma"/>
          <w:lang w:val="it-IT"/>
        </w:rPr>
        <w:t> </w:t>
      </w:r>
      <w:r w:rsidRPr="00D87B79">
        <w:rPr>
          <w:rFonts w:cs="Tahoma"/>
          <w:lang w:val="it-IT"/>
        </w:rPr>
        <w:t>server, l’equivalenza core è di otto core per licenza per processore.</w:t>
      </w:r>
    </w:p>
    <w:p w:rsidR="00A92422" w:rsidRPr="00D87B79" w:rsidRDefault="00A92422" w:rsidP="00A92422">
      <w:pPr>
        <w:numPr>
          <w:ilvl w:val="1"/>
          <w:numId w:val="91"/>
        </w:numPr>
        <w:tabs>
          <w:tab w:val="left" w:pos="1800"/>
          <w:tab w:val="left" w:pos="2970"/>
        </w:tabs>
        <w:spacing w:after="60"/>
        <w:ind w:left="1800"/>
        <w:rPr>
          <w:rFonts w:cs="Tahoma"/>
        </w:rPr>
      </w:pPr>
      <w:r w:rsidRPr="00D87B79">
        <w:rPr>
          <w:rFonts w:cs="Tahoma"/>
          <w:lang w:val="it-IT"/>
        </w:rPr>
        <w:t>Le società potranno riassegnare le licenze a un altro server.</w:t>
      </w:r>
      <w:r w:rsidRPr="00D87B79">
        <w:rPr>
          <w:rFonts w:cs="Tahoma"/>
        </w:rPr>
        <w:t xml:space="preserve"> </w:t>
      </w:r>
      <w:r w:rsidRPr="00D87B79">
        <w:rPr>
          <w:rFonts w:cs="Tahoma"/>
          <w:lang w:val="it-IT"/>
        </w:rPr>
        <w:t>Tuttavia, qualora la società riassegni una licenza a un altro server, dovrà attenersi ai diritti sull’utilizzo di SQL Server 2012.</w:t>
      </w:r>
      <w:r>
        <w:rPr>
          <w:rFonts w:cs="Tahoma"/>
        </w:rPr>
        <w:t> </w:t>
      </w:r>
      <w:r w:rsidRPr="00D87B79">
        <w:rPr>
          <w:rFonts w:cs="Tahoma"/>
          <w:lang w:val="it-IT"/>
        </w:rPr>
        <w:t>Quando cede licenze core a server ai sensi dei diritti sull’utilizzo per SQL 2012, la società</w:t>
      </w:r>
      <w:r>
        <w:rPr>
          <w:rFonts w:cs="Tahoma"/>
          <w:lang w:val="it-IT"/>
        </w:rPr>
        <w:t> </w:t>
      </w:r>
      <w:r w:rsidRPr="00D87B79">
        <w:rPr>
          <w:rFonts w:cs="Tahoma"/>
          <w:lang w:val="it-IT"/>
        </w:rPr>
        <w:t>potrà combinare l’equivalenza core delle licenze esistenti con le licenze core per SQL</w:t>
      </w:r>
      <w:r>
        <w:rPr>
          <w:rFonts w:cs="Tahoma"/>
          <w:lang w:val="it-IT"/>
        </w:rPr>
        <w:t> </w:t>
      </w:r>
      <w:r w:rsidRPr="00D87B79">
        <w:rPr>
          <w:rFonts w:cs="Tahoma"/>
          <w:lang w:val="it-IT"/>
        </w:rPr>
        <w:t>Server 2012 aggiuntive.</w:t>
      </w:r>
      <w:r w:rsidRPr="00D87B79">
        <w:rPr>
          <w:rFonts w:cs="Tahoma"/>
        </w:rPr>
        <w:t xml:space="preserve"> </w:t>
      </w:r>
    </w:p>
    <w:p w:rsidR="00A92422" w:rsidRPr="00D87B79" w:rsidRDefault="00A92422" w:rsidP="00A92422">
      <w:pPr>
        <w:numPr>
          <w:ilvl w:val="1"/>
          <w:numId w:val="91"/>
        </w:numPr>
        <w:tabs>
          <w:tab w:val="left" w:pos="1800"/>
        </w:tabs>
        <w:spacing w:after="60"/>
        <w:ind w:left="1800"/>
        <w:rPr>
          <w:rFonts w:cs="Tahoma"/>
        </w:rPr>
      </w:pPr>
      <w:r w:rsidRPr="00D87B79">
        <w:rPr>
          <w:rFonts w:cs="Tahoma"/>
          <w:lang w:val="it-IT"/>
        </w:rPr>
        <w:t>L’equivalenza di licenze core stimata delle società non implica che esse possano cedere una</w:t>
      </w:r>
      <w:r>
        <w:rPr>
          <w:rFonts w:cs="Tahoma"/>
          <w:lang w:val="it-IT"/>
        </w:rPr>
        <w:t> </w:t>
      </w:r>
      <w:r w:rsidRPr="00D87B79">
        <w:rPr>
          <w:rFonts w:cs="Tahoma"/>
          <w:lang w:val="it-IT"/>
        </w:rPr>
        <w:t>licenza singola per processore a core attraverso due o più processori.</w:t>
      </w:r>
    </w:p>
    <w:p w:rsidR="00A92422" w:rsidRPr="00D87B79" w:rsidRDefault="00A92422" w:rsidP="00A92422">
      <w:pPr>
        <w:tabs>
          <w:tab w:val="left" w:pos="720"/>
        </w:tabs>
        <w:ind w:left="720"/>
        <w:contextualSpacing/>
        <w:rPr>
          <w:rFonts w:cs="Tahoma"/>
        </w:rPr>
      </w:pPr>
    </w:p>
    <w:p w:rsidR="00A92422" w:rsidRPr="00D87B79" w:rsidRDefault="00A92422" w:rsidP="00A92422">
      <w:pPr>
        <w:tabs>
          <w:tab w:val="left" w:pos="720"/>
        </w:tabs>
        <w:spacing w:after="60"/>
        <w:ind w:left="720"/>
        <w:rPr>
          <w:rFonts w:cs="Tahoma"/>
        </w:rPr>
      </w:pPr>
      <w:r w:rsidRPr="00D87B79">
        <w:rPr>
          <w:rFonts w:cs="Tahoma"/>
          <w:b/>
          <w:lang w:val="it-IT"/>
        </w:rPr>
        <w:t>Per le Società con copertura Software Assurance in scadenza in data 1 aprile 2015 o successiva che scelgono di non effettuare il rinnovo</w:t>
      </w:r>
    </w:p>
    <w:p w:rsidR="00A92422" w:rsidRPr="00D87B79" w:rsidRDefault="00A92422" w:rsidP="00A92422">
      <w:pPr>
        <w:tabs>
          <w:tab w:val="left" w:pos="720"/>
        </w:tabs>
        <w:ind w:left="720"/>
        <w:contextualSpacing/>
        <w:rPr>
          <w:rFonts w:cs="Tahoma"/>
        </w:rPr>
      </w:pPr>
      <w:r w:rsidRPr="00D87B79">
        <w:rPr>
          <w:rFonts w:cs="Tahoma"/>
          <w:color w:val="000000"/>
          <w:lang w:val="it-IT"/>
        </w:rPr>
        <w:t>alle società titolari di contratti Enterprise Subscription e Open Value Subscription con copertura in scadenza in data 1 aprile 2015 o successiva che scelgono di effettuare il buy-out delle licenze per processore e alle altre società che acquistano licenze perpetue ai sensi del loro contratto verranno offerte le seguenti opzioni:</w:t>
      </w:r>
      <w:r w:rsidRPr="00D87B79">
        <w:rPr>
          <w:rFonts w:eastAsia="Times New Roman" w:cs="Tahoma"/>
          <w:color w:val="000000"/>
          <w:szCs w:val="18"/>
        </w:rPr>
        <w:t xml:space="preserve"> </w:t>
      </w:r>
    </w:p>
    <w:p w:rsidR="00A92422" w:rsidRPr="00D87B79" w:rsidRDefault="00A92422" w:rsidP="00A92422">
      <w:pPr>
        <w:tabs>
          <w:tab w:val="left" w:pos="720"/>
        </w:tabs>
        <w:ind w:left="720"/>
        <w:contextualSpacing/>
        <w:rPr>
          <w:rFonts w:cs="Tahoma"/>
        </w:rPr>
      </w:pPr>
    </w:p>
    <w:p w:rsidR="00A92422" w:rsidRPr="00D87B79" w:rsidRDefault="00A92422" w:rsidP="00A92422">
      <w:pPr>
        <w:numPr>
          <w:ilvl w:val="2"/>
          <w:numId w:val="90"/>
        </w:numPr>
        <w:tabs>
          <w:tab w:val="left" w:pos="1440"/>
        </w:tabs>
        <w:spacing w:after="60"/>
        <w:ind w:left="1440"/>
        <w:rPr>
          <w:rFonts w:cs="Tahoma"/>
        </w:rPr>
      </w:pPr>
      <w:r w:rsidRPr="00D87B79">
        <w:rPr>
          <w:rFonts w:cs="Tahoma"/>
          <w:lang w:val="it-IT"/>
        </w:rPr>
        <w:t>come stabilito nel primo paragrafo di questa nota relativa al prodotto, le licenze acquistate prima del 1 aprile 2015 sono licenze qualificanti e le società potranno continuare a utilizzare SQL Server 2012 in base alle condizioni riportate nel precedente Articolo “Per le società con copertura Software Assurance in scadenza prima del 1 aprile 2015 che scelgono di non effettuare il rinnovo” e</w:t>
      </w:r>
      <w:r w:rsidRPr="00D87B79">
        <w:rPr>
          <w:rFonts w:cs="Tahoma"/>
        </w:rPr>
        <w:t xml:space="preserve"> </w:t>
      </w:r>
    </w:p>
    <w:p w:rsidR="00A92422" w:rsidRPr="00D87B79" w:rsidRDefault="00A92422" w:rsidP="00A92422">
      <w:pPr>
        <w:numPr>
          <w:ilvl w:val="2"/>
          <w:numId w:val="90"/>
        </w:numPr>
        <w:tabs>
          <w:tab w:val="left" w:pos="1440"/>
        </w:tabs>
        <w:spacing w:after="60"/>
        <w:ind w:left="1440"/>
        <w:rPr>
          <w:rFonts w:cs="Tahoma"/>
        </w:rPr>
      </w:pPr>
      <w:r w:rsidRPr="00D87B79">
        <w:rPr>
          <w:rFonts w:cs="Tahoma"/>
          <w:lang w:val="it-IT"/>
        </w:rPr>
        <w:t>per le licenze acquistate dopo il 1 aprile 2015 la licenza per processore delle società avrà un’equivalenza core di otto licenze core Enterprise per SQL Server 2012.</w:t>
      </w:r>
      <w:r w:rsidRPr="00D87B79">
        <w:rPr>
          <w:rFonts w:cs="Tahoma"/>
        </w:rPr>
        <w:t xml:space="preserve"> </w:t>
      </w:r>
      <w:r w:rsidRPr="00D87B79">
        <w:rPr>
          <w:rFonts w:cs="Tahoma"/>
          <w:lang w:val="it-IT"/>
        </w:rPr>
        <w:t>Per l’utilizzo continuativo di SQL Server 2012 su processori che richiedono più di otto licenze core per processore la società deve acquistare le licenze core aggiuntive.</w:t>
      </w:r>
    </w:p>
    <w:p w:rsidR="00A92422" w:rsidRPr="00D87B79" w:rsidRDefault="00A92422" w:rsidP="00A92422">
      <w:pPr>
        <w:tabs>
          <w:tab w:val="left" w:pos="1440"/>
        </w:tabs>
        <w:ind w:left="1440"/>
        <w:contextualSpacing/>
        <w:rPr>
          <w:rFonts w:cs="Tahoma"/>
        </w:rPr>
      </w:pPr>
    </w:p>
    <w:p w:rsidR="00A92422" w:rsidRPr="00D87B79" w:rsidRDefault="00A92422" w:rsidP="00A92422">
      <w:pPr>
        <w:tabs>
          <w:tab w:val="left" w:pos="720"/>
        </w:tabs>
        <w:spacing w:after="60"/>
        <w:ind w:left="720"/>
        <w:rPr>
          <w:rFonts w:cs="Tahoma"/>
        </w:rPr>
      </w:pPr>
      <w:r w:rsidRPr="00D87B79">
        <w:rPr>
          <w:rFonts w:cs="Tahoma"/>
          <w:b/>
          <w:lang w:val="it-IT"/>
        </w:rPr>
        <w:t>Per le società con sede nella Repubblica popolare cinese, dove acquistano licenze per</w:t>
      </w:r>
      <w:r>
        <w:rPr>
          <w:rFonts w:cs="Tahoma"/>
          <w:b/>
          <w:lang w:val="it-IT"/>
        </w:rPr>
        <w:t> </w:t>
      </w:r>
      <w:r w:rsidRPr="00D87B79">
        <w:rPr>
          <w:rFonts w:cs="Tahoma"/>
          <w:b/>
          <w:lang w:val="it-IT"/>
        </w:rPr>
        <w:t>processore e Software Assurance per SQL Server 2008 R2</w:t>
      </w:r>
    </w:p>
    <w:p w:rsidR="00A92422" w:rsidRPr="00D87B79" w:rsidRDefault="00A92422" w:rsidP="00A92422">
      <w:pPr>
        <w:tabs>
          <w:tab w:val="left" w:pos="720"/>
        </w:tabs>
        <w:ind w:left="720"/>
        <w:contextualSpacing/>
        <w:rPr>
          <w:rFonts w:cs="Tahoma"/>
        </w:rPr>
      </w:pPr>
      <w:r w:rsidRPr="00D87B79">
        <w:rPr>
          <w:rFonts w:cs="Tahoma"/>
          <w:lang w:val="it-IT"/>
        </w:rPr>
        <w:t>non si applicano i riferimenti al 1 aprile 2012 e al 1 aprile 2015 presenti in questa nota relativa alla lista dei prodotti.</w:t>
      </w:r>
      <w:r w:rsidRPr="00D87B79">
        <w:rPr>
          <w:rFonts w:cs="Tahoma"/>
        </w:rPr>
        <w:t xml:space="preserve"> </w:t>
      </w:r>
      <w:r w:rsidRPr="00D87B79">
        <w:rPr>
          <w:rFonts w:cs="Tahoma"/>
          <w:lang w:val="it-IT"/>
        </w:rPr>
        <w:t>Le date applicabili per queste società sarebbero rispettivamente il 1 luglio 2012 e il 1 luglio 2015.</w:t>
      </w:r>
    </w:p>
    <w:p w:rsidR="00A92422" w:rsidRPr="00D87B79" w:rsidRDefault="00A92422" w:rsidP="00A92422">
      <w:pPr>
        <w:rPr>
          <w:rFonts w:cs="Tahoma"/>
        </w:rPr>
      </w:pPr>
    </w:p>
    <w:p w:rsidR="00A92422" w:rsidRPr="00D87B79" w:rsidRDefault="00A92422" w:rsidP="00A92422">
      <w:pPr>
        <w:rPr>
          <w:rFonts w:cs="Tahoma"/>
        </w:rPr>
      </w:pPr>
    </w:p>
    <w:p w:rsidR="00A92422" w:rsidRPr="00D87B79" w:rsidRDefault="00A92422" w:rsidP="00A92422">
      <w:pPr>
        <w:pStyle w:val="Heading3"/>
        <w:rPr>
          <w:rFonts w:ascii="Tahoma" w:hAnsi="Tahoma" w:cs="Tahoma"/>
        </w:rPr>
      </w:pPr>
      <w:bookmarkStart w:id="1415" w:name="_Toc336338340"/>
      <w:bookmarkStart w:id="1416" w:name="_71_SQL_Server®"/>
      <w:bookmarkStart w:id="1417" w:name="_Toc342900381"/>
      <w:bookmarkStart w:id="1418" w:name="Srv_82SQL2008Paralleldata"/>
      <w:bookmarkEnd w:id="1415"/>
      <w:bookmarkEnd w:id="1416"/>
      <w:r w:rsidRPr="00D87B79">
        <w:rPr>
          <w:rFonts w:ascii="Tahoma" w:hAnsi="Tahoma" w:cs="Tahoma"/>
          <w:caps/>
          <w:color w:val="F66400"/>
          <w:sz w:val="22"/>
          <w:vertAlign w:val="superscript"/>
          <w:lang w:val="it-IT"/>
        </w:rPr>
        <w:lastRenderedPageBreak/>
        <w:t>71</w:t>
      </w:r>
      <w:r w:rsidRPr="00D87B79">
        <w:rPr>
          <w:rFonts w:ascii="Tahoma" w:hAnsi="Tahoma" w:cs="Tahoma"/>
          <w:color w:val="F66400"/>
          <w:sz w:val="22"/>
          <w:lang w:val="it-IT"/>
        </w:rPr>
        <w:t xml:space="preserve"> SQL Server</w:t>
      </w:r>
      <w:r w:rsidRPr="003A0F2F">
        <w:rPr>
          <w:rFonts w:ascii="Tahoma" w:hAnsi="Tahoma" w:cs="Tahoma"/>
          <w:color w:val="F66400"/>
          <w:sz w:val="22"/>
          <w:vertAlign w:val="superscript"/>
          <w:lang w:val="it-IT"/>
        </w:rPr>
        <w:t>®</w:t>
      </w:r>
      <w:r w:rsidRPr="00D87B79">
        <w:rPr>
          <w:rFonts w:ascii="Tahoma" w:hAnsi="Tahoma" w:cs="Tahoma"/>
          <w:color w:val="F66400"/>
          <w:sz w:val="22"/>
          <w:lang w:val="it-IT"/>
        </w:rPr>
        <w:t xml:space="preserve"> 2008 R2 Parallel Data Warehouse</w:t>
      </w:r>
      <w:bookmarkEnd w:id="1417"/>
    </w:p>
    <w:bookmarkEnd w:id="1418"/>
    <w:p w:rsidR="00A92422" w:rsidRPr="00D87B79" w:rsidRDefault="00A92422" w:rsidP="00A92422">
      <w:pPr>
        <w:ind w:left="900"/>
        <w:rPr>
          <w:rFonts w:cs="Tahoma"/>
        </w:rPr>
      </w:pPr>
    </w:p>
    <w:p w:rsidR="00A92422" w:rsidRDefault="00A92422" w:rsidP="00A92422">
      <w:pPr>
        <w:ind w:left="720"/>
        <w:rPr>
          <w:rFonts w:cs="Tahoma"/>
        </w:rPr>
      </w:pPr>
      <w:r w:rsidRPr="00D87B79">
        <w:rPr>
          <w:rFonts w:eastAsia="Times New Roman" w:cs="Tahoma"/>
          <w:szCs w:val="18"/>
          <w:lang w:val="it-IT"/>
        </w:rPr>
        <w:t>Questo software è disponibile solo nelle configurazioni hardware e software approvate da Microsoft.</w:t>
      </w:r>
      <w:r w:rsidRPr="00D87B79">
        <w:rPr>
          <w:rFonts w:eastAsia="Times New Roman" w:cs="Tahoma"/>
          <w:szCs w:val="18"/>
        </w:rPr>
        <w:t xml:space="preserve"> </w:t>
      </w:r>
      <w:r w:rsidRPr="00D87B79">
        <w:rPr>
          <w:rFonts w:eastAsia="Times New Roman" w:cs="Tahoma"/>
          <w:szCs w:val="18"/>
          <w:lang w:val="it-IT"/>
        </w:rPr>
        <w:t>L’utilizzo del software in altre configurazioni non è supportato e influirà sulle prestazioni.</w:t>
      </w:r>
      <w:r w:rsidRPr="00D87B79">
        <w:rPr>
          <w:rFonts w:cs="Tahoma"/>
        </w:rPr>
        <w:t xml:space="preserve"> </w:t>
      </w:r>
      <w:r w:rsidRPr="00D87B79">
        <w:rPr>
          <w:rFonts w:cs="Tahoma"/>
          <w:lang w:val="it-IT"/>
        </w:rPr>
        <w:t>Visitare la pagina</w:t>
      </w:r>
      <w:r>
        <w:rPr>
          <w:rFonts w:cs="Tahoma"/>
          <w:lang w:val="it-IT"/>
        </w:rPr>
        <w:t> </w:t>
      </w:r>
      <w:r w:rsidRPr="00D87B79">
        <w:rPr>
          <w:rFonts w:cs="Tahoma"/>
          <w:vanish/>
          <w:lang w:val="it-IT"/>
        </w:rPr>
        <w:t xml:space="preserve"> </w:t>
      </w:r>
      <w:hyperlink r:id="rId41" w:history="1">
        <w:r w:rsidRPr="00D87B79">
          <w:rPr>
            <w:rStyle w:val="Hyperlink"/>
            <w:rFonts w:cs="Tahoma"/>
            <w:lang w:val="it-IT"/>
          </w:rPr>
          <w:t>http://www.microsoft.com/sqlserver/2008/en/us/parallel-data-warehouse.aspx</w:t>
        </w:r>
      </w:hyperlink>
    </w:p>
    <w:p w:rsidR="00A92422" w:rsidRDefault="00A92422" w:rsidP="00A92422">
      <w:pPr>
        <w:ind w:left="900"/>
        <w:rPr>
          <w:rFonts w:cs="Tahoma"/>
        </w:rPr>
      </w:pPr>
    </w:p>
    <w:p w:rsidR="00A92422" w:rsidRPr="00D87B79" w:rsidRDefault="00A92422" w:rsidP="00A92422">
      <w:pPr>
        <w:ind w:left="900"/>
        <w:rPr>
          <w:rFonts w:cs="Tahoma"/>
        </w:rPr>
      </w:pPr>
    </w:p>
    <w:p w:rsidR="00A92422" w:rsidRPr="00D87B79" w:rsidRDefault="00A92422" w:rsidP="00A92422">
      <w:pPr>
        <w:pStyle w:val="Heading3"/>
        <w:rPr>
          <w:rFonts w:ascii="Tahoma" w:hAnsi="Tahoma" w:cs="Tahoma"/>
        </w:rPr>
      </w:pPr>
      <w:bookmarkStart w:id="1419" w:name="_72_SQL_Server®"/>
      <w:bookmarkStart w:id="1420" w:name="_Toc336338341"/>
      <w:bookmarkEnd w:id="1419"/>
      <w:r w:rsidRPr="00D87B79">
        <w:rPr>
          <w:rFonts w:ascii="Tahoma" w:hAnsi="Tahoma" w:cs="Tahoma"/>
          <w:caps/>
          <w:color w:val="FE6700"/>
          <w:sz w:val="22"/>
          <w:vertAlign w:val="superscript"/>
        </w:rPr>
        <w:t xml:space="preserve"> </w:t>
      </w:r>
      <w:bookmarkStart w:id="1421" w:name="Srv_83SQL2008R2Smallbiz"/>
      <w:bookmarkStart w:id="1422" w:name="_Toc342900382"/>
      <w:bookmarkEnd w:id="1420"/>
      <w:bookmarkEnd w:id="1421"/>
      <w:r w:rsidRPr="00D87B79">
        <w:rPr>
          <w:rFonts w:ascii="Tahoma" w:hAnsi="Tahoma" w:cs="Tahoma"/>
          <w:caps/>
          <w:color w:val="FE6700"/>
          <w:sz w:val="22"/>
          <w:vertAlign w:val="superscript"/>
          <w:lang w:val="it-IT"/>
        </w:rPr>
        <w:t>72</w:t>
      </w:r>
      <w:r w:rsidRPr="00D87B79">
        <w:rPr>
          <w:rFonts w:ascii="Tahoma" w:hAnsi="Tahoma" w:cs="Tahoma"/>
          <w:color w:val="FE6700"/>
          <w:sz w:val="22"/>
          <w:lang w:val="it-IT"/>
        </w:rPr>
        <w:t xml:space="preserve"> SQL Server</w:t>
      </w:r>
      <w:r w:rsidRPr="003A0F2F">
        <w:rPr>
          <w:rFonts w:ascii="Tahoma" w:hAnsi="Tahoma" w:cs="Tahoma"/>
          <w:color w:val="FE6700"/>
          <w:sz w:val="22"/>
          <w:vertAlign w:val="superscript"/>
          <w:lang w:val="it-IT"/>
        </w:rPr>
        <w:t>®</w:t>
      </w:r>
      <w:r w:rsidRPr="00D87B79">
        <w:rPr>
          <w:rFonts w:ascii="Tahoma" w:hAnsi="Tahoma" w:cs="Tahoma"/>
          <w:color w:val="FE6700"/>
          <w:sz w:val="22"/>
          <w:lang w:val="it-IT"/>
        </w:rPr>
        <w:t xml:space="preserve"> 2008 R2 Small Business</w:t>
      </w:r>
      <w:bookmarkEnd w:id="1422"/>
    </w:p>
    <w:p w:rsidR="00A92422" w:rsidRPr="00D87B79" w:rsidRDefault="00A92422" w:rsidP="00A92422">
      <w:pPr>
        <w:rPr>
          <w:rFonts w:cs="Tahoma"/>
        </w:rPr>
      </w:pPr>
    </w:p>
    <w:p w:rsidR="00A92422" w:rsidRPr="00D87B79" w:rsidRDefault="00A92422" w:rsidP="00A92422">
      <w:pPr>
        <w:spacing w:after="60" w:line="276" w:lineRule="auto"/>
        <w:ind w:left="720"/>
        <w:rPr>
          <w:rFonts w:cs="Tahoma"/>
        </w:rPr>
      </w:pPr>
      <w:r w:rsidRPr="00D87B79">
        <w:rPr>
          <w:rFonts w:cs="Tahoma"/>
          <w:b/>
          <w:lang w:val="it-IT"/>
        </w:rPr>
        <w:t>Concessioni di Licenza Associate alla fine del ciclo di vita di SQL Server Small Business Edition</w:t>
      </w:r>
    </w:p>
    <w:p w:rsidR="00A92422" w:rsidRPr="00D87B79" w:rsidRDefault="00A92422" w:rsidP="00A92422">
      <w:pPr>
        <w:spacing w:after="200"/>
        <w:ind w:left="720"/>
        <w:rPr>
          <w:rFonts w:cs="Tahoma"/>
        </w:rPr>
      </w:pPr>
      <w:r w:rsidRPr="00D87B79">
        <w:rPr>
          <w:rFonts w:eastAsia="Times New Roman" w:cs="Tahoma"/>
          <w:szCs w:val="18"/>
          <w:lang w:val="it-IT"/>
        </w:rPr>
        <w:t>SQL Server 2008 R2 per Small Business sarà l’ultima versione di SQL Server per Small Business Edition.</w:t>
      </w:r>
      <w:r w:rsidRPr="00D87B79">
        <w:rPr>
          <w:rFonts w:eastAsia="Times New Roman" w:cs="Tahoma"/>
          <w:szCs w:val="18"/>
        </w:rPr>
        <w:t xml:space="preserve"> </w:t>
      </w:r>
      <w:r w:rsidRPr="00D87B79">
        <w:rPr>
          <w:rFonts w:eastAsia="Times New Roman" w:cs="Tahoma"/>
          <w:szCs w:val="18"/>
          <w:lang w:val="it-IT"/>
        </w:rPr>
        <w:t>In via eccezionale, le società con contratti multilicenza e con copertura Software Assurance attiva per le licenze per SQL Server 2008 R2 per Small Business in data 1 aprile 2012 potranno effettuare l’aggiornamento a SQL Server 2012 Standard Server e utilizzarlo (o a qualsiasi versione successiva del prodotto resa disponibile durante la copertura) al posto di SQL Server Workgroup Edition e acquistare Software Assurance per SQL Server Standard alla scadenza della copertura in corso.</w:t>
      </w:r>
      <w:r w:rsidRPr="00D87B79">
        <w:rPr>
          <w:rFonts w:eastAsia="Times New Roman" w:cs="Tahoma"/>
          <w:szCs w:val="18"/>
        </w:rPr>
        <w:t xml:space="preserve"> </w:t>
      </w:r>
      <w:r w:rsidRPr="00D87B79">
        <w:rPr>
          <w:rFonts w:eastAsia="Times New Roman" w:cs="Tahoma"/>
          <w:szCs w:val="18"/>
          <w:lang w:val="it-IT"/>
        </w:rPr>
        <w:t>Inoltre, le società con contratti multilicenza e con copertura Software Assurance attiva per le CAL per SQL Server 2008 R2 per Small Business in data 1 aprile 2012 potranno effettuare l’aggiornamento alle CAL per SQL Server 2012 (o a qualsiasi versione successiva della CAL resa disponibile durante la copertura) e utilizzarle al posto della CAL per SQL Server Small Business, e acquistare Software Assurance per la CAL per SQL Server alla scadenza della copertura in corso.</w:t>
      </w:r>
      <w:r w:rsidRPr="00D87B79">
        <w:rPr>
          <w:rFonts w:cs="Tahoma"/>
        </w:rPr>
        <w:t xml:space="preserve"> </w:t>
      </w:r>
      <w:r w:rsidRPr="00D87B79">
        <w:rPr>
          <w:rFonts w:cs="Tahoma"/>
          <w:lang w:val="it-IT"/>
        </w:rPr>
        <w:t>Le licenze per SQL Server Small Business delle società non sono più valide quando acquistano la copertura Software Assurance per SQL Server Standard ai sensi della presente offerta.</w:t>
      </w:r>
    </w:p>
    <w:p w:rsidR="00A92422" w:rsidRPr="00D87B79" w:rsidRDefault="00A92422" w:rsidP="00A92422">
      <w:pPr>
        <w:spacing w:after="60" w:line="276" w:lineRule="auto"/>
        <w:ind w:left="720"/>
        <w:rPr>
          <w:rFonts w:cs="Tahoma"/>
        </w:rPr>
      </w:pPr>
      <w:r w:rsidRPr="00D87B79">
        <w:rPr>
          <w:rFonts w:cs="Tahoma"/>
          <w:b/>
          <w:lang w:val="it-IT"/>
        </w:rPr>
        <w:t>Per le società con sede nella Repubblica popolare cinese, dove acquistano licenze e Software Assurance per SQL Server 2008 R2</w:t>
      </w:r>
    </w:p>
    <w:p w:rsidR="00A92422" w:rsidRPr="00D87B79" w:rsidRDefault="00A92422" w:rsidP="00A92422">
      <w:pPr>
        <w:ind w:left="720"/>
        <w:rPr>
          <w:rFonts w:cs="Tahoma"/>
        </w:rPr>
      </w:pPr>
      <w:r w:rsidRPr="00D87B79">
        <w:rPr>
          <w:rFonts w:cs="Tahoma"/>
          <w:lang w:val="it-IT"/>
        </w:rPr>
        <w:t>non si applicano i riferimenti al 1 aprile 2012 presenti in questa nota relativa alla lista dei prodotti.</w:t>
      </w:r>
      <w:r w:rsidRPr="00D87B79">
        <w:rPr>
          <w:rFonts w:cs="Tahoma"/>
        </w:rPr>
        <w:t xml:space="preserve"> </w:t>
      </w:r>
      <w:r w:rsidRPr="00D87B79">
        <w:rPr>
          <w:rFonts w:cs="Tahoma"/>
          <w:lang w:val="it-IT"/>
        </w:rPr>
        <w:t>La data applicabile per queste società sarebbe il 1 luglio 2012.</w:t>
      </w:r>
    </w:p>
    <w:p w:rsidR="00A92422" w:rsidRPr="00D87B79" w:rsidRDefault="00A92422" w:rsidP="00A92422">
      <w:pPr>
        <w:ind w:left="720"/>
        <w:rPr>
          <w:rFonts w:cs="Tahoma"/>
        </w:rPr>
      </w:pPr>
    </w:p>
    <w:p w:rsidR="00A92422" w:rsidRPr="00D87B79" w:rsidRDefault="00A92422" w:rsidP="00A92422">
      <w:pPr>
        <w:ind w:left="720"/>
        <w:rPr>
          <w:rFonts w:cs="Tahoma"/>
        </w:rPr>
      </w:pPr>
    </w:p>
    <w:p w:rsidR="00A92422" w:rsidRPr="00D87B79" w:rsidRDefault="00A92422" w:rsidP="00A92422">
      <w:pPr>
        <w:pStyle w:val="Heading3"/>
        <w:rPr>
          <w:rFonts w:ascii="Tahoma" w:hAnsi="Tahoma" w:cs="Tahoma"/>
        </w:rPr>
      </w:pPr>
      <w:bookmarkStart w:id="1423" w:name="_Toc336338342"/>
      <w:bookmarkStart w:id="1424" w:name="Srv_84SQL2008R2Webproc"/>
      <w:bookmarkStart w:id="1425" w:name="_73_Licenza_Per"/>
      <w:bookmarkStart w:id="1426" w:name="_Toc342900383"/>
      <w:bookmarkEnd w:id="1423"/>
      <w:bookmarkEnd w:id="1424"/>
      <w:bookmarkEnd w:id="1425"/>
      <w:r w:rsidRPr="00D87B79">
        <w:rPr>
          <w:rFonts w:ascii="Tahoma" w:hAnsi="Tahoma" w:cs="Tahoma"/>
          <w:caps/>
          <w:color w:val="F66400"/>
          <w:sz w:val="22"/>
          <w:vertAlign w:val="superscript"/>
          <w:lang w:val="it-IT"/>
        </w:rPr>
        <w:t>73</w:t>
      </w:r>
      <w:r w:rsidRPr="00D87B79">
        <w:rPr>
          <w:rFonts w:ascii="Tahoma" w:hAnsi="Tahoma" w:cs="Tahoma"/>
          <w:color w:val="F66400"/>
          <w:sz w:val="22"/>
          <w:lang w:val="it-IT"/>
        </w:rPr>
        <w:t xml:space="preserve"> Licenza Per Processore per SQL Server</w:t>
      </w:r>
      <w:r w:rsidRPr="003A0F2F">
        <w:rPr>
          <w:rFonts w:ascii="Tahoma" w:hAnsi="Tahoma" w:cs="Tahoma"/>
          <w:color w:val="F66400"/>
          <w:sz w:val="22"/>
          <w:vertAlign w:val="superscript"/>
          <w:lang w:val="it-IT"/>
        </w:rPr>
        <w:t>®</w:t>
      </w:r>
      <w:r w:rsidRPr="00D87B79">
        <w:rPr>
          <w:rFonts w:ascii="Tahoma" w:hAnsi="Tahoma" w:cs="Tahoma"/>
          <w:color w:val="F66400"/>
          <w:sz w:val="22"/>
          <w:lang w:val="it-IT"/>
        </w:rPr>
        <w:t xml:space="preserve"> 2008 R2 Web</w:t>
      </w:r>
      <w:bookmarkEnd w:id="1426"/>
    </w:p>
    <w:p w:rsidR="00A92422" w:rsidRPr="00D87B79" w:rsidRDefault="00A92422" w:rsidP="00A92422">
      <w:pPr>
        <w:rPr>
          <w:rFonts w:cs="Tahoma"/>
        </w:rPr>
      </w:pPr>
    </w:p>
    <w:p w:rsidR="00A92422" w:rsidRPr="00D87B79" w:rsidRDefault="00A92422" w:rsidP="00A92422">
      <w:pPr>
        <w:spacing w:after="60"/>
        <w:ind w:left="720"/>
        <w:rPr>
          <w:rFonts w:cs="Tahoma"/>
        </w:rPr>
      </w:pPr>
      <w:r w:rsidRPr="00D87B79">
        <w:rPr>
          <w:rFonts w:cs="Tahoma"/>
          <w:b/>
          <w:lang w:val="it-IT"/>
        </w:rPr>
        <w:t>Concessioni di Licenza Associate alla Variazione del Modello di Licenza</w:t>
      </w:r>
    </w:p>
    <w:p w:rsidR="00A92422" w:rsidRPr="00D87B79" w:rsidRDefault="00A92422" w:rsidP="00A92422">
      <w:pPr>
        <w:ind w:left="720"/>
        <w:rPr>
          <w:rFonts w:cs="Tahoma"/>
        </w:rPr>
      </w:pPr>
      <w:r w:rsidRPr="00D87B79">
        <w:rPr>
          <w:rFonts w:eastAsia="Times New Roman" w:cs="Tahoma"/>
          <w:szCs w:val="18"/>
          <w:lang w:val="it-IT"/>
        </w:rPr>
        <w:t>SQL Server 2008 R2 sarà l’ultima versione di SQL Server concessa in licenza ai sensi del modello di licenza</w:t>
      </w:r>
      <w:r>
        <w:rPr>
          <w:rFonts w:eastAsia="Times New Roman" w:cs="Tahoma"/>
          <w:szCs w:val="18"/>
          <w:lang w:val="it-IT"/>
        </w:rPr>
        <w:t> </w:t>
      </w:r>
      <w:r w:rsidRPr="00D87B79">
        <w:rPr>
          <w:rFonts w:eastAsia="Times New Roman" w:cs="Tahoma"/>
          <w:szCs w:val="18"/>
          <w:lang w:val="it-IT"/>
        </w:rPr>
        <w:t>per processore e l’ultima versione di SQL Server Web Edition ai sensi dei programmi per contratti multilicenza.</w:t>
      </w:r>
      <w:r w:rsidRPr="00D87B79">
        <w:rPr>
          <w:rFonts w:eastAsia="Times New Roman" w:cs="Tahoma"/>
          <w:szCs w:val="18"/>
        </w:rPr>
        <w:t xml:space="preserve"> </w:t>
      </w:r>
      <w:r w:rsidRPr="00D87B79">
        <w:rPr>
          <w:rFonts w:eastAsia="Times New Roman" w:cs="Tahoma"/>
          <w:szCs w:val="18"/>
          <w:lang w:val="it-IT"/>
        </w:rPr>
        <w:t>In via eccezionale, alle società con contratti multilicenza e copertura Software Assurance attiva per le licenze per processore per SQL Server 2008 R2 Web in data 1 aprile 2012 (“licenze qualificanti”) vengono offerte le opzioni che seguono.</w:t>
      </w:r>
      <w:r w:rsidRPr="00D87B79">
        <w:rPr>
          <w:rFonts w:cs="Tahoma"/>
        </w:rPr>
        <w:t xml:space="preserve"> </w:t>
      </w:r>
      <w:r w:rsidRPr="00D87B79">
        <w:rPr>
          <w:rFonts w:cs="Tahoma"/>
          <w:lang w:val="it-IT"/>
        </w:rPr>
        <w:t xml:space="preserve">Le licenze per processore per SQL Server 2008 R2 Web acquistate successivamente nello stesso periodo di validità dell’iscrizione, ma prima del 1 aprile 2015 nell’ambito di una procedura pianificata di true-up della società Enterprise, </w:t>
      </w:r>
      <w:r w:rsidRPr="00D87B79">
        <w:rPr>
          <w:rFonts w:cs="Tahoma"/>
          <w:color w:val="000000"/>
          <w:lang w:val="it-IT"/>
        </w:rPr>
        <w:t xml:space="preserve">Enterprise Subscription, </w:t>
      </w:r>
      <w:r w:rsidRPr="00D87B79">
        <w:rPr>
          <w:rFonts w:cs="Tahoma"/>
          <w:lang w:val="it-IT"/>
        </w:rPr>
        <w:t>Open Value Subscription o</w:t>
      </w:r>
      <w:r>
        <w:rPr>
          <w:rFonts w:cs="Tahoma"/>
          <w:lang w:val="it-IT"/>
        </w:rPr>
        <w:t> </w:t>
      </w:r>
      <w:r w:rsidRPr="00D87B79">
        <w:rPr>
          <w:rFonts w:cs="Tahoma"/>
          <w:lang w:val="it-IT"/>
        </w:rPr>
        <w:t>EES, sono anch’esse licenze qualificanti per gli scopi previsti da tali opzioni.</w:t>
      </w:r>
      <w:r w:rsidRPr="00D87B79">
        <w:rPr>
          <w:rFonts w:cs="Tahoma"/>
        </w:rPr>
        <w:t xml:space="preserve"> </w:t>
      </w:r>
      <w:r w:rsidRPr="00D87B79">
        <w:rPr>
          <w:rFonts w:cs="Tahoma"/>
          <w:color w:val="000000"/>
          <w:lang w:val="it-IT"/>
        </w:rPr>
        <w:t>Le licenze acquistate dopo il</w:t>
      </w:r>
      <w:r>
        <w:t> </w:t>
      </w:r>
      <w:r w:rsidRPr="00D87B79">
        <w:rPr>
          <w:rFonts w:cs="Tahoma"/>
          <w:color w:val="000000"/>
          <w:lang w:val="it-IT"/>
        </w:rPr>
        <w:t>1</w:t>
      </w:r>
      <w:r>
        <w:rPr>
          <w:rFonts w:cs="Tahoma"/>
          <w:color w:val="000000"/>
          <w:lang w:val="it-IT"/>
        </w:rPr>
        <w:t> </w:t>
      </w:r>
      <w:r w:rsidRPr="00D87B79">
        <w:rPr>
          <w:rFonts w:cs="Tahoma"/>
          <w:color w:val="000000"/>
          <w:lang w:val="it-IT"/>
        </w:rPr>
        <w:t>aprile 2015, o in un periodo di validità dell’iscrizione successivo, ai sensi di un contratto distinto o di un’iscrizione con la data di entrata in vigore posteriore al 1 aprile 2012, non sono licenze qualificanti.</w:t>
      </w:r>
    </w:p>
    <w:p w:rsidR="00A92422" w:rsidRDefault="00A92422" w:rsidP="00A92422">
      <w:pPr>
        <w:spacing w:after="60"/>
        <w:rPr>
          <w:rFonts w:cs="Tahoma"/>
          <w:b/>
          <w:lang w:val="it-IT"/>
        </w:rPr>
      </w:pPr>
    </w:p>
    <w:p w:rsidR="00A92422" w:rsidRPr="00D87B79" w:rsidRDefault="00A92422" w:rsidP="00A92422">
      <w:pPr>
        <w:spacing w:after="60"/>
        <w:ind w:left="720"/>
        <w:rPr>
          <w:rFonts w:cs="Tahoma"/>
        </w:rPr>
      </w:pPr>
      <w:r w:rsidRPr="00D87B79">
        <w:rPr>
          <w:rFonts w:cs="Tahoma"/>
          <w:b/>
          <w:lang w:val="it-IT"/>
        </w:rPr>
        <w:t>Periodo di Validità Corrente</w:t>
      </w:r>
    </w:p>
    <w:p w:rsidR="00A92422" w:rsidRPr="00D87B79" w:rsidRDefault="00A92422" w:rsidP="00A92422">
      <w:pPr>
        <w:ind w:left="720"/>
        <w:rPr>
          <w:rFonts w:cs="Tahoma"/>
        </w:rPr>
      </w:pPr>
      <w:r w:rsidRPr="00D87B79">
        <w:rPr>
          <w:rFonts w:eastAsia="Times New Roman" w:cs="Tahoma"/>
          <w:szCs w:val="18"/>
          <w:lang w:val="it-IT"/>
        </w:rPr>
        <w:t>durante il periodo di validità corrente della copertura Software Assurance a partire dal 1 aprile 2012 le società (incluse le società titolari di contratti “subscription”) potranno, ai sensi di una licenza qualificante, effettuare l’aggiornamento al software SQL Server 2012 Standard Core e utilizzarlo al posto di SQL Server 2008 R2 Web in conformità ai diritti di utilizzo del prodotto previsti dalla licenza per processore SQL Server 2008 R2 Standard (come indicato nei Diritti di Utilizzo del Prodotto del mese di gennaio 2012).</w:t>
      </w:r>
      <w:r w:rsidRPr="00D87B79">
        <w:rPr>
          <w:rFonts w:eastAsia="Times New Roman" w:cs="Tahoma"/>
          <w:szCs w:val="18"/>
        </w:rPr>
        <w:t xml:space="preserve"> </w:t>
      </w:r>
      <w:r w:rsidRPr="00D87B79">
        <w:rPr>
          <w:rFonts w:eastAsia="Times New Roman" w:cs="Tahoma"/>
          <w:szCs w:val="18"/>
          <w:lang w:val="it-IT"/>
        </w:rPr>
        <w:t>alle società vengono concessi diritti aggiuntivi ai sensi di Mobilità delle Licenze tramite Software Assurance e Mobilità delle Licenze all’interno di Server Farm.</w:t>
      </w:r>
      <w:r w:rsidRPr="00D87B79">
        <w:rPr>
          <w:rFonts w:cs="Tahoma"/>
        </w:rPr>
        <w:t xml:space="preserve"> </w:t>
      </w:r>
      <w:r w:rsidRPr="00D87B79">
        <w:rPr>
          <w:rFonts w:cs="Tahoma"/>
          <w:lang w:val="it-IT"/>
        </w:rPr>
        <w:t>Le società dovranno fare riferimento ai Diritti di Utilizzo del Prodotto per SQL Server 2012 Standard Core per quanto riguarda le condizioni di licenza per Mobilità delle Licenze.</w:t>
      </w:r>
    </w:p>
    <w:p w:rsidR="00A92422"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lang w:val="it-IT"/>
        </w:rPr>
        <w:t>Primo Periodo di Rinnovo (prima del 1 aprile 2015)</w:t>
      </w:r>
    </w:p>
    <w:p w:rsidR="00A92422" w:rsidRPr="00D87B79" w:rsidRDefault="00A92422" w:rsidP="00A92422">
      <w:pPr>
        <w:ind w:left="720"/>
        <w:rPr>
          <w:rFonts w:cs="Tahoma"/>
        </w:rPr>
      </w:pPr>
      <w:r w:rsidRPr="00D87B79">
        <w:rPr>
          <w:rFonts w:cs="Tahoma"/>
          <w:lang w:val="it-IT"/>
        </w:rPr>
        <w:t>in occasione del primo rinnovo di Software Assurance in data 1 aprile 2012 o successiva (ma prima del 1</w:t>
      </w:r>
      <w:r>
        <w:rPr>
          <w:rFonts w:cs="Tahoma"/>
          <w:lang w:val="it-IT"/>
        </w:rPr>
        <w:t> </w:t>
      </w:r>
      <w:r w:rsidRPr="00D87B79">
        <w:rPr>
          <w:rFonts w:cs="Tahoma"/>
          <w:lang w:val="it-IT"/>
        </w:rPr>
        <w:t xml:space="preserve">aprile 2015), per ogni server che una società ha ricevuto validamente in licenza in conformità ai diritti </w:t>
      </w:r>
      <w:r w:rsidRPr="00D87B79">
        <w:rPr>
          <w:rFonts w:cs="Tahoma"/>
          <w:lang w:val="it-IT"/>
        </w:rPr>
        <w:lastRenderedPageBreak/>
        <w:t>di</w:t>
      </w:r>
      <w:r>
        <w:rPr>
          <w:rFonts w:cs="Tahoma"/>
          <w:lang w:val="it-IT"/>
        </w:rPr>
        <w:t> </w:t>
      </w:r>
      <w:r w:rsidRPr="00D87B79">
        <w:rPr>
          <w:rFonts w:cs="Tahoma"/>
          <w:lang w:val="it-IT"/>
        </w:rPr>
        <w:t>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rsidR="00A92422" w:rsidRPr="00D87B79" w:rsidRDefault="00A92422" w:rsidP="00A92422">
      <w:pPr>
        <w:numPr>
          <w:ilvl w:val="0"/>
          <w:numId w:val="120"/>
        </w:numPr>
        <w:tabs>
          <w:tab w:val="left" w:pos="1800"/>
        </w:tabs>
        <w:spacing w:after="60"/>
        <w:rPr>
          <w:rFonts w:cs="Tahoma"/>
        </w:rPr>
      </w:pPr>
      <w:r w:rsidRPr="00D87B79">
        <w:rPr>
          <w:rFonts w:cs="Tahoma"/>
          <w:lang w:val="it-IT"/>
        </w:rPr>
        <w:t>un numero pari al numero minore delle licenze qualificanti cedute al server o al numero totale dei</w:t>
      </w:r>
      <w:r>
        <w:rPr>
          <w:rFonts w:cs="Tahoma"/>
          <w:lang w:val="it-IT"/>
        </w:rPr>
        <w:t> </w:t>
      </w:r>
      <w:r w:rsidRPr="00D87B79">
        <w:rPr>
          <w:rFonts w:cs="Tahoma"/>
          <w:lang w:val="it-IT"/>
        </w:rPr>
        <w:t>processori fisici sul server moltiplicato per il maggiore tra:</w:t>
      </w:r>
      <w:r w:rsidRPr="00D87B79">
        <w:rPr>
          <w:rFonts w:eastAsia="Times New Roman" w:cs="Tahoma"/>
          <w:szCs w:val="18"/>
        </w:rPr>
        <w:t xml:space="preserve"> </w:t>
      </w:r>
    </w:p>
    <w:p w:rsidR="00A92422" w:rsidRPr="00D87B79" w:rsidRDefault="00A92422" w:rsidP="00A92422">
      <w:pPr>
        <w:numPr>
          <w:ilvl w:val="3"/>
          <w:numId w:val="95"/>
        </w:numPr>
        <w:spacing w:after="60"/>
        <w:ind w:left="2160"/>
        <w:rPr>
          <w:rFonts w:cs="Tahoma"/>
        </w:rPr>
      </w:pPr>
      <w:r w:rsidRPr="00D87B79">
        <w:rPr>
          <w:rFonts w:cs="Tahoma"/>
          <w:lang w:val="it-IT"/>
        </w:rPr>
        <w:t>quattro O</w:t>
      </w:r>
    </w:p>
    <w:p w:rsidR="00A92422" w:rsidRPr="00D87B79" w:rsidRDefault="00A92422" w:rsidP="00A92422">
      <w:pPr>
        <w:numPr>
          <w:ilvl w:val="3"/>
          <w:numId w:val="95"/>
        </w:numPr>
        <w:spacing w:after="60"/>
        <w:ind w:left="2160"/>
        <w:rPr>
          <w:rFonts w:cs="Tahoma"/>
        </w:rPr>
      </w:pPr>
      <w:r w:rsidRPr="00D87B79">
        <w:rPr>
          <w:rFonts w:eastAsia="Times New Roman" w:cs="Tahoma"/>
          <w:szCs w:val="18"/>
          <w:lang w:val="it-IT"/>
        </w:rPr>
        <w:t>il numero effettivo di core per processore fisico moltiplicato per il fattore core appropriato.</w:t>
      </w:r>
      <w:r w:rsidRPr="00D87B79">
        <w:rPr>
          <w:rFonts w:eastAsia="Times New Roman" w:cs="Tahoma"/>
          <w:szCs w:val="18"/>
        </w:rPr>
        <w:t xml:space="preserve"> </w:t>
      </w:r>
      <w:r w:rsidRPr="00D87B79">
        <w:rPr>
          <w:rFonts w:eastAsia="Times New Roman" w:cs="Tahoma"/>
          <w:szCs w:val="18"/>
          <w:lang w:val="it-IT"/>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l’hardware fisico che supporta tale software appena prima del rinnovo di Software Assurance utilizzando lo strumento MAP di Microsoft o un software equivalente).</w:t>
      </w:r>
      <w:r w:rsidRPr="00D87B79">
        <w:rPr>
          <w:rFonts w:eastAsia="Times New Roman" w:cs="Tahoma"/>
          <w:szCs w:val="18"/>
        </w:rPr>
        <w:t xml:space="preserve"> </w:t>
      </w:r>
    </w:p>
    <w:p w:rsidR="00A92422" w:rsidRPr="00D87B79" w:rsidRDefault="00A92422" w:rsidP="00A92422">
      <w:pPr>
        <w:numPr>
          <w:ilvl w:val="0"/>
          <w:numId w:val="120"/>
        </w:numPr>
        <w:tabs>
          <w:tab w:val="left" w:pos="1800"/>
        </w:tabs>
        <w:spacing w:after="60"/>
        <w:rPr>
          <w:rFonts w:cs="Tahoma"/>
        </w:rPr>
      </w:pPr>
      <w:r w:rsidRPr="00D87B79">
        <w:rPr>
          <w:rFonts w:cs="Tahoma"/>
          <w:lang w:val="it-IT"/>
        </w:rPr>
        <w:t>un numero pari al numero di licenze qualificanti cedute al server oltre al numero effettivo di</w:t>
      </w:r>
      <w:r>
        <w:rPr>
          <w:rFonts w:cs="Tahoma"/>
          <w:lang w:val="it-IT"/>
        </w:rPr>
        <w:t> </w:t>
      </w:r>
      <w:r w:rsidRPr="00D87B79">
        <w:rPr>
          <w:rFonts w:cs="Tahoma"/>
          <w:lang w:val="it-IT"/>
        </w:rPr>
        <w:t>processori fisici sul server moltiplicato per quattro.</w:t>
      </w:r>
    </w:p>
    <w:p w:rsidR="00A92422" w:rsidRPr="00D87B79" w:rsidRDefault="00A92422" w:rsidP="00A92422">
      <w:pPr>
        <w:tabs>
          <w:tab w:val="left" w:pos="1800"/>
        </w:tabs>
        <w:spacing w:after="60"/>
        <w:ind w:left="1080"/>
        <w:rPr>
          <w:rFonts w:cs="Tahoma"/>
        </w:rPr>
      </w:pPr>
    </w:p>
    <w:p w:rsidR="00A92422" w:rsidRPr="00D87B79" w:rsidRDefault="00A92422" w:rsidP="00A92422">
      <w:pPr>
        <w:spacing w:after="60"/>
        <w:ind w:left="720"/>
        <w:rPr>
          <w:rFonts w:cs="Tahoma"/>
        </w:rPr>
      </w:pPr>
      <w:r w:rsidRPr="00D87B79">
        <w:rPr>
          <w:rFonts w:cs="Tahoma"/>
          <w:b/>
          <w:lang w:val="it-IT"/>
        </w:rPr>
        <w:t>Primo Periodo di Rinnovo (in data 1 aprile 2015 o successiva)</w:t>
      </w:r>
    </w:p>
    <w:p w:rsidR="00A92422" w:rsidRPr="00D87B79" w:rsidRDefault="00A92422" w:rsidP="00A92422">
      <w:pPr>
        <w:ind w:left="720"/>
        <w:contextualSpacing/>
        <w:rPr>
          <w:rFonts w:cs="Tahoma"/>
        </w:rPr>
      </w:pPr>
      <w:r w:rsidRPr="00D87B79">
        <w:rPr>
          <w:rFonts w:cs="Tahoma"/>
          <w:lang w:val="it-IT"/>
        </w:rPr>
        <w:t>le società che rinnovano per la prima volta la copertura in data 1 aprile 2015 potranno, per ogni server ottenuto in licenza in conformità ai diritti di utilizzo del prodotto previsti dalla licenza per processore SQL Server 2008 R2, acquistare la copertura Software Assurance come di seguito indicato:</w:t>
      </w:r>
    </w:p>
    <w:p w:rsidR="00A92422" w:rsidRPr="00D87B79" w:rsidRDefault="00A92422" w:rsidP="00A92422">
      <w:pPr>
        <w:ind w:left="720"/>
        <w:contextualSpacing/>
        <w:rPr>
          <w:rFonts w:cs="Tahoma"/>
        </w:rPr>
      </w:pPr>
    </w:p>
    <w:p w:rsidR="00A92422" w:rsidRPr="00D87B79" w:rsidRDefault="00A92422" w:rsidP="00A92422">
      <w:pPr>
        <w:numPr>
          <w:ilvl w:val="3"/>
          <w:numId w:val="106"/>
        </w:numPr>
        <w:spacing w:after="60"/>
        <w:ind w:left="1440"/>
        <w:rPr>
          <w:rFonts w:cs="Tahoma"/>
        </w:rPr>
      </w:pPr>
      <w:r w:rsidRPr="00D87B79">
        <w:rPr>
          <w:rFonts w:cs="Tahoma"/>
          <w:lang w:val="it-IT"/>
        </w:rPr>
        <w:t>come stabilito nel primo paragrafo di questa nota relativa al prodotto, le licenze acquistate prima del 1 aprile 2015 sono licenze qualificanti e le società potranno rinnovare la copertura Software Assurance in base alle condizioni riportate nel precedente Articolo “Primo Periodo di Rinnovo (prima</w:t>
      </w:r>
      <w:r>
        <w:rPr>
          <w:rFonts w:cs="Tahoma"/>
          <w:lang w:val="it-IT"/>
        </w:rPr>
        <w:t> </w:t>
      </w:r>
      <w:r w:rsidRPr="00D87B79">
        <w:rPr>
          <w:rFonts w:cs="Tahoma"/>
          <w:lang w:val="it-IT"/>
        </w:rPr>
        <w:t>del 1 aprile 2015)” e</w:t>
      </w:r>
      <w:r w:rsidRPr="00D87B79">
        <w:rPr>
          <w:rFonts w:cs="Tahoma"/>
        </w:rPr>
        <w:t xml:space="preserve"> </w:t>
      </w:r>
    </w:p>
    <w:p w:rsidR="00A92422" w:rsidRPr="00D87B79" w:rsidRDefault="00A92422" w:rsidP="00A92422">
      <w:pPr>
        <w:numPr>
          <w:ilvl w:val="3"/>
          <w:numId w:val="106"/>
        </w:numPr>
        <w:spacing w:after="60"/>
        <w:ind w:left="1440"/>
        <w:rPr>
          <w:rFonts w:cs="Tahoma"/>
        </w:rPr>
      </w:pPr>
      <w:r w:rsidRPr="00D87B79">
        <w:rPr>
          <w:rFonts w:cs="Tahoma"/>
          <w:lang w:val="it-IT"/>
        </w:rPr>
        <w:t>per le licenze acquistate dopo il 1 aprile 2015 le società potranno rinnovare la copertura Software Assurance per quattro licenze core per SQL Server Standard senza dover acquistare le licenze core sottostanti per ogni licenza per processore per SQL Server 2008 R2 Web.</w:t>
      </w:r>
      <w:r w:rsidRPr="00D87B79">
        <w:rPr>
          <w:rFonts w:cs="Tahoma"/>
        </w:rPr>
        <w:t xml:space="preserve"> </w:t>
      </w:r>
      <w:r w:rsidRPr="00D87B79">
        <w:rPr>
          <w:rFonts w:cs="Tahoma"/>
          <w:lang w:val="it-IT"/>
        </w:rPr>
        <w:t>Per l’utilizzo continuativo di SQL Server 2012 su processori che richiedono più di quattro licenze core per processore la</w:t>
      </w:r>
      <w:r>
        <w:rPr>
          <w:rFonts w:cs="Tahoma"/>
          <w:lang w:val="it-IT"/>
        </w:rPr>
        <w:t> </w:t>
      </w:r>
      <w:r w:rsidRPr="00D87B79">
        <w:rPr>
          <w:rFonts w:cs="Tahoma"/>
          <w:lang w:val="it-IT"/>
        </w:rPr>
        <w:t>società deve acquistare le licenze core aggiuntive.</w:t>
      </w:r>
    </w:p>
    <w:p w:rsidR="00A92422" w:rsidRDefault="00A92422" w:rsidP="00A92422">
      <w:pPr>
        <w:numPr>
          <w:ilvl w:val="0"/>
          <w:numId w:val="90"/>
        </w:numPr>
        <w:spacing w:after="60"/>
        <w:ind w:left="1440"/>
        <w:rPr>
          <w:rFonts w:cs="Tahoma"/>
        </w:rPr>
      </w:pPr>
      <w:r w:rsidRPr="00D87B79">
        <w:rPr>
          <w:rFonts w:eastAsia="Times New Roman" w:cs="Tahoma"/>
          <w:szCs w:val="18"/>
          <w:lang w:val="it-IT"/>
        </w:rPr>
        <w:t>Le licenze per processore delle società non sono più valide se si acquista la copertura Software Assurance per licenze core ai sensi della presente offerta.</w:t>
      </w:r>
      <w:r w:rsidRPr="00D87B79">
        <w:rPr>
          <w:rFonts w:cs="Tahoma"/>
        </w:rPr>
        <w:t xml:space="preserve"> </w:t>
      </w:r>
      <w:r w:rsidRPr="00D87B79">
        <w:rPr>
          <w:rFonts w:cs="Tahoma"/>
          <w:lang w:val="it-IT"/>
        </w:rPr>
        <w:t>L’opzione di acquistare Software Assurance per le licenze core per SQL Server non è applicabile al rinnovo della copertura ai sensi dei programmi di sottoscrizione.</w:t>
      </w:r>
    </w:p>
    <w:p w:rsidR="00A92422" w:rsidRPr="003F2B0E" w:rsidRDefault="00A92422" w:rsidP="00A92422">
      <w:pPr>
        <w:spacing w:after="60"/>
        <w:ind w:left="1440"/>
        <w:rPr>
          <w:rFonts w:cs="Tahoma"/>
        </w:rPr>
      </w:pPr>
    </w:p>
    <w:p w:rsidR="00A92422" w:rsidRPr="00D87B79" w:rsidRDefault="00A92422" w:rsidP="00A92422">
      <w:pPr>
        <w:spacing w:after="60"/>
        <w:ind w:left="720"/>
        <w:rPr>
          <w:rFonts w:cs="Tahoma"/>
        </w:rPr>
      </w:pPr>
      <w:r w:rsidRPr="00D87B79">
        <w:rPr>
          <w:rFonts w:cs="Tahoma"/>
          <w:b/>
          <w:lang w:val="it-IT"/>
        </w:rPr>
        <w:t>Per le Società con copertura Software Assurance in scadenza prima del 1 aprile 2015 che</w:t>
      </w:r>
      <w:r>
        <w:rPr>
          <w:rFonts w:cs="Tahoma"/>
          <w:b/>
          <w:lang w:val="it-IT"/>
        </w:rPr>
        <w:t> </w:t>
      </w:r>
      <w:r w:rsidRPr="00D87B79">
        <w:rPr>
          <w:rFonts w:cs="Tahoma"/>
          <w:b/>
          <w:lang w:val="it-IT"/>
        </w:rPr>
        <w:t>scelgono di non effettuare il rinnovo</w:t>
      </w:r>
    </w:p>
    <w:p w:rsidR="00A92422" w:rsidRDefault="00A92422" w:rsidP="00A92422">
      <w:pPr>
        <w:ind w:left="720"/>
        <w:contextualSpacing/>
        <w:rPr>
          <w:rFonts w:cs="Tahoma"/>
          <w:lang w:val="it-IT"/>
        </w:rPr>
      </w:pPr>
      <w:r w:rsidRPr="00D87B79">
        <w:rPr>
          <w:rFonts w:cs="Tahoma"/>
          <w:lang w:val="it-IT"/>
        </w:rPr>
        <w:t xml:space="preserve">le società titolari di contratti Enterprise Subscription e </w:t>
      </w:r>
      <w:r w:rsidRPr="00D87B79">
        <w:rPr>
          <w:rFonts w:cs="Tahoma"/>
          <w:color w:val="000000"/>
          <w:lang w:val="it-IT"/>
        </w:rPr>
        <w:t xml:space="preserve">Open Value Subscription </w:t>
      </w:r>
      <w:r w:rsidRPr="00D87B79">
        <w:rPr>
          <w:rFonts w:cs="Tahoma"/>
          <w:lang w:val="it-IT"/>
        </w:rPr>
        <w:t>con copertura in scadenza prima del 1 aprile 2015 che scelgono di effettuare il buy-out delle licenze per processore e altre società che</w:t>
      </w:r>
      <w:r>
        <w:rPr>
          <w:rFonts w:cs="Tahoma"/>
          <w:lang w:val="it-IT"/>
        </w:rPr>
        <w:t> </w:t>
      </w:r>
      <w:r w:rsidRPr="00D87B79">
        <w:rPr>
          <w:rFonts w:cs="Tahoma"/>
          <w:lang w:val="it-IT"/>
        </w:rPr>
        <w:t>acquistano licenze perpetue ai sensi del loro contratto e scelgano di non rinnovare Software Assurance potranno eseguire SQL Server 2008 R2 o SQL Server 2012 ai sensi di tali licenze come indicato sotto:</w:t>
      </w:r>
    </w:p>
    <w:p w:rsidR="00A92422" w:rsidRPr="00D87B79" w:rsidRDefault="00A92422" w:rsidP="00A92422">
      <w:pPr>
        <w:ind w:left="720"/>
        <w:contextualSpacing/>
        <w:rPr>
          <w:rFonts w:cs="Tahoma"/>
        </w:rPr>
      </w:pPr>
    </w:p>
    <w:p w:rsidR="00A92422" w:rsidRPr="00CF77FE" w:rsidRDefault="00A92422" w:rsidP="00A92422">
      <w:pPr>
        <w:numPr>
          <w:ilvl w:val="0"/>
          <w:numId w:val="107"/>
        </w:numPr>
        <w:tabs>
          <w:tab w:val="left" w:pos="1800"/>
        </w:tabs>
        <w:spacing w:after="60"/>
        <w:ind w:left="1800"/>
        <w:rPr>
          <w:rFonts w:cs="Tahoma"/>
        </w:rPr>
      </w:pPr>
      <w:r w:rsidRPr="00D87B79">
        <w:rPr>
          <w:rFonts w:cs="Tahoma"/>
          <w:b/>
          <w:lang w:val="it-IT"/>
        </w:rPr>
        <w:t>SQL Server Web 2008 R2 Web:</w:t>
      </w:r>
      <w:r w:rsidRPr="00D87B79">
        <w:rPr>
          <w:rFonts w:eastAsia="Times New Roman" w:cs="Tahoma"/>
          <w:szCs w:val="18"/>
        </w:rPr>
        <w:t xml:space="preserve"> </w:t>
      </w:r>
      <w:r w:rsidRPr="00D87B79">
        <w:rPr>
          <w:rFonts w:eastAsia="Times New Roman" w:cs="Tahoma"/>
          <w:szCs w:val="18"/>
          <w:lang w:val="it-IT"/>
        </w:rPr>
        <w:t>l’utilizzo continuativo di tale versione del software è soggetto ai diritti di utilizzo del prodotto previsti dalla licenza per processore SQL Server 2008 R2 Web.</w:t>
      </w:r>
      <w:r w:rsidRPr="00D87B79">
        <w:rPr>
          <w:rFonts w:eastAsia="Times New Roman" w:cs="Tahoma"/>
          <w:szCs w:val="18"/>
        </w:rPr>
        <w:t xml:space="preserve"> </w:t>
      </w:r>
      <w:r w:rsidRPr="00D87B79">
        <w:rPr>
          <w:rFonts w:eastAsia="Times New Roman" w:cs="Tahoma"/>
          <w:szCs w:val="18"/>
          <w:lang w:val="it-IT"/>
        </w:rPr>
        <w:t>Le società non disporranno più di diritti ai sensi della Mobilità delle Licenze all’interno di Server Farm o della Mobilità delle Licenze tramite Software Assurance.</w:t>
      </w:r>
      <w:r w:rsidRPr="00D87B79">
        <w:rPr>
          <w:rFonts w:eastAsia="Times New Roman" w:cs="Tahoma"/>
          <w:szCs w:val="18"/>
        </w:rPr>
        <w:t xml:space="preserve"> </w:t>
      </w:r>
    </w:p>
    <w:p w:rsidR="00A92422" w:rsidRPr="000D23C9" w:rsidRDefault="00A92422" w:rsidP="00A92422">
      <w:pPr>
        <w:tabs>
          <w:tab w:val="left" w:pos="1800"/>
        </w:tabs>
        <w:spacing w:after="60"/>
        <w:ind w:left="1440"/>
        <w:rPr>
          <w:rFonts w:cs="Tahoma"/>
        </w:rPr>
      </w:pPr>
    </w:p>
    <w:p w:rsidR="00A92422" w:rsidRPr="00D87B79" w:rsidRDefault="00A92422" w:rsidP="00A92422">
      <w:pPr>
        <w:numPr>
          <w:ilvl w:val="0"/>
          <w:numId w:val="107"/>
        </w:numPr>
        <w:tabs>
          <w:tab w:val="left" w:pos="1800"/>
        </w:tabs>
        <w:spacing w:after="60"/>
        <w:ind w:left="1800"/>
        <w:rPr>
          <w:rFonts w:cs="Tahoma"/>
        </w:rPr>
      </w:pPr>
      <w:r w:rsidRPr="00D87B79">
        <w:rPr>
          <w:rFonts w:eastAsia="Times New Roman" w:cs="Tahoma"/>
          <w:b/>
          <w:szCs w:val="18"/>
          <w:lang w:val="it-IT"/>
        </w:rPr>
        <w:t>SQL Server 2012 Standard Core:</w:t>
      </w:r>
      <w:r w:rsidRPr="00D87B79">
        <w:rPr>
          <w:rFonts w:eastAsia="Times New Roman" w:cs="Tahoma"/>
          <w:b/>
          <w:szCs w:val="18"/>
        </w:rPr>
        <w:t xml:space="preserve"> </w:t>
      </w:r>
      <w:r w:rsidRPr="00D87B79">
        <w:rPr>
          <w:rFonts w:eastAsia="Times New Roman" w:cs="Tahoma"/>
          <w:szCs w:val="18"/>
          <w:lang w:val="it-IT"/>
        </w:rPr>
        <w:t>l’utilizzo di tale versione del software è soggetto ai</w:t>
      </w:r>
      <w:r>
        <w:rPr>
          <w:rFonts w:eastAsia="Times New Roman" w:cs="Tahoma"/>
          <w:szCs w:val="18"/>
          <w:lang w:val="it-IT"/>
        </w:rPr>
        <w:t> </w:t>
      </w:r>
      <w:r w:rsidRPr="00D87B79">
        <w:rPr>
          <w:rFonts w:eastAsia="Times New Roman" w:cs="Tahoma"/>
          <w:szCs w:val="18"/>
          <w:lang w:val="it-IT"/>
        </w:rPr>
        <w:t>diritti</w:t>
      </w:r>
      <w:r>
        <w:rPr>
          <w:rFonts w:eastAsia="Times New Roman" w:cs="Tahoma"/>
          <w:szCs w:val="18"/>
          <w:lang w:val="it-IT"/>
        </w:rPr>
        <w:t> </w:t>
      </w:r>
      <w:r w:rsidRPr="00D87B79">
        <w:rPr>
          <w:rFonts w:eastAsia="Times New Roman" w:cs="Tahoma"/>
          <w:szCs w:val="18"/>
          <w:lang w:val="it-IT"/>
        </w:rPr>
        <w:t>di utilizzo del prodotto previsti dalla licenza per processore SQL Server 2008 R2 Standard, tuttavia:</w:t>
      </w:r>
      <w:r w:rsidRPr="00D87B79">
        <w:rPr>
          <w:rFonts w:eastAsia="Times New Roman" w:cs="Tahoma"/>
          <w:szCs w:val="18"/>
        </w:rPr>
        <w:t xml:space="preserve"> </w:t>
      </w:r>
    </w:p>
    <w:p w:rsidR="00A92422" w:rsidRPr="00D87B79" w:rsidRDefault="00A92422" w:rsidP="00A92422">
      <w:pPr>
        <w:numPr>
          <w:ilvl w:val="1"/>
          <w:numId w:val="92"/>
        </w:numPr>
        <w:tabs>
          <w:tab w:val="left" w:pos="2160"/>
        </w:tabs>
        <w:spacing w:after="60"/>
        <w:ind w:left="2160"/>
        <w:rPr>
          <w:rFonts w:cs="Tahoma"/>
        </w:rPr>
      </w:pPr>
      <w:r w:rsidRPr="00D87B79">
        <w:rPr>
          <w:rFonts w:cs="Tahoma"/>
          <w:lang w:val="it-IT"/>
        </w:rPr>
        <w:t>le società non disporranno più di diritti ai sensi della Mobilità delle Licenze all’interno di</w:t>
      </w:r>
      <w:r>
        <w:rPr>
          <w:rFonts w:cs="Tahoma"/>
          <w:lang w:val="it-IT"/>
        </w:rPr>
        <w:t> </w:t>
      </w:r>
      <w:r w:rsidRPr="00D87B79">
        <w:rPr>
          <w:rFonts w:cs="Tahoma"/>
          <w:lang w:val="it-IT"/>
        </w:rPr>
        <w:t>Server Farm o della Mobilità delle Licenze tramite Software Assurance e</w:t>
      </w:r>
      <w:r w:rsidRPr="00D87B79">
        <w:rPr>
          <w:rFonts w:cs="Tahoma"/>
        </w:rPr>
        <w:t xml:space="preserve"> </w:t>
      </w:r>
    </w:p>
    <w:p w:rsidR="00A92422" w:rsidRPr="00D87B79" w:rsidRDefault="00A92422" w:rsidP="00A92422">
      <w:pPr>
        <w:numPr>
          <w:ilvl w:val="1"/>
          <w:numId w:val="92"/>
        </w:numPr>
        <w:tabs>
          <w:tab w:val="left" w:pos="2160"/>
        </w:tabs>
        <w:spacing w:after="60"/>
        <w:ind w:left="2160"/>
        <w:rPr>
          <w:rFonts w:cs="Tahoma"/>
        </w:rPr>
      </w:pPr>
      <w:r w:rsidRPr="00D87B79">
        <w:rPr>
          <w:rFonts w:eastAsia="Times New Roman" w:cs="Tahoma"/>
          <w:szCs w:val="18"/>
          <w:lang w:val="it-IT"/>
        </w:rPr>
        <w:t>l’eventuale riassegnazione di licenze è soggetta ai limiti indicati nei paragrafi (i) e (ii) che</w:t>
      </w:r>
      <w:r>
        <w:rPr>
          <w:rFonts w:eastAsia="Times New Roman" w:cs="Tahoma"/>
          <w:szCs w:val="18"/>
          <w:lang w:val="it-IT"/>
        </w:rPr>
        <w:t> </w:t>
      </w:r>
      <w:r w:rsidRPr="00D87B79">
        <w:rPr>
          <w:rFonts w:eastAsia="Times New Roman" w:cs="Tahoma"/>
          <w:szCs w:val="18"/>
          <w:lang w:val="it-IT"/>
        </w:rPr>
        <w:t>seguono relativi alla loro “equivalenza di licenze core”. L’equivalenza di licenze core è</w:t>
      </w:r>
      <w:r>
        <w:rPr>
          <w:rFonts w:eastAsia="Times New Roman" w:cs="Tahoma"/>
          <w:szCs w:val="18"/>
          <w:lang w:val="it-IT"/>
        </w:rPr>
        <w:t> </w:t>
      </w:r>
      <w:r w:rsidRPr="00D87B79">
        <w:rPr>
          <w:rFonts w:eastAsia="Times New Roman" w:cs="Tahoma"/>
          <w:szCs w:val="18"/>
          <w:lang w:val="it-IT"/>
        </w:rPr>
        <w:t>determinata come di seguito riportato.</w:t>
      </w:r>
      <w:r w:rsidRPr="00D87B79">
        <w:rPr>
          <w:rFonts w:eastAsia="Times New Roman" w:cs="Tahoma"/>
          <w:szCs w:val="18"/>
        </w:rPr>
        <w:t xml:space="preserve"> </w:t>
      </w:r>
    </w:p>
    <w:p w:rsidR="00A92422" w:rsidRPr="00D87B79" w:rsidRDefault="00A92422" w:rsidP="00A92422">
      <w:pPr>
        <w:numPr>
          <w:ilvl w:val="2"/>
          <w:numId w:val="92"/>
        </w:numPr>
        <w:tabs>
          <w:tab w:val="left" w:pos="2520"/>
        </w:tabs>
        <w:spacing w:after="60"/>
        <w:ind w:left="2520"/>
        <w:rPr>
          <w:rFonts w:cs="Tahoma"/>
        </w:rPr>
      </w:pPr>
      <w:r w:rsidRPr="00D87B79">
        <w:rPr>
          <w:rFonts w:eastAsia="Times New Roman" w:cs="Tahoma"/>
          <w:szCs w:val="18"/>
          <w:lang w:val="it-IT"/>
        </w:rPr>
        <w:lastRenderedPageBreak/>
        <w:t>Per un numero di licenze pari al numero inferiore tra (x) il numero totale di licenze per processore cedute a un server con licenza appena prima della scadenza di</w:t>
      </w:r>
      <w:r>
        <w:rPr>
          <w:rFonts w:eastAsia="Times New Roman" w:cs="Tahoma"/>
          <w:szCs w:val="18"/>
          <w:lang w:val="it-IT"/>
        </w:rPr>
        <w:t> </w:t>
      </w:r>
      <w:r w:rsidRPr="00D87B79">
        <w:rPr>
          <w:rFonts w:eastAsia="Times New Roman" w:cs="Tahoma"/>
          <w:szCs w:val="18"/>
          <w:lang w:val="it-IT"/>
        </w:rPr>
        <w:t>Software Assurance o (y) il numero totale di processori fisici su tale server, l’equivalenza di licenze core è il numero maggiore tra:</w:t>
      </w:r>
      <w:r w:rsidRPr="00D87B79">
        <w:rPr>
          <w:rFonts w:eastAsia="Times New Roman" w:cs="Tahoma"/>
          <w:szCs w:val="18"/>
        </w:rPr>
        <w:t xml:space="preserve"> </w:t>
      </w:r>
    </w:p>
    <w:p w:rsidR="00A92422" w:rsidRPr="00D87B79" w:rsidRDefault="00A92422" w:rsidP="00A92422">
      <w:pPr>
        <w:numPr>
          <w:ilvl w:val="4"/>
          <w:numId w:val="90"/>
        </w:numPr>
        <w:tabs>
          <w:tab w:val="left" w:pos="2880"/>
        </w:tabs>
        <w:spacing w:after="60"/>
        <w:ind w:left="2880"/>
        <w:rPr>
          <w:rFonts w:cs="Tahoma"/>
        </w:rPr>
      </w:pPr>
      <w:r w:rsidRPr="00D87B79">
        <w:rPr>
          <w:rFonts w:cs="Tahoma"/>
          <w:lang w:val="it-IT"/>
        </w:rPr>
        <w:t>quattro core per licenza per processore O</w:t>
      </w:r>
      <w:r w:rsidRPr="00D87B79">
        <w:rPr>
          <w:rFonts w:cs="Tahoma"/>
        </w:rPr>
        <w:t xml:space="preserve"> </w:t>
      </w:r>
    </w:p>
    <w:p w:rsidR="00A92422" w:rsidRPr="00D87B79" w:rsidRDefault="00A92422" w:rsidP="00A92422">
      <w:pPr>
        <w:numPr>
          <w:ilvl w:val="4"/>
          <w:numId w:val="90"/>
        </w:numPr>
        <w:tabs>
          <w:tab w:val="left" w:pos="2880"/>
        </w:tabs>
        <w:spacing w:after="60"/>
        <w:ind w:left="2880"/>
        <w:rPr>
          <w:rFonts w:cs="Tahoma"/>
        </w:rPr>
      </w:pPr>
      <w:r w:rsidRPr="00D87B79">
        <w:rPr>
          <w:rFonts w:eastAsia="Times New Roman" w:cs="Tahoma"/>
          <w:szCs w:val="18"/>
          <w:lang w:val="it-IT"/>
        </w:rPr>
        <w:t>un numero di core per licenza per processore basato sul numero effettivo di core per processore fisico moltiplicato per il fattore core appropriato.</w:t>
      </w:r>
      <w:r w:rsidRPr="00D87B79">
        <w:rPr>
          <w:rFonts w:eastAsia="Times New Roman" w:cs="Tahoma"/>
          <w:szCs w:val="18"/>
        </w:rPr>
        <w:t xml:space="preserve"> </w:t>
      </w:r>
      <w:r w:rsidRPr="00D87B79">
        <w:rPr>
          <w:rFonts w:eastAsia="Times New Roman" w:cs="Tahoma"/>
          <w:szCs w:val="18"/>
          <w:lang w:val="it-IT"/>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l’hardware fisico che supporta tale software appena prima della scadenza di Software Assurance utilizzando lo strumento MAP di</w:t>
      </w:r>
      <w:r>
        <w:rPr>
          <w:rFonts w:eastAsia="Times New Roman" w:cs="Tahoma"/>
          <w:szCs w:val="18"/>
          <w:lang w:val="it-IT"/>
        </w:rPr>
        <w:t> </w:t>
      </w:r>
      <w:r w:rsidRPr="00D87B79">
        <w:rPr>
          <w:rFonts w:eastAsia="Times New Roman" w:cs="Tahoma"/>
          <w:szCs w:val="18"/>
          <w:lang w:val="it-IT"/>
        </w:rPr>
        <w:t>Microsoft o un software equivalente).</w:t>
      </w:r>
      <w:r w:rsidRPr="00D87B79">
        <w:rPr>
          <w:rFonts w:eastAsia="Times New Roman" w:cs="Tahoma"/>
          <w:szCs w:val="18"/>
        </w:rPr>
        <w:t xml:space="preserve"> </w:t>
      </w:r>
    </w:p>
    <w:p w:rsidR="00A92422" w:rsidRPr="00D87B79" w:rsidRDefault="00A92422" w:rsidP="00A92422">
      <w:pPr>
        <w:numPr>
          <w:ilvl w:val="2"/>
          <w:numId w:val="92"/>
        </w:numPr>
        <w:tabs>
          <w:tab w:val="left" w:pos="2520"/>
        </w:tabs>
        <w:spacing w:after="60"/>
        <w:ind w:left="2520"/>
        <w:rPr>
          <w:rFonts w:cs="Tahoma"/>
        </w:rPr>
      </w:pPr>
      <w:r w:rsidRPr="00D87B79">
        <w:rPr>
          <w:rFonts w:cs="Tahoma"/>
          <w:lang w:val="it-IT"/>
        </w:rPr>
        <w:t>Per qualsiasi licenza per processore con la copertura Software Assurance in scadenza ceduta allo stesso server con licenza che ecceda il numero effettivo di processori fisici sul server, l’equivalenza core è di quattro core per licenza per processore.</w:t>
      </w:r>
    </w:p>
    <w:p w:rsidR="00A92422" w:rsidRPr="00D87B79" w:rsidRDefault="00A92422" w:rsidP="00A92422">
      <w:pPr>
        <w:numPr>
          <w:ilvl w:val="1"/>
          <w:numId w:val="92"/>
        </w:numPr>
        <w:tabs>
          <w:tab w:val="left" w:pos="2160"/>
        </w:tabs>
        <w:spacing w:after="60"/>
        <w:ind w:left="2160"/>
        <w:rPr>
          <w:rFonts w:cs="Tahoma"/>
        </w:rPr>
      </w:pPr>
      <w:r w:rsidRPr="00D87B79">
        <w:rPr>
          <w:rFonts w:eastAsia="Times New Roman" w:cs="Tahoma"/>
          <w:szCs w:val="18"/>
          <w:lang w:val="it-IT"/>
        </w:rPr>
        <w:t>Le società potranno riassegnare le licenze a un altro server.</w:t>
      </w:r>
      <w:r w:rsidRPr="00D87B79">
        <w:rPr>
          <w:rFonts w:eastAsia="Times New Roman" w:cs="Tahoma"/>
          <w:szCs w:val="18"/>
        </w:rPr>
        <w:t xml:space="preserve"> </w:t>
      </w:r>
      <w:r w:rsidRPr="00D87B79">
        <w:rPr>
          <w:rFonts w:eastAsia="Times New Roman" w:cs="Tahoma"/>
          <w:szCs w:val="18"/>
          <w:lang w:val="it-IT"/>
        </w:rPr>
        <w:t>Tuttavia, qualora la società riassegni una licenza a un altro server, dovrà attenersi ai diritti sull’utilizzo di SQL Server 2012.</w:t>
      </w:r>
      <w:r w:rsidRPr="00D87B79">
        <w:rPr>
          <w:rFonts w:cs="Tahoma"/>
        </w:rPr>
        <w:t xml:space="preserve"> </w:t>
      </w:r>
      <w:r w:rsidRPr="00D87B79">
        <w:rPr>
          <w:rFonts w:cs="Tahoma"/>
          <w:lang w:val="it-IT"/>
        </w:rPr>
        <w:t>Quando cede licenze core a server ai sensi dei diritti sull’utilizzo per SQL 2012, la</w:t>
      </w:r>
      <w:r>
        <w:rPr>
          <w:rFonts w:cs="Tahoma"/>
          <w:lang w:val="it-IT"/>
        </w:rPr>
        <w:t> </w:t>
      </w:r>
      <w:r w:rsidRPr="00D87B79">
        <w:rPr>
          <w:rFonts w:cs="Tahoma"/>
          <w:lang w:val="it-IT"/>
        </w:rPr>
        <w:t>società potrà combinare l’equivalenza core delle licenze esistenti con le licenze core per</w:t>
      </w:r>
      <w:r>
        <w:rPr>
          <w:rFonts w:cs="Tahoma"/>
          <w:lang w:val="it-IT"/>
        </w:rPr>
        <w:t> </w:t>
      </w:r>
      <w:r w:rsidRPr="00D87B79">
        <w:rPr>
          <w:rFonts w:cs="Tahoma"/>
          <w:lang w:val="it-IT"/>
        </w:rPr>
        <w:t>SQL Server 2012 aggiuntive.</w:t>
      </w:r>
    </w:p>
    <w:p w:rsidR="00A92422" w:rsidRPr="00D87B79" w:rsidRDefault="00A92422" w:rsidP="00A92422">
      <w:pPr>
        <w:numPr>
          <w:ilvl w:val="1"/>
          <w:numId w:val="92"/>
        </w:numPr>
        <w:tabs>
          <w:tab w:val="left" w:pos="2160"/>
        </w:tabs>
        <w:spacing w:after="60"/>
        <w:ind w:left="2160"/>
        <w:rPr>
          <w:rFonts w:cs="Tahoma"/>
        </w:rPr>
      </w:pPr>
      <w:r w:rsidRPr="00D87B79">
        <w:rPr>
          <w:rFonts w:cs="Tahoma"/>
          <w:lang w:val="it-IT"/>
        </w:rPr>
        <w:t>L’equivalenza di licenze core stimata delle società non implica che esse possano cedere una licenza singola per processore a core attraverso due o più processori.</w:t>
      </w:r>
    </w:p>
    <w:p w:rsidR="00A92422" w:rsidRPr="00D87B79" w:rsidRDefault="00A92422" w:rsidP="00A92422">
      <w:pPr>
        <w:tabs>
          <w:tab w:val="left" w:pos="2160"/>
        </w:tabs>
        <w:spacing w:after="60"/>
        <w:rPr>
          <w:rFonts w:cs="Tahoma"/>
        </w:rPr>
      </w:pPr>
    </w:p>
    <w:p w:rsidR="00A92422" w:rsidRPr="00D87B79" w:rsidRDefault="00A92422" w:rsidP="00A92422">
      <w:pPr>
        <w:tabs>
          <w:tab w:val="left" w:pos="720"/>
        </w:tabs>
        <w:spacing w:after="60"/>
        <w:ind w:left="720"/>
        <w:rPr>
          <w:rFonts w:cs="Tahoma"/>
        </w:rPr>
      </w:pPr>
      <w:r w:rsidRPr="00D87B79">
        <w:rPr>
          <w:rFonts w:cs="Tahoma"/>
          <w:b/>
          <w:lang w:val="it-IT"/>
        </w:rPr>
        <w:t>Per le Società con copertura Software Assurance in scadenza in data 1 aprile 2015 o successiva che scelgono di non effettuare il rinnovo</w:t>
      </w:r>
    </w:p>
    <w:p w:rsidR="00A92422" w:rsidRPr="00D87B79" w:rsidRDefault="00A92422" w:rsidP="00A92422">
      <w:pPr>
        <w:tabs>
          <w:tab w:val="left" w:pos="720"/>
        </w:tabs>
        <w:ind w:left="720"/>
        <w:contextualSpacing/>
        <w:rPr>
          <w:rFonts w:cs="Tahoma"/>
        </w:rPr>
      </w:pPr>
      <w:r w:rsidRPr="00D87B79">
        <w:rPr>
          <w:rFonts w:cs="Tahoma"/>
          <w:color w:val="000000"/>
          <w:lang w:val="it-IT"/>
        </w:rPr>
        <w:t>alle società titolari di contratti Enterprise Subscription e Open Value Subscription con copertura in scadenza in data 1 aprile 2015 o successiva che scelgono di effettuare il buy-out delle licenze per processore e alle altre società che acquistano licenze perpetue ai sensi del loro contratto verranno offerte le seguenti opzioni:</w:t>
      </w:r>
      <w:r w:rsidRPr="00D87B79">
        <w:rPr>
          <w:rFonts w:eastAsia="Times New Roman" w:cs="Tahoma"/>
          <w:color w:val="000000"/>
          <w:szCs w:val="18"/>
        </w:rPr>
        <w:t xml:space="preserve"> </w:t>
      </w:r>
    </w:p>
    <w:p w:rsidR="00A92422" w:rsidRPr="00D87B79" w:rsidRDefault="00A92422" w:rsidP="00A92422">
      <w:pPr>
        <w:tabs>
          <w:tab w:val="left" w:pos="720"/>
        </w:tabs>
        <w:ind w:left="720"/>
        <w:contextualSpacing/>
        <w:rPr>
          <w:rFonts w:cs="Tahoma"/>
        </w:rPr>
      </w:pPr>
    </w:p>
    <w:p w:rsidR="00A92422" w:rsidRPr="00D87B79" w:rsidRDefault="00A92422" w:rsidP="00A92422">
      <w:pPr>
        <w:numPr>
          <w:ilvl w:val="2"/>
          <w:numId w:val="90"/>
        </w:numPr>
        <w:spacing w:after="60"/>
        <w:ind w:left="1440"/>
        <w:rPr>
          <w:rFonts w:cs="Tahoma"/>
        </w:rPr>
      </w:pPr>
      <w:r w:rsidRPr="00D87B79">
        <w:rPr>
          <w:rFonts w:cs="Tahoma"/>
          <w:lang w:val="it-IT"/>
        </w:rPr>
        <w:t>come stabilito nel primo paragrafo di questa nota relativa al prodotto, le licenze acquistate prima del 1 aprile 2015 sono licenze qualificanti e le società potranno continuare a utilizzare SQL Server 2012 in base alle condizioni riportate nel precedente Articolo “Per le società con copertura Software Assurance in scadenza prima del 1 aprile 2015 che scelgono di non effettuare il rinnovo” e</w:t>
      </w:r>
      <w:r w:rsidRPr="00D87B79">
        <w:rPr>
          <w:rFonts w:cs="Tahoma"/>
        </w:rPr>
        <w:t xml:space="preserve"> </w:t>
      </w:r>
    </w:p>
    <w:p w:rsidR="00A92422" w:rsidRPr="00D87B79" w:rsidRDefault="00A92422" w:rsidP="00A92422">
      <w:pPr>
        <w:numPr>
          <w:ilvl w:val="2"/>
          <w:numId w:val="90"/>
        </w:numPr>
        <w:spacing w:after="60"/>
        <w:ind w:left="1440"/>
        <w:rPr>
          <w:rFonts w:cs="Tahoma"/>
        </w:rPr>
      </w:pPr>
      <w:r w:rsidRPr="00D87B79">
        <w:rPr>
          <w:rFonts w:cs="Tahoma"/>
          <w:lang w:val="it-IT"/>
        </w:rPr>
        <w:t>per le licenze acquistate dopo il 1 aprile 2015 la licenza per processore delle società avrà un’equivalenza core di quattro licenze core Standard per SQL Server 2012.</w:t>
      </w:r>
      <w:r w:rsidRPr="00D87B79">
        <w:rPr>
          <w:rFonts w:cs="Tahoma"/>
        </w:rPr>
        <w:t xml:space="preserve"> </w:t>
      </w:r>
      <w:r w:rsidRPr="00D87B79">
        <w:rPr>
          <w:rFonts w:cs="Tahoma"/>
          <w:lang w:val="it-IT"/>
        </w:rPr>
        <w:t>Per l’utilizzo continuativo di SQL Server 2012 su processori che richiedono più di quattro licenze core per</w:t>
      </w:r>
      <w:r>
        <w:rPr>
          <w:rFonts w:cs="Tahoma"/>
          <w:lang w:val="it-IT"/>
        </w:rPr>
        <w:t> </w:t>
      </w:r>
      <w:r w:rsidRPr="00D87B79">
        <w:rPr>
          <w:rFonts w:cs="Tahoma"/>
          <w:lang w:val="it-IT"/>
        </w:rPr>
        <w:t>processore la società deve acquistare le licenze core aggiuntive.</w:t>
      </w:r>
    </w:p>
    <w:p w:rsidR="00A92422" w:rsidRPr="00D87B79" w:rsidRDefault="00A92422" w:rsidP="00A92422">
      <w:pPr>
        <w:ind w:left="1440"/>
        <w:rPr>
          <w:rFonts w:cs="Tahoma"/>
        </w:rPr>
      </w:pPr>
    </w:p>
    <w:p w:rsidR="00A92422" w:rsidRPr="00D87B79" w:rsidRDefault="00A92422" w:rsidP="00A92422">
      <w:pPr>
        <w:tabs>
          <w:tab w:val="left" w:pos="720"/>
        </w:tabs>
        <w:spacing w:after="60"/>
        <w:ind w:left="720"/>
        <w:rPr>
          <w:rFonts w:cs="Tahoma"/>
        </w:rPr>
      </w:pPr>
      <w:r w:rsidRPr="00D87B79">
        <w:rPr>
          <w:rFonts w:cs="Tahoma"/>
          <w:b/>
          <w:lang w:val="it-IT"/>
        </w:rPr>
        <w:t>Per le società con sede nella Repubblica popolare cinese, dove acquistano licenze per</w:t>
      </w:r>
      <w:r>
        <w:rPr>
          <w:rFonts w:cs="Tahoma"/>
          <w:b/>
          <w:lang w:val="it-IT"/>
        </w:rPr>
        <w:t> </w:t>
      </w:r>
      <w:r w:rsidRPr="00D87B79">
        <w:rPr>
          <w:rFonts w:cs="Tahoma"/>
          <w:b/>
          <w:lang w:val="it-IT"/>
        </w:rPr>
        <w:t>processore e Software Assurance per SQL Server 2008 R2</w:t>
      </w:r>
    </w:p>
    <w:p w:rsidR="00A92422" w:rsidRPr="00D87B79" w:rsidRDefault="00A92422" w:rsidP="00A92422">
      <w:pPr>
        <w:tabs>
          <w:tab w:val="left" w:pos="720"/>
        </w:tabs>
        <w:ind w:left="720"/>
        <w:contextualSpacing/>
        <w:rPr>
          <w:rFonts w:cs="Tahoma"/>
        </w:rPr>
      </w:pPr>
      <w:r w:rsidRPr="00D87B79">
        <w:rPr>
          <w:rFonts w:cs="Tahoma"/>
          <w:lang w:val="it-IT"/>
        </w:rPr>
        <w:t>non si applicano i riferimenti al 1 aprile 2012 e al 1 aprile 2015 presenti in questa nota relativa alla lista dei prodotti.</w:t>
      </w:r>
      <w:r w:rsidRPr="00D87B79">
        <w:rPr>
          <w:rFonts w:cs="Tahoma"/>
        </w:rPr>
        <w:t xml:space="preserve"> </w:t>
      </w:r>
      <w:r w:rsidRPr="00D87B79">
        <w:rPr>
          <w:rFonts w:cs="Tahoma"/>
          <w:lang w:val="it-IT"/>
        </w:rPr>
        <w:t>Le date applicabili per queste società sarebbero rispettivamente il 1 luglio 2012 e il 1 luglio 2015.</w:t>
      </w:r>
    </w:p>
    <w:p w:rsidR="00A92422" w:rsidRDefault="00A92422" w:rsidP="00A92422">
      <w:pPr>
        <w:rPr>
          <w:rFonts w:cs="Tahoma"/>
        </w:rPr>
      </w:pPr>
    </w:p>
    <w:p w:rsidR="00A92422" w:rsidRPr="00D87B79" w:rsidRDefault="00A92422" w:rsidP="00A92422">
      <w:pPr>
        <w:pStyle w:val="Heading3"/>
        <w:rPr>
          <w:rFonts w:ascii="Tahoma" w:hAnsi="Tahoma" w:cs="Tahoma"/>
        </w:rPr>
      </w:pPr>
      <w:bookmarkStart w:id="1427" w:name="_85_84_SQL"/>
      <w:bookmarkStart w:id="1428" w:name="_Toc336338343"/>
      <w:bookmarkStart w:id="1429" w:name="Srv_85SQL2008R2Workgroup5ClientAddon"/>
      <w:bookmarkStart w:id="1430" w:name="_74_SQL_Server®"/>
      <w:bookmarkStart w:id="1431" w:name="_Toc342900384"/>
      <w:bookmarkEnd w:id="1427"/>
      <w:bookmarkEnd w:id="1428"/>
      <w:bookmarkEnd w:id="1429"/>
      <w:bookmarkEnd w:id="1430"/>
      <w:r w:rsidRPr="00D87B79">
        <w:rPr>
          <w:rFonts w:ascii="Tahoma" w:hAnsi="Tahoma" w:cs="Tahoma"/>
          <w:color w:val="F66400"/>
          <w:sz w:val="22"/>
          <w:vertAlign w:val="superscript"/>
          <w:lang w:val="it-IT"/>
        </w:rPr>
        <w:t>74</w:t>
      </w:r>
      <w:r w:rsidRPr="00D87B79">
        <w:rPr>
          <w:rFonts w:ascii="Tahoma" w:hAnsi="Tahoma" w:cs="Tahoma"/>
          <w:color w:val="F66400"/>
          <w:sz w:val="22"/>
          <w:lang w:val="it-IT"/>
        </w:rPr>
        <w:t xml:space="preserve"> SQL Server</w:t>
      </w:r>
      <w:r w:rsidRPr="003A0F2F">
        <w:rPr>
          <w:rFonts w:ascii="Tahoma" w:hAnsi="Tahoma" w:cs="Tahoma"/>
          <w:color w:val="F66400"/>
          <w:sz w:val="22"/>
          <w:vertAlign w:val="superscript"/>
          <w:lang w:val="it-IT"/>
        </w:rPr>
        <w:t>®</w:t>
      </w:r>
      <w:r w:rsidRPr="00D87B79">
        <w:rPr>
          <w:rFonts w:ascii="Tahoma" w:hAnsi="Tahoma" w:cs="Tahoma"/>
          <w:color w:val="F66400"/>
          <w:sz w:val="22"/>
          <w:lang w:val="it-IT"/>
        </w:rPr>
        <w:t xml:space="preserve"> 2008 R2 Workgroup (5 Add On Client)</w:t>
      </w:r>
      <w:bookmarkEnd w:id="1431"/>
    </w:p>
    <w:p w:rsidR="00A92422" w:rsidRPr="004A2211" w:rsidRDefault="00A92422" w:rsidP="00A92422">
      <w:pPr>
        <w:pStyle w:val="EndnoteText"/>
        <w:ind w:left="0"/>
        <w:rPr>
          <w:rFonts w:ascii="Tahoma" w:hAnsi="Tahoma" w:cs="Tahoma"/>
          <w:sz w:val="18"/>
          <w:szCs w:val="18"/>
        </w:rPr>
      </w:pPr>
    </w:p>
    <w:p w:rsidR="00A92422" w:rsidRPr="00D87B79" w:rsidRDefault="00A92422" w:rsidP="00A92422">
      <w:pPr>
        <w:spacing w:after="60"/>
        <w:ind w:left="720"/>
        <w:rPr>
          <w:rFonts w:cs="Tahoma"/>
        </w:rPr>
      </w:pPr>
      <w:r w:rsidRPr="00D87B79">
        <w:rPr>
          <w:rFonts w:cs="Tahoma"/>
          <w:b/>
          <w:lang w:val="it-IT"/>
        </w:rPr>
        <w:t>Concessioni di Licenza Associate alla fine del ciclo di vita di SQL Server Workgroup Edition</w:t>
      </w:r>
    </w:p>
    <w:p w:rsidR="00A92422" w:rsidRPr="00D87B79" w:rsidRDefault="00A92422" w:rsidP="00A92422">
      <w:pPr>
        <w:ind w:left="720"/>
        <w:rPr>
          <w:rFonts w:cs="Tahoma"/>
        </w:rPr>
      </w:pPr>
      <w:r w:rsidRPr="00D87B79">
        <w:rPr>
          <w:rFonts w:eastAsia="Times New Roman" w:cs="Tahoma"/>
          <w:szCs w:val="18"/>
          <w:lang w:val="it-IT"/>
        </w:rPr>
        <w:t>SQL Server 2008 R2 Workgroup sarà l’ultima versione di SQL Server Workgroup Edition.</w:t>
      </w:r>
      <w:r w:rsidRPr="00D87B79">
        <w:rPr>
          <w:rFonts w:eastAsia="Times New Roman" w:cs="Tahoma"/>
          <w:szCs w:val="18"/>
        </w:rPr>
        <w:t xml:space="preserve"> </w:t>
      </w:r>
      <w:r w:rsidRPr="00D87B79">
        <w:rPr>
          <w:rFonts w:eastAsia="Times New Roman" w:cs="Tahoma"/>
          <w:szCs w:val="18"/>
          <w:lang w:val="it-IT"/>
        </w:rPr>
        <w:t>In via eccezionale, le società con contratti multilicenza e con copertura Software Assurance attiva per le licenze per SQL Server 2008 R2 Workgroup Server in data 1 aprile 2012 potranno effettuare l’aggiornamento a SQL Server 2012 Standard Server e utilizzarlo (o a qualsiasi versione successiva del prodotto resa disponibile durante la copertura) al posto di SQL Server Workgroup Edition e acquistare Software Assurance per SQL Server Standard alla scadenza della copertura in corso.</w:t>
      </w:r>
      <w:r w:rsidRPr="00D87B79">
        <w:rPr>
          <w:rFonts w:eastAsia="Times New Roman" w:cs="Tahoma"/>
          <w:szCs w:val="18"/>
        </w:rPr>
        <w:t xml:space="preserve"> </w:t>
      </w:r>
      <w:r w:rsidRPr="00D87B79">
        <w:rPr>
          <w:rFonts w:eastAsia="Times New Roman" w:cs="Tahoma"/>
          <w:szCs w:val="18"/>
          <w:lang w:val="it-IT"/>
        </w:rPr>
        <w:t xml:space="preserve">Inoltre, le società con contratti multilicenza e con copertura Software Assurance attiva per le CAL per SQL Server 2008 R2 Workgroup in data 1 aprile 2012 potranno effettuare l’aggiornamento alle CAL per SQL Server 2012 (o a qualsiasi versione successiva della CAL resa </w:t>
      </w:r>
      <w:r w:rsidRPr="00D87B79">
        <w:rPr>
          <w:rFonts w:eastAsia="Times New Roman" w:cs="Tahoma"/>
          <w:szCs w:val="18"/>
          <w:lang w:val="it-IT"/>
        </w:rPr>
        <w:lastRenderedPageBreak/>
        <w:t>disponibile durante la copertura) e utilizzarle al posto delle loro CAL per SQL Server Workgroup, e acquistare Software Assurance per la CAL per SQL Server in occasione del loro prossimo rinnovo.</w:t>
      </w:r>
      <w:r w:rsidRPr="00D87B79">
        <w:rPr>
          <w:rFonts w:cs="Tahoma"/>
        </w:rPr>
        <w:t xml:space="preserve"> </w:t>
      </w:r>
      <w:r w:rsidRPr="00D87B79">
        <w:rPr>
          <w:rFonts w:cs="Tahoma"/>
          <w:lang w:val="it-IT"/>
        </w:rPr>
        <w:t>Le licenze per SQL Server Workgroup delle società non sono più valide quando acquistano la copertura Software Assurance per</w:t>
      </w:r>
      <w:r>
        <w:rPr>
          <w:rFonts w:cs="Tahoma"/>
          <w:lang w:val="it-IT"/>
        </w:rPr>
        <w:t> </w:t>
      </w:r>
      <w:r w:rsidRPr="00D87B79">
        <w:rPr>
          <w:rFonts w:cs="Tahoma"/>
          <w:lang w:val="it-IT"/>
        </w:rPr>
        <w:t>SQL Server Standard ai sensi della presente offerta.</w:t>
      </w:r>
    </w:p>
    <w:p w:rsidR="00A92422" w:rsidRDefault="00A92422" w:rsidP="00A92422">
      <w:pPr>
        <w:spacing w:after="60"/>
        <w:ind w:left="720"/>
        <w:rPr>
          <w:rFonts w:cs="Tahoma"/>
          <w:b/>
          <w:lang w:val="it-IT"/>
        </w:rPr>
      </w:pPr>
    </w:p>
    <w:p w:rsidR="00A92422" w:rsidRPr="00D87B79" w:rsidRDefault="00A92422" w:rsidP="00A92422">
      <w:pPr>
        <w:spacing w:after="60"/>
        <w:ind w:left="720"/>
        <w:rPr>
          <w:rFonts w:cs="Tahoma"/>
        </w:rPr>
      </w:pPr>
      <w:r w:rsidRPr="00D87B79">
        <w:rPr>
          <w:rFonts w:cs="Tahoma"/>
          <w:b/>
          <w:lang w:val="it-IT"/>
        </w:rPr>
        <w:t>Per le società con sede nella Repubblica popolare cinese, dove acquistano licenze e Software Assurance per SQL Server 2008 R2</w:t>
      </w:r>
    </w:p>
    <w:p w:rsidR="00A92422" w:rsidRPr="00D87B79" w:rsidRDefault="00A92422" w:rsidP="00A92422">
      <w:pPr>
        <w:ind w:left="720"/>
        <w:rPr>
          <w:rFonts w:cs="Tahoma"/>
        </w:rPr>
      </w:pPr>
      <w:r w:rsidRPr="00D87B79">
        <w:rPr>
          <w:rFonts w:cs="Tahoma"/>
          <w:lang w:val="it-IT"/>
        </w:rPr>
        <w:t>non si applicano i riferimenti al 1 aprile 2012 presenti in questa nota relativa alla lista dei prodotti.</w:t>
      </w:r>
      <w:r w:rsidRPr="00D87B79">
        <w:rPr>
          <w:rFonts w:cs="Tahoma"/>
        </w:rPr>
        <w:t xml:space="preserve"> </w:t>
      </w:r>
      <w:r w:rsidRPr="00D87B79">
        <w:rPr>
          <w:rFonts w:cs="Tahoma"/>
          <w:lang w:val="it-IT"/>
        </w:rPr>
        <w:t>La data applicabile per queste società sarebbe il 1 luglio 2012.</w:t>
      </w:r>
    </w:p>
    <w:p w:rsidR="00A92422" w:rsidRPr="00D87B79" w:rsidRDefault="00A92422" w:rsidP="00A92422">
      <w:pPr>
        <w:ind w:left="720"/>
        <w:rPr>
          <w:rFonts w:cs="Tahoma"/>
        </w:rPr>
      </w:pPr>
    </w:p>
    <w:p w:rsidR="00A92422" w:rsidRPr="00D87B79" w:rsidRDefault="00A92422" w:rsidP="00A92422">
      <w:pPr>
        <w:ind w:left="720"/>
        <w:rPr>
          <w:rFonts w:cs="Tahoma"/>
        </w:rPr>
      </w:pPr>
    </w:p>
    <w:p w:rsidR="00A92422" w:rsidRPr="00D87B79" w:rsidRDefault="00A92422" w:rsidP="00A92422">
      <w:pPr>
        <w:pStyle w:val="Heading3"/>
        <w:ind w:left="720" w:hanging="720"/>
        <w:rPr>
          <w:rFonts w:ascii="Tahoma" w:hAnsi="Tahoma" w:cs="Tahoma"/>
        </w:rPr>
      </w:pPr>
      <w:bookmarkStart w:id="1432" w:name="_Toc336338344"/>
      <w:bookmarkStart w:id="1433" w:name="Srv_72SQLSvr08R2WorkgroupProc"/>
      <w:bookmarkStart w:id="1434" w:name="_75_Licenza_per"/>
      <w:bookmarkStart w:id="1435" w:name="_Toc342900385"/>
      <w:bookmarkEnd w:id="1432"/>
      <w:bookmarkEnd w:id="1433"/>
      <w:bookmarkEnd w:id="1434"/>
      <w:r w:rsidRPr="00D87B79">
        <w:rPr>
          <w:rFonts w:ascii="Tahoma" w:hAnsi="Tahoma" w:cs="Tahoma"/>
          <w:color w:val="F66400"/>
          <w:sz w:val="22"/>
          <w:vertAlign w:val="superscript"/>
          <w:lang w:val="it-IT"/>
        </w:rPr>
        <w:t>75</w:t>
      </w:r>
      <w:r w:rsidRPr="00D87B79">
        <w:rPr>
          <w:rFonts w:ascii="Tahoma" w:hAnsi="Tahoma" w:cs="Tahoma"/>
          <w:color w:val="F66400"/>
          <w:sz w:val="22"/>
          <w:lang w:val="it-IT"/>
        </w:rPr>
        <w:t xml:space="preserve"> Licenza per Processore per SQL Server</w:t>
      </w:r>
      <w:r w:rsidRPr="003A0F2F">
        <w:rPr>
          <w:rFonts w:ascii="Tahoma" w:hAnsi="Tahoma" w:cs="Tahoma"/>
          <w:color w:val="F66400"/>
          <w:sz w:val="22"/>
          <w:vertAlign w:val="superscript"/>
          <w:lang w:val="it-IT"/>
        </w:rPr>
        <w:t>®</w:t>
      </w:r>
      <w:r w:rsidRPr="00D87B79">
        <w:rPr>
          <w:rFonts w:ascii="Tahoma" w:hAnsi="Tahoma" w:cs="Tahoma"/>
          <w:color w:val="F66400"/>
          <w:sz w:val="22"/>
          <w:lang w:val="it-IT"/>
        </w:rPr>
        <w:t xml:space="preserve"> 2008 R2 Workgroup</w:t>
      </w:r>
      <w:bookmarkEnd w:id="1435"/>
    </w:p>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color w:val="000000"/>
          <w:lang w:val="it-IT"/>
        </w:rPr>
        <w:t>Concessioni di Licenza Associate alla Variazione del Modello di Licenza</w:t>
      </w:r>
    </w:p>
    <w:p w:rsidR="00A92422" w:rsidRPr="00D87B79" w:rsidRDefault="00A92422" w:rsidP="00A92422">
      <w:pPr>
        <w:ind w:left="720"/>
        <w:rPr>
          <w:rFonts w:cs="Tahoma"/>
        </w:rPr>
      </w:pPr>
      <w:r w:rsidRPr="00D87B79">
        <w:rPr>
          <w:rFonts w:eastAsia="Times New Roman" w:cs="Tahoma"/>
          <w:color w:val="000000"/>
          <w:szCs w:val="18"/>
          <w:lang w:val="it-IT"/>
        </w:rPr>
        <w:t>SQL Server 2008 R2 sarà l’ultima versione di SQL Server concessa in licenza ai sensi del modello di licenza per processore e l’ultima versione di SQL Server Workgroup Edition.</w:t>
      </w:r>
      <w:r w:rsidRPr="00D87B79">
        <w:rPr>
          <w:rFonts w:eastAsia="Times New Roman" w:cs="Tahoma"/>
          <w:color w:val="000000"/>
          <w:szCs w:val="18"/>
        </w:rPr>
        <w:t xml:space="preserve"> </w:t>
      </w:r>
      <w:r w:rsidRPr="00D87B79">
        <w:rPr>
          <w:rFonts w:eastAsia="Times New Roman" w:cs="Tahoma"/>
          <w:color w:val="000000"/>
          <w:szCs w:val="18"/>
          <w:lang w:val="it-IT"/>
        </w:rPr>
        <w:t>In via eccezionale, alle società con contratti multilicenza e copertura Software Assurance attiva per le licenze per processore per SQL Server 2008 R2 Workgroup in data 1 aprile 2012 (“licenze qualificanti”) vengono offerte le opzioni che seguono.</w:t>
      </w:r>
      <w:r w:rsidRPr="00D87B79">
        <w:rPr>
          <w:rFonts w:cs="Tahoma"/>
        </w:rPr>
        <w:t xml:space="preserve"> </w:t>
      </w:r>
      <w:r w:rsidRPr="00D87B79">
        <w:rPr>
          <w:rFonts w:cs="Tahoma"/>
          <w:color w:val="000000"/>
          <w:lang w:val="it-IT"/>
        </w:rPr>
        <w:t>Le</w:t>
      </w:r>
      <w:r>
        <w:rPr>
          <w:rFonts w:cs="Tahoma"/>
          <w:color w:val="000000"/>
          <w:lang w:val="it-IT"/>
        </w:rPr>
        <w:t> </w:t>
      </w:r>
      <w:r w:rsidRPr="00D87B79">
        <w:rPr>
          <w:rFonts w:cs="Tahoma"/>
          <w:color w:val="000000"/>
          <w:lang w:val="it-IT"/>
        </w:rPr>
        <w:t>licenze per processore per SQL Server 2008 R2 Workgroup acquistate successivamente nello stesso periodo di validità dell’iscrizione, ma prima del 1 aprile 2015 nell’ambito di una procedura pianificata di true-up della società Enterprise, Enterprise Subscription, Open Value Subscription o EES, sono anch’esse licenze qualificanti per gli scopi previsti da tali opzioni.</w:t>
      </w:r>
      <w:r w:rsidRPr="00D87B79">
        <w:rPr>
          <w:rFonts w:cs="Tahoma"/>
        </w:rPr>
        <w:t xml:space="preserve"> </w:t>
      </w:r>
      <w:r w:rsidRPr="00D87B79">
        <w:rPr>
          <w:rFonts w:cs="Tahoma"/>
          <w:color w:val="000000"/>
          <w:lang w:val="it-IT"/>
        </w:rPr>
        <w:t>Le licenze acquistate dopo il 1 aprile 2015, o in un periodo di</w:t>
      </w:r>
      <w:r>
        <w:rPr>
          <w:rFonts w:cs="Tahoma"/>
          <w:color w:val="000000"/>
          <w:lang w:val="it-IT"/>
        </w:rPr>
        <w:t> </w:t>
      </w:r>
      <w:r w:rsidRPr="00D87B79">
        <w:rPr>
          <w:rFonts w:cs="Tahoma"/>
          <w:color w:val="000000"/>
          <w:lang w:val="it-IT"/>
        </w:rPr>
        <w:t>validità dell’iscrizione successivo, ai sensi di un contratto distinto o di un’iscrizione con la data di entrata in</w:t>
      </w:r>
      <w:r>
        <w:rPr>
          <w:rFonts w:cs="Tahoma"/>
          <w:color w:val="000000"/>
          <w:lang w:val="it-IT"/>
        </w:rPr>
        <w:t> </w:t>
      </w:r>
      <w:r w:rsidRPr="00D87B79">
        <w:rPr>
          <w:rFonts w:cs="Tahoma"/>
          <w:color w:val="000000"/>
          <w:lang w:val="it-IT"/>
        </w:rPr>
        <w:t>vigore posteriore al 1 aprile 2012, non sono licenze qualificanti.</w:t>
      </w:r>
    </w:p>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color w:val="000000"/>
          <w:lang w:val="it-IT"/>
        </w:rPr>
        <w:t>Periodo di Validità Corrente</w:t>
      </w:r>
    </w:p>
    <w:p w:rsidR="00A92422" w:rsidRDefault="00A92422" w:rsidP="00A92422">
      <w:pPr>
        <w:tabs>
          <w:tab w:val="left" w:pos="720"/>
        </w:tabs>
        <w:ind w:left="720"/>
        <w:rPr>
          <w:rFonts w:cs="Tahoma"/>
          <w:b/>
          <w:color w:val="000000"/>
          <w:lang w:val="it-IT"/>
        </w:rPr>
      </w:pPr>
      <w:r w:rsidRPr="00D87B79">
        <w:rPr>
          <w:rFonts w:eastAsia="Times New Roman" w:cs="Tahoma"/>
          <w:szCs w:val="18"/>
          <w:lang w:val="it-IT"/>
        </w:rPr>
        <w:t>durante il periodo di validità corrente della copertura Software Assurance a partire dal 1 aprile 2012 le</w:t>
      </w:r>
      <w:r>
        <w:rPr>
          <w:rFonts w:eastAsia="Times New Roman" w:cs="Tahoma"/>
          <w:szCs w:val="18"/>
          <w:lang w:val="it-IT"/>
        </w:rPr>
        <w:t> </w:t>
      </w:r>
      <w:r w:rsidRPr="00D87B79">
        <w:rPr>
          <w:rFonts w:eastAsia="Times New Roman" w:cs="Tahoma"/>
          <w:szCs w:val="18"/>
          <w:lang w:val="it-IT"/>
        </w:rPr>
        <w:t>società (incluse le società titolari di contratti “subscription”) potranno, ai sensi di una licenza qualificante, effettuare l’aggiornamento al software SQL Server 2012 Standard Core e utilizzarlo al posto di SQL Server 2008 R2 Workgroup in conformità ai diritti di utilizzo del prodotto previsti dalla licenza per processore SQL Server 2008 R2 Standard (come indicato nei Diritti di Utilizzo del Prodotto del mese di gennaio 2012).</w:t>
      </w:r>
      <w:r w:rsidRPr="00D87B79">
        <w:rPr>
          <w:rFonts w:eastAsia="Times New Roman" w:cs="Tahoma"/>
          <w:szCs w:val="18"/>
        </w:rPr>
        <w:t xml:space="preserve"> </w:t>
      </w:r>
      <w:r w:rsidRPr="00D87B79">
        <w:rPr>
          <w:rFonts w:eastAsia="Times New Roman" w:cs="Tahoma"/>
          <w:szCs w:val="18"/>
          <w:lang w:val="it-IT"/>
        </w:rPr>
        <w:t>alle società vengono concessi diritti aggiuntivi ai sensi di Mobilità delle Licenze tramite Software Assurance e Mobilità delle Licenze all’interno di Server Farm.</w:t>
      </w:r>
      <w:r w:rsidRPr="00D87B79">
        <w:rPr>
          <w:rFonts w:cs="Tahoma"/>
        </w:rPr>
        <w:t xml:space="preserve"> </w:t>
      </w:r>
      <w:r w:rsidRPr="00D87B79">
        <w:rPr>
          <w:rFonts w:cs="Tahoma"/>
          <w:lang w:val="it-IT"/>
        </w:rPr>
        <w:t>Le società dovranno fare riferimento ai Diritti di Utilizzo del</w:t>
      </w:r>
      <w:r>
        <w:rPr>
          <w:rFonts w:cs="Tahoma"/>
          <w:lang w:val="it-IT"/>
        </w:rPr>
        <w:t> </w:t>
      </w:r>
      <w:r w:rsidRPr="00D87B79">
        <w:rPr>
          <w:rFonts w:cs="Tahoma"/>
          <w:lang w:val="it-IT"/>
        </w:rPr>
        <w:t>Prodotto per SQL Server 2012 Standard Core per quanto riguarda le condizioni di licenza per Mobilità delle Licenze.</w:t>
      </w:r>
    </w:p>
    <w:p w:rsidR="00A92422" w:rsidRDefault="00A92422" w:rsidP="00A92422">
      <w:pPr>
        <w:spacing w:after="60"/>
        <w:ind w:left="720"/>
        <w:rPr>
          <w:rFonts w:cs="Tahoma"/>
          <w:b/>
          <w:color w:val="000000"/>
          <w:lang w:val="it-IT"/>
        </w:rPr>
      </w:pPr>
    </w:p>
    <w:p w:rsidR="00A92422" w:rsidRPr="00D87B79" w:rsidRDefault="00A92422" w:rsidP="00A92422">
      <w:pPr>
        <w:spacing w:after="60"/>
        <w:ind w:left="720"/>
        <w:rPr>
          <w:rFonts w:cs="Tahoma"/>
        </w:rPr>
      </w:pPr>
      <w:r w:rsidRPr="00D87B79">
        <w:rPr>
          <w:rFonts w:cs="Tahoma"/>
          <w:b/>
          <w:color w:val="000000"/>
          <w:lang w:val="it-IT"/>
        </w:rPr>
        <w:t>Primo Periodo di Rinnovo (prima del 1 aprile 2015)</w:t>
      </w:r>
    </w:p>
    <w:p w:rsidR="00A92422" w:rsidRPr="00D87B79" w:rsidRDefault="00A92422" w:rsidP="00A92422">
      <w:pPr>
        <w:tabs>
          <w:tab w:val="left" w:pos="720"/>
        </w:tabs>
        <w:ind w:left="720"/>
        <w:rPr>
          <w:rFonts w:cs="Tahoma"/>
        </w:rPr>
      </w:pPr>
      <w:r w:rsidRPr="00D87B79">
        <w:rPr>
          <w:rFonts w:cs="Tahoma"/>
          <w:lang w:val="it-IT"/>
        </w:rPr>
        <w:t>in occasione del primo rinnovo di Software Assurance in data 1 aprile 2012 o successiva (ma prima del 1</w:t>
      </w:r>
      <w:r>
        <w:rPr>
          <w:rFonts w:cs="Tahoma"/>
          <w:lang w:val="it-IT"/>
        </w:rPr>
        <w:t> </w:t>
      </w:r>
      <w:r w:rsidRPr="00D87B79">
        <w:rPr>
          <w:rFonts w:cs="Tahoma"/>
          <w:lang w:val="it-IT"/>
        </w:rPr>
        <w:t>aprile 2015), per ogni server che una società ha ricevuto validamente in licenza in conformità ai diritti di</w:t>
      </w:r>
      <w:r>
        <w:rPr>
          <w:rFonts w:cs="Tahoma"/>
          <w:lang w:val="it-IT"/>
        </w:rPr>
        <w:t> </w:t>
      </w:r>
      <w:r w:rsidRPr="00D87B79">
        <w:rPr>
          <w:rFonts w:cs="Tahoma"/>
          <w:lang w:val="it-IT"/>
        </w:rPr>
        <w:t>utilizzo del prodotto previsti dalla licenza per processore SQL Server 2008 R2 Standard, la società potrà</w:t>
      </w:r>
      <w:r>
        <w:rPr>
          <w:rFonts w:cs="Tahoma"/>
          <w:lang w:val="it-IT"/>
        </w:rPr>
        <w:t> </w:t>
      </w:r>
      <w:r w:rsidRPr="00D87B79">
        <w:rPr>
          <w:rFonts w:cs="Tahoma"/>
          <w:lang w:val="it-IT"/>
        </w:rPr>
        <w:t>acquistare la copertura Software Assurance per le licenze core per SQL Server Standard senza dovere</w:t>
      </w:r>
      <w:r>
        <w:rPr>
          <w:rFonts w:cs="Tahoma"/>
          <w:lang w:val="it-IT"/>
        </w:rPr>
        <w:t> </w:t>
      </w:r>
      <w:r w:rsidRPr="00D87B79">
        <w:rPr>
          <w:rFonts w:cs="Tahoma"/>
          <w:lang w:val="it-IT"/>
        </w:rPr>
        <w:t>acquistare le licenze core sottostanti per un numero di licenze core pari alla somma di (a) e (b):</w:t>
      </w:r>
    </w:p>
    <w:p w:rsidR="00A92422" w:rsidRPr="00D87B79" w:rsidRDefault="00A92422" w:rsidP="00A92422">
      <w:pPr>
        <w:numPr>
          <w:ilvl w:val="0"/>
          <w:numId w:val="121"/>
        </w:numPr>
        <w:tabs>
          <w:tab w:val="left" w:pos="1440"/>
        </w:tabs>
        <w:ind w:left="1440"/>
        <w:rPr>
          <w:rFonts w:cs="Tahoma"/>
        </w:rPr>
      </w:pPr>
      <w:r w:rsidRPr="00D87B79">
        <w:rPr>
          <w:rFonts w:cs="Tahoma"/>
          <w:lang w:val="it-IT"/>
        </w:rPr>
        <w:t>un numero pari al numero minore delle licenze qualificanti cedute al server o al numero totale dei</w:t>
      </w:r>
      <w:r>
        <w:rPr>
          <w:rFonts w:cs="Tahoma"/>
          <w:lang w:val="it-IT"/>
        </w:rPr>
        <w:t> </w:t>
      </w:r>
      <w:r w:rsidRPr="00D87B79">
        <w:rPr>
          <w:rFonts w:cs="Tahoma"/>
          <w:lang w:val="it-IT"/>
        </w:rPr>
        <w:t>processori fisici sul server moltiplicato per il maggiore tra:</w:t>
      </w:r>
      <w:r w:rsidRPr="00D87B79">
        <w:rPr>
          <w:rFonts w:eastAsia="Times New Roman" w:cs="Tahoma"/>
          <w:szCs w:val="18"/>
        </w:rPr>
        <w:t xml:space="preserve"> </w:t>
      </w:r>
    </w:p>
    <w:p w:rsidR="00A92422" w:rsidRPr="00D87B79" w:rsidRDefault="00A92422" w:rsidP="00A92422">
      <w:pPr>
        <w:numPr>
          <w:ilvl w:val="0"/>
          <w:numId w:val="108"/>
        </w:numPr>
        <w:tabs>
          <w:tab w:val="left" w:pos="1800"/>
        </w:tabs>
        <w:ind w:left="1800"/>
        <w:rPr>
          <w:rFonts w:cs="Tahoma"/>
        </w:rPr>
      </w:pPr>
      <w:r w:rsidRPr="00D87B79">
        <w:rPr>
          <w:rFonts w:cs="Tahoma"/>
          <w:lang w:val="it-IT"/>
        </w:rPr>
        <w:t>quattro O</w:t>
      </w:r>
    </w:p>
    <w:p w:rsidR="00A92422" w:rsidRPr="00D87B79" w:rsidRDefault="00A92422" w:rsidP="00A92422">
      <w:pPr>
        <w:numPr>
          <w:ilvl w:val="0"/>
          <w:numId w:val="108"/>
        </w:numPr>
        <w:tabs>
          <w:tab w:val="left" w:pos="1800"/>
        </w:tabs>
        <w:ind w:left="1800"/>
        <w:rPr>
          <w:rFonts w:cs="Tahoma"/>
        </w:rPr>
      </w:pPr>
      <w:r w:rsidRPr="00D87B79">
        <w:rPr>
          <w:rFonts w:eastAsia="Times New Roman" w:cs="Tahoma"/>
          <w:szCs w:val="18"/>
          <w:lang w:val="it-IT"/>
        </w:rPr>
        <w:t>il numero effettivo di core per processore fisico moltiplicato per il fattore core appropriato.</w:t>
      </w:r>
      <w:r w:rsidRPr="00D87B79">
        <w:rPr>
          <w:rFonts w:eastAsia="Times New Roman" w:cs="Tahoma"/>
          <w:szCs w:val="18"/>
        </w:rPr>
        <w:t xml:space="preserve"> </w:t>
      </w:r>
      <w:r w:rsidRPr="00D87B79">
        <w:rPr>
          <w:rFonts w:eastAsia="Times New Roman" w:cs="Tahoma"/>
          <w:szCs w:val="18"/>
          <w:lang w:val="it-IT"/>
        </w:rPr>
        <w:t>(Nei</w:t>
      </w:r>
      <w:r>
        <w:rPr>
          <w:rFonts w:eastAsia="Times New Roman" w:cs="Tahoma"/>
          <w:szCs w:val="18"/>
          <w:lang w:val="it-IT"/>
        </w:rPr>
        <w:t> </w:t>
      </w:r>
      <w:r w:rsidRPr="00D87B79">
        <w:rPr>
          <w:rFonts w:eastAsia="Times New Roman" w:cs="Tahoma"/>
          <w:szCs w:val="18"/>
          <w:lang w:val="it-IT"/>
        </w:rPr>
        <w:t>casi in cui il numero effettivo di core per processore fisico superi quattro, le società dovranno conservare un record della configurazione del software SQL Server in esecuzione sul</w:t>
      </w:r>
      <w:r>
        <w:rPr>
          <w:rFonts w:eastAsia="Times New Roman" w:cs="Tahoma"/>
          <w:szCs w:val="18"/>
          <w:lang w:val="it-IT"/>
        </w:rPr>
        <w:t> </w:t>
      </w:r>
      <w:r w:rsidRPr="00D87B79">
        <w:rPr>
          <w:rFonts w:eastAsia="Times New Roman" w:cs="Tahoma"/>
          <w:szCs w:val="18"/>
          <w:lang w:val="it-IT"/>
        </w:rPr>
        <w:t>server (istanze con licenza in esecuzione negli ambienti del sistema operativo sul server con licenza) e l’hardware fisico che supporta tale software appena prima del rinnovo di Software Assurance utilizzando lo strumento MAP di Microsoft o un software equivalente).</w:t>
      </w:r>
      <w:r w:rsidRPr="00D87B79">
        <w:rPr>
          <w:rFonts w:eastAsia="Times New Roman" w:cs="Tahoma"/>
          <w:szCs w:val="18"/>
        </w:rPr>
        <w:t xml:space="preserve"> </w:t>
      </w:r>
    </w:p>
    <w:p w:rsidR="00A92422" w:rsidRPr="00D87B79" w:rsidRDefault="00A92422" w:rsidP="00A92422">
      <w:pPr>
        <w:numPr>
          <w:ilvl w:val="0"/>
          <w:numId w:val="121"/>
        </w:numPr>
        <w:tabs>
          <w:tab w:val="left" w:pos="1440"/>
        </w:tabs>
        <w:ind w:left="1440"/>
        <w:rPr>
          <w:rFonts w:cs="Tahoma"/>
        </w:rPr>
      </w:pPr>
      <w:r w:rsidRPr="00D87B79">
        <w:rPr>
          <w:rFonts w:cs="Tahoma"/>
          <w:lang w:val="it-IT"/>
        </w:rPr>
        <w:t>un numero pari al numero di licenze qualificanti cedute al server oltre al numero effettivo di</w:t>
      </w:r>
      <w:r>
        <w:rPr>
          <w:rFonts w:cs="Tahoma"/>
          <w:lang w:val="it-IT"/>
        </w:rPr>
        <w:t> </w:t>
      </w:r>
      <w:r w:rsidRPr="00D87B79">
        <w:rPr>
          <w:rFonts w:cs="Tahoma"/>
          <w:lang w:val="it-IT"/>
        </w:rPr>
        <w:t>processori fisici sul server moltiplicato per quattro.</w:t>
      </w:r>
    </w:p>
    <w:p w:rsidR="00A92422" w:rsidRPr="00D87B79" w:rsidRDefault="00A92422" w:rsidP="00A92422">
      <w:pPr>
        <w:tabs>
          <w:tab w:val="left" w:pos="1440"/>
        </w:tabs>
        <w:rPr>
          <w:rFonts w:cs="Tahoma"/>
        </w:rPr>
      </w:pPr>
    </w:p>
    <w:p w:rsidR="00A92422" w:rsidRDefault="00A92422" w:rsidP="00A92422">
      <w:pPr>
        <w:rPr>
          <w:rFonts w:cs="Tahoma"/>
          <w:b/>
          <w:lang w:val="it-IT"/>
        </w:rPr>
      </w:pPr>
      <w:r>
        <w:rPr>
          <w:rFonts w:cs="Tahoma"/>
          <w:b/>
          <w:lang w:val="it-IT"/>
        </w:rPr>
        <w:br w:type="page"/>
      </w:r>
    </w:p>
    <w:p w:rsidR="00A92422" w:rsidRPr="00D87B79" w:rsidRDefault="00A92422" w:rsidP="00A92422">
      <w:pPr>
        <w:spacing w:after="60"/>
        <w:ind w:left="720"/>
        <w:rPr>
          <w:rFonts w:cs="Tahoma"/>
        </w:rPr>
      </w:pPr>
      <w:r w:rsidRPr="00D87B79">
        <w:rPr>
          <w:rFonts w:cs="Tahoma"/>
          <w:b/>
          <w:lang w:val="it-IT"/>
        </w:rPr>
        <w:lastRenderedPageBreak/>
        <w:t>Primo Periodo di Rinnovo (in data 1 aprile 2015 o successiva)</w:t>
      </w:r>
    </w:p>
    <w:p w:rsidR="00A92422" w:rsidRPr="00D87B79" w:rsidRDefault="00A92422" w:rsidP="00A92422">
      <w:pPr>
        <w:ind w:left="720"/>
        <w:rPr>
          <w:rFonts w:cs="Tahoma"/>
        </w:rPr>
      </w:pPr>
      <w:r w:rsidRPr="00D87B79">
        <w:rPr>
          <w:rFonts w:cs="Tahoma"/>
          <w:lang w:val="it-IT"/>
        </w:rPr>
        <w:t>le società che rinnovano per la prima volta la copertura in data 1 aprile 2015 potranno, per ogni server ottenuto in licenza in conformità ai diritti di utilizzo del prodotto previsti dalla licenza per processore SQL Server 2008 R2, acquistare la copertura Software Assurance come di seguito indicato:</w:t>
      </w:r>
    </w:p>
    <w:p w:rsidR="00A92422" w:rsidRDefault="00A92422" w:rsidP="00A92422">
      <w:pPr>
        <w:ind w:left="720"/>
        <w:rPr>
          <w:rFonts w:cs="Tahoma"/>
        </w:rPr>
      </w:pPr>
    </w:p>
    <w:p w:rsidR="00A92422" w:rsidRPr="00D87B79" w:rsidRDefault="00A92422" w:rsidP="00A92422">
      <w:pPr>
        <w:numPr>
          <w:ilvl w:val="3"/>
          <w:numId w:val="109"/>
        </w:numPr>
        <w:tabs>
          <w:tab w:val="left" w:pos="1170"/>
        </w:tabs>
        <w:spacing w:after="60"/>
        <w:ind w:left="1440" w:hanging="360"/>
        <w:rPr>
          <w:rFonts w:cs="Tahoma"/>
        </w:rPr>
      </w:pPr>
      <w:r w:rsidRPr="00D87B79">
        <w:rPr>
          <w:rFonts w:cs="Tahoma"/>
          <w:lang w:val="it-IT"/>
        </w:rPr>
        <w:t>come stabilito nel primo paragrafo di questa nota relativa al prodotto, le licenze acquistate prima del 1 aprile 2015 sono licenze qualificanti e le società potranno rinnovare la copertura Software Assurance in base alle condizioni riportate nel precedente Articolo “Primo Periodo di Rinnovo (prima</w:t>
      </w:r>
      <w:r>
        <w:rPr>
          <w:rFonts w:cs="Tahoma"/>
          <w:lang w:val="it-IT"/>
        </w:rPr>
        <w:t> </w:t>
      </w:r>
      <w:r w:rsidRPr="00D87B79">
        <w:rPr>
          <w:rFonts w:cs="Tahoma"/>
          <w:lang w:val="it-IT"/>
        </w:rPr>
        <w:t>del 1 aprile 2015)” e</w:t>
      </w:r>
      <w:r w:rsidRPr="00D87B79">
        <w:rPr>
          <w:rFonts w:cs="Tahoma"/>
        </w:rPr>
        <w:t xml:space="preserve"> </w:t>
      </w:r>
    </w:p>
    <w:p w:rsidR="00A92422" w:rsidRPr="00D87B79" w:rsidRDefault="00A92422" w:rsidP="00A92422">
      <w:pPr>
        <w:numPr>
          <w:ilvl w:val="3"/>
          <w:numId w:val="109"/>
        </w:numPr>
        <w:tabs>
          <w:tab w:val="left" w:pos="1170"/>
        </w:tabs>
        <w:spacing w:after="60"/>
        <w:ind w:left="1440" w:hanging="360"/>
        <w:rPr>
          <w:rFonts w:cs="Tahoma"/>
        </w:rPr>
      </w:pPr>
      <w:r w:rsidRPr="00D87B79">
        <w:rPr>
          <w:rFonts w:cs="Tahoma"/>
          <w:lang w:val="it-IT"/>
        </w:rPr>
        <w:t>per le licenze acquistate dopo il 1 aprile 2015 le società potranno rinnovare la copertura Software Assurance per quattro licenze core per SQL Server Standard senza dover acquistare le licenze core</w:t>
      </w:r>
      <w:r>
        <w:rPr>
          <w:rFonts w:cs="Tahoma"/>
          <w:lang w:val="it-IT"/>
        </w:rPr>
        <w:t> </w:t>
      </w:r>
      <w:r w:rsidRPr="00D87B79">
        <w:rPr>
          <w:rFonts w:cs="Tahoma"/>
          <w:lang w:val="it-IT"/>
        </w:rPr>
        <w:t>sottostanti per ogni licenza per processore per SQL Server 2008 R2 Workgroup.</w:t>
      </w:r>
      <w:r w:rsidRPr="00D87B79">
        <w:rPr>
          <w:rFonts w:cs="Tahoma"/>
        </w:rPr>
        <w:t xml:space="preserve"> </w:t>
      </w:r>
      <w:r w:rsidRPr="00D87B79">
        <w:rPr>
          <w:rFonts w:cs="Tahoma"/>
          <w:lang w:val="it-IT"/>
        </w:rPr>
        <w:t>Per l’utilizzo continuativo di SQL Server 2012 su processori che richiedono più di quattro licenze core per processore la società deve acquistare le licenze core aggiuntive.</w:t>
      </w:r>
    </w:p>
    <w:p w:rsidR="00A92422" w:rsidRPr="00D87B79" w:rsidRDefault="00A92422" w:rsidP="00A92422">
      <w:pPr>
        <w:numPr>
          <w:ilvl w:val="0"/>
          <w:numId w:val="90"/>
        </w:numPr>
        <w:tabs>
          <w:tab w:val="left" w:pos="720"/>
          <w:tab w:val="left" w:pos="1170"/>
        </w:tabs>
        <w:spacing w:after="60"/>
        <w:ind w:left="1440"/>
        <w:rPr>
          <w:rFonts w:cs="Tahoma"/>
        </w:rPr>
      </w:pPr>
      <w:r w:rsidRPr="00D87B79">
        <w:rPr>
          <w:rFonts w:eastAsia="Times New Roman" w:cs="Tahoma"/>
          <w:szCs w:val="18"/>
          <w:lang w:val="it-IT"/>
        </w:rPr>
        <w:t>Le licenze per processore delle società non sono più valide se si acquista la copertura Software Assurance per licenze core ai sensi della presente offerta.</w:t>
      </w:r>
      <w:r w:rsidRPr="00D87B79">
        <w:rPr>
          <w:rFonts w:eastAsia="Times New Roman" w:cs="Tahoma"/>
          <w:szCs w:val="18"/>
        </w:rPr>
        <w:t xml:space="preserve"> </w:t>
      </w:r>
      <w:r w:rsidRPr="00D87B79">
        <w:rPr>
          <w:rFonts w:eastAsia="Times New Roman" w:cs="Tahoma"/>
          <w:szCs w:val="18"/>
          <w:lang w:val="it-IT"/>
        </w:rPr>
        <w:t>L’opzione di acquistare Software Assurance per le licenze core per SQL Server non è applicabile al rinnovo della copertura ai sensi dei programmi di sottoscrizione.</w:t>
      </w:r>
      <w:r w:rsidRPr="00D87B79">
        <w:rPr>
          <w:rFonts w:eastAsia="Times New Roman" w:cs="Tahoma"/>
          <w:szCs w:val="18"/>
        </w:rPr>
        <w:t xml:space="preserve"> </w:t>
      </w:r>
    </w:p>
    <w:p w:rsidR="00A92422" w:rsidRPr="00D87B79" w:rsidRDefault="00A92422" w:rsidP="00A92422">
      <w:pPr>
        <w:tabs>
          <w:tab w:val="left" w:pos="720"/>
        </w:tabs>
        <w:ind w:left="720"/>
        <w:rPr>
          <w:rFonts w:cs="Tahoma"/>
        </w:rPr>
      </w:pPr>
    </w:p>
    <w:p w:rsidR="00A92422" w:rsidRPr="00D87B79" w:rsidRDefault="00A92422" w:rsidP="00A92422">
      <w:pPr>
        <w:tabs>
          <w:tab w:val="left" w:pos="720"/>
          <w:tab w:val="left" w:pos="1800"/>
        </w:tabs>
        <w:spacing w:after="60"/>
        <w:ind w:left="720"/>
        <w:rPr>
          <w:rFonts w:cs="Tahoma"/>
        </w:rPr>
      </w:pPr>
      <w:r w:rsidRPr="00D87B79">
        <w:rPr>
          <w:rFonts w:cs="Tahoma"/>
          <w:b/>
          <w:lang w:val="it-IT"/>
        </w:rPr>
        <w:t>Per le Società con copertura Software Assurance in scadenza prima del 1 aprile 2015 che</w:t>
      </w:r>
      <w:r>
        <w:rPr>
          <w:rFonts w:cs="Tahoma"/>
          <w:b/>
          <w:lang w:val="it-IT"/>
        </w:rPr>
        <w:t> </w:t>
      </w:r>
      <w:r w:rsidRPr="00D87B79">
        <w:rPr>
          <w:rFonts w:cs="Tahoma"/>
          <w:b/>
          <w:lang w:val="it-IT"/>
        </w:rPr>
        <w:t>scelgono di non effettuare il rinnovo</w:t>
      </w:r>
    </w:p>
    <w:p w:rsidR="00A92422" w:rsidRPr="00D87B79" w:rsidRDefault="00A92422" w:rsidP="00A92422">
      <w:pPr>
        <w:tabs>
          <w:tab w:val="left" w:pos="720"/>
          <w:tab w:val="left" w:pos="1800"/>
        </w:tabs>
        <w:ind w:left="720"/>
        <w:rPr>
          <w:rFonts w:cs="Tahoma"/>
        </w:rPr>
      </w:pPr>
      <w:r w:rsidRPr="00D87B79">
        <w:rPr>
          <w:rFonts w:cs="Tahoma"/>
          <w:lang w:val="it-IT"/>
        </w:rPr>
        <w:t xml:space="preserve">le società titolari di contratti Enterprise Subscription e </w:t>
      </w:r>
      <w:r w:rsidRPr="00D87B79">
        <w:rPr>
          <w:rFonts w:cs="Tahoma"/>
          <w:color w:val="000000"/>
          <w:lang w:val="it-IT"/>
        </w:rPr>
        <w:t xml:space="preserve">Open Value Subscription </w:t>
      </w:r>
      <w:r w:rsidRPr="00D87B79">
        <w:rPr>
          <w:rFonts w:cs="Tahoma"/>
          <w:lang w:val="it-IT"/>
        </w:rPr>
        <w:t>con copertura in scadenza prima del 1 aprile 2015 che scelgono di effettuare il buy-out delle licenze per processore e altre società che</w:t>
      </w:r>
      <w:r>
        <w:rPr>
          <w:rFonts w:cs="Tahoma"/>
          <w:lang w:val="it-IT"/>
        </w:rPr>
        <w:t> </w:t>
      </w:r>
      <w:r w:rsidRPr="00D87B79">
        <w:rPr>
          <w:rFonts w:cs="Tahoma"/>
          <w:lang w:val="it-IT"/>
        </w:rPr>
        <w:t>acquistano licenze perpetue ai sensi del loro contratto e scelgano di non rinnovare Software Assurance potranno eseguire SQL Server 2008 R2 o SQL Server 2012 ai sensi di tali licenze come indicato sotto:</w:t>
      </w:r>
    </w:p>
    <w:p w:rsidR="00A92422" w:rsidRPr="00D87B79" w:rsidRDefault="00A92422" w:rsidP="00A92422">
      <w:pPr>
        <w:tabs>
          <w:tab w:val="left" w:pos="720"/>
          <w:tab w:val="left" w:pos="1800"/>
        </w:tabs>
        <w:ind w:left="720"/>
        <w:rPr>
          <w:rFonts w:cs="Tahoma"/>
        </w:rPr>
      </w:pPr>
    </w:p>
    <w:p w:rsidR="00A92422" w:rsidRPr="00D87B79" w:rsidRDefault="00A92422" w:rsidP="00A92422">
      <w:pPr>
        <w:numPr>
          <w:ilvl w:val="0"/>
          <w:numId w:val="98"/>
        </w:numPr>
        <w:tabs>
          <w:tab w:val="left" w:pos="1440"/>
        </w:tabs>
        <w:spacing w:after="60"/>
        <w:ind w:left="1440"/>
        <w:rPr>
          <w:rFonts w:cs="Tahoma"/>
        </w:rPr>
      </w:pPr>
      <w:r w:rsidRPr="00D87B79">
        <w:rPr>
          <w:rFonts w:cs="Tahoma"/>
          <w:b/>
          <w:lang w:val="it-IT"/>
        </w:rPr>
        <w:t>SQL Server 2008 R2 Workgroup:</w:t>
      </w:r>
      <w:r w:rsidRPr="00D87B79">
        <w:rPr>
          <w:rFonts w:eastAsia="Times New Roman" w:cs="Tahoma"/>
          <w:szCs w:val="18"/>
        </w:rPr>
        <w:t xml:space="preserve"> </w:t>
      </w:r>
      <w:r w:rsidRPr="00D87B79">
        <w:rPr>
          <w:rFonts w:eastAsia="Times New Roman" w:cs="Tahoma"/>
          <w:szCs w:val="18"/>
          <w:lang w:val="it-IT"/>
        </w:rPr>
        <w:t>l’utilizzo continuativo di tale versione del software è soggetto ai diritti di utilizzo del prodotto previsti dalla licenza per processore SQL Server 2008 R2 Workgroup.</w:t>
      </w:r>
      <w:r w:rsidRPr="00D87B79">
        <w:rPr>
          <w:rFonts w:eastAsia="Times New Roman" w:cs="Tahoma"/>
          <w:szCs w:val="18"/>
        </w:rPr>
        <w:t xml:space="preserve"> </w:t>
      </w:r>
      <w:r w:rsidRPr="00D87B79">
        <w:rPr>
          <w:rFonts w:eastAsia="Times New Roman" w:cs="Tahoma"/>
          <w:szCs w:val="18"/>
          <w:lang w:val="it-IT"/>
        </w:rPr>
        <w:t>Le società non disporranno più di diritti ai sensi della Mobilità delle Licenze all’interno di Server Farm o della Mobilità delle Licenze tramite Software Assurance.</w:t>
      </w:r>
      <w:r w:rsidRPr="00D87B79">
        <w:rPr>
          <w:rFonts w:eastAsia="Times New Roman" w:cs="Tahoma"/>
          <w:szCs w:val="18"/>
        </w:rPr>
        <w:t xml:space="preserve"> </w:t>
      </w:r>
    </w:p>
    <w:p w:rsidR="00A92422" w:rsidRPr="00D87B79" w:rsidRDefault="00A92422" w:rsidP="00A92422">
      <w:pPr>
        <w:numPr>
          <w:ilvl w:val="0"/>
          <w:numId w:val="98"/>
        </w:numPr>
        <w:tabs>
          <w:tab w:val="left" w:pos="1440"/>
        </w:tabs>
        <w:spacing w:after="60"/>
        <w:ind w:left="1440"/>
        <w:rPr>
          <w:rFonts w:cs="Tahoma"/>
        </w:rPr>
      </w:pPr>
      <w:r w:rsidRPr="00D87B79">
        <w:rPr>
          <w:rFonts w:eastAsia="Times New Roman" w:cs="Tahoma"/>
          <w:b/>
          <w:szCs w:val="18"/>
          <w:lang w:val="it-IT"/>
        </w:rPr>
        <w:t>SQL Server 2012 Standard Core:</w:t>
      </w:r>
      <w:r w:rsidRPr="00D87B79">
        <w:rPr>
          <w:rFonts w:eastAsia="Times New Roman" w:cs="Tahoma"/>
          <w:b/>
          <w:szCs w:val="18"/>
        </w:rPr>
        <w:t xml:space="preserve"> </w:t>
      </w:r>
      <w:r w:rsidRPr="00D87B79">
        <w:rPr>
          <w:rFonts w:eastAsia="Times New Roman" w:cs="Tahoma"/>
          <w:szCs w:val="18"/>
          <w:lang w:val="it-IT"/>
        </w:rPr>
        <w:t>l’utilizzo di tale versione del software è soggetto ai diritti di utilizzo del prodotto previsti dalla licenza per processore SQL Server 2008 R2 Standard, tuttavia:</w:t>
      </w:r>
      <w:r w:rsidRPr="00D87B79">
        <w:rPr>
          <w:rFonts w:eastAsia="Times New Roman" w:cs="Tahoma"/>
          <w:szCs w:val="18"/>
        </w:rPr>
        <w:t xml:space="preserve"> </w:t>
      </w:r>
    </w:p>
    <w:p w:rsidR="00A92422" w:rsidRPr="00D87B79" w:rsidRDefault="00A92422" w:rsidP="00A92422">
      <w:pPr>
        <w:numPr>
          <w:ilvl w:val="1"/>
          <w:numId w:val="98"/>
        </w:numPr>
        <w:tabs>
          <w:tab w:val="left" w:pos="1800"/>
        </w:tabs>
        <w:spacing w:after="60"/>
        <w:ind w:left="1800"/>
        <w:rPr>
          <w:rFonts w:cs="Tahoma"/>
        </w:rPr>
      </w:pPr>
      <w:r w:rsidRPr="00D87B79">
        <w:rPr>
          <w:rFonts w:cs="Tahoma"/>
          <w:lang w:val="it-IT"/>
        </w:rPr>
        <w:t>le società non disporranno più di diritti ai sensi della Mobilità delle Licenze all’interno di Server Farm o della Mobilità delle Licenze tramite Software Assurance e</w:t>
      </w:r>
      <w:r w:rsidRPr="00D87B79">
        <w:rPr>
          <w:rFonts w:cs="Tahoma"/>
        </w:rPr>
        <w:t xml:space="preserve"> </w:t>
      </w:r>
    </w:p>
    <w:p w:rsidR="00A92422" w:rsidRPr="00D87B79" w:rsidRDefault="00A92422" w:rsidP="00A92422">
      <w:pPr>
        <w:numPr>
          <w:ilvl w:val="1"/>
          <w:numId w:val="98"/>
        </w:numPr>
        <w:tabs>
          <w:tab w:val="left" w:pos="1800"/>
        </w:tabs>
        <w:spacing w:after="60"/>
        <w:ind w:left="1800"/>
        <w:rPr>
          <w:rFonts w:cs="Tahoma"/>
        </w:rPr>
      </w:pPr>
      <w:r w:rsidRPr="00D87B79">
        <w:rPr>
          <w:rFonts w:eastAsia="Times New Roman" w:cs="Tahoma"/>
          <w:szCs w:val="18"/>
          <w:lang w:val="it-IT"/>
        </w:rPr>
        <w:t>l’eventuale riassegnazione di licenze è soggetta ai limiti indicati nei paragrafi (i) e (ii) che</w:t>
      </w:r>
      <w:r>
        <w:rPr>
          <w:rFonts w:eastAsia="Times New Roman" w:cs="Tahoma"/>
          <w:szCs w:val="18"/>
          <w:lang w:val="it-IT"/>
        </w:rPr>
        <w:t> </w:t>
      </w:r>
      <w:r w:rsidRPr="00D87B79">
        <w:rPr>
          <w:rFonts w:eastAsia="Times New Roman" w:cs="Tahoma"/>
          <w:szCs w:val="18"/>
          <w:lang w:val="it-IT"/>
        </w:rPr>
        <w:t>seguono relativi alla loro “equivalenza di licenze core”. L’equivalenza di licenze core è</w:t>
      </w:r>
      <w:r>
        <w:rPr>
          <w:rFonts w:eastAsia="Times New Roman" w:cs="Tahoma"/>
          <w:szCs w:val="18"/>
          <w:lang w:val="it-IT"/>
        </w:rPr>
        <w:t> </w:t>
      </w:r>
      <w:r w:rsidRPr="00D87B79">
        <w:rPr>
          <w:rFonts w:eastAsia="Times New Roman" w:cs="Tahoma"/>
          <w:szCs w:val="18"/>
          <w:lang w:val="it-IT"/>
        </w:rPr>
        <w:t>determinata come di seguito riportato.</w:t>
      </w:r>
      <w:r w:rsidRPr="00D87B79">
        <w:rPr>
          <w:rFonts w:eastAsia="Times New Roman" w:cs="Tahoma"/>
          <w:szCs w:val="18"/>
        </w:rPr>
        <w:t xml:space="preserve"> </w:t>
      </w:r>
    </w:p>
    <w:p w:rsidR="00A92422" w:rsidRPr="00D87B79" w:rsidRDefault="00A92422" w:rsidP="00A92422">
      <w:pPr>
        <w:numPr>
          <w:ilvl w:val="2"/>
          <w:numId w:val="98"/>
        </w:numPr>
        <w:tabs>
          <w:tab w:val="left" w:pos="2160"/>
        </w:tabs>
        <w:spacing w:after="60"/>
        <w:rPr>
          <w:rFonts w:cs="Tahoma"/>
        </w:rPr>
      </w:pPr>
      <w:r w:rsidRPr="00D87B79">
        <w:rPr>
          <w:rFonts w:eastAsia="Times New Roman" w:cs="Tahoma"/>
          <w:szCs w:val="18"/>
          <w:lang w:val="it-IT"/>
        </w:rPr>
        <w:t>Per un numero di licenze pari al numero inferiore tra (x) il numero totale di licenze per</w:t>
      </w:r>
      <w:r>
        <w:rPr>
          <w:rFonts w:eastAsia="Times New Roman" w:cs="Tahoma"/>
          <w:szCs w:val="18"/>
          <w:lang w:val="it-IT"/>
        </w:rPr>
        <w:t> </w:t>
      </w:r>
      <w:r w:rsidRPr="00D87B79">
        <w:rPr>
          <w:rFonts w:eastAsia="Times New Roman" w:cs="Tahoma"/>
          <w:szCs w:val="18"/>
          <w:lang w:val="it-IT"/>
        </w:rPr>
        <w:t>processore cedute a un server con licenza appena prima della scadenza di Software Assurance o (y) il numero totale di processori fisici su tale server, l’equivalenza di licenze core è il numero maggiore tra:</w:t>
      </w:r>
      <w:r w:rsidRPr="00D87B79">
        <w:rPr>
          <w:rFonts w:eastAsia="Times New Roman" w:cs="Tahoma"/>
          <w:szCs w:val="18"/>
        </w:rPr>
        <w:t xml:space="preserve"> </w:t>
      </w:r>
    </w:p>
    <w:p w:rsidR="00A92422" w:rsidRPr="00D87B79" w:rsidRDefault="00A92422" w:rsidP="00A92422">
      <w:pPr>
        <w:numPr>
          <w:ilvl w:val="4"/>
          <w:numId w:val="90"/>
        </w:numPr>
        <w:tabs>
          <w:tab w:val="left" w:pos="2520"/>
        </w:tabs>
        <w:spacing w:after="60"/>
        <w:ind w:left="2520"/>
        <w:rPr>
          <w:rFonts w:cs="Tahoma"/>
        </w:rPr>
      </w:pPr>
      <w:r w:rsidRPr="00D87B79">
        <w:rPr>
          <w:rFonts w:cs="Tahoma"/>
          <w:lang w:val="it-IT"/>
        </w:rPr>
        <w:t>quattro core per licenza per processore O</w:t>
      </w:r>
      <w:r w:rsidRPr="00D87B79">
        <w:rPr>
          <w:rFonts w:cs="Tahoma"/>
        </w:rPr>
        <w:t xml:space="preserve"> </w:t>
      </w:r>
    </w:p>
    <w:p w:rsidR="00A92422" w:rsidRPr="00D87B79" w:rsidRDefault="00A92422" w:rsidP="00A92422">
      <w:pPr>
        <w:numPr>
          <w:ilvl w:val="4"/>
          <w:numId w:val="90"/>
        </w:numPr>
        <w:tabs>
          <w:tab w:val="left" w:pos="2520"/>
        </w:tabs>
        <w:spacing w:after="60"/>
        <w:ind w:left="2520"/>
        <w:rPr>
          <w:rFonts w:cs="Tahoma"/>
        </w:rPr>
      </w:pPr>
      <w:r w:rsidRPr="00D87B79">
        <w:rPr>
          <w:rFonts w:eastAsia="Times New Roman" w:cs="Tahoma"/>
          <w:szCs w:val="18"/>
          <w:lang w:val="it-IT"/>
        </w:rPr>
        <w:t>un numero di core per licenza per processore basato sul numero effettivo di core per</w:t>
      </w:r>
      <w:r>
        <w:rPr>
          <w:rFonts w:eastAsia="Times New Roman" w:cs="Tahoma"/>
          <w:szCs w:val="18"/>
          <w:lang w:val="it-IT"/>
        </w:rPr>
        <w:t> </w:t>
      </w:r>
      <w:r w:rsidRPr="00D87B79">
        <w:rPr>
          <w:rFonts w:eastAsia="Times New Roman" w:cs="Tahoma"/>
          <w:szCs w:val="18"/>
          <w:lang w:val="it-IT"/>
        </w:rPr>
        <w:t>processore fisico moltiplicato per il fattore core appropriato.</w:t>
      </w:r>
      <w:r w:rsidRPr="00D87B79">
        <w:rPr>
          <w:rFonts w:eastAsia="Times New Roman" w:cs="Tahoma"/>
          <w:szCs w:val="18"/>
        </w:rPr>
        <w:t xml:space="preserve"> </w:t>
      </w:r>
      <w:r w:rsidRPr="00D87B79">
        <w:rPr>
          <w:rFonts w:eastAsia="Times New Roman" w:cs="Tahoma"/>
          <w:szCs w:val="18"/>
          <w:lang w:val="it-IT"/>
        </w:rPr>
        <w:t>(Nei casi in cui il numero effettivo di core per processore fisico superi quattro, le società dovranno conservare un record della configurazione del software SQL Server in esecuzione sul</w:t>
      </w:r>
      <w:r>
        <w:rPr>
          <w:rFonts w:eastAsia="Times New Roman" w:cs="Tahoma"/>
          <w:szCs w:val="18"/>
          <w:lang w:val="it-IT"/>
        </w:rPr>
        <w:t> </w:t>
      </w:r>
      <w:r w:rsidRPr="00D87B79">
        <w:rPr>
          <w:rFonts w:eastAsia="Times New Roman" w:cs="Tahoma"/>
          <w:szCs w:val="18"/>
          <w:lang w:val="it-IT"/>
        </w:rPr>
        <w:t>server (istanze con licenza in esecuzione negli ambienti del sistema operativo sul</w:t>
      </w:r>
      <w:r>
        <w:rPr>
          <w:rFonts w:eastAsia="Times New Roman" w:cs="Tahoma"/>
          <w:szCs w:val="18"/>
          <w:lang w:val="it-IT"/>
        </w:rPr>
        <w:t> </w:t>
      </w:r>
      <w:r w:rsidRPr="00D87B79">
        <w:rPr>
          <w:rFonts w:eastAsia="Times New Roman" w:cs="Tahoma"/>
          <w:szCs w:val="18"/>
          <w:lang w:val="it-IT"/>
        </w:rPr>
        <w:t>server con licenza) e l’hardware fisico che supporta tale software appena prima della scadenza di Software Assurance utilizzando lo strumento MAP di Microsoft o un software equivalente).</w:t>
      </w:r>
      <w:r w:rsidRPr="00D87B79">
        <w:rPr>
          <w:rFonts w:eastAsia="Times New Roman" w:cs="Tahoma"/>
          <w:szCs w:val="18"/>
        </w:rPr>
        <w:t xml:space="preserve"> </w:t>
      </w:r>
    </w:p>
    <w:p w:rsidR="00A92422" w:rsidRPr="00D87B79" w:rsidRDefault="00A92422" w:rsidP="00A92422">
      <w:pPr>
        <w:numPr>
          <w:ilvl w:val="1"/>
          <w:numId w:val="98"/>
        </w:numPr>
        <w:tabs>
          <w:tab w:val="left" w:pos="1800"/>
        </w:tabs>
        <w:spacing w:after="60"/>
        <w:ind w:left="1800"/>
        <w:rPr>
          <w:rFonts w:cs="Tahoma"/>
        </w:rPr>
      </w:pPr>
      <w:r w:rsidRPr="00D87B79">
        <w:rPr>
          <w:rFonts w:cs="Tahoma"/>
          <w:lang w:val="it-IT"/>
        </w:rPr>
        <w:t>Per qualsiasi licenza per processore con la copertura Software Assurance in scadenza ceduta allo stesso server con licenza che ecceda il numero effettivo di processori fisici sul server, l’equivalenza core è di quattro core per licenza per processore.</w:t>
      </w:r>
    </w:p>
    <w:p w:rsidR="00A92422" w:rsidRPr="00D87B79" w:rsidRDefault="00A92422" w:rsidP="00A92422">
      <w:pPr>
        <w:numPr>
          <w:ilvl w:val="1"/>
          <w:numId w:val="98"/>
        </w:numPr>
        <w:tabs>
          <w:tab w:val="left" w:pos="1800"/>
        </w:tabs>
        <w:spacing w:after="60"/>
        <w:ind w:left="1800"/>
        <w:rPr>
          <w:rFonts w:cs="Tahoma"/>
        </w:rPr>
      </w:pPr>
      <w:r w:rsidRPr="00D87B79">
        <w:rPr>
          <w:rFonts w:cs="Tahoma"/>
          <w:lang w:val="it-IT"/>
        </w:rPr>
        <w:t>Le società potranno riassegnare le licenze a un altro server.</w:t>
      </w:r>
      <w:r w:rsidRPr="00D87B79">
        <w:rPr>
          <w:rFonts w:cs="Tahoma"/>
        </w:rPr>
        <w:t xml:space="preserve"> </w:t>
      </w:r>
      <w:r w:rsidRPr="00D87B79">
        <w:rPr>
          <w:rFonts w:cs="Tahoma"/>
          <w:lang w:val="it-IT"/>
        </w:rPr>
        <w:t xml:space="preserve">Tuttavia, qualora la società riassegni una licenza a un altro server, dovrà attenersi ai diritti sull’utilizzo di SQL Server </w:t>
      </w:r>
      <w:r w:rsidRPr="00D87B79">
        <w:rPr>
          <w:rFonts w:cs="Tahoma"/>
          <w:lang w:val="it-IT"/>
        </w:rPr>
        <w:lastRenderedPageBreak/>
        <w:t>2012.</w:t>
      </w:r>
      <w:r>
        <w:rPr>
          <w:rFonts w:cs="Tahoma"/>
        </w:rPr>
        <w:t> </w:t>
      </w:r>
      <w:r w:rsidRPr="00D87B79">
        <w:rPr>
          <w:rFonts w:cs="Tahoma"/>
          <w:lang w:val="it-IT"/>
        </w:rPr>
        <w:t>Quando cede licenze core a server ai sensi dei diritti sull’utilizzo per SQL 2012, la società potrà combinare l’equivalenza core delle licenze esistenti con le licenze core per SQL Server 2012 aggiuntive.</w:t>
      </w:r>
    </w:p>
    <w:p w:rsidR="00A92422" w:rsidRPr="00D87B79" w:rsidRDefault="00A92422" w:rsidP="00A92422">
      <w:pPr>
        <w:numPr>
          <w:ilvl w:val="1"/>
          <w:numId w:val="98"/>
        </w:numPr>
        <w:tabs>
          <w:tab w:val="left" w:pos="1800"/>
        </w:tabs>
        <w:spacing w:after="60"/>
        <w:ind w:left="1800"/>
        <w:rPr>
          <w:rFonts w:cs="Tahoma"/>
        </w:rPr>
      </w:pPr>
      <w:r w:rsidRPr="00D87B79">
        <w:rPr>
          <w:rFonts w:cs="Tahoma"/>
          <w:lang w:val="it-IT"/>
        </w:rPr>
        <w:t>L’equivalenza di licenze core stimata delle società non implica che esse possano cedere una licenza singola per processore a core attraverso due o più processori.</w:t>
      </w:r>
    </w:p>
    <w:p w:rsidR="00A92422" w:rsidRPr="00D87B79" w:rsidRDefault="00A92422" w:rsidP="00A92422">
      <w:pPr>
        <w:tabs>
          <w:tab w:val="left" w:pos="720"/>
        </w:tabs>
        <w:spacing w:after="60"/>
        <w:ind w:left="720"/>
        <w:rPr>
          <w:rFonts w:cs="Tahoma"/>
        </w:rPr>
      </w:pPr>
      <w:r w:rsidRPr="00D87B79">
        <w:rPr>
          <w:rFonts w:cs="Tahoma"/>
          <w:b/>
          <w:color w:val="000000"/>
          <w:lang w:val="it-IT"/>
        </w:rPr>
        <w:t>Per le Società con copertura Software Assurance in scadenza in data 1 aprile 2015 o successiva che scelgono di non effettuare il rinnovo</w:t>
      </w:r>
    </w:p>
    <w:p w:rsidR="00A92422" w:rsidRPr="00D87B79" w:rsidRDefault="00A92422" w:rsidP="00A92422">
      <w:pPr>
        <w:tabs>
          <w:tab w:val="left" w:pos="720"/>
        </w:tabs>
        <w:ind w:left="720"/>
        <w:rPr>
          <w:rFonts w:cs="Tahoma"/>
        </w:rPr>
      </w:pPr>
      <w:r w:rsidRPr="00D87B79">
        <w:rPr>
          <w:rFonts w:cs="Tahoma"/>
          <w:color w:val="000000"/>
          <w:lang w:val="it-IT"/>
        </w:rPr>
        <w:t>alle società titolari di contratti Enterprise Subscription e Open Value Subscription con copertura in scadenza in data 1 aprile 2015 o successiva che scelgono di effettuare il buy-out delle licenze per processore e alle altre società che acquistano licenze perpetue ai sensi del loro contratto verranno offerte le seguenti opzioni:</w:t>
      </w:r>
      <w:r w:rsidRPr="00D87B79">
        <w:rPr>
          <w:rFonts w:eastAsia="Times New Roman" w:cs="Tahoma"/>
          <w:color w:val="000000"/>
          <w:szCs w:val="18"/>
        </w:rPr>
        <w:t xml:space="preserve"> </w:t>
      </w:r>
    </w:p>
    <w:p w:rsidR="00A92422" w:rsidRPr="00D87B79" w:rsidRDefault="00A92422" w:rsidP="00A92422">
      <w:pPr>
        <w:tabs>
          <w:tab w:val="left" w:pos="720"/>
        </w:tabs>
        <w:ind w:left="720"/>
        <w:rPr>
          <w:rFonts w:cs="Tahoma"/>
        </w:rPr>
      </w:pPr>
    </w:p>
    <w:p w:rsidR="00A92422" w:rsidRPr="00D87B79" w:rsidRDefault="00A92422" w:rsidP="00A92422">
      <w:pPr>
        <w:numPr>
          <w:ilvl w:val="2"/>
          <w:numId w:val="90"/>
        </w:numPr>
        <w:spacing w:after="60"/>
        <w:ind w:left="1440"/>
        <w:rPr>
          <w:rFonts w:cs="Tahoma"/>
        </w:rPr>
      </w:pPr>
      <w:r w:rsidRPr="00D87B79">
        <w:rPr>
          <w:rFonts w:cs="Tahoma"/>
          <w:lang w:val="it-IT"/>
        </w:rPr>
        <w:t>come stabilito nel primo paragrafo di questa nota relativa al prodotto, le licenze acquistate prima del 1 aprile 2015 sono licenze qualificanti e le società potranno continuare a utilizzare SQL Server 2012 in base alle condizioni riportate nel precedente Articolo “Per le società con copertura Software Assurance in scadenza prima del 1 aprile 2015 che scelgono di non effettuare il rinnovo” e</w:t>
      </w:r>
      <w:r w:rsidRPr="00D87B79">
        <w:rPr>
          <w:rFonts w:cs="Tahoma"/>
        </w:rPr>
        <w:t xml:space="preserve"> </w:t>
      </w:r>
    </w:p>
    <w:p w:rsidR="00A92422" w:rsidRPr="00D87B79" w:rsidRDefault="00A92422" w:rsidP="00A92422">
      <w:pPr>
        <w:numPr>
          <w:ilvl w:val="2"/>
          <w:numId w:val="90"/>
        </w:numPr>
        <w:spacing w:after="60"/>
        <w:ind w:left="1440"/>
        <w:rPr>
          <w:rFonts w:cs="Tahoma"/>
        </w:rPr>
      </w:pPr>
      <w:r w:rsidRPr="00D87B79">
        <w:rPr>
          <w:rFonts w:cs="Tahoma"/>
          <w:color w:val="000000"/>
          <w:lang w:val="it-IT"/>
        </w:rPr>
        <w:t>per le licenze acquistate dopo il 1 aprile 2015 la licenza per processore delle società avrà un’equivalenza core di quattro licenze core Standard per SQL Server 2012.</w:t>
      </w:r>
      <w:r w:rsidRPr="00D87B79">
        <w:rPr>
          <w:rFonts w:cs="Tahoma"/>
        </w:rPr>
        <w:t xml:space="preserve"> </w:t>
      </w:r>
      <w:r w:rsidRPr="00D87B79">
        <w:rPr>
          <w:rFonts w:cs="Tahoma"/>
          <w:color w:val="000000"/>
          <w:lang w:val="it-IT"/>
        </w:rPr>
        <w:t>Per l’utilizzo continuativo di SQL Server 2012 su processori che richiedono più di quattro licenze core per</w:t>
      </w:r>
      <w:r>
        <w:rPr>
          <w:rFonts w:cs="Tahoma"/>
          <w:color w:val="000000"/>
          <w:lang w:val="it-IT"/>
        </w:rPr>
        <w:t> </w:t>
      </w:r>
      <w:r w:rsidRPr="00D87B79">
        <w:rPr>
          <w:rFonts w:cs="Tahoma"/>
          <w:color w:val="000000"/>
          <w:lang w:val="it-IT"/>
        </w:rPr>
        <w:t>processore la società deve acquistare le licenze core aggiuntive.</w:t>
      </w:r>
    </w:p>
    <w:p w:rsidR="00A92422" w:rsidRPr="00D87B79" w:rsidRDefault="00A92422" w:rsidP="00A92422">
      <w:pPr>
        <w:rPr>
          <w:rFonts w:cs="Tahoma"/>
        </w:rPr>
      </w:pPr>
    </w:p>
    <w:p w:rsidR="00A92422" w:rsidRPr="00D87B79" w:rsidRDefault="00A92422" w:rsidP="00A92422">
      <w:pPr>
        <w:pStyle w:val="ListParagraph"/>
        <w:tabs>
          <w:tab w:val="left" w:pos="720"/>
        </w:tabs>
        <w:spacing w:after="60"/>
        <w:contextualSpacing w:val="0"/>
        <w:rPr>
          <w:rFonts w:ascii="Tahoma" w:hAnsi="Tahoma" w:cs="Tahoma"/>
        </w:rPr>
      </w:pPr>
      <w:r w:rsidRPr="00D87B79">
        <w:rPr>
          <w:rFonts w:ascii="Tahoma" w:hAnsi="Tahoma" w:cs="Tahoma"/>
          <w:b/>
          <w:color w:val="000000"/>
          <w:sz w:val="18"/>
          <w:lang w:val="it-IT"/>
        </w:rPr>
        <w:t>Per le società con sede nella Repubblica popolare cinese, dove acquistano licenze per</w:t>
      </w:r>
      <w:r>
        <w:rPr>
          <w:rFonts w:ascii="Tahoma" w:hAnsi="Tahoma" w:cs="Tahoma"/>
          <w:b/>
          <w:color w:val="000000"/>
          <w:sz w:val="18"/>
          <w:lang w:val="it-IT"/>
        </w:rPr>
        <w:t> </w:t>
      </w:r>
      <w:r w:rsidRPr="00D87B79">
        <w:rPr>
          <w:rFonts w:ascii="Tahoma" w:hAnsi="Tahoma" w:cs="Tahoma"/>
          <w:b/>
          <w:color w:val="000000"/>
          <w:sz w:val="18"/>
          <w:lang w:val="it-IT"/>
        </w:rPr>
        <w:t>processore e Software Assurance per SQL Server 2008 R2</w:t>
      </w:r>
    </w:p>
    <w:p w:rsidR="00A92422" w:rsidRPr="00D87B79" w:rsidRDefault="00A92422" w:rsidP="00A92422">
      <w:pPr>
        <w:pStyle w:val="ListParagraph"/>
        <w:tabs>
          <w:tab w:val="left" w:pos="720"/>
        </w:tabs>
        <w:contextualSpacing w:val="0"/>
        <w:rPr>
          <w:rFonts w:ascii="Tahoma" w:hAnsi="Tahoma" w:cs="Tahoma"/>
        </w:rPr>
      </w:pPr>
      <w:r w:rsidRPr="00D87B79">
        <w:rPr>
          <w:rFonts w:ascii="Tahoma" w:hAnsi="Tahoma" w:cs="Tahoma"/>
          <w:color w:val="000000"/>
          <w:sz w:val="18"/>
          <w:lang w:val="it-IT"/>
        </w:rPr>
        <w:t>non si applicano i riferimenti al 1 aprile 2012 e al 1 aprile 2015 presenti in questa nota relativa alla lista dei prodotti.</w:t>
      </w:r>
      <w:r w:rsidRPr="00D87B79">
        <w:rPr>
          <w:rFonts w:ascii="Tahoma" w:hAnsi="Tahoma" w:cs="Tahoma"/>
        </w:rPr>
        <w:t xml:space="preserve"> </w:t>
      </w:r>
      <w:r w:rsidRPr="00D87B79">
        <w:rPr>
          <w:rFonts w:ascii="Tahoma" w:hAnsi="Tahoma" w:cs="Tahoma"/>
          <w:color w:val="000000"/>
          <w:sz w:val="18"/>
          <w:lang w:val="it-IT"/>
        </w:rPr>
        <w:t>Le date applicabili per queste società sarebbero rispettivamente il 1 luglio 2012 e il 1 luglio 2015.</w:t>
      </w:r>
    </w:p>
    <w:p w:rsidR="00A92422" w:rsidRPr="00D87B79" w:rsidRDefault="00A92422" w:rsidP="00A92422">
      <w:pPr>
        <w:tabs>
          <w:tab w:val="left" w:pos="1080"/>
          <w:tab w:val="left" w:pos="1800"/>
        </w:tabs>
        <w:rPr>
          <w:rFonts w:cs="Tahoma"/>
        </w:rPr>
      </w:pPr>
    </w:p>
    <w:p w:rsidR="00A92422" w:rsidRPr="00D87B79" w:rsidRDefault="00A92422" w:rsidP="00A92422">
      <w:pPr>
        <w:tabs>
          <w:tab w:val="left" w:pos="1080"/>
          <w:tab w:val="left" w:pos="1800"/>
        </w:tabs>
        <w:rPr>
          <w:rFonts w:cs="Tahoma"/>
        </w:rPr>
      </w:pPr>
    </w:p>
    <w:p w:rsidR="00A92422" w:rsidRPr="00D87B79" w:rsidRDefault="00A92422" w:rsidP="00A92422">
      <w:pPr>
        <w:pStyle w:val="Heading3"/>
        <w:rPr>
          <w:rFonts w:ascii="Tahoma" w:hAnsi="Tahoma" w:cs="Tahoma"/>
        </w:rPr>
      </w:pPr>
      <w:bookmarkStart w:id="1436" w:name="_Toc336338345"/>
      <w:bookmarkStart w:id="1437" w:name="Srv_87SQLServer2012Developer"/>
      <w:bookmarkStart w:id="1438" w:name="_76_SQL_Server®"/>
      <w:bookmarkStart w:id="1439" w:name="_Toc342900386"/>
      <w:bookmarkEnd w:id="1436"/>
      <w:bookmarkEnd w:id="1437"/>
      <w:bookmarkEnd w:id="1438"/>
      <w:r w:rsidRPr="00D87B79">
        <w:rPr>
          <w:rFonts w:ascii="Tahoma" w:hAnsi="Tahoma" w:cs="Tahoma"/>
          <w:color w:val="F66400"/>
          <w:sz w:val="22"/>
          <w:vertAlign w:val="superscript"/>
          <w:lang w:val="it-IT"/>
        </w:rPr>
        <w:t>76</w:t>
      </w:r>
      <w:r w:rsidRPr="00D87B79">
        <w:rPr>
          <w:rFonts w:ascii="Tahoma" w:hAnsi="Tahoma" w:cs="Tahoma"/>
          <w:color w:val="F66400"/>
          <w:sz w:val="22"/>
          <w:lang w:val="it-IT"/>
        </w:rPr>
        <w:t xml:space="preserve"> SQL Server</w:t>
      </w:r>
      <w:r w:rsidRPr="003A0F2F">
        <w:rPr>
          <w:rFonts w:ascii="Tahoma" w:hAnsi="Tahoma" w:cs="Tahoma"/>
          <w:color w:val="F66400"/>
          <w:sz w:val="22"/>
          <w:vertAlign w:val="superscript"/>
          <w:lang w:val="it-IT"/>
        </w:rPr>
        <w:t>®</w:t>
      </w:r>
      <w:r w:rsidRPr="00D87B79">
        <w:rPr>
          <w:rFonts w:ascii="Tahoma" w:hAnsi="Tahoma" w:cs="Tahoma"/>
          <w:color w:val="F66400"/>
          <w:sz w:val="22"/>
          <w:lang w:val="it-IT"/>
        </w:rPr>
        <w:t xml:space="preserve"> 2012 Developer</w:t>
      </w:r>
      <w:bookmarkEnd w:id="1439"/>
    </w:p>
    <w:p w:rsidR="00A92422" w:rsidRPr="00D87B79" w:rsidRDefault="00A92422" w:rsidP="00A92422">
      <w:pPr>
        <w:rPr>
          <w:rFonts w:cs="Tahoma"/>
        </w:rPr>
      </w:pPr>
    </w:p>
    <w:p w:rsidR="00A92422" w:rsidRPr="00D87B79" w:rsidRDefault="00A92422" w:rsidP="00A92422">
      <w:pPr>
        <w:spacing w:after="60"/>
        <w:ind w:left="720"/>
        <w:rPr>
          <w:rFonts w:cs="Tahoma"/>
        </w:rPr>
      </w:pPr>
      <w:r w:rsidRPr="00D87B79">
        <w:rPr>
          <w:rFonts w:cs="Tahoma"/>
          <w:b/>
          <w:color w:val="000000"/>
          <w:lang w:val="it-IT"/>
        </w:rPr>
        <w:t>Comunicazione Importante</w:t>
      </w:r>
    </w:p>
    <w:p w:rsidR="00A92422" w:rsidRPr="00D87B79" w:rsidRDefault="00A92422" w:rsidP="00A92422">
      <w:pPr>
        <w:ind w:left="720"/>
        <w:rPr>
          <w:rFonts w:cs="Tahoma"/>
        </w:rPr>
      </w:pPr>
      <w:r w:rsidRPr="00D87B79">
        <w:rPr>
          <w:rFonts w:cs="Tahoma"/>
          <w:color w:val="000000"/>
          <w:szCs w:val="18"/>
          <w:lang w:val="it-IT"/>
        </w:rPr>
        <w:t>Aggiornamenti Automatici di SQL Server 2008, SQL Server 2005 e SQL Server 2000. Qualora questo software sia installato su server o dispositivi che eseguono una qualunque delle versioni di SQL Server 2008, SQL Server 2005 o SQL Server 2000 (o componenti di esse), il software aggiornerà e sostituirà automaticamente alcuni file o funzionalità presenti in tali versioni con file del software.</w:t>
      </w:r>
      <w:r w:rsidRPr="00D87B79">
        <w:rPr>
          <w:rFonts w:cs="Tahoma"/>
          <w:color w:val="000000"/>
          <w:szCs w:val="18"/>
        </w:rPr>
        <w:t xml:space="preserve"> </w:t>
      </w:r>
      <w:r w:rsidRPr="00D87B79">
        <w:rPr>
          <w:rFonts w:cs="Tahoma"/>
          <w:color w:val="000000"/>
          <w:szCs w:val="18"/>
          <w:lang w:val="it-IT"/>
        </w:rPr>
        <w:t>Questa funzionalità non può essere disattivata.</w:t>
      </w:r>
      <w:r w:rsidRPr="00D87B79">
        <w:rPr>
          <w:rFonts w:cs="Tahoma"/>
          <w:color w:val="000000"/>
          <w:szCs w:val="18"/>
        </w:rPr>
        <w:t xml:space="preserve"> </w:t>
      </w:r>
      <w:r w:rsidRPr="00D87B79">
        <w:rPr>
          <w:rFonts w:cs="Tahoma"/>
          <w:color w:val="000000"/>
          <w:szCs w:val="18"/>
          <w:lang w:val="it-IT"/>
        </w:rPr>
        <w:t>Non sarà possibile rimuovere i file aggiornati né recuperare i file originali.</w:t>
      </w:r>
      <w:r w:rsidRPr="00D87B79">
        <w:rPr>
          <w:rFonts w:cs="Tahoma"/>
          <w:color w:val="000000"/>
          <w:szCs w:val="18"/>
        </w:rPr>
        <w:t xml:space="preserve"> </w:t>
      </w:r>
      <w:r w:rsidRPr="00D87B79">
        <w:rPr>
          <w:rFonts w:cs="Tahoma"/>
          <w:color w:val="000000"/>
          <w:szCs w:val="18"/>
          <w:lang w:val="it-IT"/>
        </w:rPr>
        <w:t>L’installazione di questo software su un server o su un dispositivo che esegue una qualunque delle versioni di SQL Server 2008, SQL Server 2005 o SQL Server 2000 costituisce accettazione implicita di tali aggiornamenti per tutte le versioni e le copie di SQL Server (inclusi componenti di esse) che sono eseguite su tale server o dispositivo.</w:t>
      </w:r>
      <w:r w:rsidRPr="00D87B79">
        <w:rPr>
          <w:rFonts w:cs="Tahoma"/>
          <w:color w:val="000000"/>
          <w:szCs w:val="18"/>
        </w:rPr>
        <w:t xml:space="preserve"> </w:t>
      </w:r>
    </w:p>
    <w:p w:rsidR="00A92422" w:rsidRPr="00D87B79" w:rsidRDefault="00A92422" w:rsidP="00A92422">
      <w:pPr>
        <w:pStyle w:val="Heading3"/>
        <w:rPr>
          <w:rFonts w:ascii="Tahoma" w:hAnsi="Tahoma" w:cs="Tahoma"/>
        </w:rPr>
      </w:pPr>
      <w:bookmarkStart w:id="1440" w:name="_Toc336338346"/>
      <w:bookmarkStart w:id="1441" w:name="Srv_88SQLServer2012Enterprise"/>
      <w:bookmarkStart w:id="1442" w:name="_77_SQL_Server®"/>
      <w:bookmarkStart w:id="1443" w:name="_Toc342900387"/>
      <w:bookmarkEnd w:id="1440"/>
      <w:bookmarkEnd w:id="1441"/>
      <w:bookmarkEnd w:id="1442"/>
      <w:r w:rsidRPr="00D87B79">
        <w:rPr>
          <w:rFonts w:ascii="Tahoma" w:hAnsi="Tahoma" w:cs="Tahoma"/>
          <w:color w:val="F66400"/>
          <w:sz w:val="22"/>
          <w:vertAlign w:val="superscript"/>
          <w:lang w:val="it-IT"/>
        </w:rPr>
        <w:t>77</w:t>
      </w:r>
      <w:r w:rsidRPr="00D87B79">
        <w:rPr>
          <w:rFonts w:ascii="Tahoma" w:hAnsi="Tahoma" w:cs="Tahoma"/>
          <w:color w:val="F66400"/>
          <w:sz w:val="22"/>
          <w:lang w:val="it-IT"/>
        </w:rPr>
        <w:t xml:space="preserve"> SQL Server</w:t>
      </w:r>
      <w:r w:rsidRPr="003A0F2F">
        <w:rPr>
          <w:rFonts w:ascii="Tahoma" w:hAnsi="Tahoma" w:cs="Tahoma"/>
          <w:color w:val="F66400"/>
          <w:sz w:val="22"/>
          <w:vertAlign w:val="superscript"/>
          <w:lang w:val="it-IT"/>
        </w:rPr>
        <w:t>®</w:t>
      </w:r>
      <w:r w:rsidRPr="00D87B79">
        <w:rPr>
          <w:rFonts w:ascii="Tahoma" w:hAnsi="Tahoma" w:cs="Tahoma"/>
          <w:color w:val="F66400"/>
          <w:sz w:val="22"/>
          <w:lang w:val="it-IT"/>
        </w:rPr>
        <w:t xml:space="preserve"> 2012 Enterprise</w:t>
      </w:r>
      <w:bookmarkEnd w:id="1443"/>
    </w:p>
    <w:p w:rsidR="00A92422" w:rsidRPr="00D87B79" w:rsidRDefault="00A92422" w:rsidP="00A92422">
      <w:pPr>
        <w:rPr>
          <w:rFonts w:cs="Tahoma"/>
        </w:rPr>
      </w:pPr>
    </w:p>
    <w:p w:rsidR="00A92422" w:rsidRPr="00D87B79" w:rsidRDefault="00A92422" w:rsidP="00A92422">
      <w:pPr>
        <w:ind w:left="720"/>
        <w:rPr>
          <w:rFonts w:cs="Tahoma"/>
        </w:rPr>
      </w:pPr>
      <w:r w:rsidRPr="00D87B79">
        <w:rPr>
          <w:rFonts w:cs="Tahoma"/>
          <w:color w:val="000000"/>
          <w:lang w:val="it-IT"/>
        </w:rPr>
        <w:t>SQL Server 2012 Enterprise è la versione successiva di SQL Server Enterprise e la CAL per SQL Server 2012 CAL è la versione successiva della CAL per SQL Server.</w:t>
      </w:r>
    </w:p>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color w:val="000000"/>
          <w:lang w:val="it-IT"/>
        </w:rPr>
        <w:t>Società Titolari di CAL/Server per SQL Server Enterprise - Opzione Speciale di Rinnovo di</w:t>
      </w:r>
      <w:r>
        <w:rPr>
          <w:rFonts w:cs="Tahoma"/>
          <w:b/>
          <w:color w:val="000000"/>
          <w:lang w:val="it-IT"/>
        </w:rPr>
        <w:t> </w:t>
      </w:r>
      <w:r w:rsidRPr="00D87B79">
        <w:rPr>
          <w:rFonts w:cs="Tahoma"/>
          <w:b/>
          <w:color w:val="000000"/>
          <w:lang w:val="it-IT"/>
        </w:rPr>
        <w:t>Software Assurance</w:t>
      </w:r>
    </w:p>
    <w:p w:rsidR="00A92422" w:rsidRPr="00D87B79" w:rsidRDefault="00A92422" w:rsidP="00A92422">
      <w:pPr>
        <w:ind w:left="720"/>
        <w:rPr>
          <w:rFonts w:cs="Tahoma"/>
        </w:rPr>
      </w:pPr>
      <w:r w:rsidRPr="00D87B79">
        <w:rPr>
          <w:rFonts w:eastAsia="Times New Roman" w:cs="Tahoma"/>
          <w:color w:val="000000"/>
          <w:szCs w:val="18"/>
          <w:lang w:val="it-IT"/>
        </w:rPr>
        <w:t>Le società con copertura Software Assurance attiva per le licenze CAL/Server per SQL Server Enterprise alla</w:t>
      </w:r>
      <w:r>
        <w:rPr>
          <w:rFonts w:eastAsia="Times New Roman" w:cs="Tahoma"/>
          <w:color w:val="000000"/>
          <w:szCs w:val="18"/>
          <w:lang w:val="it-IT"/>
        </w:rPr>
        <w:t> </w:t>
      </w:r>
      <w:r w:rsidRPr="00D87B79">
        <w:rPr>
          <w:rFonts w:eastAsia="Times New Roman" w:cs="Tahoma"/>
          <w:color w:val="000000"/>
          <w:szCs w:val="18"/>
          <w:lang w:val="it-IT"/>
        </w:rPr>
        <w:t>data del 1 aprile 2012 potranno, in alternativa al rinnovo della loro copertura per Enterprise, acquistare Software Assurance per un numero uguale di licenze per SQL Server 2012 Business Intelligence senza dovere acquistare le licenze sottostanti.</w:t>
      </w:r>
      <w:r w:rsidRPr="00D87B79">
        <w:rPr>
          <w:rFonts w:eastAsia="Times New Roman" w:cs="Tahoma"/>
          <w:color w:val="000000"/>
          <w:szCs w:val="18"/>
        </w:rPr>
        <w:t xml:space="preserve"> </w:t>
      </w:r>
      <w:r w:rsidRPr="00D87B79">
        <w:rPr>
          <w:rFonts w:eastAsia="Times New Roman" w:cs="Tahoma"/>
          <w:color w:val="000000"/>
          <w:szCs w:val="18"/>
          <w:lang w:val="it-IT"/>
        </w:rPr>
        <w:t>Acquistando Software Assurance per SQL Server 2012 Business Intelligence in base alla presente offerta, le società non potranno più utilizzare SQL Server Enterprise ai</w:t>
      </w:r>
      <w:r>
        <w:rPr>
          <w:rFonts w:eastAsia="Times New Roman" w:cs="Tahoma"/>
          <w:color w:val="000000"/>
          <w:szCs w:val="18"/>
          <w:lang w:val="it-IT"/>
        </w:rPr>
        <w:t> </w:t>
      </w:r>
      <w:r w:rsidRPr="00D87B79">
        <w:rPr>
          <w:rFonts w:eastAsia="Times New Roman" w:cs="Tahoma"/>
          <w:color w:val="000000"/>
          <w:szCs w:val="18"/>
          <w:lang w:val="it-IT"/>
        </w:rPr>
        <w:t>sensi delle relative licenze qualificanti.</w:t>
      </w:r>
      <w:r w:rsidRPr="00D87B79">
        <w:rPr>
          <w:rFonts w:cs="Tahoma"/>
        </w:rPr>
        <w:t xml:space="preserve"> </w:t>
      </w:r>
      <w:r w:rsidRPr="00D87B79">
        <w:rPr>
          <w:rFonts w:cs="Tahoma"/>
          <w:color w:val="000000"/>
          <w:lang w:val="it-IT"/>
        </w:rPr>
        <w:t>Le società che acquistano Software Assurance per SQL Server Business Intelligence in base alla presente offerta non avranno inoltre la possibilità di ritornare alla copertura SQL Server Enterprise per le loro licenze SQL Server Enterprise qualificanti.</w:t>
      </w:r>
    </w:p>
    <w:p w:rsidR="00A92422" w:rsidRPr="00CE2924" w:rsidRDefault="00A92422" w:rsidP="00A92422">
      <w:pPr>
        <w:ind w:left="720"/>
        <w:rPr>
          <w:rFonts w:cs="Tahoma"/>
          <w:sz w:val="12"/>
          <w:szCs w:val="12"/>
        </w:rPr>
      </w:pPr>
    </w:p>
    <w:p w:rsidR="00A92422" w:rsidRDefault="00A92422" w:rsidP="00A92422">
      <w:pPr>
        <w:rPr>
          <w:rFonts w:cs="Tahoma"/>
          <w:b/>
          <w:color w:val="000000"/>
          <w:lang w:val="it-IT"/>
        </w:rPr>
      </w:pPr>
      <w:r>
        <w:rPr>
          <w:rFonts w:cs="Tahoma"/>
          <w:b/>
          <w:color w:val="000000"/>
          <w:lang w:val="it-IT"/>
        </w:rPr>
        <w:br w:type="page"/>
      </w:r>
    </w:p>
    <w:p w:rsidR="00A92422" w:rsidRPr="00D87B79" w:rsidRDefault="00A92422" w:rsidP="00A92422">
      <w:pPr>
        <w:spacing w:after="60"/>
        <w:ind w:left="720"/>
        <w:rPr>
          <w:rFonts w:cs="Tahoma"/>
        </w:rPr>
      </w:pPr>
      <w:r w:rsidRPr="00D87B79">
        <w:rPr>
          <w:rFonts w:cs="Tahoma"/>
          <w:b/>
          <w:color w:val="000000"/>
          <w:lang w:val="it-IT"/>
        </w:rPr>
        <w:lastRenderedPageBreak/>
        <w:t>Opzioni di Adempimento per SQL Server 2012</w:t>
      </w:r>
    </w:p>
    <w:p w:rsidR="00A92422" w:rsidRPr="00D87B79" w:rsidRDefault="00A92422" w:rsidP="00A92422">
      <w:pPr>
        <w:ind w:left="720"/>
        <w:rPr>
          <w:rFonts w:cs="Tahoma"/>
        </w:rPr>
      </w:pPr>
      <w:r w:rsidRPr="00D87B79">
        <w:rPr>
          <w:rFonts w:eastAsia="Times New Roman" w:cs="Tahoma"/>
          <w:color w:val="000000"/>
          <w:szCs w:val="18"/>
          <w:lang w:val="it-IT"/>
        </w:rPr>
        <w:t>Le società potranno utilizzare solo il software che corrisponde al modello di licenza ai sensi del quale vengono acquistate le licenze per SQL Server.</w:t>
      </w:r>
      <w:r w:rsidRPr="00D87B79">
        <w:rPr>
          <w:rFonts w:eastAsia="Times New Roman" w:cs="Tahoma"/>
          <w:color w:val="000000"/>
          <w:szCs w:val="18"/>
        </w:rPr>
        <w:t xml:space="preserve"> </w:t>
      </w:r>
    </w:p>
    <w:p w:rsidR="00A92422" w:rsidRPr="00CE2924" w:rsidRDefault="00A92422" w:rsidP="00A92422">
      <w:pPr>
        <w:ind w:left="720"/>
        <w:rPr>
          <w:rFonts w:cs="Tahoma"/>
          <w:sz w:val="12"/>
          <w:szCs w:val="12"/>
        </w:rPr>
      </w:pPr>
    </w:p>
    <w:p w:rsidR="00A92422" w:rsidRPr="00D87B79" w:rsidRDefault="00A92422" w:rsidP="00A92422">
      <w:pPr>
        <w:spacing w:after="60"/>
        <w:ind w:left="720"/>
        <w:rPr>
          <w:rFonts w:cs="Tahoma"/>
        </w:rPr>
      </w:pPr>
      <w:r w:rsidRPr="00D87B79">
        <w:rPr>
          <w:rFonts w:cs="Tahoma"/>
          <w:b/>
          <w:color w:val="000000"/>
          <w:lang w:val="it-IT"/>
        </w:rPr>
        <w:t>Opzione Buy-out per SQL Server ai sensi di EAP</w:t>
      </w:r>
    </w:p>
    <w:p w:rsidR="00A92422" w:rsidRPr="00D87B79" w:rsidRDefault="00A92422" w:rsidP="00A92422">
      <w:pPr>
        <w:ind w:left="720"/>
        <w:rPr>
          <w:rFonts w:cs="Tahoma"/>
        </w:rPr>
      </w:pPr>
      <w:r w:rsidRPr="00D87B79">
        <w:rPr>
          <w:rFonts w:cs="Tahoma"/>
          <w:color w:val="000000"/>
          <w:lang w:val="it-IT"/>
        </w:rPr>
        <w:t>Le società avranno la possibilità di rinnovare Software Assurance per le licenze CAL/Server per SQL Server Enterprise dopo il 30 giugno 2012, tuttavia la loro unica opzione buy-out al termine del periodo di validità dell’iscrizione sarà per le licenze core.</w:t>
      </w:r>
    </w:p>
    <w:p w:rsidR="00A92422" w:rsidRPr="00CE2924" w:rsidRDefault="00A92422" w:rsidP="00A92422">
      <w:pPr>
        <w:ind w:left="720"/>
        <w:rPr>
          <w:rFonts w:cs="Tahoma"/>
          <w:sz w:val="12"/>
          <w:szCs w:val="12"/>
        </w:rPr>
      </w:pPr>
    </w:p>
    <w:p w:rsidR="00A92422" w:rsidRPr="00D87B79" w:rsidRDefault="00A92422" w:rsidP="00A92422">
      <w:pPr>
        <w:spacing w:after="60"/>
        <w:ind w:left="720"/>
        <w:rPr>
          <w:rFonts w:cs="Tahoma"/>
        </w:rPr>
      </w:pPr>
      <w:r w:rsidRPr="00D87B79">
        <w:rPr>
          <w:rFonts w:cs="Tahoma"/>
          <w:b/>
          <w:color w:val="000000"/>
          <w:lang w:val="it-IT"/>
        </w:rPr>
        <w:t>Utilizzo Continuativo di SQL Server 2008 R2 Enterprise</w:t>
      </w:r>
    </w:p>
    <w:p w:rsidR="00A92422" w:rsidRPr="00D87B79" w:rsidRDefault="00A92422" w:rsidP="00A92422">
      <w:pPr>
        <w:ind w:left="720"/>
        <w:rPr>
          <w:rFonts w:cs="Tahoma"/>
        </w:rPr>
      </w:pPr>
      <w:r w:rsidRPr="00D87B79">
        <w:rPr>
          <w:rFonts w:cs="Tahoma"/>
          <w:color w:val="000000"/>
          <w:lang w:val="it-IT"/>
        </w:rPr>
        <w:t>Le società con Software Assurance</w:t>
      </w:r>
      <w:r w:rsidRPr="00D87B79">
        <w:rPr>
          <w:rFonts w:cs="Tahoma"/>
          <w:b/>
          <w:color w:val="000000"/>
          <w:lang w:val="it-IT"/>
        </w:rPr>
        <w:t xml:space="preserve"> </w:t>
      </w:r>
      <w:r w:rsidRPr="00D87B79">
        <w:rPr>
          <w:rFonts w:cs="Tahoma"/>
          <w:color w:val="000000"/>
          <w:lang w:val="it-IT"/>
        </w:rPr>
        <w:t>che continuano a utilizzare SQL Server 2008 R2 Enterprise ai sensi di licenze acquistate in base al contratto o all’iscrizione in vigore il 1 aprile 2012 potranno usare il software in</w:t>
      </w:r>
      <w:r>
        <w:rPr>
          <w:rFonts w:cs="Tahoma"/>
          <w:color w:val="000000"/>
          <w:lang w:val="it-IT"/>
        </w:rPr>
        <w:t> </w:t>
      </w:r>
      <w:r w:rsidRPr="00D87B79">
        <w:rPr>
          <w:rFonts w:cs="Tahoma"/>
          <w:color w:val="000000"/>
          <w:lang w:val="it-IT"/>
        </w:rPr>
        <w:t>conformità ai diritti sull’utilizzo di SQL Server 2008 R2 Enterprise durante il periodo di validità corrente ed</w:t>
      </w:r>
      <w:r>
        <w:rPr>
          <w:rFonts w:cs="Tahoma"/>
          <w:color w:val="000000"/>
          <w:lang w:val="it-IT"/>
        </w:rPr>
        <w:t> </w:t>
      </w:r>
      <w:r w:rsidRPr="00D87B79">
        <w:rPr>
          <w:rFonts w:cs="Tahoma"/>
          <w:color w:val="000000"/>
          <w:lang w:val="it-IT"/>
        </w:rPr>
        <w:t>eventuali periodi di rinnovo.</w:t>
      </w:r>
      <w:r w:rsidRPr="00D87B79">
        <w:rPr>
          <w:rFonts w:cs="Tahoma"/>
        </w:rPr>
        <w:t xml:space="preserve"> </w:t>
      </w:r>
      <w:r w:rsidRPr="00D87B79">
        <w:rPr>
          <w:rFonts w:cs="Tahoma"/>
          <w:color w:val="000000"/>
          <w:lang w:val="it-IT"/>
        </w:rPr>
        <w:t>Le società che utilizzano SQL Server 2008 R2 Enterprise in conformità ai</w:t>
      </w:r>
      <w:r>
        <w:rPr>
          <w:rFonts w:cs="Tahoma"/>
          <w:color w:val="000000"/>
          <w:lang w:val="it-IT"/>
        </w:rPr>
        <w:t> </w:t>
      </w:r>
      <w:r w:rsidRPr="00D87B79">
        <w:rPr>
          <w:rFonts w:cs="Tahoma"/>
          <w:color w:val="000000"/>
          <w:lang w:val="it-IT"/>
        </w:rPr>
        <w:t>diritti di downgrade ai sensi di licenze acquistate dopo il rinnovo della copertura dovranno utilizzare il</w:t>
      </w:r>
      <w:r>
        <w:rPr>
          <w:rFonts w:cs="Tahoma"/>
          <w:color w:val="000000"/>
          <w:lang w:val="it-IT"/>
        </w:rPr>
        <w:t> </w:t>
      </w:r>
      <w:r w:rsidRPr="00D87B79">
        <w:rPr>
          <w:rFonts w:cs="Tahoma"/>
          <w:color w:val="000000"/>
          <w:lang w:val="it-IT"/>
        </w:rPr>
        <w:t>software in base ai diritti sull’utilizzo per la versione ottenuta in licenza.</w:t>
      </w:r>
    </w:p>
    <w:p w:rsidR="00A92422" w:rsidRPr="00CE2924" w:rsidRDefault="00A92422" w:rsidP="00A92422">
      <w:pPr>
        <w:ind w:left="720"/>
        <w:rPr>
          <w:rFonts w:cs="Tahoma"/>
          <w:sz w:val="12"/>
          <w:szCs w:val="12"/>
        </w:rPr>
      </w:pPr>
    </w:p>
    <w:p w:rsidR="00A92422" w:rsidRPr="00D87B79" w:rsidRDefault="00A92422" w:rsidP="00A92422">
      <w:pPr>
        <w:spacing w:after="60"/>
        <w:ind w:left="720"/>
        <w:rPr>
          <w:rFonts w:cs="Tahoma"/>
        </w:rPr>
      </w:pPr>
      <w:r w:rsidRPr="00D87B79">
        <w:rPr>
          <w:rFonts w:cs="Tahoma"/>
          <w:b/>
          <w:color w:val="000000"/>
          <w:lang w:val="it-IT"/>
        </w:rPr>
        <w:t>Per le società con sede nella Repubblica popolare cinese, dove acquistano licenze e Software Assurance per SQL Server 2008 R2</w:t>
      </w:r>
    </w:p>
    <w:p w:rsidR="00A92422" w:rsidRPr="00D87B79" w:rsidRDefault="00A92422" w:rsidP="00A92422">
      <w:pPr>
        <w:ind w:left="720"/>
        <w:rPr>
          <w:rFonts w:cs="Tahoma"/>
        </w:rPr>
      </w:pPr>
      <w:r w:rsidRPr="00D87B79">
        <w:rPr>
          <w:rFonts w:cs="Tahoma"/>
          <w:lang w:val="it-IT"/>
        </w:rPr>
        <w:t>non si applicano i riferimenti al 1 aprile 2012 presenti in questa nota relativa alla lista dei prodotti.</w:t>
      </w:r>
      <w:r w:rsidRPr="00D87B79">
        <w:rPr>
          <w:rFonts w:cs="Tahoma"/>
        </w:rPr>
        <w:t xml:space="preserve"> </w:t>
      </w:r>
      <w:r w:rsidRPr="00D87B79">
        <w:rPr>
          <w:rFonts w:cs="Tahoma"/>
          <w:lang w:val="it-IT"/>
        </w:rPr>
        <w:t>La data applicabile per queste società sarebbe il 1 luglio 2012.</w:t>
      </w:r>
    </w:p>
    <w:p w:rsidR="00A92422" w:rsidRPr="00D87B79" w:rsidRDefault="00A92422" w:rsidP="00A92422">
      <w:pPr>
        <w:rPr>
          <w:rFonts w:cs="Tahoma"/>
        </w:rPr>
      </w:pPr>
    </w:p>
    <w:p w:rsidR="00A92422" w:rsidRPr="00D87B79" w:rsidRDefault="00A92422" w:rsidP="00A92422">
      <w:pPr>
        <w:pStyle w:val="Heading3"/>
        <w:rPr>
          <w:rFonts w:ascii="Tahoma" w:hAnsi="Tahoma" w:cs="Tahoma"/>
        </w:rPr>
      </w:pPr>
      <w:bookmarkStart w:id="1444" w:name="_Toc336338347"/>
      <w:bookmarkStart w:id="1445" w:name="Srv_89SQLServer2012EnterpriseCore"/>
      <w:bookmarkStart w:id="1446" w:name="_78_SQL_Server®"/>
      <w:bookmarkStart w:id="1447" w:name="_Toc342900388"/>
      <w:bookmarkEnd w:id="1444"/>
      <w:bookmarkEnd w:id="1445"/>
      <w:bookmarkEnd w:id="1446"/>
      <w:r w:rsidRPr="00D87B79">
        <w:rPr>
          <w:rFonts w:ascii="Tahoma" w:hAnsi="Tahoma" w:cs="Tahoma"/>
          <w:caps/>
          <w:color w:val="F66400"/>
          <w:sz w:val="22"/>
          <w:vertAlign w:val="superscript"/>
          <w:lang w:val="it-IT"/>
        </w:rPr>
        <w:t>78</w:t>
      </w:r>
      <w:r w:rsidRPr="00CF77FE">
        <w:rPr>
          <w:rFonts w:ascii="Tahoma" w:hAnsi="Tahoma" w:cs="Tahoma"/>
          <w:caps/>
          <w:color w:val="F66400"/>
          <w:sz w:val="22"/>
          <w:lang w:val="it-IT"/>
        </w:rPr>
        <w:t xml:space="preserve"> </w:t>
      </w:r>
      <w:r w:rsidRPr="00D87B79">
        <w:rPr>
          <w:rFonts w:ascii="Tahoma" w:hAnsi="Tahoma" w:cs="Tahoma"/>
          <w:color w:val="F66400"/>
          <w:sz w:val="22"/>
          <w:lang w:val="it-IT"/>
        </w:rPr>
        <w:t>SQL Server</w:t>
      </w:r>
      <w:r w:rsidRPr="003A0F2F">
        <w:rPr>
          <w:rFonts w:ascii="Tahoma" w:hAnsi="Tahoma" w:cs="Tahoma"/>
          <w:color w:val="F66400"/>
          <w:sz w:val="22"/>
          <w:vertAlign w:val="superscript"/>
          <w:lang w:val="it-IT"/>
        </w:rPr>
        <w:t>®</w:t>
      </w:r>
      <w:r w:rsidRPr="00D87B79">
        <w:rPr>
          <w:rFonts w:ascii="Tahoma" w:hAnsi="Tahoma" w:cs="Tahoma"/>
          <w:color w:val="F66400"/>
          <w:sz w:val="22"/>
          <w:lang w:val="it-IT"/>
        </w:rPr>
        <w:t xml:space="preserve"> 2012 Enterprise Core</w:t>
      </w:r>
      <w:bookmarkEnd w:id="1447"/>
    </w:p>
    <w:p w:rsidR="00A92422" w:rsidRPr="00C47EDD" w:rsidRDefault="00A92422" w:rsidP="00A92422">
      <w:pPr>
        <w:pStyle w:val="EndnoteText"/>
        <w:rPr>
          <w:rFonts w:ascii="Tahoma" w:hAnsi="Tahoma" w:cs="Tahoma"/>
          <w:sz w:val="18"/>
          <w:szCs w:val="18"/>
        </w:rPr>
      </w:pPr>
    </w:p>
    <w:p w:rsidR="00A92422" w:rsidRPr="00D87B79" w:rsidRDefault="00A92422" w:rsidP="00A92422">
      <w:pPr>
        <w:spacing w:after="60"/>
        <w:ind w:left="720"/>
        <w:rPr>
          <w:rFonts w:cs="Tahoma"/>
        </w:rPr>
      </w:pPr>
      <w:r w:rsidRPr="00D87B79">
        <w:rPr>
          <w:rFonts w:cs="Tahoma"/>
          <w:b/>
          <w:color w:val="000000"/>
          <w:lang w:val="it-IT"/>
        </w:rPr>
        <w:t>Estensione dei Diritti sull’Utilizzo per la Virtualizzazione Illimitata per SQL Server 2008 R2 Enterprise (per processore)</w:t>
      </w:r>
    </w:p>
    <w:p w:rsidR="00A92422" w:rsidRPr="00D87B79" w:rsidRDefault="00A92422" w:rsidP="00A92422">
      <w:pPr>
        <w:ind w:left="720"/>
        <w:rPr>
          <w:rFonts w:cs="Tahoma"/>
        </w:rPr>
      </w:pPr>
      <w:r w:rsidRPr="00D87B79">
        <w:rPr>
          <w:rFonts w:eastAsia="Times New Roman" w:cs="Tahoma"/>
          <w:color w:val="000000"/>
          <w:szCs w:val="18"/>
          <w:lang w:val="it-IT"/>
        </w:rPr>
        <w:t>Nonostante eventuali disposizioni contrarie previste nei Diritti di Utilizzo del Prodotto o nelle versioni precedenti della Lista dei Prodotti, qualora una società abbia ottenuto in licenza tutti i processori fisici su un</w:t>
      </w:r>
      <w:r>
        <w:rPr>
          <w:rFonts w:eastAsia="Times New Roman" w:cs="Tahoma"/>
          <w:color w:val="000000"/>
          <w:szCs w:val="18"/>
          <w:lang w:val="it-IT"/>
        </w:rPr>
        <w:t> </w:t>
      </w:r>
      <w:r w:rsidRPr="00D87B79">
        <w:rPr>
          <w:rFonts w:eastAsia="Times New Roman" w:cs="Tahoma"/>
          <w:color w:val="000000"/>
          <w:szCs w:val="18"/>
          <w:lang w:val="it-IT"/>
        </w:rPr>
        <w:t>server con licenza e mantenga la copertura Software Assurance attiva su tali licenze, potrà continuare a</w:t>
      </w:r>
      <w:r>
        <w:rPr>
          <w:rFonts w:eastAsia="Times New Roman" w:cs="Tahoma"/>
          <w:color w:val="000000"/>
          <w:szCs w:val="18"/>
          <w:lang w:val="it-IT"/>
        </w:rPr>
        <w:t> </w:t>
      </w:r>
      <w:r w:rsidRPr="00D87B79">
        <w:rPr>
          <w:rFonts w:eastAsia="Times New Roman" w:cs="Tahoma"/>
          <w:color w:val="000000"/>
          <w:szCs w:val="18"/>
          <w:lang w:val="it-IT"/>
        </w:rPr>
        <w:t>eseguire il software server in un numero illimitato di ambienti del sistema operativo su quel server.</w:t>
      </w:r>
      <w:r w:rsidRPr="00D87B79">
        <w:rPr>
          <w:rFonts w:eastAsia="Times New Roman" w:cs="Tahoma"/>
          <w:color w:val="000000"/>
          <w:szCs w:val="18"/>
        </w:rPr>
        <w:t xml:space="preserve"> </w:t>
      </w:r>
    </w:p>
    <w:p w:rsidR="00A92422"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color w:val="000000"/>
          <w:lang w:val="it-IT"/>
        </w:rPr>
        <w:t>Concessioni di Licenza Associate alla Variazione del Modello di Licenza</w:t>
      </w:r>
    </w:p>
    <w:p w:rsidR="00A92422" w:rsidRPr="00CE2924" w:rsidRDefault="00A92422" w:rsidP="00A92422">
      <w:pPr>
        <w:ind w:left="720"/>
        <w:rPr>
          <w:rFonts w:cs="Tahoma"/>
        </w:rPr>
      </w:pPr>
      <w:r w:rsidRPr="00CE2924">
        <w:rPr>
          <w:rFonts w:eastAsia="Times New Roman" w:cs="Tahoma"/>
          <w:color w:val="000000"/>
          <w:szCs w:val="18"/>
          <w:lang w:val="it-IT"/>
        </w:rPr>
        <w:t>SQL Server 2008 R2 sarà l’ultima versione di SQL Server concessa in licenza ai sensi del modello di licenza per processore.</w:t>
      </w:r>
      <w:r w:rsidRPr="00CE2924">
        <w:rPr>
          <w:rFonts w:eastAsia="Times New Roman" w:cs="Tahoma"/>
          <w:color w:val="000000"/>
          <w:szCs w:val="18"/>
        </w:rPr>
        <w:t xml:space="preserve"> </w:t>
      </w:r>
      <w:r w:rsidRPr="00CE2924">
        <w:rPr>
          <w:rFonts w:eastAsia="Times New Roman" w:cs="Tahoma"/>
          <w:color w:val="000000"/>
          <w:szCs w:val="18"/>
          <w:lang w:val="it-IT"/>
        </w:rPr>
        <w:t>In via eccezionale, alle società con contratti multilicenza e copertura Software Assurance attiva per le licenze per processore per SQL Server 2008 R2 Enterprise in data 1 aprile 2012 (“licenze qualificanti”) vengono offerte le opzioni che seguono.</w:t>
      </w:r>
      <w:r w:rsidRPr="00CE2924">
        <w:rPr>
          <w:rFonts w:cs="Tahoma"/>
        </w:rPr>
        <w:t xml:space="preserve"> </w:t>
      </w:r>
      <w:r w:rsidRPr="00CE2924">
        <w:rPr>
          <w:rFonts w:cs="Tahoma"/>
          <w:color w:val="000000"/>
          <w:lang w:val="it-IT"/>
        </w:rPr>
        <w:t>Le licenze per processore per SQL Server 2008 R2 Enterprise acquistate successivamente nello stesso periodo di validità dell’iscrizione, ma prima del 1 aprile 2015 nell’ambito di una procedura pianificata di true-up della società Enterprise, Enterprise Subscription, Open Value Subscription o EES, sono anch’esse licenze qualificanti per gli scopi previsti da tali opzioni.</w:t>
      </w:r>
      <w:r w:rsidRPr="00CE2924">
        <w:rPr>
          <w:rFonts w:cs="Tahoma"/>
        </w:rPr>
        <w:t xml:space="preserve"> </w:t>
      </w:r>
      <w:r w:rsidRPr="00CE2924">
        <w:rPr>
          <w:rFonts w:cs="Tahoma"/>
          <w:color w:val="000000"/>
          <w:lang w:val="it-IT"/>
        </w:rPr>
        <w:t>Le icenze acquistate dopo il 1 aprile 2015, o in un periodo di validità dell’iscrizione successivo, ai sensi di un contratto distinto o di un’iscrizione con la data di entrata in vigore posteriore al 1 aprile 2012, non sono licenze qualificanti.</w:t>
      </w:r>
    </w:p>
    <w:p w:rsidR="00A92422" w:rsidRPr="00D87B79" w:rsidRDefault="00A92422" w:rsidP="00A92422">
      <w:pPr>
        <w:spacing w:after="60"/>
        <w:ind w:left="720"/>
        <w:rPr>
          <w:rFonts w:cs="Tahoma"/>
        </w:rPr>
      </w:pPr>
      <w:r w:rsidRPr="00D87B79">
        <w:rPr>
          <w:rFonts w:cs="Tahoma"/>
          <w:b/>
          <w:color w:val="000000"/>
          <w:lang w:val="it-IT"/>
        </w:rPr>
        <w:t>Periodo di Validità Corrente</w:t>
      </w:r>
    </w:p>
    <w:p w:rsidR="00A92422" w:rsidRPr="00D87B79" w:rsidRDefault="00A92422" w:rsidP="00A92422">
      <w:pPr>
        <w:ind w:left="720"/>
        <w:rPr>
          <w:rFonts w:cs="Tahoma"/>
        </w:rPr>
      </w:pPr>
      <w:r w:rsidRPr="00D87B79">
        <w:rPr>
          <w:rFonts w:eastAsia="Times New Roman" w:cs="Tahoma"/>
          <w:color w:val="000000"/>
          <w:szCs w:val="18"/>
          <w:lang w:val="it-IT"/>
        </w:rPr>
        <w:t>durante il periodo di validità corrente della copertura Software Assurance a partire dal 1 aprile 2012 le società (incluse le società titolari di contratti “subscription”) potranno, ai sensi di una licenza qualificante, effettuare l’aggiornamento al software SQL Server 2012 Enterprise Core e utilizzarlo al posto di SQL Server 2008 R2 Enterprise in conformità ai diritti di utilizzo del prodotto previsti dalla licenza per processore SQL Server 2008 R2 Enterprise (come indicato nei Diritti di Utilizzo del Prodotto del mese di gennaio 2012).</w:t>
      </w:r>
      <w:r w:rsidRPr="00D87B79">
        <w:rPr>
          <w:rFonts w:eastAsia="Times New Roman" w:cs="Tahoma"/>
          <w:color w:val="000000"/>
          <w:szCs w:val="18"/>
        </w:rPr>
        <w:t xml:space="preserve"> </w:t>
      </w:r>
    </w:p>
    <w:p w:rsidR="00A92422" w:rsidRPr="00CE2924" w:rsidRDefault="00A92422" w:rsidP="00A92422">
      <w:pPr>
        <w:ind w:left="720"/>
        <w:rPr>
          <w:rFonts w:cs="Tahoma"/>
          <w:sz w:val="12"/>
          <w:szCs w:val="12"/>
        </w:rPr>
      </w:pPr>
    </w:p>
    <w:p w:rsidR="00A92422" w:rsidRPr="00D87B79" w:rsidRDefault="00A92422" w:rsidP="00A92422">
      <w:pPr>
        <w:spacing w:after="60"/>
        <w:ind w:left="720"/>
        <w:rPr>
          <w:rFonts w:cs="Tahoma"/>
        </w:rPr>
      </w:pPr>
      <w:r w:rsidRPr="00D87B79">
        <w:rPr>
          <w:rFonts w:cs="Tahoma"/>
          <w:b/>
          <w:color w:val="000000"/>
          <w:lang w:val="it-IT"/>
        </w:rPr>
        <w:t>Primo Periodo di Rinnovo (prima del 1 aprile 2015)</w:t>
      </w:r>
    </w:p>
    <w:p w:rsidR="00A92422" w:rsidRPr="00D87B79" w:rsidRDefault="00A92422" w:rsidP="00A92422">
      <w:pPr>
        <w:tabs>
          <w:tab w:val="left" w:pos="1440"/>
        </w:tabs>
        <w:ind w:left="720"/>
        <w:rPr>
          <w:rFonts w:cs="Tahoma"/>
        </w:rPr>
      </w:pPr>
      <w:r w:rsidRPr="00D87B79">
        <w:rPr>
          <w:rFonts w:cs="Tahoma"/>
          <w:color w:val="000000"/>
          <w:lang w:val="it-IT"/>
        </w:rPr>
        <w:t>in occasione del primo rinnovo di Software Assurance in data 1 aprile 2012 o successiva (ma prima del 1</w:t>
      </w:r>
      <w:r>
        <w:rPr>
          <w:rFonts w:cs="Tahoma"/>
          <w:color w:val="000000"/>
          <w:lang w:val="it-IT"/>
        </w:rPr>
        <w:t> </w:t>
      </w:r>
      <w:r w:rsidRPr="00D87B79">
        <w:rPr>
          <w:rFonts w:cs="Tahoma"/>
          <w:color w:val="000000"/>
          <w:lang w:val="it-IT"/>
        </w:rPr>
        <w:t>aprile 2015), per ogni server che una società ha ricevuto validamente in licenza in conformità ai diritti di utilizzo del prodotto previsti dalla licenza per processore SQL Server 2008 R2, la società potrà acquistare la</w:t>
      </w:r>
      <w:r>
        <w:rPr>
          <w:rFonts w:cs="Tahoma"/>
          <w:color w:val="000000"/>
          <w:lang w:val="it-IT"/>
        </w:rPr>
        <w:t> </w:t>
      </w:r>
      <w:r w:rsidRPr="00D87B79">
        <w:rPr>
          <w:rFonts w:cs="Tahoma"/>
          <w:color w:val="000000"/>
          <w:lang w:val="it-IT"/>
        </w:rPr>
        <w:t>copertura Software Assurance per le licenze core per SQL Server Enterprise senza dovere acquistare le</w:t>
      </w:r>
      <w:r>
        <w:rPr>
          <w:rFonts w:cs="Tahoma"/>
          <w:color w:val="000000"/>
          <w:lang w:val="it-IT"/>
        </w:rPr>
        <w:t> </w:t>
      </w:r>
      <w:r w:rsidRPr="00D87B79">
        <w:rPr>
          <w:rFonts w:cs="Tahoma"/>
          <w:color w:val="000000"/>
          <w:lang w:val="it-IT"/>
        </w:rPr>
        <w:t>licenze core sottostanti per un numero di licenze core pari alla somma di (a) e (b):</w:t>
      </w:r>
    </w:p>
    <w:p w:rsidR="00A92422" w:rsidRPr="00D87B79" w:rsidRDefault="00A92422" w:rsidP="00A92422">
      <w:pPr>
        <w:numPr>
          <w:ilvl w:val="0"/>
          <w:numId w:val="122"/>
        </w:numPr>
        <w:tabs>
          <w:tab w:val="left" w:pos="1800"/>
        </w:tabs>
        <w:spacing w:after="60"/>
        <w:ind w:left="1440"/>
        <w:rPr>
          <w:rFonts w:cs="Tahoma"/>
        </w:rPr>
      </w:pPr>
      <w:r w:rsidRPr="00D87B79">
        <w:rPr>
          <w:rFonts w:cs="Tahoma"/>
          <w:color w:val="000000"/>
          <w:lang w:val="it-IT"/>
        </w:rPr>
        <w:t>un numero pari al numero minore delle licenze qualificanti cedute al server o al numero totale dei</w:t>
      </w:r>
      <w:r>
        <w:rPr>
          <w:rFonts w:cs="Tahoma"/>
          <w:color w:val="000000"/>
          <w:lang w:val="it-IT"/>
        </w:rPr>
        <w:t> </w:t>
      </w:r>
      <w:r w:rsidRPr="00D87B79">
        <w:rPr>
          <w:rFonts w:cs="Tahoma"/>
          <w:color w:val="000000"/>
          <w:lang w:val="it-IT"/>
        </w:rPr>
        <w:t>processori fisici sul server moltiplicato per il maggiore tra:</w:t>
      </w:r>
      <w:r w:rsidRPr="00D87B79">
        <w:rPr>
          <w:rFonts w:eastAsia="Times New Roman" w:cs="Tahoma"/>
          <w:color w:val="000000"/>
          <w:szCs w:val="18"/>
        </w:rPr>
        <w:t xml:space="preserve"> </w:t>
      </w:r>
    </w:p>
    <w:p w:rsidR="00A92422" w:rsidRPr="00D87B79" w:rsidRDefault="00A92422" w:rsidP="00A92422">
      <w:pPr>
        <w:numPr>
          <w:ilvl w:val="3"/>
          <w:numId w:val="110"/>
        </w:numPr>
        <w:tabs>
          <w:tab w:val="left" w:pos="2160"/>
        </w:tabs>
        <w:spacing w:after="60"/>
        <w:ind w:left="2160"/>
        <w:rPr>
          <w:rFonts w:cs="Tahoma"/>
        </w:rPr>
      </w:pPr>
      <w:r w:rsidRPr="00D87B79">
        <w:rPr>
          <w:rFonts w:cs="Tahoma"/>
          <w:color w:val="000000"/>
          <w:lang w:val="it-IT"/>
        </w:rPr>
        <w:t>quattro O</w:t>
      </w:r>
    </w:p>
    <w:p w:rsidR="00A92422" w:rsidRPr="00D87B79" w:rsidRDefault="00A92422" w:rsidP="00A92422">
      <w:pPr>
        <w:numPr>
          <w:ilvl w:val="3"/>
          <w:numId w:val="110"/>
        </w:numPr>
        <w:tabs>
          <w:tab w:val="left" w:pos="2160"/>
        </w:tabs>
        <w:spacing w:after="60"/>
        <w:ind w:left="2160"/>
        <w:rPr>
          <w:rFonts w:cs="Tahoma"/>
        </w:rPr>
      </w:pPr>
      <w:r w:rsidRPr="00D87B79">
        <w:rPr>
          <w:rFonts w:eastAsia="Times New Roman" w:cs="Tahoma"/>
          <w:color w:val="000000"/>
          <w:szCs w:val="18"/>
          <w:lang w:val="it-IT"/>
        </w:rPr>
        <w:lastRenderedPageBreak/>
        <w:t>il numero effettivo di core per processore fisico moltiplicato per il fattore core appropriato.</w:t>
      </w:r>
      <w:r w:rsidRPr="00D87B79">
        <w:rPr>
          <w:rFonts w:eastAsia="Times New Roman" w:cs="Tahoma"/>
          <w:color w:val="000000"/>
          <w:szCs w:val="18"/>
        </w:rPr>
        <w:t xml:space="preserve"> </w:t>
      </w:r>
      <w:r w:rsidRPr="00D87B79">
        <w:rPr>
          <w:rFonts w:eastAsia="Times New Roman" w:cs="Tahoma"/>
          <w:color w:val="000000"/>
          <w:szCs w:val="18"/>
          <w:lang w:val="it-IT"/>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l’hardware fisico che supporta tale software appena prima del rinnovo di Software Assurance utilizzando lo strumento MAP di Microsoft o un software equivalente).</w:t>
      </w:r>
      <w:r w:rsidRPr="00D87B79">
        <w:rPr>
          <w:rFonts w:eastAsia="Times New Roman" w:cs="Tahoma"/>
          <w:color w:val="000000"/>
          <w:szCs w:val="18"/>
        </w:rPr>
        <w:t xml:space="preserve"> </w:t>
      </w:r>
    </w:p>
    <w:p w:rsidR="00A92422" w:rsidRPr="00D87B79" w:rsidRDefault="00A92422" w:rsidP="00A92422">
      <w:pPr>
        <w:numPr>
          <w:ilvl w:val="0"/>
          <w:numId w:val="122"/>
        </w:numPr>
        <w:tabs>
          <w:tab w:val="left" w:pos="1800"/>
        </w:tabs>
        <w:spacing w:after="60"/>
        <w:ind w:left="1440"/>
        <w:rPr>
          <w:rFonts w:cs="Tahoma"/>
        </w:rPr>
      </w:pPr>
      <w:r w:rsidRPr="00D87B79">
        <w:rPr>
          <w:rFonts w:cs="Tahoma"/>
          <w:color w:val="000000"/>
          <w:lang w:val="it-IT"/>
        </w:rPr>
        <w:t>un numero pari al numero di licenze qualificanti cedute al server oltre al numero effettivo di</w:t>
      </w:r>
      <w:r>
        <w:rPr>
          <w:rFonts w:cs="Tahoma"/>
          <w:color w:val="000000"/>
          <w:lang w:val="it-IT"/>
        </w:rPr>
        <w:t> </w:t>
      </w:r>
      <w:r w:rsidRPr="00D87B79">
        <w:rPr>
          <w:rFonts w:cs="Tahoma"/>
          <w:color w:val="000000"/>
          <w:lang w:val="it-IT"/>
        </w:rPr>
        <w:t>processori fisici sul server moltiplicato per quattro.</w:t>
      </w:r>
    </w:p>
    <w:p w:rsidR="00A92422" w:rsidRPr="00CE2924" w:rsidRDefault="00A92422" w:rsidP="00A92422">
      <w:pPr>
        <w:tabs>
          <w:tab w:val="left" w:pos="1800"/>
        </w:tabs>
        <w:ind w:left="1080"/>
        <w:rPr>
          <w:rFonts w:cs="Tahoma"/>
          <w:sz w:val="12"/>
          <w:szCs w:val="12"/>
        </w:rPr>
      </w:pPr>
    </w:p>
    <w:p w:rsidR="00A92422" w:rsidRPr="00D87B79" w:rsidRDefault="00A92422" w:rsidP="00A92422">
      <w:pPr>
        <w:spacing w:after="60"/>
        <w:ind w:left="720"/>
        <w:rPr>
          <w:rFonts w:cs="Tahoma"/>
        </w:rPr>
      </w:pPr>
      <w:r w:rsidRPr="00D87B79">
        <w:rPr>
          <w:rFonts w:cs="Tahoma"/>
          <w:b/>
          <w:color w:val="000000"/>
          <w:lang w:val="it-IT"/>
        </w:rPr>
        <w:t>Primo Periodo di Rinnovo (in data 1 aprile 2015 o successiva)</w:t>
      </w:r>
    </w:p>
    <w:p w:rsidR="00A92422" w:rsidRPr="00D87B79" w:rsidRDefault="00A92422" w:rsidP="00A92422">
      <w:pPr>
        <w:ind w:left="720"/>
        <w:rPr>
          <w:rFonts w:cs="Tahoma"/>
        </w:rPr>
      </w:pPr>
      <w:r w:rsidRPr="00D87B79">
        <w:rPr>
          <w:rFonts w:cs="Tahoma"/>
          <w:lang w:val="it-IT"/>
        </w:rPr>
        <w:t>le società che rinnovano per la prima volta la copertura in data 1 aprile 2015 potranno, per ogni server ottenuto in licenza in conformità ai diritti di utilizzo del prodotto previsti dalla licenza per processore SQL</w:t>
      </w:r>
      <w:r>
        <w:rPr>
          <w:rFonts w:cs="Tahoma"/>
          <w:lang w:val="it-IT"/>
        </w:rPr>
        <w:t> </w:t>
      </w:r>
      <w:r w:rsidRPr="00D87B79">
        <w:rPr>
          <w:rFonts w:cs="Tahoma"/>
          <w:lang w:val="it-IT"/>
        </w:rPr>
        <w:t>Server 2008 R2, acquistare la copertura Software Assurance come di seguito indicato:</w:t>
      </w:r>
    </w:p>
    <w:p w:rsidR="00A92422" w:rsidRPr="00D87B79" w:rsidRDefault="00A92422" w:rsidP="00A92422">
      <w:pPr>
        <w:ind w:left="720"/>
        <w:rPr>
          <w:rFonts w:cs="Tahoma"/>
        </w:rPr>
      </w:pPr>
    </w:p>
    <w:p w:rsidR="00A92422" w:rsidRPr="00D87B79" w:rsidRDefault="00A92422" w:rsidP="00A92422">
      <w:pPr>
        <w:numPr>
          <w:ilvl w:val="3"/>
          <w:numId w:val="111"/>
        </w:numPr>
        <w:spacing w:after="60"/>
        <w:ind w:left="1440" w:hanging="360"/>
        <w:rPr>
          <w:rFonts w:cs="Tahoma"/>
        </w:rPr>
      </w:pPr>
      <w:r w:rsidRPr="00D87B79">
        <w:rPr>
          <w:rFonts w:cs="Tahoma"/>
          <w:lang w:val="it-IT"/>
        </w:rPr>
        <w:t>come stabilito nel primo paragrafo di questa nota relativa al prodotto, le licenze acquistate prima del 1 aprile 2015 sono licenze qualificanti e le società potranno rinnovare la copertura Software Assurance in base alle condizioni riportate nel precedente Articolo “Primo Periodo di Rinnovo (prima</w:t>
      </w:r>
      <w:r>
        <w:rPr>
          <w:rFonts w:cs="Tahoma"/>
          <w:lang w:val="it-IT"/>
        </w:rPr>
        <w:t> </w:t>
      </w:r>
      <w:r w:rsidRPr="00D87B79">
        <w:rPr>
          <w:rFonts w:cs="Tahoma"/>
          <w:lang w:val="it-IT"/>
        </w:rPr>
        <w:t>del 1 aprile 2015)” e</w:t>
      </w:r>
      <w:r w:rsidRPr="00D87B79">
        <w:rPr>
          <w:rFonts w:cs="Tahoma"/>
        </w:rPr>
        <w:t xml:space="preserve"> </w:t>
      </w:r>
    </w:p>
    <w:p w:rsidR="00A92422" w:rsidRPr="00D87B79" w:rsidRDefault="00A92422" w:rsidP="00A92422">
      <w:pPr>
        <w:numPr>
          <w:ilvl w:val="3"/>
          <w:numId w:val="111"/>
        </w:numPr>
        <w:spacing w:after="60"/>
        <w:ind w:left="1440" w:hanging="360"/>
        <w:rPr>
          <w:rFonts w:cs="Tahoma"/>
        </w:rPr>
      </w:pPr>
      <w:r w:rsidRPr="00D87B79">
        <w:rPr>
          <w:rFonts w:cs="Tahoma"/>
          <w:lang w:val="it-IT"/>
        </w:rPr>
        <w:t>per le licenze acquistate dopo il 1 aprile 2015 le società potranno rinnovare la copertura Software Assurance per otto licenze core per SQL Server Enterprise senza dover acquistare le licenze core sottostanti per ogni licenza per processore per SQL Server 2008 R2 Enterprise.</w:t>
      </w:r>
      <w:r w:rsidRPr="00D87B79">
        <w:rPr>
          <w:rFonts w:cs="Tahoma"/>
        </w:rPr>
        <w:t xml:space="preserve"> </w:t>
      </w:r>
      <w:r w:rsidRPr="00D87B79">
        <w:rPr>
          <w:rFonts w:cs="Tahoma"/>
          <w:lang w:val="it-IT"/>
        </w:rPr>
        <w:t>Per l’utilizzo continuativo di SQL Server 2012 su processori che richiedono più di quattro licenze core per processore la società deve acquistare le licenze core aggiuntive.</w:t>
      </w:r>
    </w:p>
    <w:p w:rsidR="00A92422" w:rsidRPr="00D87B79" w:rsidRDefault="00A92422" w:rsidP="00A92422">
      <w:pPr>
        <w:numPr>
          <w:ilvl w:val="0"/>
          <w:numId w:val="90"/>
        </w:numPr>
        <w:spacing w:after="60"/>
        <w:ind w:left="1440"/>
        <w:rPr>
          <w:rFonts w:cs="Tahoma"/>
        </w:rPr>
      </w:pPr>
      <w:r w:rsidRPr="00D87B79">
        <w:rPr>
          <w:rFonts w:eastAsia="Times New Roman" w:cs="Tahoma"/>
          <w:color w:val="000000"/>
          <w:szCs w:val="18"/>
          <w:lang w:val="it-IT"/>
        </w:rPr>
        <w:t>Le licenze per processore delle società non sono più valide se si acquista la copertura Software Assurance per licenze core ai sensi della presente offerta.</w:t>
      </w:r>
      <w:r w:rsidRPr="00D87B79">
        <w:rPr>
          <w:rFonts w:eastAsia="Times New Roman" w:cs="Tahoma"/>
          <w:color w:val="000000"/>
          <w:szCs w:val="18"/>
        </w:rPr>
        <w:t xml:space="preserve"> </w:t>
      </w:r>
      <w:r w:rsidRPr="00D87B79">
        <w:rPr>
          <w:rFonts w:eastAsia="Times New Roman" w:cs="Tahoma"/>
          <w:color w:val="000000"/>
          <w:szCs w:val="18"/>
          <w:lang w:val="it-IT"/>
        </w:rPr>
        <w:t>L’opzione di acquistare Software Assurance per le licenze core per SQL Server non è applicabile al rinnovo della copertura ai sensi dei programmi di sottoscrizione.</w:t>
      </w:r>
      <w:r w:rsidRPr="00D87B79">
        <w:rPr>
          <w:rFonts w:eastAsia="Times New Roman" w:cs="Tahoma"/>
          <w:color w:val="000000"/>
          <w:szCs w:val="18"/>
        </w:rPr>
        <w:t xml:space="preserve"> </w:t>
      </w:r>
    </w:p>
    <w:p w:rsidR="00A92422" w:rsidRPr="00CE2924" w:rsidRDefault="00A92422" w:rsidP="00A92422">
      <w:pPr>
        <w:tabs>
          <w:tab w:val="left" w:pos="1440"/>
        </w:tabs>
        <w:spacing w:after="60"/>
        <w:ind w:left="720"/>
        <w:rPr>
          <w:rFonts w:cs="Tahoma"/>
          <w:b/>
          <w:color w:val="000000"/>
          <w:sz w:val="12"/>
          <w:szCs w:val="12"/>
          <w:lang w:val="it-IT"/>
        </w:rPr>
      </w:pPr>
    </w:p>
    <w:p w:rsidR="00A92422" w:rsidRPr="00D87B79" w:rsidRDefault="00A92422" w:rsidP="00A92422">
      <w:pPr>
        <w:tabs>
          <w:tab w:val="left" w:pos="1440"/>
        </w:tabs>
        <w:spacing w:after="60"/>
        <w:ind w:left="720"/>
        <w:rPr>
          <w:rFonts w:cs="Tahoma"/>
        </w:rPr>
      </w:pPr>
      <w:r w:rsidRPr="00D87B79">
        <w:rPr>
          <w:rFonts w:cs="Tahoma"/>
          <w:b/>
          <w:color w:val="000000"/>
          <w:lang w:val="it-IT"/>
        </w:rPr>
        <w:t>Per le Società con copertura Software Assurance in scadenza prima del 1 aprile 2015 che scelgono di non effettuare il rinnovo</w:t>
      </w:r>
    </w:p>
    <w:p w:rsidR="00A92422" w:rsidRPr="00D87B79" w:rsidRDefault="00A92422" w:rsidP="00A92422">
      <w:pPr>
        <w:tabs>
          <w:tab w:val="left" w:pos="1440"/>
        </w:tabs>
        <w:ind w:left="720"/>
        <w:rPr>
          <w:rFonts w:cs="Tahoma"/>
        </w:rPr>
      </w:pPr>
      <w:r w:rsidRPr="00D87B79">
        <w:rPr>
          <w:rFonts w:cs="Tahoma"/>
          <w:color w:val="000000"/>
          <w:lang w:val="it-IT"/>
        </w:rPr>
        <w:t>le società titolari di contratti Enterprise Subscription e Open Value Subscription con copertura in scadenza prima del 1 aprile 2015 che scelgono di effettuare il buy-out delle licenze per processore e altre società che acquistano licenze perpetue ai sensi del loro contratto e scelgano di non rinnovare Software Assurance potranno eseguire SQL Server 2008 R2 o SQL Server 2012 ai sensi di tali licenze come indicato sotto:</w:t>
      </w:r>
    </w:p>
    <w:p w:rsidR="00A92422" w:rsidRPr="00D87B79" w:rsidRDefault="00A92422" w:rsidP="00A92422">
      <w:pPr>
        <w:tabs>
          <w:tab w:val="left" w:pos="1440"/>
        </w:tabs>
        <w:ind w:left="720"/>
        <w:rPr>
          <w:rFonts w:cs="Tahoma"/>
        </w:rPr>
      </w:pPr>
    </w:p>
    <w:p w:rsidR="00A92422" w:rsidRPr="00D87B79" w:rsidRDefault="00A92422" w:rsidP="00A92422">
      <w:pPr>
        <w:numPr>
          <w:ilvl w:val="0"/>
          <w:numId w:val="93"/>
        </w:numPr>
        <w:spacing w:after="60"/>
        <w:ind w:left="1440"/>
        <w:rPr>
          <w:rFonts w:cs="Tahoma"/>
        </w:rPr>
      </w:pPr>
      <w:r w:rsidRPr="00D87B79">
        <w:rPr>
          <w:rFonts w:cs="Tahoma"/>
          <w:b/>
          <w:color w:val="000000"/>
          <w:lang w:val="it-IT"/>
        </w:rPr>
        <w:t>SQL Server 2008 R2 Enterprise:</w:t>
      </w:r>
      <w:r w:rsidRPr="00D87B79">
        <w:rPr>
          <w:rFonts w:eastAsia="Times New Roman" w:cs="Tahoma"/>
          <w:color w:val="000000"/>
          <w:szCs w:val="18"/>
        </w:rPr>
        <w:t xml:space="preserve"> </w:t>
      </w:r>
      <w:r w:rsidRPr="00D87B79">
        <w:rPr>
          <w:rFonts w:cs="Tahoma"/>
          <w:color w:val="000000"/>
          <w:lang w:val="it-IT"/>
        </w:rPr>
        <w:t>l’utilizzo continuativo di questo software è soggetto ai diritti di</w:t>
      </w:r>
      <w:r>
        <w:rPr>
          <w:rFonts w:cs="Tahoma"/>
          <w:color w:val="000000"/>
          <w:lang w:val="it-IT"/>
        </w:rPr>
        <w:t> </w:t>
      </w:r>
      <w:r w:rsidRPr="00D87B79">
        <w:rPr>
          <w:rFonts w:cs="Tahoma"/>
          <w:color w:val="000000"/>
          <w:lang w:val="it-IT"/>
        </w:rPr>
        <w:t>utilizzo del prodotto previsti dalla licenza per processore per SQL Server 2008 R2 Enterprise; tuttavia, le società non disporranno più di diritti sull’utilizzo per la Virtualizzazione Illimitata o di Mobilità delle Licenze tramite Software Assurance.</w:t>
      </w:r>
      <w:r w:rsidRPr="00D87B79">
        <w:rPr>
          <w:rFonts w:cs="Tahoma"/>
        </w:rPr>
        <w:t xml:space="preserve"> </w:t>
      </w:r>
    </w:p>
    <w:p w:rsidR="00A92422" w:rsidRPr="00D87B79" w:rsidRDefault="00A92422" w:rsidP="00A92422">
      <w:pPr>
        <w:numPr>
          <w:ilvl w:val="0"/>
          <w:numId w:val="93"/>
        </w:numPr>
        <w:tabs>
          <w:tab w:val="left" w:pos="1800"/>
        </w:tabs>
        <w:spacing w:after="60"/>
        <w:ind w:left="1440"/>
        <w:rPr>
          <w:rFonts w:cs="Tahoma"/>
        </w:rPr>
      </w:pPr>
      <w:r w:rsidRPr="00D87B79">
        <w:rPr>
          <w:rFonts w:eastAsia="Times New Roman" w:cs="Tahoma"/>
          <w:b/>
          <w:color w:val="000000"/>
          <w:szCs w:val="18"/>
          <w:lang w:val="it-IT"/>
        </w:rPr>
        <w:t>SQL Server 2012 Enterprise Core:</w:t>
      </w:r>
      <w:r w:rsidRPr="00D87B79">
        <w:rPr>
          <w:rFonts w:eastAsia="Times New Roman" w:cs="Tahoma"/>
          <w:b/>
          <w:color w:val="000000"/>
          <w:szCs w:val="18"/>
        </w:rPr>
        <w:t xml:space="preserve"> </w:t>
      </w:r>
      <w:r w:rsidRPr="00D87B79">
        <w:rPr>
          <w:rFonts w:eastAsia="Times New Roman" w:cs="Tahoma"/>
          <w:color w:val="000000"/>
          <w:szCs w:val="18"/>
          <w:lang w:val="it-IT"/>
        </w:rPr>
        <w:t>l’utilizzo di tale versione del software è soggetto ai diritti di utilizzo del prodotto previsti dalla licenza per processore SQL Server 2008 R2 Enterprise, tuttavia:</w:t>
      </w:r>
      <w:r w:rsidRPr="00D87B79">
        <w:rPr>
          <w:rFonts w:eastAsia="Times New Roman" w:cs="Tahoma"/>
          <w:color w:val="000000"/>
          <w:szCs w:val="18"/>
        </w:rPr>
        <w:t xml:space="preserve"> </w:t>
      </w:r>
    </w:p>
    <w:p w:rsidR="00A92422" w:rsidRPr="00D87B79" w:rsidRDefault="00A92422" w:rsidP="00A92422">
      <w:pPr>
        <w:numPr>
          <w:ilvl w:val="1"/>
          <w:numId w:val="93"/>
        </w:numPr>
        <w:tabs>
          <w:tab w:val="left" w:pos="2160"/>
        </w:tabs>
        <w:spacing w:after="60"/>
        <w:ind w:left="2160"/>
        <w:rPr>
          <w:rFonts w:cs="Tahoma"/>
        </w:rPr>
      </w:pPr>
      <w:r w:rsidRPr="00D87B79">
        <w:rPr>
          <w:rFonts w:cs="Tahoma"/>
          <w:color w:val="000000"/>
          <w:lang w:val="it-IT"/>
        </w:rPr>
        <w:t>le società non disporranno più di diritti sull’utilizzo per la Virtualizzazione Illimitata, la</w:t>
      </w:r>
      <w:r>
        <w:rPr>
          <w:rFonts w:cs="Tahoma"/>
          <w:color w:val="000000"/>
          <w:lang w:val="it-IT"/>
        </w:rPr>
        <w:t> </w:t>
      </w:r>
      <w:r w:rsidRPr="00D87B79">
        <w:rPr>
          <w:rFonts w:cs="Tahoma"/>
          <w:color w:val="000000"/>
          <w:lang w:val="it-IT"/>
        </w:rPr>
        <w:t>Mobilità delle Licenze all’interno di Server Farm o la Mobilità delle Licenze tramite Software Assurance e</w:t>
      </w:r>
      <w:r w:rsidRPr="00D87B79">
        <w:rPr>
          <w:rFonts w:cs="Tahoma"/>
        </w:rPr>
        <w:t xml:space="preserve"> </w:t>
      </w:r>
    </w:p>
    <w:p w:rsidR="00A92422" w:rsidRPr="00D87B79" w:rsidRDefault="00A92422" w:rsidP="00A92422">
      <w:pPr>
        <w:numPr>
          <w:ilvl w:val="1"/>
          <w:numId w:val="93"/>
        </w:numPr>
        <w:tabs>
          <w:tab w:val="left" w:pos="2160"/>
          <w:tab w:val="left" w:pos="2970"/>
        </w:tabs>
        <w:spacing w:after="60"/>
        <w:ind w:left="2160"/>
        <w:rPr>
          <w:rFonts w:cs="Tahoma"/>
        </w:rPr>
      </w:pPr>
      <w:r w:rsidRPr="00D87B79">
        <w:rPr>
          <w:rFonts w:eastAsia="Times New Roman" w:cs="Tahoma"/>
          <w:color w:val="000000"/>
          <w:szCs w:val="18"/>
          <w:lang w:val="it-IT"/>
        </w:rPr>
        <w:t>l’eventuale riassegnazione di licenze è soggetta ai limiti indicati nei paragrafi (i) e (ii) che</w:t>
      </w:r>
      <w:r>
        <w:rPr>
          <w:rFonts w:eastAsia="Times New Roman" w:cs="Tahoma"/>
          <w:color w:val="000000"/>
          <w:szCs w:val="18"/>
          <w:lang w:val="it-IT"/>
        </w:rPr>
        <w:t> </w:t>
      </w:r>
      <w:r w:rsidRPr="00D87B79">
        <w:rPr>
          <w:rFonts w:eastAsia="Times New Roman" w:cs="Tahoma"/>
          <w:color w:val="000000"/>
          <w:szCs w:val="18"/>
          <w:lang w:val="it-IT"/>
        </w:rPr>
        <w:t>seguono relativi alla loro “equivalenza di licenze core”. L’equivalenza di licenze core è</w:t>
      </w:r>
      <w:r>
        <w:rPr>
          <w:rFonts w:eastAsia="Times New Roman" w:cs="Tahoma"/>
          <w:color w:val="000000"/>
          <w:szCs w:val="18"/>
          <w:lang w:val="it-IT"/>
        </w:rPr>
        <w:t> </w:t>
      </w:r>
      <w:r w:rsidRPr="00D87B79">
        <w:rPr>
          <w:rFonts w:eastAsia="Times New Roman" w:cs="Tahoma"/>
          <w:color w:val="000000"/>
          <w:szCs w:val="18"/>
          <w:lang w:val="it-IT"/>
        </w:rPr>
        <w:t>determinata come di seguito riportato.</w:t>
      </w:r>
      <w:r w:rsidRPr="00D87B79">
        <w:rPr>
          <w:rFonts w:eastAsia="Times New Roman" w:cs="Tahoma"/>
          <w:color w:val="000000"/>
          <w:szCs w:val="18"/>
        </w:rPr>
        <w:t xml:space="preserve"> </w:t>
      </w:r>
    </w:p>
    <w:p w:rsidR="00A92422" w:rsidRPr="00D87B79" w:rsidRDefault="00A92422" w:rsidP="00A92422">
      <w:pPr>
        <w:numPr>
          <w:ilvl w:val="2"/>
          <w:numId w:val="93"/>
        </w:numPr>
        <w:tabs>
          <w:tab w:val="left" w:pos="2520"/>
        </w:tabs>
        <w:spacing w:after="60"/>
        <w:ind w:left="2520"/>
        <w:rPr>
          <w:rFonts w:cs="Tahoma"/>
        </w:rPr>
      </w:pPr>
      <w:r w:rsidRPr="00D87B79">
        <w:rPr>
          <w:rFonts w:eastAsia="Times New Roman" w:cs="Tahoma"/>
          <w:color w:val="000000"/>
          <w:szCs w:val="18"/>
          <w:lang w:val="it-IT"/>
        </w:rPr>
        <w:t>Per un numero di licenze pari al numero inferiore tra (x) il numero totale di licenze per processore cedute a un server con licenza appena prima della scadenza di Software Assurance o (y) il numero totale di processori fisici su tale server, l’equivalenza di licenze core è il numero maggiore tra:</w:t>
      </w:r>
      <w:r w:rsidRPr="00D87B79">
        <w:rPr>
          <w:rFonts w:eastAsia="Times New Roman" w:cs="Tahoma"/>
          <w:color w:val="000000"/>
          <w:szCs w:val="18"/>
        </w:rPr>
        <w:t xml:space="preserve"> </w:t>
      </w:r>
    </w:p>
    <w:p w:rsidR="00A92422" w:rsidRPr="00D87B79" w:rsidRDefault="00A92422" w:rsidP="00A92422">
      <w:pPr>
        <w:numPr>
          <w:ilvl w:val="4"/>
          <w:numId w:val="90"/>
        </w:numPr>
        <w:tabs>
          <w:tab w:val="left" w:pos="2880"/>
        </w:tabs>
        <w:spacing w:after="60"/>
        <w:ind w:left="2880"/>
        <w:rPr>
          <w:rFonts w:cs="Tahoma"/>
        </w:rPr>
      </w:pPr>
      <w:r w:rsidRPr="00D87B79">
        <w:rPr>
          <w:rFonts w:cs="Tahoma"/>
          <w:color w:val="000000"/>
          <w:lang w:val="it-IT"/>
        </w:rPr>
        <w:t>quattro core per licenza per processore O</w:t>
      </w:r>
      <w:r w:rsidRPr="00D87B79">
        <w:rPr>
          <w:rFonts w:cs="Tahoma"/>
        </w:rPr>
        <w:t xml:space="preserve"> </w:t>
      </w:r>
    </w:p>
    <w:p w:rsidR="00A92422" w:rsidRPr="00D87B79" w:rsidRDefault="00A92422" w:rsidP="00A92422">
      <w:pPr>
        <w:numPr>
          <w:ilvl w:val="4"/>
          <w:numId w:val="90"/>
        </w:numPr>
        <w:tabs>
          <w:tab w:val="left" w:pos="2880"/>
        </w:tabs>
        <w:spacing w:after="60"/>
        <w:ind w:left="2880"/>
        <w:rPr>
          <w:rFonts w:cs="Tahoma"/>
        </w:rPr>
      </w:pPr>
      <w:r w:rsidRPr="00D87B79">
        <w:rPr>
          <w:rFonts w:eastAsia="Times New Roman" w:cs="Tahoma"/>
          <w:color w:val="000000"/>
          <w:szCs w:val="18"/>
          <w:lang w:val="it-IT"/>
        </w:rPr>
        <w:t>un numero di core per licenza per processore basato sul numero effettivo di core per processore fisico moltiplicato per il fattore core appropriato.</w:t>
      </w:r>
      <w:r w:rsidRPr="00D87B79">
        <w:rPr>
          <w:rFonts w:eastAsia="Times New Roman" w:cs="Tahoma"/>
          <w:color w:val="000000"/>
          <w:szCs w:val="18"/>
        </w:rPr>
        <w:t xml:space="preserve"> </w:t>
      </w:r>
      <w:r w:rsidRPr="00D87B79">
        <w:rPr>
          <w:rFonts w:eastAsia="Times New Roman" w:cs="Tahoma"/>
          <w:color w:val="000000"/>
          <w:szCs w:val="18"/>
          <w:lang w:val="it-IT"/>
        </w:rPr>
        <w:t xml:space="preserve">(Nei casi in cui il numero effettivo di core per processore fisico superi quattro, le società dovranno </w:t>
      </w:r>
      <w:r w:rsidRPr="00D87B79">
        <w:rPr>
          <w:rFonts w:eastAsia="Times New Roman" w:cs="Tahoma"/>
          <w:color w:val="000000"/>
          <w:szCs w:val="18"/>
          <w:lang w:val="it-IT"/>
        </w:rPr>
        <w:lastRenderedPageBreak/>
        <w:t>conservare un record della configurazione del software SQL Server in esecuzione sul server (istanze con licenza in esecuzione negli ambienti del sistema operativo sul server con licenza) e l’hardware fisico che supporta tale software appena prima della scadenza di Software Assurance utilizzando lo strumento MAP di</w:t>
      </w:r>
      <w:r>
        <w:rPr>
          <w:rFonts w:eastAsia="Times New Roman" w:cs="Tahoma"/>
          <w:color w:val="000000"/>
          <w:szCs w:val="18"/>
          <w:lang w:val="it-IT"/>
        </w:rPr>
        <w:t> </w:t>
      </w:r>
      <w:r w:rsidRPr="00D87B79">
        <w:rPr>
          <w:rFonts w:eastAsia="Times New Roman" w:cs="Tahoma"/>
          <w:color w:val="000000"/>
          <w:szCs w:val="18"/>
          <w:lang w:val="it-IT"/>
        </w:rPr>
        <w:t>Microsoft o un software equivalente).</w:t>
      </w:r>
      <w:r w:rsidRPr="00D87B79">
        <w:rPr>
          <w:rFonts w:eastAsia="Times New Roman" w:cs="Tahoma"/>
          <w:color w:val="000000"/>
          <w:szCs w:val="18"/>
        </w:rPr>
        <w:t xml:space="preserve"> </w:t>
      </w:r>
    </w:p>
    <w:p w:rsidR="00A92422" w:rsidRPr="00D87B79" w:rsidRDefault="00A92422" w:rsidP="00A92422">
      <w:pPr>
        <w:numPr>
          <w:ilvl w:val="2"/>
          <w:numId w:val="93"/>
        </w:numPr>
        <w:tabs>
          <w:tab w:val="left" w:pos="2520"/>
        </w:tabs>
        <w:spacing w:after="60"/>
        <w:ind w:left="2520"/>
        <w:rPr>
          <w:rFonts w:cs="Tahoma"/>
        </w:rPr>
      </w:pPr>
      <w:r w:rsidRPr="00D87B79">
        <w:rPr>
          <w:rFonts w:cs="Tahoma"/>
          <w:color w:val="000000"/>
          <w:lang w:val="it-IT"/>
        </w:rPr>
        <w:t>Per qualsiasi licenza per processore con la copertura Software Assurance in scadenza ceduta allo stesso server con licenza che ecceda il numero effettivo di processori fisici sul server, l’equivalenza core è di quattro core per licenza per processore.</w:t>
      </w:r>
    </w:p>
    <w:p w:rsidR="00A92422" w:rsidRPr="00D87B79" w:rsidRDefault="00A92422" w:rsidP="00A92422">
      <w:pPr>
        <w:numPr>
          <w:ilvl w:val="1"/>
          <w:numId w:val="93"/>
        </w:numPr>
        <w:tabs>
          <w:tab w:val="left" w:pos="1800"/>
        </w:tabs>
        <w:spacing w:after="60"/>
        <w:ind w:left="1800"/>
        <w:rPr>
          <w:rFonts w:cs="Tahoma"/>
        </w:rPr>
      </w:pPr>
      <w:r w:rsidRPr="00D87B79">
        <w:rPr>
          <w:rFonts w:cs="Tahoma"/>
          <w:lang w:val="it-IT"/>
        </w:rPr>
        <w:t>Le società potranno riassegnare le licenze a un altro server.</w:t>
      </w:r>
      <w:r w:rsidRPr="00D87B79">
        <w:rPr>
          <w:rFonts w:cs="Tahoma"/>
        </w:rPr>
        <w:t xml:space="preserve"> </w:t>
      </w:r>
      <w:r w:rsidRPr="00D87B79">
        <w:rPr>
          <w:rFonts w:cs="Tahoma"/>
          <w:lang w:val="it-IT"/>
        </w:rPr>
        <w:t>Tuttavia, qualora la società riassegni una licenza a un altro server, dovrà attenersi ai diritti sull’utilizzo di SQL Server 2012.</w:t>
      </w:r>
      <w:r>
        <w:rPr>
          <w:rFonts w:cs="Tahoma"/>
        </w:rPr>
        <w:t> </w:t>
      </w:r>
      <w:r w:rsidRPr="00D87B79">
        <w:rPr>
          <w:rFonts w:cs="Tahoma"/>
          <w:lang w:val="it-IT"/>
        </w:rPr>
        <w:t>Quando cede licenze core a server ai sensi dei diritti sull’utilizzo per SQL 2012, la società</w:t>
      </w:r>
      <w:r>
        <w:rPr>
          <w:rFonts w:cs="Tahoma"/>
          <w:lang w:val="it-IT"/>
        </w:rPr>
        <w:t> </w:t>
      </w:r>
      <w:r w:rsidRPr="00D87B79">
        <w:rPr>
          <w:rFonts w:cs="Tahoma"/>
          <w:lang w:val="it-IT"/>
        </w:rPr>
        <w:t>potrà combinare l’equivalenza core delle licenze esistenti con le licenze core per SQL</w:t>
      </w:r>
      <w:r>
        <w:rPr>
          <w:rFonts w:cs="Tahoma"/>
          <w:lang w:val="it-IT"/>
        </w:rPr>
        <w:t> </w:t>
      </w:r>
      <w:r w:rsidRPr="00D87B79">
        <w:rPr>
          <w:rFonts w:cs="Tahoma"/>
          <w:lang w:val="it-IT"/>
        </w:rPr>
        <w:t>Server 2012 aggiuntive.</w:t>
      </w:r>
    </w:p>
    <w:p w:rsidR="00A92422" w:rsidRPr="00D87B79" w:rsidRDefault="00A92422" w:rsidP="00A92422">
      <w:pPr>
        <w:numPr>
          <w:ilvl w:val="1"/>
          <w:numId w:val="93"/>
        </w:numPr>
        <w:tabs>
          <w:tab w:val="left" w:pos="1800"/>
          <w:tab w:val="left" w:pos="2970"/>
        </w:tabs>
        <w:spacing w:after="60"/>
        <w:ind w:left="1800"/>
        <w:rPr>
          <w:rFonts w:cs="Tahoma"/>
        </w:rPr>
      </w:pPr>
      <w:r w:rsidRPr="00D87B79">
        <w:rPr>
          <w:rFonts w:cs="Tahoma"/>
          <w:color w:val="000000"/>
          <w:lang w:val="it-IT"/>
        </w:rPr>
        <w:t>L’equivalenza di licenze core stimata delle società non implica che esse possano cedere una</w:t>
      </w:r>
      <w:r>
        <w:rPr>
          <w:rFonts w:cs="Tahoma"/>
          <w:color w:val="000000"/>
          <w:lang w:val="it-IT"/>
        </w:rPr>
        <w:t> </w:t>
      </w:r>
      <w:r w:rsidRPr="00D87B79">
        <w:rPr>
          <w:rFonts w:cs="Tahoma"/>
          <w:color w:val="000000"/>
          <w:lang w:val="it-IT"/>
        </w:rPr>
        <w:t>licenza singola per processore a core attraverso due o più processori.</w:t>
      </w:r>
    </w:p>
    <w:p w:rsidR="00A92422" w:rsidRDefault="00A92422" w:rsidP="00A92422">
      <w:pPr>
        <w:tabs>
          <w:tab w:val="left" w:pos="1800"/>
          <w:tab w:val="left" w:pos="2970"/>
        </w:tabs>
        <w:rPr>
          <w:rFonts w:cs="Tahoma"/>
        </w:rPr>
      </w:pPr>
    </w:p>
    <w:p w:rsidR="00A92422" w:rsidRPr="00D87B79" w:rsidRDefault="00A92422" w:rsidP="00A92422">
      <w:pPr>
        <w:tabs>
          <w:tab w:val="left" w:pos="720"/>
        </w:tabs>
        <w:spacing w:after="60"/>
        <w:ind w:left="720"/>
        <w:rPr>
          <w:rFonts w:cs="Tahoma"/>
        </w:rPr>
      </w:pPr>
      <w:r w:rsidRPr="00D87B79">
        <w:rPr>
          <w:rFonts w:cs="Tahoma"/>
          <w:b/>
          <w:color w:val="000000"/>
          <w:lang w:val="it-IT"/>
        </w:rPr>
        <w:t>Per le Società con copertura Software Assurance in scadenza in data 1 aprile 2015 o successiva che scelgono di non effettuare il rinnovo</w:t>
      </w:r>
    </w:p>
    <w:p w:rsidR="00A92422" w:rsidRPr="00D87B79" w:rsidRDefault="00A92422" w:rsidP="00A92422">
      <w:pPr>
        <w:tabs>
          <w:tab w:val="left" w:pos="720"/>
        </w:tabs>
        <w:ind w:left="720"/>
        <w:rPr>
          <w:rFonts w:cs="Tahoma"/>
        </w:rPr>
      </w:pPr>
      <w:r w:rsidRPr="00D87B79">
        <w:rPr>
          <w:rFonts w:cs="Tahoma"/>
          <w:color w:val="000000"/>
          <w:lang w:val="it-IT"/>
        </w:rPr>
        <w:t>alle società titolari di contratti Enterprise Subscription e Open Value Subscription con copertura in scadenza in data 1 aprile 2015 o successiva che scelgono di effettuare il buy-out delle licenze per processore e alle altre società che acquistano licenze perpetue ai sensi del loro contratto verranno offerte le seguenti opzioni:</w:t>
      </w:r>
      <w:r w:rsidRPr="00D87B79">
        <w:rPr>
          <w:rFonts w:eastAsia="Times New Roman" w:cs="Tahoma"/>
          <w:color w:val="000000"/>
          <w:szCs w:val="18"/>
        </w:rPr>
        <w:t xml:space="preserve"> </w:t>
      </w:r>
    </w:p>
    <w:p w:rsidR="00A92422" w:rsidRPr="00D87B79" w:rsidRDefault="00A92422" w:rsidP="00A92422">
      <w:pPr>
        <w:tabs>
          <w:tab w:val="left" w:pos="720"/>
        </w:tabs>
        <w:ind w:left="720"/>
        <w:rPr>
          <w:rFonts w:cs="Tahoma"/>
        </w:rPr>
      </w:pPr>
    </w:p>
    <w:p w:rsidR="00A92422" w:rsidRPr="00D87B79" w:rsidRDefault="00A92422" w:rsidP="00A92422">
      <w:pPr>
        <w:numPr>
          <w:ilvl w:val="2"/>
          <w:numId w:val="90"/>
        </w:numPr>
        <w:spacing w:after="60"/>
        <w:ind w:left="1440"/>
        <w:rPr>
          <w:rFonts w:cs="Tahoma"/>
        </w:rPr>
      </w:pPr>
      <w:r w:rsidRPr="00D87B79">
        <w:rPr>
          <w:rFonts w:cs="Tahoma"/>
          <w:lang w:val="it-IT"/>
        </w:rPr>
        <w:t>come stabilito nel primo paragrafo di questa nota relativa al prodotto, le licenze acquistate prima del 1 aprile 2015 sono licenze qualificanti e le società potranno continuare a utilizzare SQL Server 2012 in base alle condizioni riportate nel precedente Articolo “Per le società con copertura Software Assurance in scadenza prima del 1 aprile 2015 che scelgono di non effettuare il rinnovo” e</w:t>
      </w:r>
      <w:r w:rsidRPr="00D87B79">
        <w:rPr>
          <w:rFonts w:cs="Tahoma"/>
        </w:rPr>
        <w:t xml:space="preserve"> </w:t>
      </w:r>
    </w:p>
    <w:p w:rsidR="00A92422" w:rsidRPr="00D87B79" w:rsidRDefault="00A92422" w:rsidP="00A92422">
      <w:pPr>
        <w:numPr>
          <w:ilvl w:val="2"/>
          <w:numId w:val="90"/>
        </w:numPr>
        <w:spacing w:after="60"/>
        <w:ind w:left="1440"/>
        <w:rPr>
          <w:rFonts w:cs="Tahoma"/>
        </w:rPr>
      </w:pPr>
      <w:r w:rsidRPr="00D87B79">
        <w:rPr>
          <w:rFonts w:cs="Tahoma"/>
          <w:lang w:val="it-IT"/>
        </w:rPr>
        <w:t>per le licenze acquistate dopo il 1 aprile 2015 la licenza per processore delle società avrà un’equivalenza core di quattro licenze core Enterprise per SQL Server 2012.</w:t>
      </w:r>
      <w:r w:rsidRPr="00D87B79">
        <w:rPr>
          <w:rFonts w:cs="Tahoma"/>
        </w:rPr>
        <w:t xml:space="preserve"> </w:t>
      </w:r>
      <w:r w:rsidRPr="00D87B79">
        <w:rPr>
          <w:rFonts w:cs="Tahoma"/>
          <w:lang w:val="it-IT"/>
        </w:rPr>
        <w:t>Per l’utilizzo continuativo di SQL Server 2012 su processori che richiedono più di quattro licenze core per</w:t>
      </w:r>
      <w:r>
        <w:rPr>
          <w:rFonts w:cs="Tahoma"/>
          <w:lang w:val="it-IT"/>
        </w:rPr>
        <w:t> </w:t>
      </w:r>
      <w:r w:rsidRPr="00D87B79">
        <w:rPr>
          <w:rFonts w:cs="Tahoma"/>
          <w:lang w:val="it-IT"/>
        </w:rPr>
        <w:t>processore la società deve acquistare le licenze core aggiuntive.</w:t>
      </w:r>
    </w:p>
    <w:p w:rsidR="00A92422" w:rsidRPr="00D87B79" w:rsidRDefault="00A92422" w:rsidP="00A92422">
      <w:pPr>
        <w:ind w:left="1440"/>
        <w:rPr>
          <w:rFonts w:cs="Tahoma"/>
        </w:rPr>
      </w:pPr>
    </w:p>
    <w:p w:rsidR="00A92422" w:rsidRPr="00D87B79" w:rsidRDefault="00A92422" w:rsidP="00A92422">
      <w:pPr>
        <w:tabs>
          <w:tab w:val="left" w:pos="720"/>
        </w:tabs>
        <w:spacing w:after="60"/>
        <w:ind w:left="720"/>
        <w:rPr>
          <w:rFonts w:cs="Tahoma"/>
        </w:rPr>
      </w:pPr>
      <w:r w:rsidRPr="00D87B79">
        <w:rPr>
          <w:rFonts w:cs="Tahoma"/>
          <w:b/>
          <w:lang w:val="it-IT"/>
        </w:rPr>
        <w:t>Per le società con sede nella Repubblica popolare cinese, dove acquistano licenze per</w:t>
      </w:r>
      <w:r>
        <w:rPr>
          <w:rFonts w:cs="Tahoma"/>
          <w:b/>
          <w:lang w:val="it-IT"/>
        </w:rPr>
        <w:t> </w:t>
      </w:r>
      <w:r w:rsidRPr="00D87B79">
        <w:rPr>
          <w:rFonts w:cs="Tahoma"/>
          <w:b/>
          <w:lang w:val="it-IT"/>
        </w:rPr>
        <w:t>processore e Software Assurance per SQL Server 2008 R2</w:t>
      </w:r>
    </w:p>
    <w:p w:rsidR="00A92422" w:rsidRPr="00D87B79" w:rsidRDefault="00A92422" w:rsidP="00A92422">
      <w:pPr>
        <w:tabs>
          <w:tab w:val="left" w:pos="720"/>
        </w:tabs>
        <w:ind w:left="720"/>
        <w:rPr>
          <w:rFonts w:cs="Tahoma"/>
        </w:rPr>
      </w:pPr>
      <w:r w:rsidRPr="00D87B79">
        <w:rPr>
          <w:rFonts w:cs="Tahoma"/>
          <w:lang w:val="it-IT"/>
        </w:rPr>
        <w:t>non si applicano i riferimenti al 1 aprile 2012 e al 1 aprile 2015 presenti in questa nota relativa alla lista dei prodotti.</w:t>
      </w:r>
      <w:r w:rsidRPr="00D87B79">
        <w:rPr>
          <w:rFonts w:cs="Tahoma"/>
        </w:rPr>
        <w:t xml:space="preserve"> </w:t>
      </w:r>
      <w:r w:rsidRPr="00D87B79">
        <w:rPr>
          <w:rFonts w:cs="Tahoma"/>
          <w:lang w:val="it-IT"/>
        </w:rPr>
        <w:t>Le date applicabili per queste società sarebbero rispettivamente il 1 luglio 2012 e il 1 luglio 2015.</w:t>
      </w:r>
    </w:p>
    <w:p w:rsidR="00A92422" w:rsidRDefault="00A92422" w:rsidP="00A92422">
      <w:pPr>
        <w:tabs>
          <w:tab w:val="left" w:pos="2970"/>
        </w:tabs>
        <w:rPr>
          <w:rFonts w:cs="Tahoma"/>
        </w:rPr>
      </w:pPr>
    </w:p>
    <w:p w:rsidR="00A92422" w:rsidRPr="00D87B79" w:rsidRDefault="00A92422" w:rsidP="00A92422">
      <w:pPr>
        <w:tabs>
          <w:tab w:val="left" w:pos="2970"/>
        </w:tabs>
        <w:rPr>
          <w:rFonts w:cs="Tahoma"/>
        </w:rPr>
      </w:pPr>
    </w:p>
    <w:p w:rsidR="00A92422" w:rsidRPr="00D87B79" w:rsidRDefault="00A92422" w:rsidP="00A92422">
      <w:pPr>
        <w:pStyle w:val="Heading3"/>
        <w:rPr>
          <w:rFonts w:ascii="Tahoma" w:hAnsi="Tahoma" w:cs="Tahoma"/>
        </w:rPr>
      </w:pPr>
      <w:bookmarkStart w:id="1448" w:name="_Toc336338348"/>
      <w:bookmarkStart w:id="1449" w:name="Srv_90SQLServer2012Standard"/>
      <w:bookmarkStart w:id="1450" w:name="_79_SQL_Server®"/>
      <w:bookmarkStart w:id="1451" w:name="_Toc342900389"/>
      <w:bookmarkEnd w:id="1448"/>
      <w:bookmarkEnd w:id="1449"/>
      <w:bookmarkEnd w:id="1450"/>
      <w:r w:rsidRPr="00D87B79">
        <w:rPr>
          <w:rFonts w:ascii="Tahoma" w:hAnsi="Tahoma" w:cs="Tahoma"/>
          <w:caps/>
          <w:color w:val="F66400"/>
          <w:sz w:val="22"/>
          <w:vertAlign w:val="superscript"/>
          <w:lang w:val="it-IT"/>
        </w:rPr>
        <w:t>79</w:t>
      </w:r>
      <w:r w:rsidRPr="00D87B79">
        <w:rPr>
          <w:rFonts w:ascii="Tahoma" w:hAnsi="Tahoma" w:cs="Tahoma"/>
          <w:color w:val="F66400"/>
          <w:sz w:val="22"/>
          <w:lang w:val="it-IT"/>
        </w:rPr>
        <w:t xml:space="preserve"> SQL Server</w:t>
      </w:r>
      <w:r w:rsidRPr="003A0F2F">
        <w:rPr>
          <w:rFonts w:ascii="Tahoma" w:hAnsi="Tahoma" w:cs="Tahoma"/>
          <w:color w:val="F66400"/>
          <w:sz w:val="22"/>
          <w:vertAlign w:val="superscript"/>
          <w:lang w:val="it-IT"/>
        </w:rPr>
        <w:t>®</w:t>
      </w:r>
      <w:r w:rsidRPr="00D87B79">
        <w:rPr>
          <w:rFonts w:ascii="Tahoma" w:hAnsi="Tahoma" w:cs="Tahoma"/>
          <w:color w:val="F66400"/>
          <w:sz w:val="22"/>
          <w:lang w:val="it-IT"/>
        </w:rPr>
        <w:t xml:space="preserve"> 2012 Standard</w:t>
      </w:r>
      <w:bookmarkEnd w:id="1451"/>
      <w:r w:rsidRPr="00D87B79">
        <w:rPr>
          <w:rFonts w:ascii="Tahoma" w:hAnsi="Tahoma" w:cs="Tahoma"/>
        </w:rPr>
        <w:t xml:space="preserve"> </w:t>
      </w:r>
    </w:p>
    <w:p w:rsidR="00A92422" w:rsidRPr="00615962" w:rsidRDefault="00A92422" w:rsidP="00A92422">
      <w:pPr>
        <w:pStyle w:val="EndnoteText"/>
        <w:ind w:left="0"/>
        <w:rPr>
          <w:rFonts w:ascii="Tahoma" w:hAnsi="Tahoma" w:cs="Tahoma"/>
          <w:sz w:val="18"/>
          <w:szCs w:val="18"/>
        </w:rPr>
      </w:pPr>
    </w:p>
    <w:p w:rsidR="00A92422" w:rsidRPr="00D87B79" w:rsidRDefault="00A92422" w:rsidP="00A92422">
      <w:pPr>
        <w:ind w:left="720"/>
        <w:rPr>
          <w:rFonts w:cs="Tahoma"/>
        </w:rPr>
      </w:pPr>
      <w:r w:rsidRPr="00D87B79">
        <w:rPr>
          <w:rFonts w:cs="Tahoma"/>
          <w:lang w:val="it-IT"/>
        </w:rPr>
        <w:t>SQL Server 2012 Standard è la versione successiva di SQL Server Standard e la CAL per SQL Server 2012 è</w:t>
      </w:r>
      <w:r>
        <w:rPr>
          <w:rFonts w:cs="Tahoma"/>
          <w:lang w:val="it-IT"/>
        </w:rPr>
        <w:t> </w:t>
      </w:r>
      <w:r w:rsidRPr="00D87B79">
        <w:rPr>
          <w:rFonts w:cs="Tahoma"/>
          <w:lang w:val="it-IT"/>
        </w:rPr>
        <w:t>la versione successiva della CAL per SQL Server.</w:t>
      </w:r>
    </w:p>
    <w:p w:rsidR="00A92422" w:rsidRPr="00D87B79" w:rsidRDefault="00A92422" w:rsidP="00A92422">
      <w:pPr>
        <w:ind w:left="720"/>
        <w:rPr>
          <w:rFonts w:cs="Tahoma"/>
        </w:rPr>
      </w:pPr>
    </w:p>
    <w:p w:rsidR="00A92422" w:rsidRPr="00D87B79" w:rsidRDefault="00A92422" w:rsidP="00A92422">
      <w:pPr>
        <w:ind w:left="720"/>
        <w:rPr>
          <w:rFonts w:cs="Tahoma"/>
        </w:rPr>
      </w:pPr>
    </w:p>
    <w:p w:rsidR="00A92422" w:rsidRPr="00D87B79" w:rsidRDefault="00A92422" w:rsidP="00A92422">
      <w:pPr>
        <w:pStyle w:val="Heading3"/>
        <w:rPr>
          <w:rFonts w:ascii="Tahoma" w:hAnsi="Tahoma" w:cs="Tahoma"/>
        </w:rPr>
      </w:pPr>
      <w:bookmarkStart w:id="1452" w:name="_Toc336338349"/>
      <w:bookmarkStart w:id="1453" w:name="Srv_91SQLServer2012StandardCore"/>
      <w:bookmarkStart w:id="1454" w:name="_80_SQL_Server®"/>
      <w:bookmarkStart w:id="1455" w:name="_Toc342900390"/>
      <w:bookmarkEnd w:id="1452"/>
      <w:bookmarkEnd w:id="1453"/>
      <w:bookmarkEnd w:id="1454"/>
      <w:r w:rsidRPr="00CF77FE">
        <w:rPr>
          <w:rFonts w:ascii="Tahoma" w:hAnsi="Tahoma" w:cs="Tahoma"/>
          <w:caps/>
          <w:color w:val="F66400"/>
          <w:sz w:val="22"/>
          <w:vertAlign w:val="superscript"/>
          <w:lang w:val="it-IT"/>
        </w:rPr>
        <w:t>80</w:t>
      </w:r>
      <w:r w:rsidRPr="00D87B79">
        <w:rPr>
          <w:rFonts w:ascii="Tahoma" w:hAnsi="Tahoma" w:cs="Tahoma"/>
          <w:color w:val="F66400"/>
          <w:sz w:val="22"/>
          <w:lang w:val="it-IT"/>
        </w:rPr>
        <w:t xml:space="preserve"> SQL Server</w:t>
      </w:r>
      <w:r w:rsidRPr="003A0F2F">
        <w:rPr>
          <w:rFonts w:ascii="Tahoma" w:hAnsi="Tahoma" w:cs="Tahoma"/>
          <w:color w:val="F66400"/>
          <w:sz w:val="22"/>
          <w:vertAlign w:val="superscript"/>
          <w:lang w:val="it-IT"/>
        </w:rPr>
        <w:t>®</w:t>
      </w:r>
      <w:r w:rsidRPr="00D87B79">
        <w:rPr>
          <w:rFonts w:ascii="Tahoma" w:hAnsi="Tahoma" w:cs="Tahoma"/>
          <w:color w:val="F66400"/>
          <w:sz w:val="22"/>
          <w:lang w:val="it-IT"/>
        </w:rPr>
        <w:t xml:space="preserve"> 2012 Standard Core</w:t>
      </w:r>
      <w:bookmarkEnd w:id="1455"/>
    </w:p>
    <w:p w:rsidR="00A92422" w:rsidRPr="00D87B79" w:rsidRDefault="00A92422" w:rsidP="00A92422">
      <w:pPr>
        <w:rPr>
          <w:rFonts w:cs="Tahoma"/>
        </w:rPr>
      </w:pPr>
    </w:p>
    <w:p w:rsidR="00A92422" w:rsidRPr="00D87B79" w:rsidRDefault="00A92422" w:rsidP="00A92422">
      <w:pPr>
        <w:spacing w:after="60"/>
        <w:ind w:left="720"/>
        <w:rPr>
          <w:rFonts w:cs="Tahoma"/>
        </w:rPr>
      </w:pPr>
      <w:r w:rsidRPr="00D87B79">
        <w:rPr>
          <w:rFonts w:cs="Tahoma"/>
          <w:b/>
          <w:lang w:val="it-IT"/>
        </w:rPr>
        <w:t>Concessioni di Licenza Associate alla Variazione del Modello di Licenza</w:t>
      </w:r>
    </w:p>
    <w:p w:rsidR="00A92422" w:rsidRPr="00D87B79" w:rsidRDefault="00A92422" w:rsidP="00A92422">
      <w:pPr>
        <w:ind w:left="720"/>
        <w:rPr>
          <w:rFonts w:cs="Tahoma"/>
        </w:rPr>
      </w:pPr>
      <w:r w:rsidRPr="00D87B79">
        <w:rPr>
          <w:rFonts w:eastAsia="Times New Roman" w:cs="Tahoma"/>
          <w:color w:val="000000"/>
          <w:szCs w:val="18"/>
          <w:lang w:val="it-IT"/>
        </w:rPr>
        <w:t>SQL Server 2008 R2 sarà l’ultima versione di SQL Server concessa in licenza ai sensi del modello di licenza per processore.</w:t>
      </w:r>
      <w:r w:rsidRPr="00D87B79">
        <w:rPr>
          <w:rFonts w:eastAsia="Times New Roman" w:cs="Tahoma"/>
          <w:color w:val="000000"/>
          <w:szCs w:val="18"/>
        </w:rPr>
        <w:t xml:space="preserve"> </w:t>
      </w:r>
      <w:r w:rsidRPr="00D87B79">
        <w:rPr>
          <w:rFonts w:eastAsia="Times New Roman" w:cs="Tahoma"/>
          <w:color w:val="000000"/>
          <w:szCs w:val="18"/>
          <w:lang w:val="it-IT"/>
        </w:rPr>
        <w:t>In via eccezionale, alle società con contratti multilicenza e copertura Software Assurance attiva per le licenze per processore per SQL Server 2008 R2 Standard in data 1 aprile 2012 (“licenze qualificanti”) vengono offerte le opzioni che seguono.</w:t>
      </w:r>
      <w:r w:rsidRPr="00D87B79">
        <w:rPr>
          <w:rFonts w:cs="Tahoma"/>
        </w:rPr>
        <w:t xml:space="preserve"> </w:t>
      </w:r>
      <w:r w:rsidRPr="00D87B79">
        <w:rPr>
          <w:rFonts w:cs="Tahoma"/>
          <w:color w:val="000000"/>
          <w:lang w:val="it-IT"/>
        </w:rPr>
        <w:t>Le licenze per processore per SQL Server 2008 R2 Standard acquistate successivamente nello stesso periodo di validità dell’iscrizione, ma prima del 1 aprile 2015 nell’ambito di una procedura pianificata di true-up della società Enterprise, Enterprise Subscription, Open Value Subscription o EES, sono anch’esse licenze qualificanti per gli scopi previsti da tali opzioni.</w:t>
      </w:r>
      <w:r w:rsidRPr="00D87B79">
        <w:rPr>
          <w:rFonts w:cs="Tahoma"/>
        </w:rPr>
        <w:t xml:space="preserve"> </w:t>
      </w:r>
      <w:r w:rsidRPr="00D87B79">
        <w:rPr>
          <w:rFonts w:cs="Tahoma"/>
          <w:color w:val="000000"/>
          <w:lang w:val="it-IT"/>
        </w:rPr>
        <w:t>Le</w:t>
      </w:r>
      <w:r>
        <w:rPr>
          <w:rFonts w:cs="Tahoma"/>
          <w:color w:val="000000"/>
          <w:lang w:val="it-IT"/>
        </w:rPr>
        <w:t> </w:t>
      </w:r>
      <w:r w:rsidRPr="00D87B79">
        <w:rPr>
          <w:rFonts w:cs="Tahoma"/>
          <w:color w:val="000000"/>
          <w:lang w:val="it-IT"/>
        </w:rPr>
        <w:t>licenze acquistate dopo il 1 aprile 2015, o in un periodo di validità dell’iscrizione successivo, ai sensi di un</w:t>
      </w:r>
      <w:r>
        <w:rPr>
          <w:rFonts w:cs="Tahoma"/>
          <w:color w:val="000000"/>
          <w:lang w:val="it-IT"/>
        </w:rPr>
        <w:t> </w:t>
      </w:r>
      <w:r w:rsidRPr="00D87B79">
        <w:rPr>
          <w:rFonts w:cs="Tahoma"/>
          <w:color w:val="000000"/>
          <w:lang w:val="it-IT"/>
        </w:rPr>
        <w:t>contratto distinto o di un’iscrizione con la data di entrata in vigore posteriore al 1 aprile 2012, non sono licenze qualificanti.</w:t>
      </w:r>
    </w:p>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lang w:val="it-IT"/>
        </w:rPr>
        <w:t>Periodo di Validità Corrente</w:t>
      </w:r>
    </w:p>
    <w:p w:rsidR="00A92422" w:rsidRPr="00D87B79" w:rsidRDefault="00A92422" w:rsidP="00A92422">
      <w:pPr>
        <w:ind w:left="720"/>
        <w:rPr>
          <w:rFonts w:cs="Tahoma"/>
        </w:rPr>
      </w:pPr>
      <w:r w:rsidRPr="00D87B79">
        <w:rPr>
          <w:rFonts w:eastAsia="Times New Roman" w:cs="Tahoma"/>
          <w:szCs w:val="18"/>
          <w:lang w:val="it-IT"/>
        </w:rPr>
        <w:t>durante il periodo di validità corrente della copertura Software Assurance a partire dal 1 aprile 2012 le</w:t>
      </w:r>
      <w:r>
        <w:rPr>
          <w:rFonts w:eastAsia="Times New Roman" w:cs="Tahoma"/>
          <w:szCs w:val="18"/>
          <w:lang w:val="it-IT"/>
        </w:rPr>
        <w:t> </w:t>
      </w:r>
      <w:r w:rsidRPr="00D87B79">
        <w:rPr>
          <w:rFonts w:eastAsia="Times New Roman" w:cs="Tahoma"/>
          <w:szCs w:val="18"/>
          <w:lang w:val="it-IT"/>
        </w:rPr>
        <w:t>società (incluse le società titolari di contratti “subscription”) potranno, ai sensi di una licenza qualificante, effettuare l’aggiornamento al software SQL Server 2012 Standard Core e utilizzarlo al posto di SQL Server 2008 R2 Standard in conformità ai diritti di utilizzo del prodotto previsti dalla licenza per processore SQL Server 2008 R2 Standard (come indicato nei Diritti di Utilizzo del Prodotto del mese di gennaio 2012).</w:t>
      </w:r>
      <w:r w:rsidRPr="00D87B79">
        <w:rPr>
          <w:rFonts w:eastAsia="Times New Roman" w:cs="Tahoma"/>
          <w:szCs w:val="18"/>
        </w:rPr>
        <w:t xml:space="preserve"> </w:t>
      </w:r>
      <w:r w:rsidRPr="00D87B79">
        <w:rPr>
          <w:rFonts w:eastAsia="Times New Roman" w:cs="Tahoma"/>
          <w:szCs w:val="18"/>
          <w:lang w:val="it-IT"/>
        </w:rPr>
        <w:t>alle società vengono concessi diritti aggiuntivi ai sensi di Mobilità delle Licenze tramite Software Assurance e Mobilità delle Licenze all’interno di Server Farm.</w:t>
      </w:r>
      <w:r w:rsidRPr="00D87B79">
        <w:rPr>
          <w:rFonts w:cs="Tahoma"/>
        </w:rPr>
        <w:t xml:space="preserve"> </w:t>
      </w:r>
      <w:r w:rsidRPr="00D87B79">
        <w:rPr>
          <w:rFonts w:cs="Tahoma"/>
          <w:lang w:val="it-IT"/>
        </w:rPr>
        <w:t>Le società dovranno fare riferimento ai Diritti di Utilizzo del</w:t>
      </w:r>
      <w:r>
        <w:rPr>
          <w:rFonts w:cs="Tahoma"/>
          <w:lang w:val="it-IT"/>
        </w:rPr>
        <w:t> </w:t>
      </w:r>
      <w:r w:rsidRPr="00D87B79">
        <w:rPr>
          <w:rFonts w:cs="Tahoma"/>
          <w:lang w:val="it-IT"/>
        </w:rPr>
        <w:t>Prodotto per SQL Server 2012 Standard Core per quanto riguarda le condizioni di licenza per Mobilità delle Licenze.</w:t>
      </w:r>
    </w:p>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lang w:val="it-IT"/>
        </w:rPr>
        <w:t>Primo Periodo di Rinnovo (prima del 1 aprile 2015)</w:t>
      </w:r>
    </w:p>
    <w:p w:rsidR="00A92422" w:rsidRPr="00D87B79" w:rsidRDefault="00A92422" w:rsidP="00A92422">
      <w:pPr>
        <w:ind w:left="720"/>
        <w:rPr>
          <w:rFonts w:cs="Tahoma"/>
        </w:rPr>
      </w:pPr>
      <w:r w:rsidRPr="00D87B79">
        <w:rPr>
          <w:rFonts w:cs="Tahoma"/>
          <w:lang w:val="it-IT"/>
        </w:rPr>
        <w:t>in occasione del primo rinnovo di Software Assurance in data 1 aprile 2012 o successiva (ma prima del 1</w:t>
      </w:r>
      <w:r>
        <w:rPr>
          <w:rFonts w:cs="Tahoma"/>
          <w:lang w:val="it-IT"/>
        </w:rPr>
        <w:t> </w:t>
      </w:r>
      <w:r w:rsidRPr="00D87B79">
        <w:rPr>
          <w:rFonts w:cs="Tahoma"/>
          <w:lang w:val="it-IT"/>
        </w:rPr>
        <w:t>aprile 2015), per ogni server che una società ha ricevuto validamente in licenza in conformità ai diritti di</w:t>
      </w:r>
      <w:r>
        <w:rPr>
          <w:rFonts w:cs="Tahoma"/>
          <w:lang w:val="it-IT"/>
        </w:rPr>
        <w:t> </w:t>
      </w:r>
      <w:r w:rsidRPr="00D87B79">
        <w:rPr>
          <w:rFonts w:cs="Tahoma"/>
          <w:lang w:val="it-IT"/>
        </w:rPr>
        <w:t>utilizzo del prodotto previsti dalla licenza per processore SQL Server 2008 R2 Standard, la società potrà</w:t>
      </w:r>
      <w:r>
        <w:rPr>
          <w:rFonts w:cs="Tahoma"/>
          <w:lang w:val="it-IT"/>
        </w:rPr>
        <w:t> </w:t>
      </w:r>
      <w:r w:rsidRPr="00D87B79">
        <w:rPr>
          <w:rFonts w:cs="Tahoma"/>
          <w:lang w:val="it-IT"/>
        </w:rPr>
        <w:t>acquistare la copertura Software Assurance per le licenze core per SQL Server Standard senza dovere</w:t>
      </w:r>
      <w:r>
        <w:rPr>
          <w:rFonts w:cs="Tahoma"/>
          <w:lang w:val="it-IT"/>
        </w:rPr>
        <w:t> </w:t>
      </w:r>
      <w:r w:rsidRPr="00D87B79">
        <w:rPr>
          <w:rFonts w:cs="Tahoma"/>
          <w:lang w:val="it-IT"/>
        </w:rPr>
        <w:t>acquistare le licenze core sottostanti per un numero di licenze core pari alla somma di (a) e (b):</w:t>
      </w:r>
    </w:p>
    <w:p w:rsidR="00A92422" w:rsidRPr="00D87B79" w:rsidRDefault="00A92422" w:rsidP="00A92422">
      <w:pPr>
        <w:ind w:left="720"/>
        <w:rPr>
          <w:rFonts w:cs="Tahoma"/>
        </w:rPr>
      </w:pPr>
    </w:p>
    <w:p w:rsidR="00A92422" w:rsidRPr="00D87B79" w:rsidRDefault="00A92422" w:rsidP="00A92422">
      <w:pPr>
        <w:numPr>
          <w:ilvl w:val="0"/>
          <w:numId w:val="123"/>
        </w:numPr>
        <w:tabs>
          <w:tab w:val="left" w:pos="1440"/>
        </w:tabs>
        <w:spacing w:after="60"/>
        <w:ind w:left="1440"/>
        <w:rPr>
          <w:rFonts w:cs="Tahoma"/>
        </w:rPr>
      </w:pPr>
      <w:r w:rsidRPr="00D87B79">
        <w:rPr>
          <w:rFonts w:cs="Tahoma"/>
          <w:lang w:val="it-IT"/>
        </w:rPr>
        <w:t>un numero pari al numero minore delle licenze qualificanti cedute al server o al numero totale dei</w:t>
      </w:r>
      <w:r>
        <w:rPr>
          <w:rFonts w:cs="Tahoma"/>
          <w:lang w:val="it-IT"/>
        </w:rPr>
        <w:t> </w:t>
      </w:r>
      <w:r w:rsidRPr="00D87B79">
        <w:rPr>
          <w:rFonts w:cs="Tahoma"/>
          <w:lang w:val="it-IT"/>
        </w:rPr>
        <w:t>processori fisici sul server moltiplicato per il maggiore tra:</w:t>
      </w:r>
      <w:r w:rsidRPr="00D87B79">
        <w:rPr>
          <w:rFonts w:eastAsia="Times New Roman" w:cs="Tahoma"/>
          <w:szCs w:val="18"/>
        </w:rPr>
        <w:t xml:space="preserve"> </w:t>
      </w:r>
    </w:p>
    <w:p w:rsidR="00A92422" w:rsidRPr="00D87B79" w:rsidRDefault="00A92422" w:rsidP="00A92422">
      <w:pPr>
        <w:numPr>
          <w:ilvl w:val="3"/>
          <w:numId w:val="97"/>
        </w:numPr>
        <w:spacing w:after="60"/>
        <w:ind w:left="1800"/>
        <w:rPr>
          <w:rFonts w:cs="Tahoma"/>
        </w:rPr>
      </w:pPr>
      <w:r w:rsidRPr="00D87B79">
        <w:rPr>
          <w:rFonts w:cs="Tahoma"/>
          <w:lang w:val="it-IT"/>
        </w:rPr>
        <w:t>quattro O</w:t>
      </w:r>
    </w:p>
    <w:p w:rsidR="00A92422" w:rsidRPr="00D87B79" w:rsidRDefault="00A92422" w:rsidP="00A92422">
      <w:pPr>
        <w:numPr>
          <w:ilvl w:val="3"/>
          <w:numId w:val="97"/>
        </w:numPr>
        <w:spacing w:after="60"/>
        <w:ind w:left="1800"/>
        <w:rPr>
          <w:rFonts w:cs="Tahoma"/>
        </w:rPr>
      </w:pPr>
      <w:r w:rsidRPr="00D87B79">
        <w:rPr>
          <w:rFonts w:eastAsia="Times New Roman" w:cs="Tahoma"/>
          <w:szCs w:val="18"/>
          <w:lang w:val="it-IT"/>
        </w:rPr>
        <w:t>il numero effettivo di core per processore fisico moltiplicato per il fattore core appropriato.</w:t>
      </w:r>
      <w:r w:rsidRPr="00D87B79">
        <w:rPr>
          <w:rFonts w:eastAsia="Times New Roman" w:cs="Tahoma"/>
          <w:szCs w:val="18"/>
        </w:rPr>
        <w:t xml:space="preserve"> </w:t>
      </w:r>
      <w:r w:rsidRPr="00D87B79">
        <w:rPr>
          <w:rFonts w:eastAsia="Times New Roman" w:cs="Tahoma"/>
          <w:szCs w:val="18"/>
          <w:lang w:val="it-IT"/>
        </w:rPr>
        <w:t>(Nei</w:t>
      </w:r>
      <w:r>
        <w:rPr>
          <w:rFonts w:eastAsia="Times New Roman" w:cs="Tahoma"/>
          <w:szCs w:val="18"/>
          <w:lang w:val="it-IT"/>
        </w:rPr>
        <w:t> </w:t>
      </w:r>
      <w:r w:rsidRPr="00D87B79">
        <w:rPr>
          <w:rFonts w:eastAsia="Times New Roman" w:cs="Tahoma"/>
          <w:szCs w:val="18"/>
          <w:lang w:val="it-IT"/>
        </w:rPr>
        <w:t>casi in cui il numero effettivo di core per processore fisico superi quattro, le società dovranno conservare un record della configurazione del software SQL Server in esecuzione sul</w:t>
      </w:r>
      <w:r>
        <w:rPr>
          <w:rFonts w:eastAsia="Times New Roman" w:cs="Tahoma"/>
          <w:szCs w:val="18"/>
          <w:lang w:val="it-IT"/>
        </w:rPr>
        <w:t> </w:t>
      </w:r>
      <w:r w:rsidRPr="00D87B79">
        <w:rPr>
          <w:rFonts w:eastAsia="Times New Roman" w:cs="Tahoma"/>
          <w:szCs w:val="18"/>
          <w:lang w:val="it-IT"/>
        </w:rPr>
        <w:t>server (istanze con licenza in esecuzione negli ambienti del sistema operativo sul server con licenza) e l’hardware fisico che supporta tale software appena prima del rinnovo di Software Assurance utilizzando lo strumento MAP di Microsoft o un software equivalente).</w:t>
      </w:r>
      <w:r w:rsidRPr="00D87B79">
        <w:rPr>
          <w:rFonts w:eastAsia="Times New Roman" w:cs="Tahoma"/>
          <w:szCs w:val="18"/>
        </w:rPr>
        <w:t xml:space="preserve"> </w:t>
      </w:r>
    </w:p>
    <w:p w:rsidR="00A92422" w:rsidRPr="00D87B79" w:rsidRDefault="00A92422" w:rsidP="00A92422">
      <w:pPr>
        <w:numPr>
          <w:ilvl w:val="0"/>
          <w:numId w:val="123"/>
        </w:numPr>
        <w:tabs>
          <w:tab w:val="left" w:pos="1440"/>
        </w:tabs>
        <w:spacing w:after="60"/>
        <w:ind w:left="1440"/>
        <w:rPr>
          <w:rFonts w:cs="Tahoma"/>
        </w:rPr>
      </w:pPr>
      <w:r w:rsidRPr="00D87B79">
        <w:rPr>
          <w:rFonts w:cs="Tahoma"/>
          <w:lang w:val="it-IT"/>
        </w:rPr>
        <w:t>un numero pari al numero di licenze qualificanti cedute al server oltre al numero effettivo di</w:t>
      </w:r>
      <w:r>
        <w:rPr>
          <w:rFonts w:cs="Tahoma"/>
          <w:lang w:val="it-IT"/>
        </w:rPr>
        <w:t> </w:t>
      </w:r>
      <w:r w:rsidRPr="00D87B79">
        <w:rPr>
          <w:rFonts w:cs="Tahoma"/>
          <w:lang w:val="it-IT"/>
        </w:rPr>
        <w:t>processori fisici sul server moltiplicato per quattro.</w:t>
      </w:r>
    </w:p>
    <w:p w:rsidR="00A92422" w:rsidRDefault="00A92422" w:rsidP="00A92422">
      <w:pPr>
        <w:spacing w:after="60"/>
        <w:ind w:left="720"/>
        <w:rPr>
          <w:rFonts w:cs="Tahoma"/>
          <w:b/>
          <w:lang w:val="it-IT"/>
        </w:rPr>
      </w:pPr>
    </w:p>
    <w:p w:rsidR="00A92422" w:rsidRPr="00D87B79" w:rsidRDefault="00A92422" w:rsidP="00A92422">
      <w:pPr>
        <w:spacing w:after="60"/>
        <w:ind w:left="720"/>
        <w:rPr>
          <w:rFonts w:cs="Tahoma"/>
        </w:rPr>
      </w:pPr>
      <w:r w:rsidRPr="00D87B79">
        <w:rPr>
          <w:rFonts w:cs="Tahoma"/>
          <w:b/>
          <w:lang w:val="it-IT"/>
        </w:rPr>
        <w:t>Primo Periodo di Rinnovo (in data 1 aprile 2015 o successiva)</w:t>
      </w:r>
    </w:p>
    <w:p w:rsidR="00A92422" w:rsidRPr="00D87B79" w:rsidRDefault="00A92422" w:rsidP="00A92422">
      <w:pPr>
        <w:ind w:left="720"/>
        <w:rPr>
          <w:rFonts w:cs="Tahoma"/>
        </w:rPr>
      </w:pPr>
      <w:r w:rsidRPr="00D87B79">
        <w:rPr>
          <w:rFonts w:cs="Tahoma"/>
          <w:lang w:val="it-IT"/>
        </w:rPr>
        <w:t>le società che rinnovano per la prima volta la copertura in data 1 aprile 2015 potranno, per ogni server ottenuto in licenza in conformità ai diritti di utilizzo del prodotto previsti dalla licenza per processore SQL</w:t>
      </w:r>
      <w:r>
        <w:rPr>
          <w:rFonts w:cs="Tahoma"/>
          <w:lang w:val="it-IT"/>
        </w:rPr>
        <w:t> </w:t>
      </w:r>
      <w:r w:rsidRPr="00D87B79">
        <w:rPr>
          <w:rFonts w:cs="Tahoma"/>
          <w:lang w:val="it-IT"/>
        </w:rPr>
        <w:t>Server 2008 R2, acquistare la copertura Software Assurance come di seguito indicato:</w:t>
      </w:r>
    </w:p>
    <w:p w:rsidR="00A92422" w:rsidRPr="00D87B79" w:rsidRDefault="00A92422" w:rsidP="00A92422">
      <w:pPr>
        <w:ind w:left="720"/>
        <w:rPr>
          <w:rFonts w:cs="Tahoma"/>
        </w:rPr>
      </w:pPr>
    </w:p>
    <w:p w:rsidR="00A92422" w:rsidRPr="00D87B79" w:rsidRDefault="00A92422" w:rsidP="00A92422">
      <w:pPr>
        <w:numPr>
          <w:ilvl w:val="3"/>
          <w:numId w:val="112"/>
        </w:numPr>
        <w:spacing w:after="60"/>
        <w:ind w:left="1440"/>
        <w:rPr>
          <w:rFonts w:cs="Tahoma"/>
        </w:rPr>
      </w:pPr>
      <w:r w:rsidRPr="00D87B79">
        <w:rPr>
          <w:rFonts w:cs="Tahoma"/>
          <w:lang w:val="it-IT"/>
        </w:rPr>
        <w:t>come stabilito nel primo paragrafo di questa nota relativa al prodotto, le licenze acquistate prima del 1 aprile 2015 sono licenze qualificanti e le società potranno rinnovare la copertura Software Assurance in base alle condizioni riportate nel precedente Articolo “Primo Periodo di Rinnovo (prima del 1 aprile 2015)” e</w:t>
      </w:r>
      <w:r w:rsidRPr="00D87B79">
        <w:rPr>
          <w:rFonts w:cs="Tahoma"/>
        </w:rPr>
        <w:t xml:space="preserve"> </w:t>
      </w:r>
    </w:p>
    <w:p w:rsidR="00A92422" w:rsidRPr="00D87B79" w:rsidRDefault="00A92422" w:rsidP="00A92422">
      <w:pPr>
        <w:numPr>
          <w:ilvl w:val="3"/>
          <w:numId w:val="112"/>
        </w:numPr>
        <w:spacing w:after="60"/>
        <w:ind w:left="1440"/>
        <w:rPr>
          <w:rFonts w:cs="Tahoma"/>
        </w:rPr>
      </w:pPr>
      <w:r w:rsidRPr="00D87B79">
        <w:rPr>
          <w:rFonts w:cs="Tahoma"/>
          <w:lang w:val="it-IT"/>
        </w:rPr>
        <w:t>per le licenze acquistate dopo il 1 aprile 2015 le società potranno rinnovare la copertura Software Assurance per quattro licenze core per SQL Server Standard senza dover acquistare le licenze core sottostanti per ogni licenza per processore per SQL Server 2008 R2 Standard.</w:t>
      </w:r>
      <w:r w:rsidRPr="00D87B79">
        <w:rPr>
          <w:rFonts w:cs="Tahoma"/>
        </w:rPr>
        <w:t xml:space="preserve"> </w:t>
      </w:r>
      <w:r w:rsidRPr="00D87B79">
        <w:rPr>
          <w:rFonts w:cs="Tahoma"/>
          <w:lang w:val="it-IT"/>
        </w:rPr>
        <w:t>Per l’utilizzo continuativo di SQL Server 2012 su processori che richiedono più di quattro licenze core per processore la società deve acquistare le licenze core aggiuntive.</w:t>
      </w:r>
    </w:p>
    <w:p w:rsidR="00A92422" w:rsidRPr="00D87B79" w:rsidRDefault="00A92422" w:rsidP="00A92422">
      <w:pPr>
        <w:numPr>
          <w:ilvl w:val="0"/>
          <w:numId w:val="90"/>
        </w:numPr>
        <w:spacing w:after="60"/>
        <w:ind w:left="1440"/>
        <w:rPr>
          <w:rFonts w:cs="Tahoma"/>
        </w:rPr>
      </w:pPr>
      <w:r w:rsidRPr="00D87B79">
        <w:rPr>
          <w:rFonts w:eastAsia="Times New Roman" w:cs="Tahoma"/>
          <w:szCs w:val="18"/>
          <w:lang w:val="it-IT"/>
        </w:rPr>
        <w:t>Le licenze per processore delle società non sono più valide se si acquista la copertura Software Assurance per licenze core ai sensi della presente offerta.</w:t>
      </w:r>
      <w:r w:rsidRPr="00D87B79">
        <w:rPr>
          <w:rFonts w:eastAsia="Times New Roman" w:cs="Tahoma"/>
          <w:szCs w:val="18"/>
        </w:rPr>
        <w:t xml:space="preserve"> </w:t>
      </w:r>
      <w:r w:rsidRPr="00D87B79">
        <w:rPr>
          <w:rFonts w:eastAsia="Times New Roman" w:cs="Tahoma"/>
          <w:szCs w:val="18"/>
          <w:lang w:val="it-IT"/>
        </w:rPr>
        <w:t>L’opzione di acquistare Software Assurance per le licenze core per SQL Server non è applicabile al rinnovo della copertura ai sensi dei programmi di sottoscrizione.</w:t>
      </w:r>
      <w:r w:rsidRPr="00D87B79">
        <w:rPr>
          <w:rFonts w:eastAsia="Times New Roman" w:cs="Tahoma"/>
          <w:szCs w:val="18"/>
        </w:rPr>
        <w:t xml:space="preserve"> </w:t>
      </w:r>
    </w:p>
    <w:p w:rsidR="00A92422" w:rsidRPr="00D87B79" w:rsidRDefault="00A92422" w:rsidP="00A92422">
      <w:pPr>
        <w:tabs>
          <w:tab w:val="left" w:pos="1080"/>
        </w:tabs>
        <w:ind w:left="1080"/>
        <w:rPr>
          <w:rFonts w:cs="Tahoma"/>
        </w:rPr>
      </w:pPr>
    </w:p>
    <w:p w:rsidR="00A92422" w:rsidRPr="00D87B79" w:rsidRDefault="00A92422" w:rsidP="00A92422">
      <w:pPr>
        <w:spacing w:after="60"/>
        <w:ind w:left="720"/>
        <w:rPr>
          <w:rFonts w:cs="Tahoma"/>
        </w:rPr>
      </w:pPr>
      <w:r w:rsidRPr="00D87B79">
        <w:rPr>
          <w:rFonts w:cs="Tahoma"/>
          <w:b/>
          <w:lang w:val="it-IT"/>
        </w:rPr>
        <w:t>Per le società che desiderano eseguire lo step-up da SQL Server Standard a SQL Server Enterprise Core</w:t>
      </w:r>
    </w:p>
    <w:p w:rsidR="00A92422" w:rsidRPr="00D87B79" w:rsidRDefault="00A92422" w:rsidP="00A92422">
      <w:pPr>
        <w:ind w:left="720"/>
        <w:rPr>
          <w:rFonts w:cs="Tahoma"/>
        </w:rPr>
      </w:pPr>
      <w:r w:rsidRPr="00D87B79">
        <w:rPr>
          <w:rFonts w:cs="Tahoma"/>
          <w:lang w:val="it-IT"/>
        </w:rPr>
        <w:t>Le società in possesso di licenze qualificanti per SQL Server 2008 R2 Standard possono eseguire lo step-up di tali licenze a SQL Server Enterprise (Per Core) in qualsiasi momento durante il periodo di validità corrente della copertura Software Assurance.</w:t>
      </w:r>
      <w:r w:rsidRPr="00D87B79">
        <w:rPr>
          <w:rFonts w:cs="Tahoma"/>
        </w:rPr>
        <w:t xml:space="preserve"> </w:t>
      </w:r>
      <w:r w:rsidRPr="00D87B79">
        <w:rPr>
          <w:rFonts w:cs="Tahoma"/>
          <w:lang w:val="it-IT"/>
        </w:rPr>
        <w:t xml:space="preserve">Per ogni server ottenuto validamente in licenza in conformità ai diritti </w:t>
      </w:r>
      <w:r w:rsidRPr="00D87B79">
        <w:rPr>
          <w:rFonts w:cs="Tahoma"/>
          <w:lang w:val="it-IT"/>
        </w:rPr>
        <w:lastRenderedPageBreak/>
        <w:t>di</w:t>
      </w:r>
      <w:r>
        <w:rPr>
          <w:rFonts w:cs="Tahoma"/>
          <w:lang w:val="it-IT"/>
        </w:rPr>
        <w:t> </w:t>
      </w:r>
      <w:r w:rsidRPr="00D87B79">
        <w:rPr>
          <w:rFonts w:cs="Tahoma"/>
          <w:lang w:val="it-IT"/>
        </w:rPr>
        <w:t>utilizzo del prodotto previsti dalla licenza per processore SQL Server 2008 R2 Standard, la società potrà acquistare un numero di Licenze di Step-Up per SQL Server Enterprise Core pari al numero totale dei processori fisici sul server moltiplicato per il maggiore tra:</w:t>
      </w:r>
      <w:r w:rsidRPr="00D87B79">
        <w:rPr>
          <w:rFonts w:eastAsia="Times New Roman" w:cs="Tahoma"/>
          <w:szCs w:val="18"/>
        </w:rPr>
        <w:t xml:space="preserve"> </w:t>
      </w:r>
    </w:p>
    <w:p w:rsidR="00A92422" w:rsidRPr="00D87B79" w:rsidRDefault="00A92422" w:rsidP="00A92422">
      <w:pPr>
        <w:tabs>
          <w:tab w:val="left" w:pos="1080"/>
        </w:tabs>
        <w:ind w:left="1080"/>
        <w:rPr>
          <w:rFonts w:cs="Tahoma"/>
        </w:rPr>
      </w:pPr>
    </w:p>
    <w:p w:rsidR="00A92422" w:rsidRPr="00D87B79" w:rsidRDefault="00A92422" w:rsidP="00A92422">
      <w:pPr>
        <w:numPr>
          <w:ilvl w:val="3"/>
          <w:numId w:val="113"/>
        </w:numPr>
        <w:tabs>
          <w:tab w:val="left" w:pos="1440"/>
        </w:tabs>
        <w:spacing w:after="60"/>
        <w:ind w:left="1440"/>
        <w:rPr>
          <w:rFonts w:cs="Tahoma"/>
        </w:rPr>
      </w:pPr>
      <w:r w:rsidRPr="00D87B79">
        <w:rPr>
          <w:rFonts w:cs="Tahoma"/>
          <w:lang w:val="it-IT"/>
        </w:rPr>
        <w:t>quattro O</w:t>
      </w:r>
    </w:p>
    <w:p w:rsidR="00A92422" w:rsidRPr="00D87B79" w:rsidRDefault="00A92422" w:rsidP="00A92422">
      <w:pPr>
        <w:numPr>
          <w:ilvl w:val="3"/>
          <w:numId w:val="113"/>
        </w:numPr>
        <w:tabs>
          <w:tab w:val="left" w:pos="1440"/>
        </w:tabs>
        <w:spacing w:after="60"/>
        <w:ind w:left="1440"/>
        <w:rPr>
          <w:rFonts w:cs="Tahoma"/>
        </w:rPr>
      </w:pPr>
      <w:r w:rsidRPr="00D87B79">
        <w:rPr>
          <w:rFonts w:eastAsia="Times New Roman" w:cs="Tahoma"/>
          <w:szCs w:val="18"/>
          <w:lang w:val="it-IT"/>
        </w:rPr>
        <w:t>il numero effettivo di core per processore fisico moltiplicato per il fattore core appropriato.</w:t>
      </w:r>
      <w:r w:rsidRPr="00D87B79">
        <w:rPr>
          <w:rFonts w:eastAsia="Times New Roman" w:cs="Tahoma"/>
          <w:szCs w:val="18"/>
        </w:rPr>
        <w:t xml:space="preserve"> </w:t>
      </w:r>
      <w:r w:rsidRPr="00D87B79">
        <w:rPr>
          <w:rFonts w:eastAsia="Times New Roman" w:cs="Tahoma"/>
          <w:szCs w:val="18"/>
          <w:lang w:val="it-IT"/>
        </w:rPr>
        <w:t>(Nei</w:t>
      </w:r>
      <w:r>
        <w:rPr>
          <w:rFonts w:eastAsia="Times New Roman" w:cs="Tahoma"/>
          <w:szCs w:val="18"/>
          <w:lang w:val="it-IT"/>
        </w:rPr>
        <w:t> </w:t>
      </w:r>
      <w:r w:rsidRPr="00D87B79">
        <w:rPr>
          <w:rFonts w:eastAsia="Times New Roman" w:cs="Tahoma"/>
          <w:szCs w:val="18"/>
          <w:lang w:val="it-IT"/>
        </w:rPr>
        <w:t>casi</w:t>
      </w:r>
      <w:r>
        <w:rPr>
          <w:rFonts w:eastAsia="Times New Roman" w:cs="Tahoma"/>
          <w:szCs w:val="18"/>
          <w:lang w:val="it-IT"/>
        </w:rPr>
        <w:t> </w:t>
      </w:r>
      <w:r w:rsidRPr="00D87B79">
        <w:rPr>
          <w:rFonts w:eastAsia="Times New Roman" w:cs="Tahoma"/>
          <w:szCs w:val="18"/>
          <w:lang w:val="it-IT"/>
        </w:rPr>
        <w:t>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l’hardware fisico che supporta tale software appena prima dell’acquisto delle licenze di Step-Up utilizzando lo</w:t>
      </w:r>
      <w:r>
        <w:rPr>
          <w:rFonts w:eastAsia="Times New Roman" w:cs="Tahoma"/>
          <w:szCs w:val="18"/>
          <w:lang w:val="it-IT"/>
        </w:rPr>
        <w:t> </w:t>
      </w:r>
      <w:r w:rsidRPr="00D87B79">
        <w:rPr>
          <w:rFonts w:eastAsia="Times New Roman" w:cs="Tahoma"/>
          <w:szCs w:val="18"/>
          <w:lang w:val="it-IT"/>
        </w:rPr>
        <w:t>strumento MAP di Microsoft o un software equivalente).</w:t>
      </w:r>
      <w:r w:rsidRPr="00D87B79">
        <w:rPr>
          <w:rFonts w:eastAsia="Times New Roman" w:cs="Tahoma"/>
          <w:szCs w:val="18"/>
        </w:rPr>
        <w:t xml:space="preserve"> </w:t>
      </w:r>
    </w:p>
    <w:p w:rsidR="00A92422" w:rsidRPr="00D87B79" w:rsidRDefault="00A92422" w:rsidP="00A92422">
      <w:pPr>
        <w:tabs>
          <w:tab w:val="left" w:pos="1440"/>
        </w:tabs>
        <w:ind w:left="1440"/>
        <w:rPr>
          <w:rFonts w:cs="Tahoma"/>
        </w:rPr>
      </w:pPr>
    </w:p>
    <w:p w:rsidR="00A92422" w:rsidRPr="00D87B79" w:rsidRDefault="00A92422" w:rsidP="00A92422">
      <w:pPr>
        <w:ind w:left="720"/>
        <w:rPr>
          <w:rFonts w:cs="Tahoma"/>
        </w:rPr>
      </w:pPr>
      <w:r w:rsidRPr="00D87B79">
        <w:rPr>
          <w:rFonts w:eastAsia="Times New Roman" w:cs="Tahoma"/>
          <w:szCs w:val="18"/>
          <w:lang w:val="it-IT"/>
        </w:rPr>
        <w:t>All’acquisto nel numero appropriato di licenze di Step-Up per SQL Server Enterprise Core, la società potrà distribuire e utilizzare il software ai sensi dei diritti di utilizzo di SQL Server Enterprise Core.</w:t>
      </w:r>
      <w:r w:rsidRPr="00D87B79">
        <w:rPr>
          <w:rFonts w:cs="Tahoma"/>
        </w:rPr>
        <w:t xml:space="preserve"> </w:t>
      </w:r>
      <w:r w:rsidRPr="00D87B79">
        <w:rPr>
          <w:rFonts w:cs="Tahoma"/>
          <w:lang w:val="it-IT"/>
        </w:rPr>
        <w:t>Salvo per quanto previsto al presente Articolo “Per le società che desiderano eseguire lo step-up da SQL Server Standard a SQL Server Enterprise Core”,</w:t>
      </w:r>
      <w:r w:rsidRPr="00D87B79">
        <w:rPr>
          <w:rFonts w:cs="Tahoma"/>
          <w:b/>
          <w:lang w:val="it-IT"/>
        </w:rPr>
        <w:t xml:space="preserve"> </w:t>
      </w:r>
      <w:r w:rsidRPr="00D87B79">
        <w:rPr>
          <w:rFonts w:cs="Tahoma"/>
          <w:lang w:val="it-IT"/>
        </w:rPr>
        <w:t>si applicano le condizioni relative all’acquisto di licenze di Step-Up,</w:t>
      </w:r>
      <w:r>
        <w:rPr>
          <w:rFonts w:cs="Tahoma"/>
          <w:lang w:val="it-IT"/>
        </w:rPr>
        <w:t> </w:t>
      </w:r>
      <w:r w:rsidRPr="00D87B79">
        <w:rPr>
          <w:rFonts w:cs="Tahoma"/>
          <w:lang w:val="it-IT"/>
        </w:rPr>
        <w:t>come descritte nell’Articolo relativo a Software Assurance in questa Lista dei Prodotti.</w:t>
      </w:r>
      <w:r w:rsidRPr="00D87B79">
        <w:rPr>
          <w:rFonts w:cs="Tahoma"/>
        </w:rPr>
        <w:t xml:space="preserve"> </w:t>
      </w:r>
    </w:p>
    <w:p w:rsidR="00A92422" w:rsidRPr="00D87B79" w:rsidRDefault="00A92422" w:rsidP="00A92422">
      <w:pPr>
        <w:tabs>
          <w:tab w:val="left" w:pos="1080"/>
        </w:tabs>
        <w:ind w:left="1080"/>
        <w:rPr>
          <w:rFonts w:cs="Tahoma"/>
        </w:rPr>
      </w:pPr>
    </w:p>
    <w:p w:rsidR="00A92422" w:rsidRPr="00D87B79" w:rsidRDefault="00A92422" w:rsidP="00A92422">
      <w:pPr>
        <w:spacing w:after="60"/>
        <w:ind w:left="720"/>
        <w:rPr>
          <w:rFonts w:cs="Tahoma"/>
        </w:rPr>
      </w:pPr>
      <w:r w:rsidRPr="00D87B79">
        <w:rPr>
          <w:rFonts w:cs="Tahoma"/>
          <w:b/>
          <w:lang w:val="it-IT"/>
        </w:rPr>
        <w:t>Per le Società con copertura Software Assurance in scadenza prima del 1 aprile 2015 che</w:t>
      </w:r>
      <w:r>
        <w:rPr>
          <w:rFonts w:cs="Tahoma"/>
          <w:b/>
          <w:lang w:val="it-IT"/>
        </w:rPr>
        <w:t> </w:t>
      </w:r>
      <w:r w:rsidRPr="00D87B79">
        <w:rPr>
          <w:rFonts w:cs="Tahoma"/>
          <w:b/>
          <w:lang w:val="it-IT"/>
        </w:rPr>
        <w:t>scelgono di non effettuare il rinnovo</w:t>
      </w:r>
    </w:p>
    <w:p w:rsidR="00A92422" w:rsidRPr="00D87B79" w:rsidRDefault="00A92422" w:rsidP="00A92422">
      <w:pPr>
        <w:ind w:left="720"/>
        <w:rPr>
          <w:rFonts w:cs="Tahoma"/>
        </w:rPr>
      </w:pPr>
      <w:r w:rsidRPr="00D87B79">
        <w:rPr>
          <w:rFonts w:cs="Tahoma"/>
          <w:lang w:val="it-IT"/>
        </w:rPr>
        <w:t>le società titolari di contratti Enterprise Subscription e Open Value Subscription con copertura in scadenza prima del 1 aprile 2015 che scelgono di effettuare il buy-out delle licenze per processore e altre società che</w:t>
      </w:r>
      <w:r>
        <w:rPr>
          <w:rFonts w:cs="Tahoma"/>
          <w:lang w:val="it-IT"/>
        </w:rPr>
        <w:t> </w:t>
      </w:r>
      <w:r w:rsidRPr="00D87B79">
        <w:rPr>
          <w:rFonts w:cs="Tahoma"/>
          <w:lang w:val="it-IT"/>
        </w:rPr>
        <w:t>acquistano licenze perpetue ai sensi del loro contratto e scelgano di non rinnovare Software Assurance potranno eseguire SQL Server 2008 R2 o SQL Server 2012 ai sensi di tali licenze come indicato sotto:</w:t>
      </w:r>
    </w:p>
    <w:p w:rsidR="00A92422" w:rsidRPr="00D87B79" w:rsidRDefault="00A92422" w:rsidP="00A92422">
      <w:pPr>
        <w:ind w:left="720"/>
        <w:rPr>
          <w:rFonts w:cs="Tahoma"/>
        </w:rPr>
      </w:pPr>
    </w:p>
    <w:p w:rsidR="00A92422" w:rsidRPr="00CE2924" w:rsidRDefault="00A92422" w:rsidP="00A92422">
      <w:pPr>
        <w:numPr>
          <w:ilvl w:val="0"/>
          <w:numId w:val="114"/>
        </w:numPr>
        <w:tabs>
          <w:tab w:val="left" w:pos="1440"/>
        </w:tabs>
        <w:spacing w:after="60"/>
        <w:ind w:left="1440"/>
        <w:rPr>
          <w:rFonts w:cs="Tahoma"/>
        </w:rPr>
      </w:pPr>
      <w:r w:rsidRPr="00D87B79">
        <w:rPr>
          <w:rFonts w:cs="Tahoma"/>
          <w:b/>
          <w:lang w:val="it-IT"/>
        </w:rPr>
        <w:t>SQL Server 2008 R2 Standard:</w:t>
      </w:r>
      <w:r w:rsidRPr="00D87B79">
        <w:rPr>
          <w:rFonts w:eastAsia="Times New Roman" w:cs="Tahoma"/>
          <w:szCs w:val="18"/>
        </w:rPr>
        <w:t xml:space="preserve"> </w:t>
      </w:r>
      <w:r w:rsidRPr="00D87B79">
        <w:rPr>
          <w:rFonts w:eastAsia="Times New Roman" w:cs="Tahoma"/>
          <w:szCs w:val="18"/>
          <w:lang w:val="it-IT"/>
        </w:rPr>
        <w:t>l’utilizzo continuativo di tale versione del software è soggetto ai</w:t>
      </w:r>
      <w:r>
        <w:rPr>
          <w:rFonts w:eastAsia="Times New Roman" w:cs="Tahoma"/>
          <w:szCs w:val="18"/>
          <w:lang w:val="it-IT"/>
        </w:rPr>
        <w:t> </w:t>
      </w:r>
      <w:r w:rsidRPr="00D87B79">
        <w:rPr>
          <w:rFonts w:eastAsia="Times New Roman" w:cs="Tahoma"/>
          <w:szCs w:val="18"/>
          <w:lang w:val="it-IT"/>
        </w:rPr>
        <w:t>diritti di utilizzo del prodotto previsti dalla licenza per processore SQL Server 2008 R2 Standard.</w:t>
      </w:r>
      <w:r w:rsidRPr="00D87B79">
        <w:rPr>
          <w:rFonts w:eastAsia="Times New Roman" w:cs="Tahoma"/>
          <w:szCs w:val="18"/>
        </w:rPr>
        <w:t xml:space="preserve"> </w:t>
      </w:r>
      <w:r w:rsidRPr="00D87B79">
        <w:rPr>
          <w:rFonts w:eastAsia="Times New Roman" w:cs="Tahoma"/>
          <w:szCs w:val="18"/>
          <w:lang w:val="it-IT"/>
        </w:rPr>
        <w:t>Le società non disporranno più di diritti ai sensi della Mobilità delle Licenze all’interno di Server Farm o della Mobilità delle Licenze tramite Software Assurance.</w:t>
      </w:r>
      <w:r w:rsidRPr="00D87B79">
        <w:rPr>
          <w:rFonts w:eastAsia="Times New Roman" w:cs="Tahoma"/>
          <w:szCs w:val="18"/>
        </w:rPr>
        <w:t xml:space="preserve"> </w:t>
      </w:r>
    </w:p>
    <w:p w:rsidR="00A92422" w:rsidRPr="00D87B79" w:rsidRDefault="00A92422" w:rsidP="00A92422">
      <w:pPr>
        <w:tabs>
          <w:tab w:val="left" w:pos="1440"/>
        </w:tabs>
        <w:spacing w:after="60"/>
        <w:rPr>
          <w:rFonts w:cs="Tahoma"/>
        </w:rPr>
      </w:pPr>
    </w:p>
    <w:p w:rsidR="00A92422" w:rsidRPr="00D87B79" w:rsidRDefault="00A92422" w:rsidP="00A92422">
      <w:pPr>
        <w:numPr>
          <w:ilvl w:val="0"/>
          <w:numId w:val="114"/>
        </w:numPr>
        <w:tabs>
          <w:tab w:val="left" w:pos="1440"/>
        </w:tabs>
        <w:spacing w:after="60"/>
        <w:ind w:left="1440"/>
        <w:rPr>
          <w:rFonts w:cs="Tahoma"/>
        </w:rPr>
      </w:pPr>
      <w:r w:rsidRPr="00D87B79">
        <w:rPr>
          <w:rFonts w:eastAsia="Times New Roman" w:cs="Tahoma"/>
          <w:b/>
          <w:szCs w:val="18"/>
          <w:lang w:val="it-IT"/>
        </w:rPr>
        <w:t>SQL Server 2012 Standard Core:</w:t>
      </w:r>
      <w:r w:rsidRPr="00D87B79">
        <w:rPr>
          <w:rFonts w:eastAsia="Times New Roman" w:cs="Tahoma"/>
          <w:b/>
          <w:szCs w:val="18"/>
        </w:rPr>
        <w:t xml:space="preserve"> </w:t>
      </w:r>
      <w:r w:rsidRPr="00D87B79">
        <w:rPr>
          <w:rFonts w:eastAsia="Times New Roman" w:cs="Tahoma"/>
          <w:szCs w:val="18"/>
          <w:lang w:val="it-IT"/>
        </w:rPr>
        <w:t>l’utilizzo di tale versione del software è soggetto ai diritti di</w:t>
      </w:r>
      <w:r>
        <w:rPr>
          <w:rFonts w:eastAsia="Times New Roman" w:cs="Tahoma"/>
          <w:szCs w:val="18"/>
          <w:lang w:val="it-IT"/>
        </w:rPr>
        <w:t> </w:t>
      </w:r>
      <w:r w:rsidRPr="00D87B79">
        <w:rPr>
          <w:rFonts w:eastAsia="Times New Roman" w:cs="Tahoma"/>
          <w:szCs w:val="18"/>
          <w:lang w:val="it-IT"/>
        </w:rPr>
        <w:t>utilizzo del prodotto previsti dalla licenza per processore SQL Server 2008 R2 Standard, tuttavia:</w:t>
      </w:r>
      <w:r w:rsidRPr="00D87B79">
        <w:rPr>
          <w:rFonts w:eastAsia="Times New Roman" w:cs="Tahoma"/>
          <w:szCs w:val="18"/>
        </w:rPr>
        <w:t xml:space="preserve"> </w:t>
      </w:r>
    </w:p>
    <w:p w:rsidR="00A92422" w:rsidRPr="00D87B79" w:rsidRDefault="00A92422" w:rsidP="00A92422">
      <w:pPr>
        <w:numPr>
          <w:ilvl w:val="1"/>
          <w:numId w:val="115"/>
        </w:numPr>
        <w:tabs>
          <w:tab w:val="left" w:pos="1800"/>
        </w:tabs>
        <w:spacing w:after="60"/>
        <w:ind w:left="1800"/>
        <w:rPr>
          <w:rFonts w:cs="Tahoma"/>
        </w:rPr>
      </w:pPr>
      <w:r w:rsidRPr="00D87B79">
        <w:rPr>
          <w:rFonts w:cs="Tahoma"/>
          <w:lang w:val="it-IT"/>
        </w:rPr>
        <w:t>le società non disporranno più di diritti ai sensi della Mobilità delle Licenze all’interno di Server Farm o della Mobilità delle Licenze tramite Software Assurance e</w:t>
      </w:r>
      <w:r w:rsidRPr="00D87B79">
        <w:rPr>
          <w:rFonts w:cs="Tahoma"/>
        </w:rPr>
        <w:t xml:space="preserve"> </w:t>
      </w:r>
    </w:p>
    <w:p w:rsidR="00A92422" w:rsidRPr="00D87B79" w:rsidRDefault="00A92422" w:rsidP="00A92422">
      <w:pPr>
        <w:numPr>
          <w:ilvl w:val="1"/>
          <w:numId w:val="115"/>
        </w:numPr>
        <w:tabs>
          <w:tab w:val="left" w:pos="1800"/>
        </w:tabs>
        <w:spacing w:after="60"/>
        <w:ind w:left="1800"/>
        <w:rPr>
          <w:rFonts w:cs="Tahoma"/>
        </w:rPr>
      </w:pPr>
      <w:r w:rsidRPr="00D87B79">
        <w:rPr>
          <w:rFonts w:eastAsia="Times New Roman" w:cs="Tahoma"/>
          <w:szCs w:val="18"/>
          <w:lang w:val="it-IT"/>
        </w:rPr>
        <w:t>l’eventuale riassegnazione di licenze è soggetta ai limiti indicati nei paragrafi (i) e (ii) che seguono relativi alla loro “equivalenza di licenze core”. L’equivalenza di licenze core è</w:t>
      </w:r>
      <w:r>
        <w:rPr>
          <w:rFonts w:eastAsia="Times New Roman" w:cs="Tahoma"/>
          <w:szCs w:val="18"/>
          <w:lang w:val="it-IT"/>
        </w:rPr>
        <w:t> </w:t>
      </w:r>
      <w:r w:rsidRPr="00D87B79">
        <w:rPr>
          <w:rFonts w:eastAsia="Times New Roman" w:cs="Tahoma"/>
          <w:szCs w:val="18"/>
          <w:lang w:val="it-IT"/>
        </w:rPr>
        <w:t>determinata come di seguito riportato.</w:t>
      </w:r>
      <w:r w:rsidRPr="00D87B79">
        <w:rPr>
          <w:rFonts w:eastAsia="Times New Roman" w:cs="Tahoma"/>
          <w:szCs w:val="18"/>
        </w:rPr>
        <w:t xml:space="preserve"> </w:t>
      </w:r>
    </w:p>
    <w:p w:rsidR="00A92422" w:rsidRPr="00D87B79" w:rsidRDefault="00A92422" w:rsidP="00A92422">
      <w:pPr>
        <w:numPr>
          <w:ilvl w:val="2"/>
          <w:numId w:val="114"/>
        </w:numPr>
        <w:tabs>
          <w:tab w:val="left" w:pos="2160"/>
        </w:tabs>
        <w:spacing w:after="60"/>
        <w:ind w:hanging="360"/>
        <w:rPr>
          <w:rFonts w:cs="Tahoma"/>
        </w:rPr>
      </w:pPr>
      <w:r w:rsidRPr="00D87B79">
        <w:rPr>
          <w:rFonts w:eastAsia="Times New Roman" w:cs="Tahoma"/>
          <w:szCs w:val="18"/>
          <w:lang w:val="it-IT"/>
        </w:rPr>
        <w:t>Per un numero di licenze pari al numero inferiore tra (x) il numero totale di licenze per</w:t>
      </w:r>
      <w:r>
        <w:rPr>
          <w:rFonts w:eastAsia="Times New Roman" w:cs="Tahoma"/>
          <w:szCs w:val="18"/>
          <w:lang w:val="it-IT"/>
        </w:rPr>
        <w:t> </w:t>
      </w:r>
      <w:r w:rsidRPr="00D87B79">
        <w:rPr>
          <w:rFonts w:eastAsia="Times New Roman" w:cs="Tahoma"/>
          <w:szCs w:val="18"/>
          <w:lang w:val="it-IT"/>
        </w:rPr>
        <w:t>processore cedute a un server con licenza appena prima della scadenza di Software Assurance o (y) il numero totale di processori fisici su tale server, l’equivalenza di licenze core è il numero maggiore tra:</w:t>
      </w:r>
      <w:r w:rsidRPr="00D87B79">
        <w:rPr>
          <w:rFonts w:eastAsia="Times New Roman" w:cs="Tahoma"/>
          <w:szCs w:val="18"/>
        </w:rPr>
        <w:t xml:space="preserve"> </w:t>
      </w:r>
    </w:p>
    <w:p w:rsidR="00A92422" w:rsidRPr="00D87B79" w:rsidRDefault="00A92422" w:rsidP="00A92422">
      <w:pPr>
        <w:numPr>
          <w:ilvl w:val="4"/>
          <w:numId w:val="90"/>
        </w:numPr>
        <w:tabs>
          <w:tab w:val="left" w:pos="2520"/>
        </w:tabs>
        <w:spacing w:after="60"/>
        <w:ind w:left="2545" w:hanging="25"/>
        <w:rPr>
          <w:rFonts w:cs="Tahoma"/>
        </w:rPr>
      </w:pPr>
      <w:r w:rsidRPr="00D87B79">
        <w:rPr>
          <w:rFonts w:cs="Tahoma"/>
          <w:lang w:val="it-IT"/>
        </w:rPr>
        <w:t>quattro core per licenza per processore O</w:t>
      </w:r>
      <w:r w:rsidRPr="00D87B79">
        <w:rPr>
          <w:rFonts w:cs="Tahoma"/>
        </w:rPr>
        <w:t xml:space="preserve"> </w:t>
      </w:r>
    </w:p>
    <w:p w:rsidR="00A92422" w:rsidRPr="00D87B79" w:rsidRDefault="00A92422" w:rsidP="00A92422">
      <w:pPr>
        <w:numPr>
          <w:ilvl w:val="4"/>
          <w:numId w:val="90"/>
        </w:numPr>
        <w:tabs>
          <w:tab w:val="left" w:pos="2520"/>
        </w:tabs>
        <w:spacing w:after="60"/>
        <w:ind w:left="2880"/>
        <w:rPr>
          <w:rFonts w:cs="Tahoma"/>
        </w:rPr>
      </w:pPr>
      <w:r w:rsidRPr="00D87B79">
        <w:rPr>
          <w:rFonts w:eastAsia="Times New Roman" w:cs="Tahoma"/>
          <w:szCs w:val="18"/>
          <w:lang w:val="it-IT"/>
        </w:rPr>
        <w:t>un numero di core per licenza per processore basato sul numero effettivo di core per processore fisico moltiplicato per il fattore core appropriato.</w:t>
      </w:r>
      <w:r w:rsidRPr="00D87B79">
        <w:rPr>
          <w:rFonts w:cs="Tahoma"/>
        </w:rPr>
        <w:t xml:space="preserve"> </w:t>
      </w:r>
      <w:r w:rsidRPr="00D87B79">
        <w:rPr>
          <w:rFonts w:cs="Tahoma"/>
          <w:lang w:val="it-IT"/>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l’hardware fisico che supporta tale software appena prima della scadenza di Software Assurance utilizzando lo strumento MAP di</w:t>
      </w:r>
      <w:r>
        <w:rPr>
          <w:rFonts w:cs="Tahoma"/>
          <w:lang w:val="it-IT"/>
        </w:rPr>
        <w:t> </w:t>
      </w:r>
      <w:r w:rsidRPr="00D87B79">
        <w:rPr>
          <w:rFonts w:cs="Tahoma"/>
          <w:lang w:val="it-IT"/>
        </w:rPr>
        <w:t>Microsoft o un software equivalente).</w:t>
      </w:r>
    </w:p>
    <w:p w:rsidR="00A92422" w:rsidRPr="00D87B79" w:rsidRDefault="00A92422" w:rsidP="00A92422">
      <w:pPr>
        <w:numPr>
          <w:ilvl w:val="2"/>
          <w:numId w:val="114"/>
        </w:numPr>
        <w:tabs>
          <w:tab w:val="left" w:pos="2160"/>
        </w:tabs>
        <w:spacing w:after="60"/>
        <w:ind w:hanging="360"/>
        <w:rPr>
          <w:rFonts w:cs="Tahoma"/>
        </w:rPr>
      </w:pPr>
      <w:r w:rsidRPr="00D87B79">
        <w:rPr>
          <w:rFonts w:cs="Tahoma"/>
          <w:lang w:val="it-IT"/>
        </w:rPr>
        <w:t>Per qualsiasi licenza per processore con la copertura Software Assurance in scadenza ceduta allo stesso server con licenza che ecceda il numero effettivo di processori fisici sul</w:t>
      </w:r>
      <w:r>
        <w:rPr>
          <w:rFonts w:cs="Tahoma"/>
          <w:lang w:val="it-IT"/>
        </w:rPr>
        <w:t> </w:t>
      </w:r>
      <w:r w:rsidRPr="00D87B79">
        <w:rPr>
          <w:rFonts w:cs="Tahoma"/>
          <w:lang w:val="it-IT"/>
        </w:rPr>
        <w:t>server, l’equivalenza core è di quattro core per licenza per processore.</w:t>
      </w:r>
    </w:p>
    <w:p w:rsidR="00A92422" w:rsidRPr="00D87B79" w:rsidRDefault="00A92422" w:rsidP="00A92422">
      <w:pPr>
        <w:numPr>
          <w:ilvl w:val="0"/>
          <w:numId w:val="93"/>
        </w:numPr>
        <w:tabs>
          <w:tab w:val="left" w:pos="1440"/>
        </w:tabs>
        <w:spacing w:after="60"/>
        <w:ind w:left="1440"/>
        <w:rPr>
          <w:rFonts w:cs="Tahoma"/>
        </w:rPr>
      </w:pPr>
      <w:r w:rsidRPr="00D87B79">
        <w:rPr>
          <w:rFonts w:cs="Tahoma"/>
          <w:lang w:val="it-IT"/>
        </w:rPr>
        <w:t>Le società potranno riassegnare le licenze a un altro server.</w:t>
      </w:r>
      <w:r w:rsidRPr="00D87B79">
        <w:rPr>
          <w:rFonts w:cs="Tahoma"/>
        </w:rPr>
        <w:t xml:space="preserve"> </w:t>
      </w:r>
      <w:r w:rsidRPr="00D87B79">
        <w:rPr>
          <w:rFonts w:cs="Tahoma"/>
          <w:lang w:val="it-IT"/>
        </w:rPr>
        <w:t>Tuttavia, qualora la società riassegni una licenza a un altro server, dovrà attenersi ai diritti sull’utilizzo di SQL Server 2012.</w:t>
      </w:r>
      <w:r w:rsidRPr="00D87B79">
        <w:rPr>
          <w:rFonts w:cs="Tahoma"/>
        </w:rPr>
        <w:t xml:space="preserve"> </w:t>
      </w:r>
      <w:r w:rsidRPr="00D87B79">
        <w:rPr>
          <w:rFonts w:cs="Tahoma"/>
          <w:lang w:val="it-IT"/>
        </w:rPr>
        <w:t xml:space="preserve">Quando </w:t>
      </w:r>
      <w:r w:rsidRPr="00D87B79">
        <w:rPr>
          <w:rFonts w:cs="Tahoma"/>
          <w:lang w:val="it-IT"/>
        </w:rPr>
        <w:lastRenderedPageBreak/>
        <w:t>cede</w:t>
      </w:r>
      <w:r>
        <w:rPr>
          <w:rFonts w:cs="Tahoma"/>
          <w:lang w:val="it-IT"/>
        </w:rPr>
        <w:t> </w:t>
      </w:r>
      <w:r w:rsidRPr="00D87B79">
        <w:rPr>
          <w:rFonts w:cs="Tahoma"/>
          <w:lang w:val="it-IT"/>
        </w:rPr>
        <w:t>licenze core a server ai sensi dei diritti sull’utilizzo per SQL 2012, la società potrà combinare l’equivalenza core delle licenze esistenti con le licenze core per SQL Server 2012 aggiuntive.</w:t>
      </w:r>
    </w:p>
    <w:p w:rsidR="00A92422" w:rsidRPr="00D87B79" w:rsidRDefault="00A92422" w:rsidP="00A92422">
      <w:pPr>
        <w:numPr>
          <w:ilvl w:val="0"/>
          <w:numId w:val="93"/>
        </w:numPr>
        <w:tabs>
          <w:tab w:val="left" w:pos="1440"/>
        </w:tabs>
        <w:spacing w:after="60"/>
        <w:ind w:left="1440"/>
        <w:rPr>
          <w:rFonts w:cs="Tahoma"/>
        </w:rPr>
      </w:pPr>
      <w:r w:rsidRPr="00D87B79">
        <w:rPr>
          <w:rFonts w:cs="Tahoma"/>
          <w:lang w:val="it-IT"/>
        </w:rPr>
        <w:t>L’equivalenza di licenze core stimata delle società non implica che esse possano cedere una licenza singola per processore a core attraverso due o più processori.</w:t>
      </w:r>
    </w:p>
    <w:p w:rsidR="00A92422" w:rsidRPr="00D87B79" w:rsidRDefault="00A92422" w:rsidP="00A92422">
      <w:pPr>
        <w:tabs>
          <w:tab w:val="left" w:pos="1440"/>
        </w:tabs>
        <w:ind w:left="1080"/>
        <w:rPr>
          <w:rFonts w:cs="Tahoma"/>
        </w:rPr>
      </w:pPr>
    </w:p>
    <w:p w:rsidR="00A92422" w:rsidRPr="00D87B79" w:rsidRDefault="00A92422" w:rsidP="00A92422">
      <w:pPr>
        <w:tabs>
          <w:tab w:val="left" w:pos="720"/>
        </w:tabs>
        <w:spacing w:after="60"/>
        <w:ind w:left="720"/>
        <w:rPr>
          <w:rFonts w:cs="Tahoma"/>
        </w:rPr>
      </w:pPr>
      <w:r w:rsidRPr="00D87B79">
        <w:rPr>
          <w:rFonts w:cs="Tahoma"/>
          <w:b/>
          <w:lang w:val="it-IT"/>
        </w:rPr>
        <w:t>Per le Società con copertura Software Assurance in scadenza in data 1 aprile 2015 o successiva che scelgono di non effettuare il rinnovo</w:t>
      </w:r>
    </w:p>
    <w:p w:rsidR="00A92422" w:rsidRPr="00D87B79" w:rsidRDefault="00A92422" w:rsidP="00A92422">
      <w:pPr>
        <w:tabs>
          <w:tab w:val="left" w:pos="720"/>
        </w:tabs>
        <w:ind w:left="720"/>
        <w:rPr>
          <w:rFonts w:cs="Tahoma"/>
        </w:rPr>
      </w:pPr>
      <w:r w:rsidRPr="00D87B79">
        <w:rPr>
          <w:rFonts w:cs="Tahoma"/>
          <w:lang w:val="it-IT"/>
        </w:rPr>
        <w:t>Alle società titolari di contratti Enterprise Subscription e Open Value Subscription con copertura in scadenza in data 1 aprile 2015 o successiva che scelgono di effettuare il buy-out delle licenze per processore e alle altre società che acquistano licenze perpetue ai sensi del loro contratto verranno offerte le seguenti opzioni:</w:t>
      </w:r>
      <w:r w:rsidRPr="00D87B79">
        <w:rPr>
          <w:rFonts w:eastAsia="Times New Roman" w:cs="Tahoma"/>
          <w:color w:val="000000"/>
          <w:szCs w:val="18"/>
        </w:rPr>
        <w:t xml:space="preserve"> </w:t>
      </w:r>
    </w:p>
    <w:p w:rsidR="00A92422" w:rsidRPr="00D87B79" w:rsidRDefault="00A92422" w:rsidP="00A92422">
      <w:pPr>
        <w:tabs>
          <w:tab w:val="left" w:pos="720"/>
        </w:tabs>
        <w:ind w:left="720"/>
        <w:rPr>
          <w:rFonts w:cs="Tahoma"/>
        </w:rPr>
      </w:pPr>
    </w:p>
    <w:p w:rsidR="00A92422" w:rsidRPr="00D87B79" w:rsidRDefault="00A92422" w:rsidP="00A92422">
      <w:pPr>
        <w:numPr>
          <w:ilvl w:val="2"/>
          <w:numId w:val="90"/>
        </w:numPr>
        <w:spacing w:after="60"/>
        <w:ind w:left="1440"/>
        <w:rPr>
          <w:rFonts w:cs="Tahoma"/>
        </w:rPr>
      </w:pPr>
      <w:r w:rsidRPr="00D87B79">
        <w:rPr>
          <w:rFonts w:cs="Tahoma"/>
          <w:lang w:val="it-IT"/>
        </w:rPr>
        <w:t>come stabilito nel primo paragrafo di questa nota relativa al prodotto, le licenze acquistate prima del 1 aprile 2015 sono licenze qualificanti e le società potranno continuare a utilizzare SQL Server 2012 in base alle condizioni riportate nel precedente Articolo “Per le società con copertura Software Assurance in scadenza prima del 1 aprile 2015 che scelgono di non effettuare il rinnovo” e</w:t>
      </w:r>
      <w:r w:rsidRPr="00D87B79">
        <w:rPr>
          <w:rFonts w:cs="Tahoma"/>
        </w:rPr>
        <w:t xml:space="preserve"> </w:t>
      </w:r>
    </w:p>
    <w:p w:rsidR="00A92422" w:rsidRPr="00D87B79" w:rsidRDefault="00A92422" w:rsidP="00A92422">
      <w:pPr>
        <w:numPr>
          <w:ilvl w:val="2"/>
          <w:numId w:val="90"/>
        </w:numPr>
        <w:spacing w:after="60"/>
        <w:ind w:left="1440"/>
        <w:rPr>
          <w:rFonts w:cs="Tahoma"/>
        </w:rPr>
      </w:pPr>
      <w:r w:rsidRPr="00D87B79">
        <w:rPr>
          <w:rFonts w:cs="Tahoma"/>
          <w:lang w:val="it-IT"/>
        </w:rPr>
        <w:t>per le licenze acquistate dopo il 1 aprile 2015 la licenza per processore delle società avrà un’equivalenza core di quattro licenze core Standard per SQL Server 2012.</w:t>
      </w:r>
      <w:r w:rsidRPr="00D87B79">
        <w:rPr>
          <w:rFonts w:cs="Tahoma"/>
        </w:rPr>
        <w:t xml:space="preserve"> </w:t>
      </w:r>
      <w:r w:rsidRPr="00D87B79">
        <w:rPr>
          <w:rFonts w:cs="Tahoma"/>
          <w:lang w:val="it-IT"/>
        </w:rPr>
        <w:t>Per l’utilizzo continuativo di SQL Server 2012 su processori che richiedono più di quattro licenze core per</w:t>
      </w:r>
      <w:r>
        <w:rPr>
          <w:rFonts w:cs="Tahoma"/>
          <w:lang w:val="it-IT"/>
        </w:rPr>
        <w:t> </w:t>
      </w:r>
      <w:r w:rsidRPr="00D87B79">
        <w:rPr>
          <w:rFonts w:cs="Tahoma"/>
          <w:lang w:val="it-IT"/>
        </w:rPr>
        <w:t>processore la società deve acquistare le licenze core aggiuntive.</w:t>
      </w:r>
    </w:p>
    <w:p w:rsidR="00A92422" w:rsidRPr="00D87B79" w:rsidRDefault="00A92422" w:rsidP="00A92422">
      <w:pPr>
        <w:ind w:left="1440"/>
        <w:rPr>
          <w:rFonts w:cs="Tahoma"/>
        </w:rPr>
      </w:pPr>
    </w:p>
    <w:p w:rsidR="00A92422" w:rsidRPr="00D87B79" w:rsidRDefault="00A92422" w:rsidP="00A92422">
      <w:pPr>
        <w:spacing w:after="60"/>
        <w:ind w:left="720"/>
        <w:rPr>
          <w:rFonts w:cs="Tahoma"/>
        </w:rPr>
      </w:pPr>
      <w:r w:rsidRPr="00D87B79">
        <w:rPr>
          <w:rFonts w:cs="Tahoma"/>
          <w:b/>
          <w:lang w:val="it-IT"/>
        </w:rPr>
        <w:t>Per le società con sede nella Repubblica popolare cinese, dove acquistano licenze per processore e Software Assurance per SQL Server 2008 R2</w:t>
      </w:r>
    </w:p>
    <w:p w:rsidR="00A92422" w:rsidRPr="00D87B79" w:rsidRDefault="00A92422" w:rsidP="00A92422">
      <w:pPr>
        <w:ind w:left="720"/>
        <w:rPr>
          <w:rFonts w:cs="Tahoma"/>
        </w:rPr>
      </w:pPr>
      <w:r w:rsidRPr="00D87B79">
        <w:rPr>
          <w:rFonts w:cs="Tahoma"/>
          <w:lang w:val="it-IT"/>
        </w:rPr>
        <w:t>non si applicano i riferimenti al 1 aprile 2012 e al 1 aprile 2015 presenti in questa nota relativa alla lista dei prodotti.</w:t>
      </w:r>
      <w:r w:rsidRPr="00D87B79">
        <w:rPr>
          <w:rFonts w:cs="Tahoma"/>
        </w:rPr>
        <w:t xml:space="preserve"> </w:t>
      </w:r>
      <w:bookmarkStart w:id="1456" w:name="_821_SQL_Server®"/>
      <w:bookmarkEnd w:id="1456"/>
      <w:r w:rsidRPr="00D87B79">
        <w:rPr>
          <w:rFonts w:cs="Tahoma"/>
          <w:lang w:val="it-IT"/>
        </w:rPr>
        <w:t>Le date applicabili per queste società sarebbero rispettivamente il 1 luglio 2012 e il 1 luglio 2015.</w:t>
      </w:r>
    </w:p>
    <w:p w:rsidR="00A92422" w:rsidRPr="00D87B79" w:rsidRDefault="00A92422" w:rsidP="00A92422">
      <w:pPr>
        <w:rPr>
          <w:rFonts w:cs="Tahoma"/>
        </w:rPr>
      </w:pPr>
    </w:p>
    <w:p w:rsidR="00A92422" w:rsidRPr="00D87B79" w:rsidRDefault="00A92422" w:rsidP="00A92422">
      <w:pPr>
        <w:pStyle w:val="Heading3"/>
        <w:ind w:left="270" w:hanging="270"/>
        <w:rPr>
          <w:rFonts w:ascii="Tahoma" w:hAnsi="Tahoma" w:cs="Tahoma"/>
        </w:rPr>
      </w:pPr>
      <w:bookmarkStart w:id="1457" w:name="_Toc336338350"/>
      <w:bookmarkStart w:id="1458" w:name="Srv_72SysCtrConfigMgr07R2"/>
      <w:bookmarkStart w:id="1459" w:name="Srv_73SysCtrConfigMgr07R2"/>
      <w:bookmarkStart w:id="1460" w:name="Srv_76SysCtrConfigMgr07R2"/>
      <w:bookmarkStart w:id="1461" w:name="Srv_89SysCtrConfigMgr07R3EndofLife"/>
      <w:bookmarkStart w:id="1462" w:name="_81_Licenze_di"/>
      <w:bookmarkStart w:id="1463" w:name="_Toc342900391"/>
      <w:bookmarkEnd w:id="1457"/>
      <w:bookmarkEnd w:id="1458"/>
      <w:bookmarkEnd w:id="1459"/>
      <w:bookmarkEnd w:id="1460"/>
      <w:bookmarkEnd w:id="1461"/>
      <w:bookmarkEnd w:id="1462"/>
      <w:r w:rsidRPr="00D87B79">
        <w:rPr>
          <w:rFonts w:ascii="Tahoma" w:hAnsi="Tahoma" w:cs="Tahoma"/>
          <w:caps/>
          <w:color w:val="F66400"/>
          <w:sz w:val="22"/>
          <w:vertAlign w:val="superscript"/>
          <w:lang w:val="it-IT"/>
        </w:rPr>
        <w:t>81</w:t>
      </w:r>
      <w:r w:rsidRPr="00D87B79">
        <w:rPr>
          <w:rFonts w:ascii="Tahoma" w:hAnsi="Tahoma" w:cs="Tahoma"/>
          <w:color w:val="F66400"/>
          <w:sz w:val="22"/>
          <w:lang w:val="it-IT"/>
        </w:rPr>
        <w:t xml:space="preserve"> Licenze di Gestione Server e Server di Gestione per System Center Configuration Manager 2007 R3</w:t>
      </w:r>
      <w:bookmarkEnd w:id="1463"/>
    </w:p>
    <w:p w:rsidR="00A92422" w:rsidRPr="00D87B79" w:rsidRDefault="00A92422" w:rsidP="00A92422">
      <w:pPr>
        <w:ind w:left="720"/>
        <w:contextualSpacing/>
        <w:rPr>
          <w:rFonts w:cs="Tahoma"/>
        </w:rPr>
      </w:pPr>
    </w:p>
    <w:p w:rsidR="00A92422" w:rsidRPr="00D87B79" w:rsidRDefault="00A92422" w:rsidP="00A92422">
      <w:pPr>
        <w:ind w:left="720"/>
        <w:rPr>
          <w:rFonts w:cs="Tahoma"/>
        </w:rPr>
      </w:pPr>
      <w:r w:rsidRPr="00D87B79">
        <w:rPr>
          <w:rFonts w:cs="Tahoma"/>
          <w:color w:val="000000"/>
          <w:lang w:val="it-IT"/>
        </w:rPr>
        <w:t>Prodotti End-Of-Life (EOL) che non verranno più offerti.</w:t>
      </w:r>
    </w:p>
    <w:p w:rsidR="00A92422" w:rsidRPr="00D87B79" w:rsidRDefault="00A92422" w:rsidP="00A92422">
      <w:pPr>
        <w:ind w:left="720"/>
        <w:rPr>
          <w:rFonts w:cs="Tahoma"/>
        </w:rPr>
      </w:pPr>
    </w:p>
    <w:p w:rsidR="00A92422" w:rsidRPr="00D87B79" w:rsidRDefault="00A92422" w:rsidP="00A92422">
      <w:pPr>
        <w:adjustRightInd w:val="0"/>
        <w:spacing w:after="60"/>
        <w:ind w:left="720"/>
        <w:textAlignment w:val="baseline"/>
        <w:rPr>
          <w:rFonts w:cs="Tahoma"/>
        </w:rPr>
      </w:pPr>
      <w:r w:rsidRPr="00D87B79">
        <w:rPr>
          <w:rFonts w:cs="Tahoma"/>
          <w:b/>
          <w:lang w:val="it-IT"/>
        </w:rPr>
        <w:t>Dettagli relativi alla Concessione di una Licenza Transitoria Una Tantum per System Center</w:t>
      </w:r>
      <w:r>
        <w:rPr>
          <w:rFonts w:cs="Tahoma"/>
          <w:b/>
          <w:lang w:val="it-IT"/>
        </w:rPr>
        <w:t> </w:t>
      </w:r>
      <w:r w:rsidRPr="00D87B79">
        <w:rPr>
          <w:rFonts w:cs="Tahoma"/>
          <w:b/>
          <w:lang w:val="it-IT"/>
        </w:rPr>
        <w:t>2012</w:t>
      </w:r>
    </w:p>
    <w:p w:rsidR="00A92422" w:rsidRPr="00D87B79" w:rsidRDefault="00A92422" w:rsidP="00A92422">
      <w:pPr>
        <w:adjustRightInd w:val="0"/>
        <w:ind w:left="720"/>
        <w:textAlignment w:val="baseline"/>
        <w:rPr>
          <w:rFonts w:cs="Tahoma"/>
        </w:rPr>
      </w:pPr>
      <w:r w:rsidRPr="00D87B79">
        <w:rPr>
          <w:rFonts w:cs="Tahoma"/>
          <w:lang w:val="it-IT"/>
        </w:rPr>
        <w:t>Per dettagli sulle concessioni di licenze transitorie, fare riferimento alla nota relativa al prodotto presente nelle offerte di System Center 2012.</w:t>
      </w:r>
    </w:p>
    <w:p w:rsidR="00A92422" w:rsidRPr="00D87B79" w:rsidRDefault="00A92422" w:rsidP="00A92422">
      <w:pPr>
        <w:rPr>
          <w:rFonts w:cs="Tahoma"/>
        </w:rPr>
      </w:pPr>
    </w:p>
    <w:p w:rsidR="00A92422" w:rsidRPr="001122F8" w:rsidRDefault="00A92422" w:rsidP="00A92422">
      <w:pPr>
        <w:pStyle w:val="Heading3"/>
        <w:ind w:left="270" w:hanging="270"/>
        <w:rPr>
          <w:rFonts w:ascii="Tahoma" w:hAnsi="Tahoma" w:cs="Tahoma"/>
          <w:color w:val="F66400"/>
          <w:sz w:val="22"/>
          <w:lang w:val="it-IT"/>
        </w:rPr>
      </w:pPr>
      <w:bookmarkStart w:id="1464" w:name="Srv_94SystemsCenterDataProEtalEndofLife"/>
      <w:bookmarkStart w:id="1465" w:name="Srv_94SystemsCenterDataProEtal"/>
      <w:bookmarkStart w:id="1466" w:name="Srv_82SysCtrDataProMgr07StdSvrMgmtML"/>
      <w:bookmarkStart w:id="1467" w:name="Srv_78SysCtrDataProMgr07StdSvrMgmtML"/>
      <w:bookmarkStart w:id="1468" w:name="Srv_79SysCtrDataProMgr07StdSvrMgmtML"/>
      <w:bookmarkStart w:id="1469" w:name="_82_Licenze_di"/>
      <w:bookmarkStart w:id="1470" w:name="_Toc342900392"/>
      <w:bookmarkEnd w:id="1464"/>
      <w:bookmarkEnd w:id="1465"/>
      <w:bookmarkEnd w:id="1466"/>
      <w:bookmarkEnd w:id="1467"/>
      <w:bookmarkEnd w:id="1468"/>
      <w:bookmarkEnd w:id="1469"/>
      <w:r w:rsidRPr="001122F8">
        <w:rPr>
          <w:rFonts w:ascii="Tahoma" w:hAnsi="Tahoma" w:cs="Tahoma"/>
          <w:color w:val="F66400"/>
          <w:sz w:val="22"/>
          <w:vertAlign w:val="superscript"/>
          <w:lang w:val="it-IT"/>
        </w:rPr>
        <w:t>82</w:t>
      </w:r>
      <w:r w:rsidRPr="001122F8">
        <w:rPr>
          <w:rFonts w:ascii="Tahoma" w:hAnsi="Tahoma" w:cs="Tahoma"/>
          <w:color w:val="F66400"/>
          <w:sz w:val="22"/>
          <w:lang w:val="it-IT"/>
        </w:rPr>
        <w:t xml:space="preserve"> Licenze di Gestione Server e di Gestione Client per System Center Data Protection Manager 2010</w:t>
      </w:r>
      <w:bookmarkEnd w:id="1470"/>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lang w:val="it-IT"/>
        </w:rPr>
        <w:t>Prodotti End-Of-Life (EOL) che non verranno più offerti.</w:t>
      </w:r>
    </w:p>
    <w:p w:rsidR="00A92422" w:rsidRPr="00D87B79" w:rsidRDefault="00A92422" w:rsidP="00A92422">
      <w:pPr>
        <w:ind w:left="720"/>
        <w:rPr>
          <w:rFonts w:cs="Tahoma"/>
        </w:rPr>
      </w:pPr>
    </w:p>
    <w:p w:rsidR="00A92422" w:rsidRPr="00D87B79" w:rsidRDefault="00A92422" w:rsidP="00A92422">
      <w:pPr>
        <w:adjustRightInd w:val="0"/>
        <w:spacing w:after="60"/>
        <w:ind w:left="720"/>
        <w:textAlignment w:val="baseline"/>
        <w:rPr>
          <w:rFonts w:cs="Tahoma"/>
        </w:rPr>
      </w:pPr>
      <w:r w:rsidRPr="00D87B79">
        <w:rPr>
          <w:rFonts w:cs="Tahoma"/>
          <w:b/>
          <w:lang w:val="it-IT"/>
        </w:rPr>
        <w:t>Dettagli relativi alla Concessione di una Licenza Transitoria Una Tantum per System Center</w:t>
      </w:r>
      <w:r>
        <w:rPr>
          <w:rFonts w:cs="Tahoma"/>
          <w:b/>
          <w:lang w:val="it-IT"/>
        </w:rPr>
        <w:t> </w:t>
      </w:r>
      <w:r w:rsidRPr="00D87B79">
        <w:rPr>
          <w:rFonts w:cs="Tahoma"/>
          <w:b/>
          <w:lang w:val="it-IT"/>
        </w:rPr>
        <w:t>2012</w:t>
      </w:r>
    </w:p>
    <w:p w:rsidR="00A92422" w:rsidRPr="00D87B79" w:rsidRDefault="00A92422" w:rsidP="00A92422">
      <w:pPr>
        <w:ind w:left="720"/>
        <w:rPr>
          <w:rFonts w:cs="Tahoma"/>
        </w:rPr>
      </w:pPr>
      <w:r w:rsidRPr="00D87B79">
        <w:rPr>
          <w:rFonts w:cs="Tahoma"/>
          <w:lang w:val="it-IT"/>
        </w:rPr>
        <w:t>Per dettagli sulle concessioni di licenze transitorie, fare riferimento alla nota relativa al prodotto presente nelle offerte di System Center 2012.</w:t>
      </w:r>
    </w:p>
    <w:p w:rsidR="00A92422" w:rsidRPr="00D87B79" w:rsidRDefault="00A92422" w:rsidP="00A92422">
      <w:pPr>
        <w:rPr>
          <w:rFonts w:cs="Tahoma"/>
        </w:rPr>
      </w:pPr>
    </w:p>
    <w:p w:rsidR="00A92422" w:rsidRPr="00D87B79" w:rsidRDefault="00A92422" w:rsidP="00A92422">
      <w:pPr>
        <w:pStyle w:val="Heading3"/>
        <w:rPr>
          <w:rFonts w:ascii="Tahoma" w:hAnsi="Tahoma" w:cs="Tahoma"/>
        </w:rPr>
      </w:pPr>
      <w:bookmarkStart w:id="1471" w:name="_79_System_Center"/>
      <w:bookmarkStart w:id="1472" w:name="_Toc342900393"/>
      <w:bookmarkStart w:id="1473" w:name="Srv_79SystemCenterEssentials07"/>
      <w:bookmarkStart w:id="1474" w:name="Srv_80SystemCenterEssentials07"/>
      <w:bookmarkStart w:id="1475" w:name="Srv_83SystemCenterEssentials07"/>
      <w:bookmarkEnd w:id="1471"/>
      <w:r w:rsidRPr="00D87B79">
        <w:rPr>
          <w:rFonts w:ascii="Tahoma" w:hAnsi="Tahoma" w:cs="Tahoma"/>
          <w:caps/>
          <w:color w:val="F66400"/>
          <w:sz w:val="22"/>
          <w:vertAlign w:val="superscript"/>
          <w:lang w:val="it-IT"/>
        </w:rPr>
        <w:t>83</w:t>
      </w:r>
      <w:r w:rsidRPr="001F69CF">
        <w:rPr>
          <w:rFonts w:ascii="Tahoma" w:hAnsi="Tahoma" w:cs="Tahoma"/>
          <w:caps/>
          <w:color w:val="F66400"/>
          <w:sz w:val="22"/>
          <w:lang w:val="it-IT"/>
        </w:rPr>
        <w:t xml:space="preserve"> </w:t>
      </w:r>
      <w:r w:rsidRPr="00D87B79">
        <w:rPr>
          <w:rFonts w:ascii="Tahoma" w:hAnsi="Tahoma" w:cs="Tahoma"/>
          <w:color w:val="F66400"/>
          <w:sz w:val="22"/>
          <w:lang w:val="it-IT"/>
        </w:rPr>
        <w:t>System Center Essentials 2010</w:t>
      </w:r>
      <w:bookmarkEnd w:id="1472"/>
    </w:p>
    <w:bookmarkEnd w:id="1473"/>
    <w:bookmarkEnd w:id="1474"/>
    <w:bookmarkEnd w:id="1475"/>
    <w:p w:rsidR="00A92422" w:rsidRPr="00D87B79" w:rsidRDefault="00A92422" w:rsidP="00A92422">
      <w:pPr>
        <w:ind w:hanging="200"/>
        <w:rPr>
          <w:rFonts w:cs="Tahoma"/>
        </w:rPr>
      </w:pPr>
    </w:p>
    <w:p w:rsidR="00A92422" w:rsidRPr="00D87B79" w:rsidRDefault="00A92422" w:rsidP="00A92422">
      <w:pPr>
        <w:spacing w:after="60"/>
        <w:ind w:left="720"/>
        <w:rPr>
          <w:rFonts w:cs="Tahoma"/>
        </w:rPr>
      </w:pPr>
      <w:r w:rsidRPr="00D87B79">
        <w:rPr>
          <w:rFonts w:cs="Tahoma"/>
          <w:b/>
          <w:color w:val="000000"/>
          <w:lang w:val="it-IT"/>
        </w:rPr>
        <w:t>Percorso di Migrazione da System Center Essentials 2007 (SCE 2007) a System Center Essentials 2010 (SCE 2010)</w:t>
      </w:r>
    </w:p>
    <w:p w:rsidR="00A92422" w:rsidRPr="00D87B79" w:rsidRDefault="00A92422" w:rsidP="00A92422">
      <w:pPr>
        <w:ind w:left="720"/>
        <w:rPr>
          <w:rFonts w:cs="Tahoma"/>
        </w:rPr>
      </w:pPr>
      <w:r w:rsidRPr="00D87B79">
        <w:rPr>
          <w:rFonts w:cs="Tahoma"/>
          <w:color w:val="000000"/>
          <w:szCs w:val="20"/>
          <w:lang w:val="it-IT"/>
        </w:rPr>
        <w:t>Con la versione di System Center Essentials 2010 (SCE 2010), è necessario ordinare e acquisire separatamente le licenze software e le licenze di Gestione Client/Server.</w:t>
      </w:r>
      <w:r w:rsidRPr="00D87B79">
        <w:rPr>
          <w:rFonts w:cs="Tahoma"/>
        </w:rPr>
        <w:t xml:space="preserve"> </w:t>
      </w:r>
      <w:r w:rsidRPr="00D87B79">
        <w:rPr>
          <w:rFonts w:cs="Tahoma"/>
          <w:color w:val="000000"/>
          <w:lang w:val="it-IT"/>
        </w:rPr>
        <w:t>D’ora in avanti, verranno offerte unicamente licenze individuali per SCE 2010 (senza Tecnologia SQL Server 2008), SCE 2010 con Tecnologia SQL Server 2008, SCE 2010 (Client ML) e SCE 2010 (Server ML).</w:t>
      </w:r>
    </w:p>
    <w:p w:rsidR="00A92422" w:rsidRDefault="00A92422" w:rsidP="00A92422">
      <w:pPr>
        <w:ind w:left="720"/>
        <w:rPr>
          <w:rFonts w:cs="Tahoma"/>
        </w:rPr>
      </w:pPr>
    </w:p>
    <w:p w:rsidR="00A92422" w:rsidRPr="00D87B79" w:rsidRDefault="00A92422" w:rsidP="00A92422">
      <w:pPr>
        <w:ind w:left="720"/>
        <w:rPr>
          <w:rFonts w:cs="Tahoma"/>
        </w:rPr>
      </w:pPr>
      <w:r w:rsidRPr="00D87B79">
        <w:rPr>
          <w:rFonts w:cs="Tahoma"/>
          <w:color w:val="000000"/>
          <w:lang w:val="it-IT"/>
        </w:rPr>
        <w:lastRenderedPageBreak/>
        <w:t>Le società che hanno acquisito insieme le licenze software server e le Licenze di Gestione Client/Server e</w:t>
      </w:r>
      <w:r>
        <w:rPr>
          <w:rFonts w:cs="Tahoma"/>
          <w:color w:val="000000"/>
          <w:lang w:val="it-IT"/>
        </w:rPr>
        <w:t> </w:t>
      </w:r>
      <w:r w:rsidRPr="00D87B79">
        <w:rPr>
          <w:rFonts w:cs="Tahoma"/>
          <w:color w:val="000000"/>
          <w:lang w:val="it-IT"/>
        </w:rPr>
        <w:t>dispongono di una copertura Software Assurance per tali licenze in data 1 giugno 2010 o successiva, potranno effettuare l’aggiornamento di tali licenze, come indicato di seguito:</w:t>
      </w:r>
    </w:p>
    <w:p w:rsidR="00A92422" w:rsidRPr="00D87B79" w:rsidRDefault="00A92422" w:rsidP="00A92422">
      <w:pPr>
        <w:ind w:left="720"/>
        <w:rPr>
          <w:rFonts w:cs="Tahoma"/>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A92422" w:rsidRPr="00D87B79" w:rsidTr="00EA30FC">
        <w:tc>
          <w:tcPr>
            <w:tcW w:w="3960" w:type="dxa"/>
            <w:tcBorders>
              <w:top w:val="single" w:sz="4" w:space="0" w:color="000000"/>
            </w:tcBorders>
            <w:shd w:val="clear" w:color="auto" w:fill="FABF8F"/>
          </w:tcPr>
          <w:p w:rsidR="00A92422" w:rsidRPr="00D87B79" w:rsidRDefault="00A92422" w:rsidP="00EA30FC">
            <w:pPr>
              <w:jc w:val="center"/>
              <w:rPr>
                <w:rFonts w:cs="Tahoma"/>
                <w:b/>
                <w:color w:val="000000"/>
                <w:szCs w:val="20"/>
              </w:rPr>
            </w:pPr>
            <w:r w:rsidRPr="00D87B79">
              <w:rPr>
                <w:rFonts w:cs="Tahoma"/>
                <w:b/>
                <w:color w:val="000000"/>
                <w:szCs w:val="20"/>
                <w:lang w:val="it-IT"/>
              </w:rPr>
              <w:t>Licenza per SCE 2007</w:t>
            </w:r>
          </w:p>
        </w:tc>
        <w:tc>
          <w:tcPr>
            <w:tcW w:w="4050" w:type="dxa"/>
            <w:tcBorders>
              <w:top w:val="single" w:sz="4" w:space="0" w:color="000000"/>
            </w:tcBorders>
            <w:shd w:val="clear" w:color="auto" w:fill="FABF8F"/>
          </w:tcPr>
          <w:p w:rsidR="00A92422" w:rsidRPr="00D87B79" w:rsidRDefault="00A92422" w:rsidP="00EA30FC">
            <w:pPr>
              <w:jc w:val="center"/>
              <w:rPr>
                <w:rFonts w:cs="Tahoma"/>
                <w:b/>
                <w:color w:val="000000"/>
                <w:szCs w:val="20"/>
              </w:rPr>
            </w:pPr>
            <w:r w:rsidRPr="00D87B79">
              <w:rPr>
                <w:rFonts w:cs="Tahoma"/>
                <w:b/>
                <w:color w:val="000000"/>
                <w:szCs w:val="20"/>
                <w:lang w:val="it-IT"/>
              </w:rPr>
              <w:t>Migrazione alla licenza per SCE 2010</w:t>
            </w:r>
          </w:p>
        </w:tc>
      </w:tr>
      <w:tr w:rsidR="00A92422" w:rsidRPr="00D87B79" w:rsidTr="00EA30FC">
        <w:tc>
          <w:tcPr>
            <w:tcW w:w="396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SCE 2007 (con 10 Server ML e 50 Client ML)</w:t>
            </w:r>
          </w:p>
        </w:tc>
        <w:tc>
          <w:tcPr>
            <w:tcW w:w="405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1 Licenza di Gestione Server per SCE 2010; 10 Server ML per SCE 2010; 50 Client ML per SCE 2010</w:t>
            </w:r>
          </w:p>
        </w:tc>
      </w:tr>
      <w:tr w:rsidR="00A92422" w:rsidRPr="00D87B79" w:rsidTr="00EA30FC">
        <w:tc>
          <w:tcPr>
            <w:tcW w:w="396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SCE 2007 con Tecnologia SQL Server 2005 (con 10 Server ML e 50 Client ML)</w:t>
            </w:r>
          </w:p>
        </w:tc>
        <w:tc>
          <w:tcPr>
            <w:tcW w:w="405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1 Licenza di Gestione Server per SCE 2010 con Tecnologia SQL Server 2008; 10 Server ML per SCE 2010; 50 Client ML per SCE 2010</w:t>
            </w:r>
          </w:p>
        </w:tc>
      </w:tr>
      <w:tr w:rsidR="00A92422" w:rsidRPr="00D87B79" w:rsidTr="00EA30FC">
        <w:tc>
          <w:tcPr>
            <w:tcW w:w="396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SCE 2007 (1 Add On Server) Server ML (o)</w:t>
            </w:r>
            <w:r>
              <w:rPr>
                <w:rFonts w:cs="Tahoma"/>
                <w:color w:val="000000"/>
                <w:szCs w:val="20"/>
                <w:lang w:val="it-IT"/>
              </w:rPr>
              <w:t> </w:t>
            </w:r>
            <w:r w:rsidRPr="00D87B79">
              <w:rPr>
                <w:rFonts w:cs="Tahoma"/>
                <w:color w:val="000000"/>
                <w:szCs w:val="20"/>
                <w:lang w:val="it-IT"/>
              </w:rPr>
              <w:t>SCE 2007 (5 Add On Server) Server ML</w:t>
            </w:r>
          </w:p>
        </w:tc>
        <w:tc>
          <w:tcPr>
            <w:tcW w:w="405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Stesso numero di Server ML per SCE 2010</w:t>
            </w:r>
          </w:p>
        </w:tc>
      </w:tr>
      <w:tr w:rsidR="00A92422" w:rsidRPr="00D87B79" w:rsidTr="00EA30FC">
        <w:tc>
          <w:tcPr>
            <w:tcW w:w="3960" w:type="dxa"/>
            <w:tcBorders>
              <w:bottom w:val="single" w:sz="4" w:space="0" w:color="000000"/>
            </w:tcBorders>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SCE 2007 (5 Add On Client) Client ML (o) SCE</w:t>
            </w:r>
            <w:r>
              <w:rPr>
                <w:rFonts w:cs="Tahoma"/>
                <w:color w:val="000000"/>
                <w:szCs w:val="20"/>
                <w:lang w:val="it-IT"/>
              </w:rPr>
              <w:t> </w:t>
            </w:r>
            <w:r w:rsidRPr="00D87B79">
              <w:rPr>
                <w:rFonts w:cs="Tahoma"/>
                <w:color w:val="000000"/>
                <w:szCs w:val="20"/>
                <w:lang w:val="it-IT"/>
              </w:rPr>
              <w:t>2007 (20 Add On Client) Client ML</w:t>
            </w:r>
          </w:p>
        </w:tc>
        <w:tc>
          <w:tcPr>
            <w:tcW w:w="4050" w:type="dxa"/>
            <w:tcBorders>
              <w:bottom w:val="single" w:sz="4" w:space="0" w:color="000000"/>
            </w:tcBorders>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Stesso numero di Client ML per SCE 2010</w:t>
            </w:r>
          </w:p>
        </w:tc>
      </w:tr>
    </w:tbl>
    <w:p w:rsidR="00A92422" w:rsidRPr="006E1060" w:rsidRDefault="00A92422" w:rsidP="00A92422">
      <w:pPr>
        <w:pStyle w:val="Heading3"/>
        <w:rPr>
          <w:rFonts w:ascii="Tahoma" w:hAnsi="Tahoma" w:cs="Tahoma"/>
          <w:sz w:val="18"/>
          <w:szCs w:val="18"/>
        </w:rPr>
      </w:pPr>
      <w:bookmarkStart w:id="1476" w:name="_80_System_Center"/>
      <w:bookmarkStart w:id="1477" w:name="_95_System_Center"/>
      <w:bookmarkStart w:id="1478" w:name="_Toc336338352"/>
      <w:bookmarkStart w:id="1479" w:name="Srv_98SysCenterOpsMgr2007R2EndofLife"/>
      <w:bookmarkEnd w:id="1476"/>
      <w:bookmarkEnd w:id="1477"/>
    </w:p>
    <w:p w:rsidR="00A92422" w:rsidRPr="006E1060" w:rsidRDefault="00A92422" w:rsidP="00A92422">
      <w:pPr>
        <w:pStyle w:val="Heading3"/>
        <w:rPr>
          <w:rFonts w:ascii="Tahoma" w:hAnsi="Tahoma" w:cs="Tahoma"/>
          <w:sz w:val="18"/>
          <w:szCs w:val="18"/>
        </w:rPr>
      </w:pPr>
    </w:p>
    <w:p w:rsidR="00A92422" w:rsidRPr="00D87B79" w:rsidRDefault="00A92422" w:rsidP="00A92422">
      <w:pPr>
        <w:pStyle w:val="Heading3"/>
        <w:ind w:left="261" w:hanging="261"/>
        <w:rPr>
          <w:rFonts w:ascii="Tahoma" w:hAnsi="Tahoma" w:cs="Tahoma"/>
        </w:rPr>
      </w:pPr>
      <w:bookmarkStart w:id="1480" w:name="Srv_80SysCenterOpsMgr2007R2"/>
      <w:bookmarkStart w:id="1481" w:name="Srv_81SysCenterOpsMgr2007R2"/>
      <w:bookmarkStart w:id="1482" w:name="Srv_84SysCenterOpsMgr2007R2"/>
      <w:bookmarkStart w:id="1483" w:name="_84_Licenze_di"/>
      <w:bookmarkStart w:id="1484" w:name="_Toc342900394"/>
      <w:bookmarkEnd w:id="1478"/>
      <w:bookmarkEnd w:id="1479"/>
      <w:bookmarkEnd w:id="1480"/>
      <w:bookmarkEnd w:id="1481"/>
      <w:bookmarkEnd w:id="1482"/>
      <w:bookmarkEnd w:id="1483"/>
      <w:r w:rsidRPr="00D87B79">
        <w:rPr>
          <w:rFonts w:ascii="Tahoma" w:hAnsi="Tahoma" w:cs="Tahoma"/>
          <w:caps/>
          <w:color w:val="F66400"/>
          <w:sz w:val="22"/>
          <w:vertAlign w:val="superscript"/>
          <w:lang w:val="it-IT"/>
        </w:rPr>
        <w:t>84</w:t>
      </w:r>
      <w:r w:rsidRPr="00D87B79">
        <w:rPr>
          <w:rFonts w:ascii="Tahoma" w:hAnsi="Tahoma" w:cs="Tahoma"/>
          <w:color w:val="F66400"/>
          <w:sz w:val="22"/>
          <w:lang w:val="it-IT"/>
        </w:rPr>
        <w:t xml:space="preserve"> Licenze di Gestione Server, Server di Gestione e Gestione Client per System Center Operations Manager 2007 R2</w:t>
      </w:r>
      <w:bookmarkEnd w:id="1484"/>
      <w:r w:rsidRPr="00D87B79">
        <w:rPr>
          <w:rFonts w:ascii="Tahoma" w:hAnsi="Tahoma" w:cs="Tahoma"/>
        </w:rPr>
        <w:t xml:space="preserve"> </w:t>
      </w:r>
    </w:p>
    <w:p w:rsidR="00A92422" w:rsidRPr="00D87B79" w:rsidRDefault="00A92422" w:rsidP="00A92422">
      <w:pPr>
        <w:ind w:left="900"/>
        <w:rPr>
          <w:rFonts w:cs="Tahoma"/>
        </w:rPr>
      </w:pPr>
    </w:p>
    <w:p w:rsidR="00A92422" w:rsidRPr="00D87B79" w:rsidRDefault="00A92422" w:rsidP="00A92422">
      <w:pPr>
        <w:ind w:left="720"/>
        <w:rPr>
          <w:rFonts w:cs="Tahoma"/>
        </w:rPr>
      </w:pPr>
      <w:r w:rsidRPr="00D87B79">
        <w:rPr>
          <w:rFonts w:cs="Tahoma"/>
          <w:lang w:val="it-IT"/>
        </w:rPr>
        <w:t>Prodotti End-Of-Life (EOL) che non verranno più offerti.</w:t>
      </w:r>
    </w:p>
    <w:p w:rsidR="00A92422" w:rsidRPr="00D87B79" w:rsidRDefault="00A92422" w:rsidP="00A92422">
      <w:pPr>
        <w:ind w:left="720"/>
        <w:rPr>
          <w:rFonts w:cs="Tahoma"/>
        </w:rPr>
      </w:pPr>
    </w:p>
    <w:p w:rsidR="00A92422" w:rsidRPr="00D87B79" w:rsidRDefault="00A92422" w:rsidP="00A92422">
      <w:pPr>
        <w:pStyle w:val="FootnoteBulletLevel1"/>
        <w:tabs>
          <w:tab w:val="clear" w:pos="900"/>
        </w:tabs>
        <w:spacing w:before="0" w:after="60"/>
        <w:ind w:left="720" w:firstLine="0"/>
        <w:rPr>
          <w:rFonts w:ascii="Tahoma" w:hAnsi="Tahoma" w:cs="Tahoma"/>
        </w:rPr>
      </w:pPr>
      <w:r w:rsidRPr="00D87B79">
        <w:rPr>
          <w:rFonts w:ascii="Tahoma" w:hAnsi="Tahoma" w:cs="Tahoma"/>
          <w:b/>
          <w:sz w:val="18"/>
          <w:lang w:val="it-IT"/>
        </w:rPr>
        <w:t>Dettagli relativi alla Concessione di una Licenza Transitoria Una Tantum per System Center</w:t>
      </w:r>
      <w:r>
        <w:rPr>
          <w:rFonts w:ascii="Tahoma" w:hAnsi="Tahoma" w:cs="Tahoma"/>
          <w:b/>
          <w:sz w:val="18"/>
          <w:lang w:val="it-IT"/>
        </w:rPr>
        <w:t> </w:t>
      </w:r>
      <w:r w:rsidRPr="00D87B79">
        <w:rPr>
          <w:rFonts w:ascii="Tahoma" w:hAnsi="Tahoma" w:cs="Tahoma"/>
          <w:b/>
          <w:sz w:val="18"/>
          <w:lang w:val="it-IT"/>
        </w:rPr>
        <w:t>2012</w:t>
      </w:r>
    </w:p>
    <w:p w:rsidR="00A92422" w:rsidRDefault="00A92422" w:rsidP="00A92422">
      <w:pPr>
        <w:ind w:left="720"/>
        <w:rPr>
          <w:rFonts w:cs="Tahoma"/>
          <w:lang w:val="it-IT"/>
        </w:rPr>
      </w:pPr>
      <w:r w:rsidRPr="00D87B79">
        <w:rPr>
          <w:rFonts w:cs="Tahoma"/>
          <w:lang w:val="it-IT"/>
        </w:rPr>
        <w:t>Per dettagli sulle concessioni di licenze transitorie, fare riferimento alla nota relativa al prodotto presente nelle offerte di System Center 2012.</w:t>
      </w:r>
    </w:p>
    <w:p w:rsidR="00A92422" w:rsidRPr="007568F0" w:rsidRDefault="00A92422" w:rsidP="00A92422">
      <w:pPr>
        <w:ind w:left="720"/>
        <w:rPr>
          <w:rFonts w:cs="Tahoma"/>
          <w:szCs w:val="18"/>
        </w:rPr>
      </w:pPr>
    </w:p>
    <w:p w:rsidR="00A92422" w:rsidRPr="007568F0" w:rsidRDefault="00A92422" w:rsidP="00A92422">
      <w:pPr>
        <w:pStyle w:val="Heading3"/>
        <w:rPr>
          <w:rFonts w:ascii="Tahoma" w:hAnsi="Tahoma" w:cs="Tahoma"/>
          <w:sz w:val="22"/>
          <w:szCs w:val="22"/>
        </w:rPr>
      </w:pPr>
      <w:bookmarkStart w:id="1485" w:name="_81_System_Center"/>
      <w:bookmarkStart w:id="1486" w:name="_82_System_Center"/>
      <w:bookmarkStart w:id="1487" w:name="_83_System_Center"/>
      <w:bookmarkStart w:id="1488" w:name="_84__System"/>
      <w:bookmarkStart w:id="1489" w:name="_Toc336338353"/>
      <w:bookmarkStart w:id="1490" w:name="_Toc342900395"/>
      <w:bookmarkStart w:id="1491" w:name="Srv_88SystemCtrReportMgr2006"/>
      <w:bookmarkEnd w:id="1485"/>
      <w:bookmarkEnd w:id="1486"/>
      <w:bookmarkEnd w:id="1487"/>
      <w:bookmarkEnd w:id="1488"/>
      <w:bookmarkEnd w:id="1489"/>
      <w:r w:rsidRPr="007568F0">
        <w:rPr>
          <w:rFonts w:ascii="Tahoma" w:hAnsi="Tahoma" w:cs="Tahoma"/>
          <w:caps/>
          <w:color w:val="F66400"/>
          <w:sz w:val="22"/>
          <w:szCs w:val="22"/>
          <w:vertAlign w:val="superscript"/>
          <w:lang w:val="it-IT"/>
        </w:rPr>
        <w:t>85</w:t>
      </w:r>
      <w:r w:rsidRPr="007568F0">
        <w:rPr>
          <w:rFonts w:ascii="Tahoma" w:hAnsi="Tahoma" w:cs="Tahoma"/>
          <w:color w:val="F66400"/>
          <w:sz w:val="22"/>
          <w:szCs w:val="22"/>
          <w:lang w:val="it-IT"/>
        </w:rPr>
        <w:t xml:space="preserve"> System Center Reporting Manager 2006</w:t>
      </w:r>
      <w:bookmarkEnd w:id="1490"/>
    </w:p>
    <w:bookmarkEnd w:id="1491"/>
    <w:p w:rsidR="00A92422" w:rsidRPr="007568F0" w:rsidRDefault="00A92422" w:rsidP="00A92422">
      <w:pPr>
        <w:pStyle w:val="EndnoteText"/>
        <w:ind w:left="0"/>
        <w:rPr>
          <w:rFonts w:ascii="Tahoma" w:hAnsi="Tahoma" w:cs="Tahoma"/>
          <w:sz w:val="18"/>
          <w:szCs w:val="18"/>
        </w:rPr>
      </w:pPr>
    </w:p>
    <w:p w:rsidR="00A92422" w:rsidRPr="007568F0" w:rsidRDefault="00A92422" w:rsidP="00A92422">
      <w:pPr>
        <w:pStyle w:val="EndnoteText"/>
        <w:ind w:left="720"/>
        <w:rPr>
          <w:rFonts w:ascii="Tahoma" w:hAnsi="Tahoma" w:cs="Tahoma"/>
          <w:sz w:val="18"/>
          <w:szCs w:val="18"/>
        </w:rPr>
      </w:pPr>
      <w:r w:rsidRPr="007568F0">
        <w:rPr>
          <w:rFonts w:ascii="Tahoma" w:hAnsi="Tahoma" w:cs="Tahoma"/>
          <w:sz w:val="18"/>
          <w:szCs w:val="18"/>
          <w:lang w:val="it-IT"/>
        </w:rPr>
        <w:t>Prodotto End-Of-Life (EOL) che non verrà più offerto.</w:t>
      </w:r>
    </w:p>
    <w:p w:rsidR="00A92422" w:rsidRPr="007568F0" w:rsidRDefault="00A92422" w:rsidP="00A92422">
      <w:pPr>
        <w:pStyle w:val="EndnoteText"/>
        <w:ind w:left="720"/>
        <w:rPr>
          <w:rFonts w:ascii="Tahoma" w:hAnsi="Tahoma" w:cs="Tahoma"/>
          <w:sz w:val="18"/>
          <w:szCs w:val="18"/>
        </w:rPr>
      </w:pPr>
    </w:p>
    <w:p w:rsidR="00A92422" w:rsidRPr="007568F0" w:rsidRDefault="00A92422" w:rsidP="00A92422">
      <w:pPr>
        <w:pStyle w:val="EndnoteText"/>
        <w:spacing w:after="60"/>
        <w:ind w:left="720"/>
        <w:rPr>
          <w:rFonts w:ascii="Tahoma" w:hAnsi="Tahoma" w:cs="Tahoma"/>
          <w:sz w:val="18"/>
          <w:szCs w:val="18"/>
        </w:rPr>
      </w:pPr>
      <w:bookmarkStart w:id="1492" w:name="Srv_89SysCtrSvrMgmtSuiteEnterprise"/>
      <w:bookmarkEnd w:id="1492"/>
      <w:r w:rsidRPr="007568F0">
        <w:rPr>
          <w:rFonts w:ascii="Tahoma" w:hAnsi="Tahoma" w:cs="Tahoma"/>
          <w:b/>
          <w:sz w:val="18"/>
          <w:szCs w:val="18"/>
          <w:lang w:val="it-IT"/>
        </w:rPr>
        <w:t>Concessione di una Licenza Una Tantum ai Titolari di Licenza per System Center Reporting Manager 2006</w:t>
      </w:r>
    </w:p>
    <w:p w:rsidR="00A92422" w:rsidRPr="007568F0" w:rsidRDefault="00A92422" w:rsidP="00A92422">
      <w:pPr>
        <w:pStyle w:val="EndnoteText"/>
        <w:ind w:left="720"/>
        <w:rPr>
          <w:rFonts w:ascii="Tahoma" w:hAnsi="Tahoma" w:cs="Tahoma"/>
          <w:sz w:val="18"/>
          <w:szCs w:val="18"/>
        </w:rPr>
      </w:pPr>
      <w:r w:rsidRPr="007568F0">
        <w:rPr>
          <w:rFonts w:ascii="Tahoma" w:hAnsi="Tahoma" w:cs="Tahoma"/>
          <w:sz w:val="18"/>
          <w:szCs w:val="18"/>
          <w:lang w:val="it-IT"/>
        </w:rPr>
        <w:t>Come eccezione una tantum legata all’interruzione di System Center Reporting Manager 2006, Microsoft concederà alle società che abbiano concluso contratti Select, Enterprise, Open License, Open Value e Campus e School e copertura Software Assurance attiva per ogni licenza di System Center Reporting Manager 2006 al 31 maggio 2010, le seguenti licenze senza alcuna spesa aggiuntiva diversa dai costi (eventuali) dei supporti di memorizzazione:</w:t>
      </w:r>
    </w:p>
    <w:p w:rsidR="00A92422" w:rsidRPr="007568F0" w:rsidRDefault="00A92422" w:rsidP="00A92422">
      <w:pPr>
        <w:pStyle w:val="EndnoteText"/>
        <w:rPr>
          <w:rFonts w:ascii="Tahoma" w:hAnsi="Tahoma" w:cs="Tahoma"/>
          <w:sz w:val="18"/>
          <w:szCs w:val="18"/>
        </w:rPr>
      </w:pPr>
    </w:p>
    <w:p w:rsidR="00A92422" w:rsidRPr="007568F0" w:rsidRDefault="00A92422" w:rsidP="00A92422">
      <w:pPr>
        <w:pStyle w:val="EndnoteText"/>
        <w:numPr>
          <w:ilvl w:val="0"/>
          <w:numId w:val="67"/>
        </w:numPr>
        <w:tabs>
          <w:tab w:val="left" w:pos="1440"/>
        </w:tabs>
        <w:spacing w:after="60"/>
        <w:ind w:left="1440"/>
        <w:rPr>
          <w:rFonts w:ascii="Tahoma" w:hAnsi="Tahoma" w:cs="Tahoma"/>
          <w:sz w:val="18"/>
          <w:szCs w:val="18"/>
        </w:rPr>
      </w:pPr>
      <w:r w:rsidRPr="007568F0">
        <w:rPr>
          <w:rFonts w:ascii="Tahoma" w:hAnsi="Tahoma" w:cs="Tahoma"/>
          <w:sz w:val="18"/>
          <w:szCs w:val="18"/>
          <w:lang w:val="it-IT"/>
        </w:rPr>
        <w:t>Una licenza di Gestione Server per System Center Service Manager 2010 (senza Tecnologia SQL)</w:t>
      </w:r>
    </w:p>
    <w:p w:rsidR="00A92422" w:rsidRPr="007568F0" w:rsidRDefault="00A92422" w:rsidP="00A92422">
      <w:pPr>
        <w:pStyle w:val="EndnoteText"/>
        <w:numPr>
          <w:ilvl w:val="0"/>
          <w:numId w:val="67"/>
        </w:numPr>
        <w:spacing w:after="60"/>
        <w:ind w:left="1440"/>
        <w:rPr>
          <w:rFonts w:ascii="Tahoma" w:hAnsi="Tahoma" w:cs="Tahoma"/>
          <w:sz w:val="18"/>
          <w:szCs w:val="18"/>
        </w:rPr>
      </w:pPr>
      <w:r w:rsidRPr="007568F0">
        <w:rPr>
          <w:rFonts w:ascii="Tahoma" w:hAnsi="Tahoma" w:cs="Tahoma"/>
          <w:sz w:val="18"/>
          <w:szCs w:val="18"/>
          <w:lang w:val="it-IT"/>
        </w:rPr>
        <w:t>Cinque licenze di Gestione Server per System Center Service Manager 2010</w:t>
      </w:r>
    </w:p>
    <w:p w:rsidR="00A92422" w:rsidRPr="007568F0" w:rsidRDefault="00A92422" w:rsidP="00A92422">
      <w:pPr>
        <w:pStyle w:val="EndnoteText"/>
        <w:numPr>
          <w:ilvl w:val="0"/>
          <w:numId w:val="67"/>
        </w:numPr>
        <w:spacing w:after="60"/>
        <w:ind w:left="1440"/>
        <w:rPr>
          <w:rFonts w:ascii="Tahoma" w:hAnsi="Tahoma" w:cs="Tahoma"/>
          <w:sz w:val="18"/>
          <w:szCs w:val="18"/>
        </w:rPr>
      </w:pPr>
      <w:r w:rsidRPr="007568F0">
        <w:rPr>
          <w:rFonts w:ascii="Tahoma" w:hAnsi="Tahoma" w:cs="Tahoma"/>
          <w:sz w:val="18"/>
          <w:szCs w:val="18"/>
          <w:lang w:val="it-IT"/>
        </w:rPr>
        <w:t>Trenta licenze di Gestione Client per System Center Service Manager 2010</w:t>
      </w:r>
    </w:p>
    <w:p w:rsidR="00A92422" w:rsidRPr="007568F0" w:rsidRDefault="00A92422" w:rsidP="00A92422">
      <w:pPr>
        <w:pStyle w:val="EndnoteText"/>
        <w:ind w:left="0"/>
        <w:rPr>
          <w:rFonts w:ascii="Tahoma" w:hAnsi="Tahoma" w:cs="Tahoma"/>
          <w:sz w:val="18"/>
          <w:szCs w:val="18"/>
        </w:rPr>
      </w:pPr>
    </w:p>
    <w:p w:rsidR="00A92422" w:rsidRPr="007568F0" w:rsidRDefault="00A92422" w:rsidP="00A92422">
      <w:pPr>
        <w:pStyle w:val="EndnoteText"/>
        <w:ind w:left="720"/>
        <w:rPr>
          <w:rFonts w:ascii="Tahoma" w:hAnsi="Tahoma" w:cs="Tahoma"/>
          <w:sz w:val="18"/>
          <w:szCs w:val="18"/>
        </w:rPr>
      </w:pPr>
      <w:r w:rsidRPr="007568F0">
        <w:rPr>
          <w:rFonts w:ascii="Tahoma" w:hAnsi="Tahoma" w:cs="Tahoma"/>
          <w:sz w:val="18"/>
          <w:szCs w:val="18"/>
          <w:lang w:val="it-IT"/>
        </w:rPr>
        <w:t>Tutte le licenze concesse ai sensi della presente offerta includeranno la copertura Software Assurance.</w:t>
      </w:r>
      <w:r w:rsidRPr="007568F0">
        <w:rPr>
          <w:rFonts w:ascii="Tahoma" w:hAnsi="Tahoma" w:cs="Tahoma"/>
          <w:sz w:val="18"/>
          <w:szCs w:val="18"/>
        </w:rPr>
        <w:t xml:space="preserve"> </w:t>
      </w:r>
      <w:r w:rsidRPr="007568F0">
        <w:rPr>
          <w:rFonts w:ascii="Tahoma" w:hAnsi="Tahoma" w:cs="Tahoma"/>
          <w:sz w:val="18"/>
          <w:szCs w:val="18"/>
          <w:lang w:val="it-IT"/>
        </w:rPr>
        <w:t>Tal</w:t>
      </w:r>
      <w:r>
        <w:rPr>
          <w:rFonts w:ascii="Tahoma" w:hAnsi="Tahoma" w:cs="Tahoma"/>
          <w:sz w:val="18"/>
          <w:szCs w:val="18"/>
          <w:lang w:val="it-IT"/>
        </w:rPr>
        <w:t> </w:t>
      </w:r>
      <w:r w:rsidRPr="007568F0">
        <w:rPr>
          <w:rFonts w:ascii="Tahoma" w:hAnsi="Tahoma" w:cs="Tahoma"/>
          <w:sz w:val="18"/>
          <w:szCs w:val="18"/>
          <w:lang w:val="it-IT"/>
        </w:rPr>
        <w:t>copertura cesserà alla scadenza della copertura System Center Reporting Manager 2006 corrispondente.</w:t>
      </w:r>
      <w:r w:rsidRPr="007568F0">
        <w:rPr>
          <w:rFonts w:ascii="Tahoma" w:hAnsi="Tahoma" w:cs="Tahoma"/>
          <w:sz w:val="18"/>
          <w:szCs w:val="18"/>
        </w:rPr>
        <w:t xml:space="preserve"> </w:t>
      </w:r>
      <w:r w:rsidRPr="007568F0">
        <w:rPr>
          <w:rFonts w:ascii="Tahoma" w:hAnsi="Tahoma" w:cs="Tahoma"/>
          <w:sz w:val="18"/>
          <w:szCs w:val="18"/>
          <w:lang w:val="it-IT"/>
        </w:rPr>
        <w:t>Alla scadenza della copertura, le società potranno rinnovare Software Assurance sulle licenze concesse.</w:t>
      </w:r>
      <w:r w:rsidRPr="007568F0">
        <w:rPr>
          <w:rFonts w:ascii="Tahoma" w:hAnsi="Tahoma" w:cs="Tahoma"/>
          <w:sz w:val="18"/>
          <w:szCs w:val="18"/>
        </w:rPr>
        <w:t xml:space="preserve"> </w:t>
      </w:r>
    </w:p>
    <w:p w:rsidR="00A92422" w:rsidRPr="007568F0" w:rsidRDefault="00A92422" w:rsidP="00A92422">
      <w:pPr>
        <w:pStyle w:val="EndnoteText"/>
        <w:ind w:left="720"/>
        <w:rPr>
          <w:rFonts w:ascii="Tahoma" w:hAnsi="Tahoma" w:cs="Tahoma"/>
          <w:sz w:val="18"/>
          <w:szCs w:val="18"/>
        </w:rPr>
      </w:pPr>
    </w:p>
    <w:p w:rsidR="00A92422" w:rsidRPr="007568F0" w:rsidRDefault="00A92422" w:rsidP="00A92422">
      <w:pPr>
        <w:pStyle w:val="EndnoteText"/>
        <w:ind w:left="720"/>
        <w:rPr>
          <w:rFonts w:ascii="Tahoma" w:hAnsi="Tahoma" w:cs="Tahoma"/>
          <w:sz w:val="18"/>
          <w:szCs w:val="18"/>
        </w:rPr>
      </w:pPr>
      <w:r w:rsidRPr="007568F0">
        <w:rPr>
          <w:rFonts w:ascii="Tahoma" w:hAnsi="Tahoma" w:cs="Tahoma"/>
          <w:sz w:val="18"/>
          <w:szCs w:val="18"/>
          <w:lang w:val="it-IT"/>
        </w:rPr>
        <w:t>L’utilizzo del software da parte della società ai sensi della presente offerta sarà soggetto alle condizioni del</w:t>
      </w:r>
      <w:r>
        <w:rPr>
          <w:rFonts w:ascii="Tahoma" w:hAnsi="Tahoma" w:cs="Tahoma"/>
          <w:sz w:val="18"/>
          <w:szCs w:val="18"/>
          <w:lang w:val="it-IT"/>
        </w:rPr>
        <w:t> </w:t>
      </w:r>
      <w:r w:rsidRPr="007568F0">
        <w:rPr>
          <w:rFonts w:ascii="Tahoma" w:hAnsi="Tahoma" w:cs="Tahoma"/>
          <w:sz w:val="18"/>
          <w:szCs w:val="18"/>
          <w:lang w:val="it-IT"/>
        </w:rPr>
        <w:t>relativo contratto di licenza e ai diritti di utilizzo del prodotto relativi al software.</w:t>
      </w:r>
      <w:r w:rsidRPr="007568F0">
        <w:rPr>
          <w:rFonts w:ascii="Tahoma" w:hAnsi="Tahoma" w:cs="Tahoma"/>
          <w:sz w:val="18"/>
          <w:szCs w:val="18"/>
        </w:rPr>
        <w:t xml:space="preserve"> </w:t>
      </w:r>
      <w:r w:rsidRPr="007568F0">
        <w:rPr>
          <w:rFonts w:ascii="Tahoma" w:hAnsi="Tahoma" w:cs="Tahoma"/>
          <w:sz w:val="18"/>
          <w:szCs w:val="18"/>
          <w:lang w:val="it-IT"/>
        </w:rPr>
        <w:t>Il diritto di utilizzo del</w:t>
      </w:r>
      <w:r>
        <w:rPr>
          <w:rFonts w:ascii="Tahoma" w:hAnsi="Tahoma" w:cs="Tahoma"/>
          <w:sz w:val="18"/>
          <w:szCs w:val="18"/>
          <w:lang w:val="it-IT"/>
        </w:rPr>
        <w:t> </w:t>
      </w:r>
      <w:r w:rsidRPr="007568F0">
        <w:rPr>
          <w:rFonts w:ascii="Tahoma" w:hAnsi="Tahoma" w:cs="Tahoma"/>
          <w:sz w:val="18"/>
          <w:szCs w:val="18"/>
          <w:lang w:val="it-IT"/>
        </w:rPr>
        <w:t>software concesso scadrà alla scadenza del diritto di utilizzo della licenza per System Center Reporting Manager 2006 qualificante.</w:t>
      </w:r>
      <w:r w:rsidRPr="007568F0">
        <w:rPr>
          <w:rFonts w:ascii="Tahoma" w:hAnsi="Tahoma" w:cs="Tahoma"/>
          <w:sz w:val="18"/>
          <w:szCs w:val="18"/>
        </w:rPr>
        <w:t xml:space="preserve"> </w:t>
      </w:r>
      <w:r w:rsidRPr="007568F0">
        <w:rPr>
          <w:rFonts w:ascii="Tahoma" w:hAnsi="Tahoma" w:cs="Tahoma"/>
          <w:sz w:val="18"/>
          <w:szCs w:val="18"/>
          <w:lang w:val="it-IT"/>
        </w:rPr>
        <w:t>Le società non potranno trasferire le licenze concesse in virtù della presente offerta separatamente dalle licenze qualificanti corrispondenti.</w:t>
      </w:r>
    </w:p>
    <w:p w:rsidR="00A92422" w:rsidRPr="007568F0" w:rsidRDefault="00A92422" w:rsidP="00A92422">
      <w:pPr>
        <w:pStyle w:val="EndnoteText"/>
        <w:ind w:left="720"/>
        <w:rPr>
          <w:rFonts w:ascii="Tahoma" w:hAnsi="Tahoma" w:cs="Tahoma"/>
          <w:sz w:val="18"/>
          <w:szCs w:val="18"/>
        </w:rPr>
      </w:pPr>
    </w:p>
    <w:p w:rsidR="00A92422" w:rsidRPr="00D87B79" w:rsidRDefault="00A92422" w:rsidP="00A92422">
      <w:pPr>
        <w:ind w:left="720"/>
        <w:rPr>
          <w:rFonts w:cs="Tahoma"/>
        </w:rPr>
      </w:pPr>
      <w:r w:rsidRPr="00D87B79">
        <w:rPr>
          <w:rFonts w:cs="Tahoma"/>
          <w:lang w:val="it-IT"/>
        </w:rPr>
        <w:t xml:space="preserve">Le licenze per </w:t>
      </w:r>
      <w:r w:rsidRPr="00D87B79">
        <w:rPr>
          <w:rFonts w:cs="Tahoma"/>
          <w:color w:val="000000"/>
          <w:lang w:val="it-IT"/>
        </w:rPr>
        <w:t>System Center Reporting Manager 2006</w:t>
      </w:r>
      <w:r w:rsidRPr="00D87B79">
        <w:rPr>
          <w:rFonts w:cs="Tahoma"/>
          <w:lang w:val="it-IT"/>
        </w:rPr>
        <w:t xml:space="preserve"> acquistate dopo il 31 maggio 2010 nel quadro del</w:t>
      </w:r>
      <w:r>
        <w:rPr>
          <w:rFonts w:cs="Tahoma"/>
          <w:lang w:val="it-IT"/>
        </w:rPr>
        <w:t> </w:t>
      </w:r>
      <w:r w:rsidRPr="00D87B79">
        <w:rPr>
          <w:rFonts w:cs="Tahoma"/>
          <w:lang w:val="it-IT"/>
        </w:rPr>
        <w:t xml:space="preserve">processo annuale di true-up per le Iscrizioni Enterprise ai sensi delle quali le licenze per </w:t>
      </w:r>
      <w:r w:rsidRPr="00D87B79">
        <w:rPr>
          <w:rFonts w:cs="Tahoma"/>
          <w:color w:val="000000"/>
          <w:lang w:val="it-IT"/>
        </w:rPr>
        <w:t xml:space="preserve">System Center Reporting Manager 2006 </w:t>
      </w:r>
      <w:r w:rsidRPr="00D87B79">
        <w:rPr>
          <w:rFonts w:cs="Tahoma"/>
          <w:lang w:val="it-IT"/>
        </w:rPr>
        <w:t xml:space="preserve">sono state acquistate prima del 31 maggio 2010 sono anch’esse idonee a ricevere </w:t>
      </w:r>
      <w:r w:rsidRPr="00D87B79">
        <w:rPr>
          <w:rFonts w:cs="Tahoma"/>
          <w:lang w:val="it-IT"/>
        </w:rPr>
        <w:lastRenderedPageBreak/>
        <w:t>le licenze di Gestione Server per System Center Service Manager 2010 e le licenze di Gestione Client/Server ai sensi della presente offerta.</w:t>
      </w:r>
    </w:p>
    <w:p w:rsidR="00A92422" w:rsidRPr="00D87B79" w:rsidRDefault="00A92422" w:rsidP="00A92422">
      <w:pPr>
        <w:ind w:left="720"/>
        <w:rPr>
          <w:rFonts w:cs="Tahoma"/>
        </w:rPr>
      </w:pPr>
    </w:p>
    <w:p w:rsidR="00A92422" w:rsidRPr="007568F0" w:rsidRDefault="00A92422" w:rsidP="00A92422">
      <w:pPr>
        <w:pStyle w:val="EndnoteText"/>
        <w:ind w:left="720"/>
        <w:rPr>
          <w:rFonts w:ascii="Tahoma" w:hAnsi="Tahoma" w:cs="Tahoma"/>
          <w:sz w:val="18"/>
          <w:szCs w:val="18"/>
        </w:rPr>
      </w:pPr>
      <w:r w:rsidRPr="007568F0">
        <w:rPr>
          <w:rFonts w:ascii="Tahoma" w:hAnsi="Tahoma" w:cs="Tahoma"/>
          <w:bCs/>
          <w:sz w:val="18"/>
          <w:szCs w:val="18"/>
          <w:lang w:val="it-IT"/>
        </w:rPr>
        <w:t>Per Contratti Enterprise Subscription, Campus e School e Open Value Subscription, gli stessi diritti verranno concessi temporaneamente fino al termine del periodo di validità dell’iscrizione della licenza, qualora le Licenze e la copertura Software Assurance siano valide durante il periodo di concessione e la società mantenga la copertura dell’abbonamento in via continuativa.</w:t>
      </w:r>
      <w:r w:rsidRPr="007568F0">
        <w:rPr>
          <w:rFonts w:ascii="Tahoma" w:hAnsi="Tahoma" w:cs="Tahoma"/>
          <w:sz w:val="18"/>
          <w:szCs w:val="18"/>
        </w:rPr>
        <w:t xml:space="preserve"> </w:t>
      </w:r>
      <w:r w:rsidRPr="007568F0">
        <w:rPr>
          <w:rFonts w:ascii="Tahoma" w:hAnsi="Tahoma" w:cs="Tahoma"/>
          <w:sz w:val="18"/>
          <w:szCs w:val="18"/>
          <w:lang w:val="it-IT"/>
        </w:rPr>
        <w:t>Tali diritti diventeranno permanenti soltanto</w:t>
      </w:r>
      <w:r>
        <w:rPr>
          <w:rFonts w:ascii="Tahoma" w:hAnsi="Tahoma" w:cs="Tahoma"/>
          <w:sz w:val="18"/>
          <w:szCs w:val="18"/>
          <w:lang w:val="it-IT"/>
        </w:rPr>
        <w:t> </w:t>
      </w:r>
      <w:r w:rsidRPr="007568F0">
        <w:rPr>
          <w:rFonts w:ascii="Tahoma" w:hAnsi="Tahoma" w:cs="Tahoma"/>
          <w:sz w:val="18"/>
          <w:szCs w:val="18"/>
          <w:lang w:val="it-IT"/>
        </w:rPr>
        <w:t>all’esercizio dell’opzione buy-out e resteranno soggetti a tutte le condizioni del contratto di licenza della società.</w:t>
      </w:r>
    </w:p>
    <w:p w:rsidR="00A92422" w:rsidRPr="007568F0" w:rsidRDefault="00A92422" w:rsidP="00A92422">
      <w:pPr>
        <w:pStyle w:val="EndnoteText"/>
        <w:rPr>
          <w:rFonts w:ascii="Tahoma" w:hAnsi="Tahoma" w:cs="Tahoma"/>
          <w:sz w:val="18"/>
          <w:szCs w:val="18"/>
        </w:rPr>
      </w:pPr>
    </w:p>
    <w:p w:rsidR="00A92422" w:rsidRPr="007568F0" w:rsidRDefault="00A92422" w:rsidP="00A92422">
      <w:pPr>
        <w:pStyle w:val="EndnoteText"/>
        <w:rPr>
          <w:rFonts w:ascii="Tahoma" w:hAnsi="Tahoma" w:cs="Tahoma"/>
          <w:sz w:val="18"/>
          <w:szCs w:val="18"/>
        </w:rPr>
      </w:pPr>
    </w:p>
    <w:p w:rsidR="00A92422" w:rsidRPr="00D87B79" w:rsidRDefault="00A92422" w:rsidP="00A92422">
      <w:pPr>
        <w:pStyle w:val="Heading3"/>
        <w:rPr>
          <w:rFonts w:ascii="Tahoma" w:hAnsi="Tahoma" w:cs="Tahoma"/>
        </w:rPr>
      </w:pPr>
      <w:bookmarkStart w:id="1493" w:name="_85_System_Center"/>
      <w:bookmarkStart w:id="1494" w:name="_98_System_Center"/>
      <w:bookmarkStart w:id="1495" w:name="_Toc336338354"/>
      <w:bookmarkStart w:id="1496" w:name="Srv_85SysCtrSvrMgmtSuiteEnterprise"/>
      <w:bookmarkStart w:id="1497" w:name="_Toc342900396"/>
      <w:bookmarkEnd w:id="1493"/>
      <w:bookmarkEnd w:id="1494"/>
      <w:bookmarkEnd w:id="1495"/>
      <w:bookmarkEnd w:id="1496"/>
      <w:r w:rsidRPr="00D87B79">
        <w:rPr>
          <w:rFonts w:ascii="Tahoma" w:hAnsi="Tahoma" w:cs="Tahoma"/>
          <w:caps/>
          <w:color w:val="F66400"/>
          <w:sz w:val="22"/>
          <w:vertAlign w:val="superscript"/>
          <w:lang w:val="it-IT"/>
        </w:rPr>
        <w:t>86</w:t>
      </w:r>
      <w:r w:rsidRPr="00D87B79">
        <w:rPr>
          <w:rFonts w:ascii="Tahoma" w:hAnsi="Tahoma" w:cs="Tahoma"/>
          <w:color w:val="F66400"/>
          <w:sz w:val="22"/>
          <w:lang w:val="it-IT"/>
        </w:rPr>
        <w:t xml:space="preserve"> System Center Server Management Suite Enterprise</w:t>
      </w:r>
      <w:bookmarkEnd w:id="1497"/>
    </w:p>
    <w:p w:rsidR="00A92422" w:rsidRPr="007568F0" w:rsidRDefault="00A92422" w:rsidP="00A92422">
      <w:pPr>
        <w:pStyle w:val="EndnoteText"/>
        <w:ind w:left="720"/>
        <w:rPr>
          <w:rFonts w:ascii="Tahoma" w:hAnsi="Tahoma" w:cs="Tahoma"/>
          <w:sz w:val="18"/>
          <w:szCs w:val="18"/>
        </w:rPr>
      </w:pPr>
    </w:p>
    <w:p w:rsidR="00A92422" w:rsidRPr="00D87B79" w:rsidRDefault="00A92422" w:rsidP="00A92422">
      <w:pPr>
        <w:pStyle w:val="EndnoteText"/>
        <w:ind w:left="720"/>
        <w:rPr>
          <w:rFonts w:ascii="Tahoma" w:hAnsi="Tahoma" w:cs="Tahoma"/>
        </w:rPr>
      </w:pPr>
      <w:r w:rsidRPr="00D87B79">
        <w:rPr>
          <w:rFonts w:ascii="Tahoma" w:hAnsi="Tahoma" w:cs="Tahoma"/>
          <w:color w:val="000000"/>
          <w:sz w:val="18"/>
          <w:lang w:val="it-IT"/>
        </w:rPr>
        <w:t>Prodotto End-Of-Life (EOL) che non verrà più offerto.</w:t>
      </w:r>
    </w:p>
    <w:p w:rsidR="00A92422" w:rsidRPr="007568F0" w:rsidRDefault="00A92422" w:rsidP="00A92422">
      <w:pPr>
        <w:pStyle w:val="EndnoteText"/>
        <w:ind w:left="720"/>
        <w:rPr>
          <w:rFonts w:ascii="Tahoma" w:hAnsi="Tahoma" w:cs="Tahoma"/>
          <w:sz w:val="18"/>
          <w:szCs w:val="18"/>
        </w:rPr>
      </w:pPr>
    </w:p>
    <w:p w:rsidR="00A92422" w:rsidRPr="00D87B79" w:rsidRDefault="00A92422" w:rsidP="00A92422">
      <w:pPr>
        <w:pStyle w:val="FootnoteBulletLevel1"/>
        <w:tabs>
          <w:tab w:val="clear" w:pos="900"/>
        </w:tabs>
        <w:spacing w:before="0" w:after="60"/>
        <w:ind w:left="720" w:firstLine="0"/>
        <w:rPr>
          <w:rFonts w:ascii="Tahoma" w:hAnsi="Tahoma" w:cs="Tahoma"/>
        </w:rPr>
      </w:pPr>
      <w:r w:rsidRPr="00D87B79">
        <w:rPr>
          <w:rFonts w:ascii="Tahoma" w:hAnsi="Tahoma" w:cs="Tahoma"/>
          <w:b/>
          <w:sz w:val="18"/>
          <w:lang w:val="it-IT"/>
        </w:rPr>
        <w:t>Dettagli relativi alla Concessione di una Licenza Transitoria Una Tantum per System Center</w:t>
      </w:r>
      <w:r>
        <w:rPr>
          <w:rFonts w:ascii="Tahoma" w:hAnsi="Tahoma" w:cs="Tahoma"/>
          <w:b/>
          <w:sz w:val="18"/>
          <w:lang w:val="it-IT"/>
        </w:rPr>
        <w:t> </w:t>
      </w:r>
      <w:r w:rsidRPr="00D87B79">
        <w:rPr>
          <w:rFonts w:ascii="Tahoma" w:hAnsi="Tahoma" w:cs="Tahoma"/>
          <w:b/>
          <w:sz w:val="18"/>
          <w:lang w:val="it-IT"/>
        </w:rPr>
        <w:t>2012</w:t>
      </w:r>
    </w:p>
    <w:p w:rsidR="00A92422" w:rsidRPr="00D87B79" w:rsidRDefault="00A92422" w:rsidP="00A92422">
      <w:pPr>
        <w:ind w:left="720"/>
        <w:rPr>
          <w:rFonts w:cs="Tahoma"/>
        </w:rPr>
      </w:pPr>
      <w:r w:rsidRPr="00D87B79">
        <w:rPr>
          <w:rFonts w:cs="Tahoma"/>
          <w:lang w:val="it-IT"/>
        </w:rPr>
        <w:t>Per dettagli sulle concessioni di licenze transitorie, fare riferimento alla nota relativa al prodotto presente nelle offerte di System Center 2012.</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lang w:val="it-IT"/>
        </w:rPr>
        <w:t>System Center Server Management Suite Enterprise non dispone di versioni e i diritti di utilizzo del prodotto sono determinati dallo stato della copertura Software Assurance per System Center Server Management Suite Enterprise. Qualora la copertura sia scaduta, i diritti di accesso attribuiti da licenze perpetue sono determinati sulla base dei diritti di utilizzo del prodotto in vigore prima della scadenza della copertura.</w:t>
      </w:r>
      <w:r w:rsidRPr="00D87B79">
        <w:rPr>
          <w:rFonts w:cs="Tahoma"/>
        </w:rPr>
        <w:t xml:space="preserve"> </w:t>
      </w:r>
    </w:p>
    <w:p w:rsidR="00A92422" w:rsidRPr="00D87B79" w:rsidRDefault="00A92422" w:rsidP="00A92422">
      <w:pPr>
        <w:ind w:left="720"/>
        <w:rPr>
          <w:rFonts w:cs="Tahoma"/>
        </w:rPr>
      </w:pPr>
    </w:p>
    <w:p w:rsidR="00A92422" w:rsidRPr="00D87B79" w:rsidRDefault="00A92422" w:rsidP="00A92422">
      <w:pPr>
        <w:ind w:left="720"/>
        <w:jc w:val="both"/>
        <w:rPr>
          <w:rFonts w:cs="Tahoma"/>
        </w:rPr>
      </w:pPr>
      <w:r w:rsidRPr="00D87B79">
        <w:rPr>
          <w:rFonts w:cs="Tahoma"/>
          <w:color w:val="000000"/>
          <w:lang w:val="it-IT"/>
        </w:rPr>
        <w:t>Al 1 novembre 2010 una licenza per System Center Server Management Suite Enterprise con copertura Software Assurance attiva fornisce i diritti di gestione server per le licenze di gestione server per System Center Enterprise relativamente a Operations Manager 2007 R2, Configuration Manager 2007 R3, Data Protection Manager 2010, Service Manager 2010 e Virtual Machine Manager 2008 R2.</w:t>
      </w:r>
      <w:r w:rsidRPr="00D87B79">
        <w:rPr>
          <w:rFonts w:cs="Tahoma"/>
        </w:rPr>
        <w:t xml:space="preserve"> </w:t>
      </w:r>
      <w:r w:rsidRPr="00D87B79">
        <w:rPr>
          <w:rFonts w:cs="Tahoma"/>
          <w:color w:val="000000"/>
          <w:lang w:val="it-IT"/>
        </w:rPr>
        <w:t>Inoltre, è inclusa anche la licenza server per Virtual Machine Manager 2008 R2 e Data Protection Manager 2010.</w:t>
      </w:r>
      <w:r w:rsidRPr="00D87B79">
        <w:rPr>
          <w:rFonts w:cs="Tahoma"/>
        </w:rPr>
        <w:t xml:space="preserve"> </w:t>
      </w:r>
      <w:r w:rsidRPr="00D87B79">
        <w:rPr>
          <w:rFonts w:cs="Tahoma"/>
          <w:color w:val="000000"/>
          <w:lang w:val="it-IT"/>
        </w:rPr>
        <w:t>La società dovrà riesaminare il documento PUR per verificare i diritti sull’utilizzo.</w:t>
      </w:r>
    </w:p>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lang w:val="it-IT"/>
        </w:rPr>
        <w:t>Concessione di Licenza</w:t>
      </w:r>
    </w:p>
    <w:p w:rsidR="00A92422" w:rsidRPr="00D87B79" w:rsidRDefault="00A92422" w:rsidP="00A92422">
      <w:pPr>
        <w:pStyle w:val="FootnoteBulletLevel1"/>
        <w:tabs>
          <w:tab w:val="left" w:pos="900"/>
        </w:tabs>
        <w:spacing w:before="0" w:after="0"/>
        <w:ind w:left="720" w:firstLine="0"/>
        <w:rPr>
          <w:rFonts w:ascii="Tahoma" w:hAnsi="Tahoma" w:cs="Tahoma"/>
        </w:rPr>
      </w:pPr>
      <w:r w:rsidRPr="00D87B79">
        <w:rPr>
          <w:rFonts w:ascii="Tahoma" w:hAnsi="Tahoma" w:cs="Tahoma"/>
          <w:sz w:val="18"/>
          <w:lang w:val="it-IT"/>
        </w:rPr>
        <w:t>Concessione di una Licenza Una Tantum per System Center Server Management Suite Datacenter (SMSD) ai</w:t>
      </w:r>
      <w:r>
        <w:rPr>
          <w:rFonts w:ascii="Tahoma" w:hAnsi="Tahoma" w:cs="Tahoma"/>
          <w:sz w:val="18"/>
          <w:lang w:val="it-IT"/>
        </w:rPr>
        <w:t> </w:t>
      </w:r>
      <w:r w:rsidRPr="00D87B79">
        <w:rPr>
          <w:rFonts w:ascii="Tahoma" w:hAnsi="Tahoma" w:cs="Tahoma"/>
          <w:sz w:val="18"/>
          <w:lang w:val="it-IT"/>
        </w:rPr>
        <w:t>Titolari di Licenza per System Center Server Management Suite Enterprise (SMSE).</w:t>
      </w:r>
    </w:p>
    <w:p w:rsidR="00A92422" w:rsidRPr="00D87B79" w:rsidRDefault="00A92422" w:rsidP="00A92422">
      <w:pPr>
        <w:pStyle w:val="FootnoteBulletLevel1"/>
        <w:tabs>
          <w:tab w:val="left" w:pos="900"/>
        </w:tabs>
        <w:spacing w:before="0" w:after="0"/>
        <w:ind w:left="720" w:firstLine="0"/>
        <w:rPr>
          <w:rFonts w:ascii="Tahoma" w:hAnsi="Tahoma" w:cs="Tahoma"/>
        </w:rPr>
      </w:pPr>
    </w:p>
    <w:p w:rsidR="00A92422" w:rsidRPr="00D87B79" w:rsidRDefault="00A92422" w:rsidP="00A92422">
      <w:pPr>
        <w:pStyle w:val="FootnoteBulletLevel1"/>
        <w:tabs>
          <w:tab w:val="clear" w:pos="900"/>
          <w:tab w:val="left" w:pos="720"/>
        </w:tabs>
        <w:spacing w:before="0" w:after="0"/>
        <w:ind w:left="720" w:firstLine="0"/>
        <w:rPr>
          <w:rFonts w:ascii="Tahoma" w:hAnsi="Tahoma" w:cs="Tahoma"/>
        </w:rPr>
      </w:pPr>
      <w:r w:rsidRPr="00D87B79">
        <w:rPr>
          <w:rFonts w:ascii="Tahoma" w:hAnsi="Tahoma" w:cs="Tahoma"/>
          <w:sz w:val="18"/>
          <w:lang w:val="it-IT"/>
        </w:rPr>
        <w:t>Come eccezione una tantum legata alla transizione di SMSE* da una suite che consente la gestione di qualunque numero di OSE su un dispositivo con licenza a un suite che consente la gestione di un massimo di quattro OSE su un dispositivo con licenza, Microsoft concede alle società che hanno concluso contratti Select, Enterprise, Open License, Open Value e Campus e School e che dispongono di una copertura Software Assurance attiva su SMSE in data 1 novembre 2009 le seguenti licenze:</w:t>
      </w:r>
    </w:p>
    <w:p w:rsidR="00A92422" w:rsidRPr="00B03B6B" w:rsidRDefault="00A92422" w:rsidP="00A92422">
      <w:pPr>
        <w:pStyle w:val="FootnoteBulletLevel1"/>
        <w:tabs>
          <w:tab w:val="clear" w:pos="900"/>
          <w:tab w:val="left" w:pos="720"/>
        </w:tabs>
        <w:spacing w:before="0" w:after="0"/>
        <w:ind w:left="720" w:firstLine="0"/>
        <w:rPr>
          <w:rFonts w:ascii="Tahoma" w:hAnsi="Tahoma" w:cs="Tahoma"/>
          <w:sz w:val="18"/>
          <w:szCs w:val="18"/>
        </w:rPr>
      </w:pPr>
    </w:p>
    <w:p w:rsidR="00A92422" w:rsidRPr="00D87B79" w:rsidRDefault="00A92422" w:rsidP="00A92422">
      <w:pPr>
        <w:numPr>
          <w:ilvl w:val="0"/>
          <w:numId w:val="66"/>
        </w:numPr>
        <w:ind w:left="1440"/>
        <w:rPr>
          <w:rFonts w:cs="Tahoma"/>
        </w:rPr>
      </w:pPr>
      <w:r w:rsidRPr="00D87B79">
        <w:rPr>
          <w:rFonts w:cs="Tahoma"/>
          <w:color w:val="000000"/>
          <w:lang w:val="it-IT"/>
        </w:rPr>
        <w:t>Quattro licenze gratuite SMSD per ogni licenza SMSE qualificante con copertura Software Assurance attiva di cui la società sia titolare al 1 luglio 2009. Ogni gruppo di quattro licenze SMSD concesse deve essere assegnato a un unico dispositivo e non può essere separato per un utilizzo su due o più dispostivi.</w:t>
      </w:r>
    </w:p>
    <w:p w:rsidR="00A92422" w:rsidRPr="00D87B79" w:rsidRDefault="00A92422" w:rsidP="00A92422">
      <w:pPr>
        <w:rPr>
          <w:rFonts w:cs="Tahoma"/>
        </w:rPr>
      </w:pPr>
    </w:p>
    <w:p w:rsidR="00A92422" w:rsidRPr="00D87B79" w:rsidRDefault="00A92422" w:rsidP="00A92422">
      <w:pPr>
        <w:pStyle w:val="FootnoteBulletLevel1"/>
        <w:tabs>
          <w:tab w:val="clear" w:pos="900"/>
        </w:tabs>
        <w:spacing w:before="0" w:after="0"/>
        <w:ind w:left="720" w:firstLine="0"/>
        <w:rPr>
          <w:rFonts w:ascii="Tahoma" w:hAnsi="Tahoma" w:cs="Tahoma"/>
        </w:rPr>
      </w:pPr>
      <w:r w:rsidRPr="00D87B79">
        <w:rPr>
          <w:rFonts w:ascii="Tahoma" w:hAnsi="Tahoma" w:cs="Tahoma"/>
          <w:sz w:val="18"/>
          <w:lang w:val="it-IT"/>
        </w:rPr>
        <w:t>I diritti di gestione associati alle licenze gratuite SMSD sono concessi al posto dei diritti di gestione associati alla licenza SMSE qualificante.</w:t>
      </w:r>
      <w:r w:rsidRPr="00D87B79">
        <w:rPr>
          <w:rFonts w:ascii="Tahoma" w:hAnsi="Tahoma" w:cs="Tahoma"/>
        </w:rPr>
        <w:t xml:space="preserve"> </w:t>
      </w:r>
      <w:r w:rsidRPr="00D87B79">
        <w:rPr>
          <w:rFonts w:ascii="Tahoma" w:hAnsi="Tahoma" w:cs="Tahoma"/>
          <w:sz w:val="18"/>
          <w:lang w:val="it-IT"/>
        </w:rPr>
        <w:t>All’assegnazione delle licenze SMSD concesse, la società perderà i diritti di</w:t>
      </w:r>
      <w:r>
        <w:rPr>
          <w:rFonts w:ascii="Tahoma" w:hAnsi="Tahoma" w:cs="Tahoma"/>
          <w:sz w:val="18"/>
          <w:lang w:val="it-IT"/>
        </w:rPr>
        <w:t> </w:t>
      </w:r>
      <w:r w:rsidRPr="00D87B79">
        <w:rPr>
          <w:rFonts w:ascii="Tahoma" w:hAnsi="Tahoma" w:cs="Tahoma"/>
          <w:sz w:val="18"/>
          <w:lang w:val="it-IT"/>
        </w:rPr>
        <w:t>gestione ai sensi della corrispondente licenza SMSE.</w:t>
      </w:r>
    </w:p>
    <w:p w:rsidR="00A92422" w:rsidRPr="00D87B79" w:rsidRDefault="00A92422" w:rsidP="00A92422">
      <w:pPr>
        <w:pStyle w:val="FootnoteBulletLevel1"/>
        <w:tabs>
          <w:tab w:val="clear" w:pos="900"/>
        </w:tabs>
        <w:spacing w:before="0" w:after="0"/>
        <w:ind w:left="720" w:firstLine="0"/>
        <w:rPr>
          <w:rFonts w:ascii="Tahoma" w:hAnsi="Tahoma" w:cs="Tahoma"/>
        </w:rPr>
      </w:pPr>
      <w:r w:rsidRPr="00D87B79">
        <w:rPr>
          <w:rFonts w:ascii="Tahoma" w:hAnsi="Tahoma" w:cs="Tahoma"/>
          <w:sz w:val="18"/>
          <w:lang w:val="it-IT"/>
        </w:rPr>
        <w:t>Tutte le licenze concesse ai sensi della presente offerta sono soggette alla seguente limitazione:</w:t>
      </w:r>
      <w:r w:rsidRPr="00D87B79">
        <w:rPr>
          <w:rFonts w:ascii="Tahoma" w:hAnsi="Tahoma" w:cs="Tahoma"/>
          <w:color w:val="000000"/>
          <w:sz w:val="18"/>
        </w:rPr>
        <w:t xml:space="preserve"> </w:t>
      </w:r>
      <w:r w:rsidRPr="00D87B79">
        <w:rPr>
          <w:rFonts w:ascii="Tahoma" w:hAnsi="Tahoma" w:cs="Tahoma"/>
          <w:color w:val="000000"/>
          <w:sz w:val="18"/>
          <w:lang w:val="it-IT"/>
        </w:rPr>
        <w:t>Ogni</w:t>
      </w:r>
      <w:r>
        <w:rPr>
          <w:rFonts w:ascii="Tahoma" w:hAnsi="Tahoma" w:cs="Tahoma"/>
          <w:color w:val="000000"/>
          <w:sz w:val="18"/>
          <w:lang w:val="it-IT"/>
        </w:rPr>
        <w:t> </w:t>
      </w:r>
      <w:r w:rsidRPr="00D87B79">
        <w:rPr>
          <w:rFonts w:ascii="Tahoma" w:hAnsi="Tahoma" w:cs="Tahoma"/>
          <w:color w:val="000000"/>
          <w:sz w:val="18"/>
          <w:lang w:val="it-IT"/>
        </w:rPr>
        <w:t>gruppo di licenze SMSD concesse deve essere assegnato a un unico dispositivo</w:t>
      </w:r>
      <w:r w:rsidRPr="00D87B79">
        <w:rPr>
          <w:rFonts w:ascii="Tahoma" w:hAnsi="Tahoma" w:cs="Tahoma"/>
          <w:sz w:val="18"/>
          <w:lang w:val="it-IT"/>
        </w:rPr>
        <w:t>.</w:t>
      </w:r>
    </w:p>
    <w:p w:rsidR="00A92422" w:rsidRDefault="00A92422" w:rsidP="00A92422">
      <w:pPr>
        <w:pStyle w:val="FootnoteBulletLevel1"/>
        <w:tabs>
          <w:tab w:val="clear" w:pos="900"/>
        </w:tabs>
        <w:spacing w:before="0" w:after="0"/>
        <w:ind w:left="720" w:firstLine="0"/>
        <w:rPr>
          <w:rFonts w:ascii="Tahoma" w:hAnsi="Tahoma" w:cs="Tahoma"/>
        </w:rPr>
      </w:pPr>
    </w:p>
    <w:p w:rsidR="00A92422" w:rsidRPr="00D87B79" w:rsidRDefault="00A92422" w:rsidP="00A92422">
      <w:pPr>
        <w:pStyle w:val="FootnoteBulletLevel1"/>
        <w:tabs>
          <w:tab w:val="clear" w:pos="900"/>
        </w:tabs>
        <w:spacing w:before="0" w:after="60"/>
        <w:ind w:left="720" w:firstLine="0"/>
        <w:rPr>
          <w:rFonts w:ascii="Tahoma" w:hAnsi="Tahoma" w:cs="Tahoma"/>
        </w:rPr>
      </w:pPr>
      <w:r w:rsidRPr="00D87B79">
        <w:rPr>
          <w:rFonts w:ascii="Tahoma" w:hAnsi="Tahoma" w:cs="Tahoma"/>
          <w:b/>
          <w:color w:val="000000"/>
          <w:sz w:val="18"/>
          <w:lang w:val="it-IT"/>
        </w:rPr>
        <w:t>Opzioni di Rinnovo di Software Assurance</w:t>
      </w:r>
      <w:r w:rsidRPr="00D87B79">
        <w:rPr>
          <w:rFonts w:ascii="Tahoma" w:hAnsi="Tahoma" w:cs="Tahoma"/>
        </w:rPr>
        <w:t xml:space="preserve"> </w:t>
      </w:r>
    </w:p>
    <w:p w:rsidR="00A92422" w:rsidRPr="00D87B79" w:rsidRDefault="00A92422" w:rsidP="00A92422">
      <w:pPr>
        <w:pStyle w:val="FootnoteBulletLevel1"/>
        <w:tabs>
          <w:tab w:val="clear" w:pos="900"/>
        </w:tabs>
        <w:spacing w:before="0" w:after="0"/>
        <w:ind w:left="720" w:firstLine="0"/>
        <w:rPr>
          <w:rFonts w:ascii="Tahoma" w:hAnsi="Tahoma" w:cs="Tahoma"/>
        </w:rPr>
      </w:pPr>
      <w:r w:rsidRPr="00D87B79">
        <w:rPr>
          <w:rFonts w:ascii="Tahoma" w:hAnsi="Tahoma" w:cs="Tahoma"/>
          <w:color w:val="000000"/>
          <w:sz w:val="18"/>
          <w:lang w:val="it-IT"/>
        </w:rPr>
        <w:t>Le licenze concesse ai sensi della presente offerta includono la Copertura Software Assurance, che cesserà alla scadenza della copertura sulle corrispondenti licenze qualificanti.</w:t>
      </w:r>
      <w:r w:rsidRPr="00D87B79">
        <w:rPr>
          <w:rFonts w:ascii="Tahoma" w:hAnsi="Tahoma" w:cs="Tahoma"/>
        </w:rPr>
        <w:t xml:space="preserve"> </w:t>
      </w:r>
      <w:r w:rsidRPr="00D87B79">
        <w:rPr>
          <w:rFonts w:ascii="Tahoma" w:hAnsi="Tahoma" w:cs="Tahoma"/>
          <w:sz w:val="18"/>
          <w:lang w:val="it-IT"/>
        </w:rPr>
        <w:t>Alla scadenza della copertura Software Assurance, le società potranno rinnovarla scegliendo tra le seguenti opzioni:</w:t>
      </w:r>
    </w:p>
    <w:p w:rsidR="00A92422" w:rsidRPr="00D87B79" w:rsidRDefault="00A92422" w:rsidP="00A92422">
      <w:pPr>
        <w:pStyle w:val="FootnoteBulletLevel1"/>
        <w:tabs>
          <w:tab w:val="clear" w:pos="900"/>
        </w:tabs>
        <w:spacing w:before="0" w:after="0"/>
        <w:ind w:left="720" w:firstLine="0"/>
        <w:rPr>
          <w:rFonts w:ascii="Tahoma" w:hAnsi="Tahoma" w:cs="Tahoma"/>
        </w:rPr>
      </w:pPr>
    </w:p>
    <w:p w:rsidR="00A92422" w:rsidRPr="00D87B79" w:rsidRDefault="00A92422" w:rsidP="00A92422">
      <w:pPr>
        <w:pStyle w:val="FootnoteBulletLevel1"/>
        <w:numPr>
          <w:ilvl w:val="0"/>
          <w:numId w:val="69"/>
        </w:numPr>
        <w:tabs>
          <w:tab w:val="left" w:pos="720"/>
        </w:tabs>
        <w:spacing w:before="0" w:after="60"/>
        <w:ind w:left="1440"/>
        <w:rPr>
          <w:rFonts w:ascii="Tahoma" w:hAnsi="Tahoma" w:cs="Tahoma"/>
        </w:rPr>
      </w:pPr>
      <w:r w:rsidRPr="00D87B79">
        <w:rPr>
          <w:rFonts w:ascii="Tahoma" w:hAnsi="Tahoma" w:cs="Tahoma"/>
          <w:sz w:val="18"/>
          <w:lang w:val="it-IT"/>
        </w:rPr>
        <w:lastRenderedPageBreak/>
        <w:t>Le società potranno rinnovare la copertura sulla licenza SMSE originale.</w:t>
      </w:r>
      <w:r w:rsidRPr="00D87B79">
        <w:rPr>
          <w:rFonts w:ascii="Tahoma" w:hAnsi="Tahoma" w:cs="Tahoma"/>
        </w:rPr>
        <w:t xml:space="preserve"> </w:t>
      </w:r>
      <w:r w:rsidRPr="00D87B79">
        <w:rPr>
          <w:rFonts w:ascii="Tahoma" w:hAnsi="Tahoma" w:cs="Tahoma"/>
          <w:sz w:val="18"/>
          <w:lang w:val="it-IT"/>
        </w:rPr>
        <w:t>I diritti di gestione ai sensi della copertura Software Assurance sulla licenza SMSE saranno determinati in base ai diritti applicabili alla licenza SMSE all’epoca del rinnovo.</w:t>
      </w:r>
      <w:r w:rsidRPr="00D87B79">
        <w:rPr>
          <w:rFonts w:ascii="Tahoma" w:hAnsi="Tahoma" w:cs="Tahoma"/>
        </w:rPr>
        <w:t xml:space="preserve"> </w:t>
      </w:r>
      <w:r w:rsidRPr="00D87B79">
        <w:rPr>
          <w:rFonts w:ascii="Tahoma" w:hAnsi="Tahoma" w:cs="Tahoma"/>
          <w:sz w:val="18"/>
          <w:lang w:val="it-IT"/>
        </w:rPr>
        <w:t>Rinnovando la licenza SMSE originale, la società perderà i diritti relativi alle quattro licenze SMSD gratuite.</w:t>
      </w:r>
    </w:p>
    <w:p w:rsidR="00A92422" w:rsidRPr="00D87B79" w:rsidRDefault="00A92422" w:rsidP="00A92422">
      <w:pPr>
        <w:pStyle w:val="FootnoteBulletLevel1"/>
        <w:numPr>
          <w:ilvl w:val="0"/>
          <w:numId w:val="70"/>
        </w:numPr>
        <w:tabs>
          <w:tab w:val="left" w:pos="720"/>
        </w:tabs>
        <w:spacing w:before="0" w:after="60"/>
        <w:ind w:left="1440"/>
        <w:rPr>
          <w:rFonts w:ascii="Tahoma" w:hAnsi="Tahoma" w:cs="Tahoma"/>
        </w:rPr>
      </w:pPr>
      <w:r w:rsidRPr="00D87B79">
        <w:rPr>
          <w:rFonts w:ascii="Tahoma" w:hAnsi="Tahoma" w:cs="Tahoma"/>
          <w:sz w:val="18"/>
          <w:lang w:val="it-IT"/>
        </w:rPr>
        <w:t>Le società potranno rinnovare la copertura sulle licenze SMSD gratuite.</w:t>
      </w:r>
    </w:p>
    <w:p w:rsidR="00A92422" w:rsidRPr="00D87B79" w:rsidRDefault="00A92422" w:rsidP="00A92422">
      <w:pPr>
        <w:pStyle w:val="FootnoteBulletLevel1"/>
        <w:numPr>
          <w:ilvl w:val="2"/>
          <w:numId w:val="71"/>
        </w:numPr>
        <w:tabs>
          <w:tab w:val="left" w:pos="720"/>
        </w:tabs>
        <w:spacing w:before="0" w:after="60"/>
        <w:ind w:left="1980"/>
        <w:rPr>
          <w:rFonts w:ascii="Tahoma" w:hAnsi="Tahoma" w:cs="Tahoma"/>
        </w:rPr>
      </w:pPr>
      <w:r w:rsidRPr="00D87B79">
        <w:rPr>
          <w:rFonts w:ascii="Tahoma" w:hAnsi="Tahoma" w:cs="Tahoma"/>
          <w:sz w:val="18"/>
          <w:lang w:val="it-IT"/>
        </w:rPr>
        <w:t>Le società potranno rinnovare la copertura per tutte le licenze SMSD del gruppo di quattro licenze SMSD gratuite concesse in virtù dell’offerta.</w:t>
      </w:r>
      <w:r w:rsidRPr="00D87B79">
        <w:rPr>
          <w:rFonts w:ascii="Tahoma" w:hAnsi="Tahoma" w:cs="Tahoma"/>
        </w:rPr>
        <w:t xml:space="preserve"> </w:t>
      </w:r>
      <w:r w:rsidRPr="00D87B79">
        <w:rPr>
          <w:rFonts w:ascii="Tahoma" w:hAnsi="Tahoma" w:cs="Tahoma"/>
          <w:sz w:val="18"/>
          <w:lang w:val="it-IT"/>
        </w:rPr>
        <w:t>Qualora si scelta questa opzione, il requisito dell’assegnazione del gruppo di quattro licenze a un unico dispositivo non ha più</w:t>
      </w:r>
      <w:r>
        <w:rPr>
          <w:rFonts w:ascii="Tahoma" w:hAnsi="Tahoma" w:cs="Tahoma"/>
          <w:sz w:val="18"/>
          <w:lang w:val="it-IT"/>
        </w:rPr>
        <w:t> </w:t>
      </w:r>
      <w:r w:rsidRPr="00D87B79">
        <w:rPr>
          <w:rFonts w:ascii="Tahoma" w:hAnsi="Tahoma" w:cs="Tahoma"/>
          <w:sz w:val="18"/>
          <w:lang w:val="it-IT"/>
        </w:rPr>
        <w:t>validità.</w:t>
      </w:r>
    </w:p>
    <w:p w:rsidR="00A92422" w:rsidRPr="00D87B79" w:rsidRDefault="00A92422" w:rsidP="00A92422">
      <w:pPr>
        <w:pStyle w:val="FootnoteBulletLevel1"/>
        <w:numPr>
          <w:ilvl w:val="2"/>
          <w:numId w:val="71"/>
        </w:numPr>
        <w:tabs>
          <w:tab w:val="left" w:pos="720"/>
        </w:tabs>
        <w:spacing w:before="0" w:after="60"/>
        <w:ind w:left="1980"/>
        <w:rPr>
          <w:rFonts w:ascii="Tahoma" w:hAnsi="Tahoma" w:cs="Tahoma"/>
        </w:rPr>
      </w:pPr>
      <w:r w:rsidRPr="00D87B79">
        <w:rPr>
          <w:rFonts w:ascii="Tahoma" w:hAnsi="Tahoma" w:cs="Tahoma"/>
          <w:sz w:val="18"/>
          <w:lang w:val="it-IT"/>
        </w:rPr>
        <w:t>Le società che rinnoveranno Software Assurance prima del 1 luglio 2011 potranno rinnovare la copertura su due licenze del gruppo di quattro licenze SMSD gratuite concesse ai sensi della presente offerta.</w:t>
      </w:r>
      <w:r w:rsidRPr="00D87B79">
        <w:rPr>
          <w:rFonts w:ascii="Tahoma" w:hAnsi="Tahoma" w:cs="Tahoma"/>
        </w:rPr>
        <w:t xml:space="preserve"> </w:t>
      </w:r>
      <w:r w:rsidRPr="00D87B79">
        <w:rPr>
          <w:rFonts w:ascii="Tahoma" w:hAnsi="Tahoma" w:cs="Tahoma"/>
          <w:sz w:val="18"/>
          <w:lang w:val="it-IT"/>
        </w:rPr>
        <w:t>In questo caso, rinnoveranno automaticamente la copertura per le quattro licenze SMSD dello stesso gruppo.</w:t>
      </w:r>
      <w:r w:rsidRPr="00D87B79">
        <w:rPr>
          <w:rFonts w:ascii="Tahoma" w:hAnsi="Tahoma" w:cs="Tahoma"/>
        </w:rPr>
        <w:t xml:space="preserve"> </w:t>
      </w:r>
      <w:r w:rsidRPr="00D87B79">
        <w:rPr>
          <w:rFonts w:ascii="Tahoma" w:hAnsi="Tahoma" w:cs="Tahoma"/>
          <w:sz w:val="18"/>
          <w:lang w:val="it-IT"/>
        </w:rPr>
        <w:t>Qualora si scelga questa opzione, il requisito dell’assegnazione del gruppo di quattro licenze a un unico dispositivo resterà valido anche dopo il rinnovo.</w:t>
      </w:r>
      <w:r w:rsidRPr="00D87B79">
        <w:rPr>
          <w:rFonts w:ascii="Tahoma" w:hAnsi="Tahoma" w:cs="Tahoma"/>
        </w:rPr>
        <w:t xml:space="preserve"> </w:t>
      </w:r>
      <w:r w:rsidRPr="00D87B79">
        <w:rPr>
          <w:rFonts w:ascii="Tahoma" w:hAnsi="Tahoma" w:cs="Tahoma"/>
          <w:sz w:val="18"/>
          <w:lang w:val="it-IT"/>
        </w:rPr>
        <w:t>In occasione del successivo rinnovo di Software Assurance, le società potranno rinnovare la copertura sulle licenze SMSD gratuite di ciascun gruppo di quattro licenze che occorreranno loro.</w:t>
      </w:r>
      <w:r w:rsidRPr="00D87B79">
        <w:rPr>
          <w:rFonts w:ascii="Tahoma" w:hAnsi="Tahoma" w:cs="Tahoma"/>
        </w:rPr>
        <w:t xml:space="preserve"> </w:t>
      </w:r>
      <w:r w:rsidRPr="00D87B79">
        <w:rPr>
          <w:rFonts w:ascii="Tahoma" w:hAnsi="Tahoma" w:cs="Tahoma"/>
          <w:sz w:val="18"/>
          <w:lang w:val="it-IT"/>
        </w:rPr>
        <w:t>In tale rinnovo successivo, diverso dal primo rinnovo, la copertura Software Assurance si estinguerà per qualsiasi licenza SMSD la cui copertura non sia stata rinnovata.</w:t>
      </w:r>
      <w:r w:rsidRPr="00D87B79">
        <w:rPr>
          <w:rFonts w:ascii="Tahoma" w:hAnsi="Tahoma" w:cs="Tahoma"/>
        </w:rPr>
        <w:t xml:space="preserve"> </w:t>
      </w:r>
      <w:r w:rsidRPr="00D87B79">
        <w:rPr>
          <w:rFonts w:ascii="Tahoma" w:hAnsi="Tahoma" w:cs="Tahoma"/>
          <w:sz w:val="18"/>
          <w:lang w:val="it-IT"/>
        </w:rPr>
        <w:t>Il requisito di assegnare un gruppo di quattro licenze SMSD gratuite a un unico dispositivo non si applicherà più in occasione del successivo rinnovo soltanto se verrà rinnovata la copertura per tutte e quattro le licenze SMSD.</w:t>
      </w:r>
    </w:p>
    <w:p w:rsidR="00A92422" w:rsidRDefault="00A92422" w:rsidP="00A92422">
      <w:pPr>
        <w:pStyle w:val="FootnoteBulletLevel1"/>
        <w:tabs>
          <w:tab w:val="clear" w:pos="900"/>
          <w:tab w:val="left" w:pos="720"/>
        </w:tabs>
        <w:spacing w:before="0" w:after="60"/>
        <w:rPr>
          <w:rFonts w:ascii="Tahoma" w:hAnsi="Tahoma" w:cs="Tahoma"/>
          <w:b/>
          <w:sz w:val="18"/>
          <w:lang w:val="it-IT"/>
        </w:rPr>
      </w:pPr>
    </w:p>
    <w:p w:rsidR="00A92422" w:rsidRPr="00D87B79" w:rsidRDefault="00A92422" w:rsidP="00A92422">
      <w:pPr>
        <w:pStyle w:val="FootnoteBulletLevel1"/>
        <w:tabs>
          <w:tab w:val="clear" w:pos="900"/>
          <w:tab w:val="left" w:pos="720"/>
        </w:tabs>
        <w:spacing w:before="0" w:after="60"/>
        <w:ind w:left="720" w:firstLine="0"/>
        <w:rPr>
          <w:rFonts w:ascii="Tahoma" w:hAnsi="Tahoma" w:cs="Tahoma"/>
        </w:rPr>
      </w:pPr>
      <w:r w:rsidRPr="00D87B79">
        <w:rPr>
          <w:rFonts w:ascii="Tahoma" w:hAnsi="Tahoma" w:cs="Tahoma"/>
          <w:b/>
          <w:sz w:val="18"/>
          <w:lang w:val="it-IT"/>
        </w:rPr>
        <w:t>Eliminazione del vincolo di dover assegnare ogni gruppo di licenze SMSD concesse a un unico</w:t>
      </w:r>
      <w:r>
        <w:rPr>
          <w:rFonts w:ascii="Tahoma" w:hAnsi="Tahoma" w:cs="Tahoma"/>
          <w:b/>
          <w:sz w:val="18"/>
          <w:lang w:val="it-IT"/>
        </w:rPr>
        <w:t> </w:t>
      </w:r>
      <w:r w:rsidRPr="00D87B79">
        <w:rPr>
          <w:rFonts w:ascii="Tahoma" w:hAnsi="Tahoma" w:cs="Tahoma"/>
          <w:b/>
          <w:sz w:val="18"/>
          <w:lang w:val="it-IT"/>
        </w:rPr>
        <w:t>dispositivo.</w:t>
      </w:r>
    </w:p>
    <w:p w:rsidR="00A92422" w:rsidRPr="00D87B79" w:rsidRDefault="00A92422" w:rsidP="00A92422">
      <w:pPr>
        <w:pStyle w:val="FootnoteBulletLevel1"/>
        <w:tabs>
          <w:tab w:val="clear" w:pos="900"/>
          <w:tab w:val="left" w:pos="720"/>
        </w:tabs>
        <w:spacing w:before="0" w:after="0"/>
        <w:ind w:left="720" w:firstLine="0"/>
        <w:rPr>
          <w:rFonts w:ascii="Tahoma" w:hAnsi="Tahoma" w:cs="Tahoma"/>
        </w:rPr>
      </w:pPr>
      <w:r w:rsidRPr="00D87B79">
        <w:rPr>
          <w:rFonts w:ascii="Tahoma" w:hAnsi="Tahoma" w:cs="Tahoma"/>
          <w:sz w:val="18"/>
          <w:lang w:val="it-IT"/>
        </w:rPr>
        <w:t>In qualunque momento precedente al primo rinnovo di Software Assurance, dopo la presente concessione, le società potranno eliminare il vincolo dell’assegnazione di ogni gruppo di licenze SMSD concesse a un unico dispositivo.</w:t>
      </w:r>
      <w:r w:rsidRPr="00D87B79">
        <w:rPr>
          <w:rFonts w:ascii="Tahoma" w:hAnsi="Tahoma" w:cs="Tahoma"/>
        </w:rPr>
        <w:t xml:space="preserve"> </w:t>
      </w:r>
      <w:r w:rsidRPr="00D87B79">
        <w:rPr>
          <w:rFonts w:ascii="Tahoma" w:hAnsi="Tahoma" w:cs="Tahoma"/>
          <w:sz w:val="18"/>
          <w:lang w:val="it-IT"/>
        </w:rPr>
        <w:t>A tale scopo, potranno acquistare la copertura Software Assurance per due licenze SMSD appartenenti a un dato gruppo di quattro licenze SMSD gratuite.</w:t>
      </w:r>
      <w:r w:rsidRPr="00D87B79">
        <w:rPr>
          <w:rFonts w:ascii="Tahoma" w:hAnsi="Tahoma" w:cs="Tahoma"/>
        </w:rPr>
        <w:t xml:space="preserve"> </w:t>
      </w:r>
    </w:p>
    <w:p w:rsidR="00A92422" w:rsidRPr="00D87B79" w:rsidRDefault="00A92422" w:rsidP="00A92422">
      <w:pPr>
        <w:pStyle w:val="FootnoteBulletLevel1"/>
        <w:tabs>
          <w:tab w:val="clear" w:pos="900"/>
          <w:tab w:val="left" w:pos="720"/>
        </w:tabs>
        <w:spacing w:before="0" w:after="0"/>
        <w:ind w:left="720" w:firstLine="0"/>
        <w:rPr>
          <w:rFonts w:ascii="Tahoma" w:hAnsi="Tahoma" w:cs="Tahoma"/>
        </w:rPr>
      </w:pPr>
    </w:p>
    <w:p w:rsidR="00A92422" w:rsidRPr="00D87B79" w:rsidRDefault="00A92422" w:rsidP="00A92422">
      <w:pPr>
        <w:pStyle w:val="FootnoteBulletLevel1"/>
        <w:tabs>
          <w:tab w:val="clear" w:pos="900"/>
          <w:tab w:val="left" w:pos="720"/>
        </w:tabs>
        <w:spacing w:before="0" w:after="0"/>
        <w:ind w:left="720" w:firstLine="0"/>
        <w:rPr>
          <w:rFonts w:ascii="Tahoma" w:hAnsi="Tahoma" w:cs="Tahoma"/>
        </w:rPr>
      </w:pPr>
      <w:r w:rsidRPr="00D87B79">
        <w:rPr>
          <w:rFonts w:ascii="Tahoma" w:hAnsi="Tahoma" w:cs="Tahoma"/>
          <w:sz w:val="18"/>
          <w:lang w:val="it-IT"/>
        </w:rPr>
        <w:t>Il diritto di utilizzo del software da parte della società ai sensi delle licenze SMSD gratuite è attestato dalla presente nota relativa alle condizioni del prodotto e dalla prova delle licenze qualificanti corrispondenti.</w:t>
      </w:r>
      <w:r w:rsidRPr="00D87B79">
        <w:rPr>
          <w:rFonts w:ascii="Tahoma" w:hAnsi="Tahoma" w:cs="Tahoma"/>
        </w:rPr>
        <w:t xml:space="preserve"> </w:t>
      </w:r>
      <w:r w:rsidRPr="00D87B79">
        <w:rPr>
          <w:rFonts w:ascii="Tahoma" w:hAnsi="Tahoma" w:cs="Tahoma"/>
          <w:sz w:val="18"/>
          <w:lang w:val="it-IT"/>
        </w:rPr>
        <w:t>L’utilizzo del software da parte della società ai sensi della presente offerta sarà soggetto alle condizioni del</w:t>
      </w:r>
      <w:r>
        <w:rPr>
          <w:rFonts w:ascii="Tahoma" w:hAnsi="Tahoma" w:cs="Tahoma"/>
          <w:sz w:val="18"/>
          <w:lang w:val="it-IT"/>
        </w:rPr>
        <w:t> </w:t>
      </w:r>
      <w:r w:rsidRPr="00D87B79">
        <w:rPr>
          <w:rFonts w:ascii="Tahoma" w:hAnsi="Tahoma" w:cs="Tahoma"/>
          <w:sz w:val="18"/>
          <w:lang w:val="it-IT"/>
        </w:rPr>
        <w:t>relativo contratto di licenza e ai diritti di utilizzo del prodotto relativi al software.</w:t>
      </w:r>
      <w:r w:rsidRPr="00D87B79">
        <w:rPr>
          <w:rFonts w:ascii="Tahoma" w:hAnsi="Tahoma" w:cs="Tahoma"/>
        </w:rPr>
        <w:t xml:space="preserve"> </w:t>
      </w:r>
      <w:r w:rsidRPr="00D87B79">
        <w:rPr>
          <w:rFonts w:ascii="Tahoma" w:hAnsi="Tahoma" w:cs="Tahoma"/>
          <w:sz w:val="18"/>
          <w:lang w:val="it-IT"/>
        </w:rPr>
        <w:t>Il diritto di utilizzo del</w:t>
      </w:r>
      <w:r>
        <w:rPr>
          <w:rFonts w:ascii="Tahoma" w:hAnsi="Tahoma" w:cs="Tahoma"/>
          <w:sz w:val="18"/>
          <w:lang w:val="it-IT"/>
        </w:rPr>
        <w:t> </w:t>
      </w:r>
      <w:r w:rsidRPr="00D87B79">
        <w:rPr>
          <w:rFonts w:ascii="Tahoma" w:hAnsi="Tahoma" w:cs="Tahoma"/>
          <w:sz w:val="18"/>
          <w:lang w:val="it-IT"/>
        </w:rPr>
        <w:t>software ai sensi delle licenze gratuite scadrà alla scadenza del diritto di utilizzo del software ai sensi delle licenze qualificanti.</w:t>
      </w:r>
      <w:r w:rsidRPr="00D87B79">
        <w:rPr>
          <w:rFonts w:ascii="Tahoma" w:hAnsi="Tahoma" w:cs="Tahoma"/>
        </w:rPr>
        <w:t xml:space="preserve"> </w:t>
      </w:r>
      <w:r w:rsidRPr="00D87B79">
        <w:rPr>
          <w:rFonts w:ascii="Tahoma" w:hAnsi="Tahoma" w:cs="Tahoma"/>
          <w:sz w:val="18"/>
          <w:lang w:val="it-IT"/>
        </w:rPr>
        <w:t>Le società non potranno trasferire le licenze concesse in virtù della presente offerta</w:t>
      </w:r>
      <w:r>
        <w:rPr>
          <w:rFonts w:ascii="Tahoma" w:hAnsi="Tahoma" w:cs="Tahoma"/>
          <w:sz w:val="18"/>
          <w:lang w:val="it-IT"/>
        </w:rPr>
        <w:t> </w:t>
      </w:r>
      <w:r w:rsidRPr="00D87B79">
        <w:rPr>
          <w:rFonts w:ascii="Tahoma" w:hAnsi="Tahoma" w:cs="Tahoma"/>
          <w:sz w:val="18"/>
          <w:lang w:val="it-IT"/>
        </w:rPr>
        <w:t>separatamente dalle licenze qualificanti corrispondenti.</w:t>
      </w:r>
    </w:p>
    <w:p w:rsidR="00A92422" w:rsidRPr="00D87B79" w:rsidRDefault="00A92422" w:rsidP="00A92422">
      <w:pPr>
        <w:pStyle w:val="FootnoteBulletLevel1"/>
        <w:tabs>
          <w:tab w:val="clear" w:pos="900"/>
          <w:tab w:val="left" w:pos="720"/>
        </w:tabs>
        <w:spacing w:before="0" w:after="0"/>
        <w:ind w:left="720" w:firstLine="0"/>
        <w:rPr>
          <w:rFonts w:ascii="Tahoma" w:hAnsi="Tahoma" w:cs="Tahoma"/>
        </w:rPr>
      </w:pPr>
    </w:p>
    <w:p w:rsidR="00A92422" w:rsidRPr="00D87B79" w:rsidRDefault="00A92422" w:rsidP="00A92422">
      <w:pPr>
        <w:pStyle w:val="FootnoteBulletLevel1"/>
        <w:tabs>
          <w:tab w:val="clear" w:pos="900"/>
          <w:tab w:val="left" w:pos="720"/>
        </w:tabs>
        <w:spacing w:before="0" w:after="0"/>
        <w:ind w:left="720" w:firstLine="0"/>
        <w:rPr>
          <w:rFonts w:ascii="Tahoma" w:hAnsi="Tahoma" w:cs="Tahoma"/>
        </w:rPr>
      </w:pPr>
      <w:r>
        <w:rPr>
          <w:rFonts w:ascii="Tahoma" w:hAnsi="Tahoma" w:cs="Tahoma"/>
          <w:sz w:val="18"/>
          <w:lang w:val="it-IT"/>
        </w:rPr>
        <w:t>*</w:t>
      </w:r>
      <w:r w:rsidRPr="00D87B79">
        <w:rPr>
          <w:rFonts w:ascii="Tahoma" w:hAnsi="Tahoma" w:cs="Tahoma"/>
          <w:sz w:val="18"/>
          <w:lang w:val="it-IT"/>
        </w:rPr>
        <w:t>Le modifiche alla concessione delle licenze SMSE si applicheranno a System Center Operations Manager 2007 R2 e alle nuove versioni degli altri prodotti inclusi in System Center Server Management Suite Enterprise (ad esempio System Center Virtual Machine Manager 2008 R2).</w:t>
      </w:r>
    </w:p>
    <w:p w:rsidR="00A92422" w:rsidRPr="00EA1CB3" w:rsidRDefault="00A92422" w:rsidP="00A92422">
      <w:pPr>
        <w:pStyle w:val="FootnoteBulletLevel1"/>
        <w:tabs>
          <w:tab w:val="clear" w:pos="900"/>
          <w:tab w:val="left" w:pos="720"/>
        </w:tabs>
        <w:spacing w:before="0" w:after="0"/>
        <w:rPr>
          <w:rFonts w:ascii="Tahoma" w:hAnsi="Tahoma" w:cs="Tahoma"/>
          <w:sz w:val="18"/>
          <w:szCs w:val="18"/>
        </w:rPr>
      </w:pPr>
    </w:p>
    <w:p w:rsidR="00A92422" w:rsidRPr="00EA1CB3" w:rsidRDefault="00A92422" w:rsidP="00A92422">
      <w:pPr>
        <w:pStyle w:val="FootnoteBulletLevel1"/>
        <w:tabs>
          <w:tab w:val="clear" w:pos="900"/>
          <w:tab w:val="left" w:pos="720"/>
        </w:tabs>
        <w:spacing w:before="0" w:after="0"/>
        <w:rPr>
          <w:rFonts w:ascii="Tahoma" w:hAnsi="Tahoma" w:cs="Tahoma"/>
          <w:sz w:val="18"/>
          <w:szCs w:val="18"/>
        </w:rPr>
      </w:pPr>
    </w:p>
    <w:p w:rsidR="00A92422" w:rsidRPr="00D87B79" w:rsidRDefault="00A92422" w:rsidP="00A92422">
      <w:pPr>
        <w:pStyle w:val="Heading3"/>
        <w:rPr>
          <w:rFonts w:ascii="Tahoma" w:hAnsi="Tahoma" w:cs="Tahoma"/>
        </w:rPr>
      </w:pPr>
      <w:bookmarkStart w:id="1498" w:name="_86_System_Center"/>
      <w:bookmarkStart w:id="1499" w:name="_Toc336338355"/>
      <w:bookmarkStart w:id="1500" w:name="Srv_90SysCtrSvrMgmtSuiteDatacenter"/>
      <w:bookmarkStart w:id="1501" w:name="_87_System_Center"/>
      <w:bookmarkStart w:id="1502" w:name="_Toc342900397"/>
      <w:bookmarkEnd w:id="1498"/>
      <w:bookmarkEnd w:id="1499"/>
      <w:bookmarkEnd w:id="1500"/>
      <w:bookmarkEnd w:id="1501"/>
      <w:r w:rsidRPr="00D87B79">
        <w:rPr>
          <w:rFonts w:ascii="Tahoma" w:hAnsi="Tahoma" w:cs="Tahoma"/>
          <w:caps/>
          <w:color w:val="FF7415"/>
          <w:sz w:val="22"/>
          <w:vertAlign w:val="superscript"/>
          <w:lang w:val="it-IT"/>
        </w:rPr>
        <w:t>87</w:t>
      </w:r>
      <w:r w:rsidRPr="00CF77FE">
        <w:rPr>
          <w:rFonts w:ascii="Tahoma" w:hAnsi="Tahoma" w:cs="Tahoma"/>
          <w:caps/>
          <w:color w:val="FF7415"/>
          <w:sz w:val="22"/>
          <w:lang w:val="it-IT"/>
        </w:rPr>
        <w:t xml:space="preserve"> </w:t>
      </w:r>
      <w:r w:rsidRPr="00D87B79">
        <w:rPr>
          <w:rFonts w:ascii="Tahoma" w:hAnsi="Tahoma" w:cs="Tahoma"/>
          <w:color w:val="FF7415"/>
          <w:sz w:val="22"/>
          <w:lang w:val="it-IT"/>
        </w:rPr>
        <w:t>System Center Server Management Suite Datacenter</w:t>
      </w:r>
      <w:bookmarkEnd w:id="1502"/>
    </w:p>
    <w:p w:rsidR="00A92422" w:rsidRPr="00D87B79" w:rsidRDefault="00A92422" w:rsidP="00A92422">
      <w:pPr>
        <w:ind w:left="360"/>
        <w:rPr>
          <w:rFonts w:cs="Tahoma"/>
        </w:rPr>
      </w:pPr>
    </w:p>
    <w:p w:rsidR="00A92422" w:rsidRPr="00D87B79" w:rsidRDefault="00A92422" w:rsidP="00A92422">
      <w:pPr>
        <w:pStyle w:val="EndnoteText"/>
        <w:ind w:left="720"/>
        <w:rPr>
          <w:rFonts w:ascii="Tahoma" w:hAnsi="Tahoma" w:cs="Tahoma"/>
        </w:rPr>
      </w:pPr>
      <w:r w:rsidRPr="00D87B79">
        <w:rPr>
          <w:rFonts w:ascii="Tahoma" w:hAnsi="Tahoma" w:cs="Tahoma"/>
          <w:color w:val="000000"/>
          <w:sz w:val="18"/>
          <w:lang w:val="it-IT"/>
        </w:rPr>
        <w:t>Prodotto End-Of-Life (EOL) che non verrà più offerto.</w:t>
      </w:r>
      <w:r w:rsidRPr="00D87B79">
        <w:rPr>
          <w:rFonts w:ascii="Tahoma" w:hAnsi="Tahoma" w:cs="Tahoma"/>
        </w:rPr>
        <w:t xml:space="preserve"> </w:t>
      </w:r>
    </w:p>
    <w:p w:rsidR="00A92422" w:rsidRPr="00EA1CB3" w:rsidRDefault="00A92422" w:rsidP="00A92422">
      <w:pPr>
        <w:pStyle w:val="EndnoteText"/>
        <w:ind w:left="720"/>
        <w:rPr>
          <w:rFonts w:ascii="Tahoma" w:hAnsi="Tahoma" w:cs="Tahoma"/>
          <w:sz w:val="18"/>
          <w:szCs w:val="18"/>
        </w:rPr>
      </w:pPr>
    </w:p>
    <w:p w:rsidR="00A92422" w:rsidRPr="00D87B79" w:rsidRDefault="00A92422" w:rsidP="00A92422">
      <w:pPr>
        <w:pStyle w:val="FootnoteBulletLevel1"/>
        <w:tabs>
          <w:tab w:val="clear" w:pos="900"/>
        </w:tabs>
        <w:spacing w:before="0" w:after="60"/>
        <w:ind w:left="720" w:firstLine="0"/>
        <w:rPr>
          <w:rFonts w:ascii="Tahoma" w:hAnsi="Tahoma" w:cs="Tahoma"/>
        </w:rPr>
      </w:pPr>
      <w:r w:rsidRPr="00D87B79">
        <w:rPr>
          <w:rFonts w:ascii="Tahoma" w:hAnsi="Tahoma" w:cs="Tahoma"/>
          <w:b/>
          <w:sz w:val="18"/>
          <w:lang w:val="it-IT"/>
        </w:rPr>
        <w:t>Dettagli relativi alla Concessione di una Licenza Transitoria Una Tantum per System Center</w:t>
      </w:r>
      <w:r>
        <w:rPr>
          <w:rFonts w:ascii="Tahoma" w:hAnsi="Tahoma" w:cs="Tahoma"/>
          <w:b/>
          <w:sz w:val="18"/>
          <w:lang w:val="it-IT"/>
        </w:rPr>
        <w:t> </w:t>
      </w:r>
      <w:r w:rsidRPr="00D87B79">
        <w:rPr>
          <w:rFonts w:ascii="Tahoma" w:hAnsi="Tahoma" w:cs="Tahoma"/>
          <w:b/>
          <w:sz w:val="18"/>
          <w:lang w:val="it-IT"/>
        </w:rPr>
        <w:t>2012</w:t>
      </w:r>
    </w:p>
    <w:p w:rsidR="00A92422" w:rsidRPr="00D87B79" w:rsidRDefault="00A92422" w:rsidP="00A92422">
      <w:pPr>
        <w:ind w:left="720"/>
        <w:rPr>
          <w:rFonts w:cs="Tahoma"/>
        </w:rPr>
      </w:pPr>
      <w:r w:rsidRPr="00D87B79">
        <w:rPr>
          <w:rFonts w:cs="Tahoma"/>
          <w:lang w:val="it-IT"/>
        </w:rPr>
        <w:t>Per dettagli sulle concessioni di licenze transitorie, fare riferimento alla nota relativa al prodotto presente nelle offerte di System Center 2012.</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lang w:val="it-IT"/>
        </w:rPr>
        <w:t>System Center Server Management Suite Datacenter non dispone di versioni e i diritti di utilizzo del prodotto sono determinati dallo stato della copertura Software Assurance per System Center Server Management Suite Datacenter. Qualora la copertura sia scaduta, i diritti di accesso attribuiti da licenze perpetue sono determinati sulla base dei diritti di utilizzo del prodotto in vigore prima della scadenza della copertura.</w:t>
      </w:r>
      <w:r w:rsidRPr="00D87B79">
        <w:rPr>
          <w:rFonts w:cs="Tahoma"/>
        </w:rPr>
        <w:t xml:space="preserve"> </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color w:val="000000"/>
          <w:lang w:val="it-IT"/>
        </w:rPr>
        <w:lastRenderedPageBreak/>
        <w:t>Al 1 novembre 2010 una licenza per System Center Server Management Suite Datacenter con copertura Software Assurance attiva fornisce i diritti di gestione server per le licenze di gestione server per System Center Enterprise relativamente a Operations Manager 2007 R2, Configuration Manager 2007 R3, Data Protection Manager 2010, Service Manager 2010 e Virtual Machine Manager 2008 R2.</w:t>
      </w:r>
      <w:r w:rsidRPr="00D87B79">
        <w:rPr>
          <w:rFonts w:cs="Tahoma"/>
        </w:rPr>
        <w:t xml:space="preserve"> </w:t>
      </w:r>
      <w:r w:rsidRPr="00D87B79">
        <w:rPr>
          <w:rFonts w:cs="Tahoma"/>
          <w:color w:val="000000"/>
          <w:lang w:val="it-IT"/>
        </w:rPr>
        <w:t>Inoltre, è inclusa anche la licenza server per Virtual Machine Manager 2008 R2 e Data Protection Manager 2010.</w:t>
      </w:r>
      <w:r w:rsidRPr="00D87B79">
        <w:rPr>
          <w:rFonts w:cs="Tahoma"/>
        </w:rPr>
        <w:t xml:space="preserve"> </w:t>
      </w:r>
      <w:r w:rsidRPr="00D87B79">
        <w:rPr>
          <w:rFonts w:cs="Tahoma"/>
          <w:color w:val="000000"/>
          <w:lang w:val="it-IT"/>
        </w:rPr>
        <w:t>La società dovrà riesaminare il documento PUR per verificare i diritti sull’utilizzo.</w:t>
      </w:r>
    </w:p>
    <w:p w:rsidR="00A92422" w:rsidRPr="00D87B79" w:rsidRDefault="00A92422" w:rsidP="00A92422">
      <w:pPr>
        <w:rPr>
          <w:rFonts w:cs="Tahoma"/>
        </w:rPr>
      </w:pPr>
      <w:bookmarkStart w:id="1503" w:name="_90_System_Center"/>
      <w:bookmarkEnd w:id="1503"/>
    </w:p>
    <w:p w:rsidR="00A92422" w:rsidRPr="00D87B79" w:rsidRDefault="00A92422" w:rsidP="00A92422">
      <w:pPr>
        <w:rPr>
          <w:rFonts w:cs="Tahoma"/>
        </w:rPr>
      </w:pPr>
    </w:p>
    <w:p w:rsidR="00A92422" w:rsidRPr="00D87B79" w:rsidRDefault="00A92422" w:rsidP="00A92422">
      <w:pPr>
        <w:pStyle w:val="Heading3"/>
        <w:ind w:left="261" w:hanging="261"/>
        <w:rPr>
          <w:rFonts w:ascii="Tahoma" w:hAnsi="Tahoma" w:cs="Tahoma"/>
        </w:rPr>
      </w:pPr>
      <w:bookmarkStart w:id="1504" w:name="_Toc336338356"/>
      <w:bookmarkStart w:id="1505" w:name="Srv_99SystemCtrServiceMgr2010"/>
      <w:bookmarkStart w:id="1506" w:name="Srv_92TechNetPlusSingleUser"/>
      <w:bookmarkStart w:id="1507" w:name="_88_Licenze_di"/>
      <w:bookmarkStart w:id="1508" w:name="_Toc342900398"/>
      <w:bookmarkEnd w:id="1504"/>
      <w:bookmarkEnd w:id="1505"/>
      <w:bookmarkEnd w:id="1506"/>
      <w:bookmarkEnd w:id="1507"/>
      <w:r w:rsidRPr="00D87B79">
        <w:rPr>
          <w:rFonts w:ascii="Tahoma" w:hAnsi="Tahoma" w:cs="Tahoma"/>
          <w:caps/>
          <w:color w:val="FF6F0D"/>
          <w:sz w:val="22"/>
          <w:vertAlign w:val="superscript"/>
          <w:lang w:val="it-IT"/>
        </w:rPr>
        <w:t>88</w:t>
      </w:r>
      <w:r w:rsidRPr="00D87B79">
        <w:rPr>
          <w:rFonts w:ascii="Tahoma" w:hAnsi="Tahoma" w:cs="Tahoma"/>
          <w:color w:val="FF6F0D"/>
          <w:sz w:val="22"/>
          <w:lang w:val="it-IT"/>
        </w:rPr>
        <w:t xml:space="preserve"> Licenze di Gestione Server, Gestione Client e Server di Gestione per System Center Service Manager 2010</w:t>
      </w:r>
      <w:bookmarkEnd w:id="1508"/>
    </w:p>
    <w:p w:rsidR="00A92422" w:rsidRPr="00D87B79" w:rsidRDefault="00A92422" w:rsidP="00A92422">
      <w:pPr>
        <w:rPr>
          <w:rFonts w:cs="Tahoma"/>
        </w:rPr>
      </w:pPr>
    </w:p>
    <w:p w:rsidR="00A92422" w:rsidRPr="00D87B79" w:rsidRDefault="00A92422" w:rsidP="00A92422">
      <w:pPr>
        <w:ind w:left="720"/>
        <w:rPr>
          <w:rFonts w:cs="Tahoma"/>
        </w:rPr>
      </w:pPr>
      <w:r w:rsidRPr="00D87B79">
        <w:rPr>
          <w:rFonts w:cs="Tahoma"/>
          <w:lang w:val="it-IT"/>
        </w:rPr>
        <w:t>Prodotti End-Of-Life (EOL) che non verranno più offerti.</w:t>
      </w:r>
    </w:p>
    <w:p w:rsidR="00A92422" w:rsidRPr="00D87B79" w:rsidRDefault="00A92422" w:rsidP="00A92422">
      <w:pPr>
        <w:ind w:left="720"/>
        <w:rPr>
          <w:rFonts w:cs="Tahoma"/>
        </w:rPr>
      </w:pPr>
    </w:p>
    <w:p w:rsidR="00A92422" w:rsidRPr="00D87B79" w:rsidRDefault="00A92422" w:rsidP="00A92422">
      <w:pPr>
        <w:adjustRightInd w:val="0"/>
        <w:spacing w:after="60"/>
        <w:ind w:left="720"/>
        <w:textAlignment w:val="baseline"/>
        <w:rPr>
          <w:rFonts w:cs="Tahoma"/>
        </w:rPr>
      </w:pPr>
      <w:r w:rsidRPr="00D87B79">
        <w:rPr>
          <w:rFonts w:cs="Tahoma"/>
          <w:b/>
          <w:lang w:val="it-IT"/>
        </w:rPr>
        <w:t>Dettagli relativi alla Concessione di una Licenza Transitoria Una Tantum per System Center</w:t>
      </w:r>
      <w:r>
        <w:rPr>
          <w:rFonts w:cs="Tahoma"/>
          <w:b/>
          <w:lang w:val="it-IT"/>
        </w:rPr>
        <w:t> </w:t>
      </w:r>
      <w:r w:rsidRPr="00D87B79">
        <w:rPr>
          <w:rFonts w:cs="Tahoma"/>
          <w:b/>
          <w:lang w:val="it-IT"/>
        </w:rPr>
        <w:t>2012</w:t>
      </w:r>
    </w:p>
    <w:p w:rsidR="00A92422" w:rsidRPr="00D87B79" w:rsidRDefault="00A92422" w:rsidP="00A92422">
      <w:pPr>
        <w:ind w:left="720"/>
        <w:rPr>
          <w:rFonts w:cs="Tahoma"/>
        </w:rPr>
      </w:pPr>
      <w:r w:rsidRPr="00D87B79">
        <w:rPr>
          <w:rFonts w:cs="Tahoma"/>
          <w:lang w:val="it-IT"/>
        </w:rPr>
        <w:t>Per dettagli sulle concessioni di licenze transitorie, fare riferimento alla nota relativa al prodotto presente nelle offerte di System Center 2012.</w:t>
      </w:r>
    </w:p>
    <w:p w:rsidR="00A92422" w:rsidRDefault="00A92422" w:rsidP="00A92422">
      <w:pPr>
        <w:rPr>
          <w:rFonts w:cs="Tahoma"/>
        </w:rPr>
      </w:pPr>
    </w:p>
    <w:p w:rsidR="00A92422" w:rsidRPr="00D87B79" w:rsidRDefault="00A92422" w:rsidP="00A92422">
      <w:pPr>
        <w:rPr>
          <w:rFonts w:cs="Tahoma"/>
        </w:rPr>
      </w:pPr>
    </w:p>
    <w:p w:rsidR="00A92422" w:rsidRPr="00D87B79" w:rsidRDefault="00A92422" w:rsidP="00A92422">
      <w:pPr>
        <w:pStyle w:val="Heading3"/>
        <w:ind w:left="261" w:hanging="261"/>
        <w:rPr>
          <w:rFonts w:ascii="Tahoma" w:hAnsi="Tahoma" w:cs="Tahoma"/>
        </w:rPr>
      </w:pPr>
      <w:bookmarkStart w:id="1509" w:name="_Toc336338357"/>
      <w:bookmarkStart w:id="1510" w:name="Srv_100SysCenterVMM2008R2"/>
      <w:bookmarkStart w:id="1511" w:name="_89_Licenze_di"/>
      <w:bookmarkStart w:id="1512" w:name="_Toc342900399"/>
      <w:bookmarkEnd w:id="1509"/>
      <w:bookmarkEnd w:id="1510"/>
      <w:bookmarkEnd w:id="1511"/>
      <w:r w:rsidRPr="00D87B79">
        <w:rPr>
          <w:rFonts w:ascii="Tahoma" w:hAnsi="Tahoma" w:cs="Tahoma"/>
          <w:caps/>
          <w:color w:val="FF6F0D"/>
          <w:sz w:val="22"/>
          <w:vertAlign w:val="superscript"/>
          <w:lang w:val="it-IT"/>
        </w:rPr>
        <w:t>89</w:t>
      </w:r>
      <w:r w:rsidRPr="00D87B79">
        <w:rPr>
          <w:rFonts w:ascii="Tahoma" w:hAnsi="Tahoma" w:cs="Tahoma"/>
          <w:color w:val="FF6F0D"/>
          <w:sz w:val="22"/>
          <w:lang w:val="it-IT"/>
        </w:rPr>
        <w:t xml:space="preserve"> Licenze di Gestione Server e Client per System Center Virtual Machine Manager</w:t>
      </w:r>
      <w:r>
        <w:rPr>
          <w:rFonts w:ascii="Tahoma" w:hAnsi="Tahoma" w:cs="Tahoma"/>
          <w:color w:val="FF6F0D"/>
          <w:sz w:val="22"/>
          <w:lang w:val="it-IT"/>
        </w:rPr>
        <w:t> </w:t>
      </w:r>
      <w:r w:rsidRPr="00D87B79">
        <w:rPr>
          <w:rFonts w:ascii="Tahoma" w:hAnsi="Tahoma" w:cs="Tahoma"/>
          <w:color w:val="FF6F0D"/>
          <w:sz w:val="22"/>
          <w:lang w:val="it-IT"/>
        </w:rPr>
        <w:t>2008 R2</w:t>
      </w:r>
      <w:bookmarkEnd w:id="1512"/>
    </w:p>
    <w:p w:rsidR="00A92422" w:rsidRPr="00D87B79" w:rsidRDefault="00A92422" w:rsidP="00A92422">
      <w:pPr>
        <w:rPr>
          <w:rFonts w:cs="Tahoma"/>
        </w:rPr>
      </w:pPr>
    </w:p>
    <w:p w:rsidR="00A92422" w:rsidRPr="00D87B79" w:rsidRDefault="00A92422" w:rsidP="00A92422">
      <w:pPr>
        <w:ind w:left="720"/>
        <w:rPr>
          <w:rFonts w:cs="Tahoma"/>
        </w:rPr>
      </w:pPr>
      <w:r w:rsidRPr="00D87B79">
        <w:rPr>
          <w:rFonts w:cs="Tahoma"/>
          <w:lang w:val="it-IT"/>
        </w:rPr>
        <w:t>Prodotti End-Of-Life (EOL) che non verranno più offerti.</w:t>
      </w:r>
    </w:p>
    <w:p w:rsidR="00A92422" w:rsidRPr="00D87B79" w:rsidRDefault="00A92422" w:rsidP="00A92422">
      <w:pPr>
        <w:ind w:left="720"/>
        <w:rPr>
          <w:rFonts w:cs="Tahoma"/>
        </w:rPr>
      </w:pPr>
    </w:p>
    <w:p w:rsidR="00A92422" w:rsidRPr="00D87B79" w:rsidRDefault="00A92422" w:rsidP="00A92422">
      <w:pPr>
        <w:adjustRightInd w:val="0"/>
        <w:spacing w:after="60"/>
        <w:ind w:left="720"/>
        <w:textAlignment w:val="baseline"/>
        <w:rPr>
          <w:rFonts w:cs="Tahoma"/>
        </w:rPr>
      </w:pPr>
      <w:r w:rsidRPr="00D87B79">
        <w:rPr>
          <w:rFonts w:cs="Tahoma"/>
          <w:b/>
          <w:lang w:val="it-IT"/>
        </w:rPr>
        <w:t>Dettagli relativi alla Concessione di una Licenza Transitoria Una Tantum per System Center</w:t>
      </w:r>
      <w:r>
        <w:rPr>
          <w:rFonts w:cs="Tahoma"/>
          <w:b/>
          <w:lang w:val="it-IT"/>
        </w:rPr>
        <w:t> </w:t>
      </w:r>
      <w:r w:rsidRPr="00D87B79">
        <w:rPr>
          <w:rFonts w:cs="Tahoma"/>
          <w:b/>
          <w:lang w:val="it-IT"/>
        </w:rPr>
        <w:t>2012</w:t>
      </w:r>
    </w:p>
    <w:p w:rsidR="00A92422" w:rsidRPr="00D87B79" w:rsidRDefault="00A92422" w:rsidP="00A92422">
      <w:pPr>
        <w:ind w:left="720"/>
        <w:rPr>
          <w:rFonts w:cs="Tahoma"/>
        </w:rPr>
      </w:pPr>
      <w:bookmarkStart w:id="1513" w:name="_Toc336338358"/>
      <w:r w:rsidRPr="00D87B79">
        <w:rPr>
          <w:rFonts w:cs="Tahoma"/>
          <w:lang w:val="it-IT"/>
        </w:rPr>
        <w:t>Per dettagli sulle concessioni di licenze transitorie, fare riferimento alla nota relativa al prodotto presente nelle offerte di System Center 2012.</w:t>
      </w:r>
    </w:p>
    <w:p w:rsidR="00A92422" w:rsidRPr="00D87B79" w:rsidRDefault="00A92422" w:rsidP="00A92422">
      <w:pPr>
        <w:rPr>
          <w:rFonts w:cs="Tahoma"/>
        </w:rPr>
      </w:pPr>
    </w:p>
    <w:p w:rsidR="00A92422" w:rsidRPr="00D87B79" w:rsidRDefault="00A92422" w:rsidP="00A92422">
      <w:pPr>
        <w:rPr>
          <w:rFonts w:cs="Tahoma"/>
        </w:rPr>
      </w:pPr>
    </w:p>
    <w:p w:rsidR="00A92422" w:rsidRPr="00D87B79" w:rsidRDefault="00A92422" w:rsidP="00A92422">
      <w:pPr>
        <w:pStyle w:val="Heading3"/>
        <w:rPr>
          <w:rFonts w:ascii="Tahoma" w:hAnsi="Tahoma" w:cs="Tahoma"/>
        </w:rPr>
      </w:pPr>
      <w:bookmarkStart w:id="1514" w:name="Srv_101SystemCenter2012"/>
      <w:bookmarkStart w:id="1515" w:name="_Toc342900400"/>
      <w:bookmarkEnd w:id="1513"/>
      <w:bookmarkEnd w:id="1514"/>
      <w:r w:rsidRPr="00D87B79">
        <w:rPr>
          <w:rFonts w:ascii="Tahoma" w:hAnsi="Tahoma" w:cs="Tahoma"/>
          <w:caps/>
          <w:color w:val="FF6F0D"/>
          <w:sz w:val="22"/>
          <w:vertAlign w:val="superscript"/>
          <w:lang w:val="it-IT"/>
        </w:rPr>
        <w:t>90</w:t>
      </w:r>
      <w:r w:rsidRPr="00D87B79">
        <w:rPr>
          <w:rFonts w:ascii="Tahoma" w:hAnsi="Tahoma" w:cs="Tahoma"/>
          <w:color w:val="FF6F0D"/>
          <w:sz w:val="22"/>
          <w:lang w:val="it-IT"/>
        </w:rPr>
        <w:t xml:space="preserve"> System Center 2012</w:t>
      </w:r>
      <w:bookmarkEnd w:id="1515"/>
    </w:p>
    <w:p w:rsidR="00A92422" w:rsidRPr="00D87B79" w:rsidRDefault="00A92422" w:rsidP="00A92422">
      <w:pPr>
        <w:rPr>
          <w:rFonts w:cs="Tahoma"/>
        </w:rPr>
      </w:pPr>
    </w:p>
    <w:p w:rsidR="00A92422" w:rsidRPr="00D87B79" w:rsidRDefault="00A92422" w:rsidP="00A92422">
      <w:pPr>
        <w:ind w:left="720"/>
        <w:rPr>
          <w:rFonts w:cs="Tahoma"/>
        </w:rPr>
      </w:pPr>
      <w:r w:rsidRPr="00D87B79">
        <w:rPr>
          <w:rFonts w:cs="Tahoma"/>
          <w:color w:val="000000"/>
          <w:szCs w:val="24"/>
          <w:lang w:val="it-IT"/>
        </w:rPr>
        <w:t>Le ultime versioni di System Center Data Protection Manager 2010, System Center Operations Manager 2008 R2, System Center Service Manager 2010 e System Center Virtual Machine Manager 2008 R2 non saranno disponibili.</w:t>
      </w:r>
      <w:r w:rsidRPr="00D87B79">
        <w:rPr>
          <w:rFonts w:cs="Tahoma"/>
          <w:color w:val="000000"/>
          <w:szCs w:val="24"/>
        </w:rPr>
        <w:t xml:space="preserve"> </w:t>
      </w:r>
      <w:r w:rsidRPr="00D87B79">
        <w:rPr>
          <w:rFonts w:cs="Tahoma"/>
          <w:color w:val="000000"/>
          <w:szCs w:val="24"/>
          <w:lang w:val="it-IT"/>
        </w:rPr>
        <w:t>Analogamente, le ultime versioni di System Center Configuration Manager 2007 R3 non</w:t>
      </w:r>
      <w:r>
        <w:rPr>
          <w:rFonts w:cs="Tahoma"/>
          <w:color w:val="000000"/>
          <w:szCs w:val="24"/>
          <w:lang w:val="it-IT"/>
        </w:rPr>
        <w:t> </w:t>
      </w:r>
      <w:r w:rsidRPr="00D87B79">
        <w:rPr>
          <w:rFonts w:cs="Tahoma"/>
          <w:color w:val="000000"/>
          <w:szCs w:val="24"/>
          <w:lang w:val="it-IT"/>
        </w:rPr>
        <w:t>saranno disponibili ai sensi di licenze per il software separate né di licenze di gestione server.</w:t>
      </w:r>
      <w:r w:rsidRPr="00D87B79">
        <w:rPr>
          <w:rFonts w:cs="Tahoma"/>
        </w:rPr>
        <w:t xml:space="preserve"> </w:t>
      </w:r>
      <w:r w:rsidRPr="00D87B79">
        <w:rPr>
          <w:rFonts w:cs="Tahoma"/>
          <w:color w:val="000000"/>
          <w:lang w:val="it-IT"/>
        </w:rPr>
        <w:t>In via eccezionale, in caso di disponibilità di System Center 2012 alle società con Software Assurance attiva che sono stati titolari di una copertura sul software e di licenze di gestione per questi prodotti in data 1 aprile 2012 verranno fornite le licenze per effettuare l’aggiornamento al software Systems Center 2012 e per utilizzarlo al posto dei prodotti che seguono.</w:t>
      </w:r>
    </w:p>
    <w:p w:rsidR="00A92422" w:rsidRPr="00D87B79" w:rsidRDefault="00A92422" w:rsidP="00A92422">
      <w:pPr>
        <w:ind w:left="900"/>
        <w:rPr>
          <w:rFonts w:cs="Tahoma"/>
        </w:rPr>
      </w:pPr>
    </w:p>
    <w:p w:rsidR="00A92422" w:rsidRPr="00D87B79" w:rsidRDefault="00A92422" w:rsidP="00A92422">
      <w:pPr>
        <w:ind w:left="900"/>
        <w:rPr>
          <w:rFonts w:cs="Tahoma"/>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A92422" w:rsidRPr="00D87B79" w:rsidTr="00EA30FC">
        <w:trPr>
          <w:tblHeader/>
        </w:trPr>
        <w:tc>
          <w:tcPr>
            <w:tcW w:w="3960" w:type="dxa"/>
            <w:tcBorders>
              <w:top w:val="single" w:sz="4" w:space="0" w:color="000000"/>
            </w:tcBorders>
            <w:shd w:val="clear" w:color="auto" w:fill="FABF8F"/>
          </w:tcPr>
          <w:p w:rsidR="00A92422" w:rsidRPr="00D87B79" w:rsidRDefault="00A92422" w:rsidP="00EA30FC">
            <w:pPr>
              <w:jc w:val="center"/>
              <w:rPr>
                <w:rFonts w:cs="Tahoma"/>
                <w:b/>
                <w:color w:val="000000"/>
                <w:szCs w:val="20"/>
              </w:rPr>
            </w:pPr>
            <w:r w:rsidRPr="00D87B79">
              <w:rPr>
                <w:rFonts w:cs="Tahoma"/>
                <w:b/>
                <w:color w:val="000000"/>
                <w:szCs w:val="20"/>
                <w:lang w:val="it-IT"/>
              </w:rPr>
              <w:t>Licenze Qualificanti</w:t>
            </w:r>
          </w:p>
        </w:tc>
        <w:tc>
          <w:tcPr>
            <w:tcW w:w="4050" w:type="dxa"/>
            <w:tcBorders>
              <w:top w:val="single" w:sz="4" w:space="0" w:color="000000"/>
            </w:tcBorders>
            <w:shd w:val="clear" w:color="auto" w:fill="FABF8F"/>
          </w:tcPr>
          <w:p w:rsidR="00A92422" w:rsidRPr="00D87B79" w:rsidRDefault="00A92422" w:rsidP="00EA30FC">
            <w:pPr>
              <w:jc w:val="center"/>
              <w:rPr>
                <w:rFonts w:cs="Tahoma"/>
                <w:b/>
                <w:color w:val="000000"/>
                <w:szCs w:val="20"/>
              </w:rPr>
            </w:pPr>
            <w:r w:rsidRPr="00D87B79">
              <w:rPr>
                <w:rFonts w:cs="Tahoma"/>
                <w:b/>
                <w:color w:val="000000"/>
                <w:szCs w:val="20"/>
                <w:lang w:val="it-IT"/>
              </w:rPr>
              <w:t>Licenze per System Center 2012:</w:t>
            </w:r>
          </w:p>
        </w:tc>
      </w:tr>
      <w:tr w:rsidR="00A92422" w:rsidRPr="00D87B79" w:rsidTr="00EA30FC">
        <w:tc>
          <w:tcPr>
            <w:tcW w:w="396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System Center Client Management Suite (Client ML) per OSE</w:t>
            </w:r>
          </w:p>
        </w:tc>
        <w:tc>
          <w:tcPr>
            <w:tcW w:w="405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1 System Center 2012 Client Management Suite</w:t>
            </w:r>
            <w:r>
              <w:rPr>
                <w:rFonts w:cs="Tahoma"/>
                <w:color w:val="000000"/>
                <w:szCs w:val="20"/>
                <w:lang w:val="it-IT"/>
              </w:rPr>
              <w:t> </w:t>
            </w:r>
            <w:r w:rsidRPr="00D87B79">
              <w:rPr>
                <w:rFonts w:cs="Tahoma"/>
                <w:color w:val="000000"/>
                <w:szCs w:val="20"/>
                <w:lang w:val="it-IT"/>
              </w:rPr>
              <w:t>(Client ML) per OSE</w:t>
            </w:r>
          </w:p>
        </w:tc>
      </w:tr>
      <w:tr w:rsidR="00A92422" w:rsidRPr="00D87B79" w:rsidTr="00EA30FC">
        <w:tc>
          <w:tcPr>
            <w:tcW w:w="396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System Center Client Management Suite (Client ML) per Utente</w:t>
            </w:r>
          </w:p>
        </w:tc>
        <w:tc>
          <w:tcPr>
            <w:tcW w:w="405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1 System Center 2012 Client Management Suite</w:t>
            </w:r>
            <w:r>
              <w:rPr>
                <w:rFonts w:cs="Tahoma"/>
                <w:color w:val="000000"/>
                <w:szCs w:val="20"/>
                <w:lang w:val="it-IT"/>
              </w:rPr>
              <w:t> </w:t>
            </w:r>
            <w:r w:rsidRPr="00D87B79">
              <w:rPr>
                <w:rFonts w:cs="Tahoma"/>
                <w:color w:val="000000"/>
                <w:szCs w:val="20"/>
                <w:lang w:val="it-IT"/>
              </w:rPr>
              <w:t>(Client ML) per Utente</w:t>
            </w:r>
          </w:p>
        </w:tc>
      </w:tr>
      <w:tr w:rsidR="00A92422" w:rsidRPr="00D87B79" w:rsidTr="00EA30FC">
        <w:tc>
          <w:tcPr>
            <w:tcW w:w="396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System Center Configuration Manager 2007 R3</w:t>
            </w:r>
          </w:p>
        </w:tc>
        <w:tc>
          <w:tcPr>
            <w:tcW w:w="405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1 Licenza di Gestione Server (Server ML) per</w:t>
            </w:r>
            <w:r>
              <w:rPr>
                <w:rFonts w:cs="Tahoma"/>
                <w:color w:val="000000"/>
                <w:szCs w:val="20"/>
                <w:lang w:val="it-IT"/>
              </w:rPr>
              <w:t> </w:t>
            </w:r>
            <w:r w:rsidRPr="00D87B79">
              <w:rPr>
                <w:rFonts w:cs="Tahoma"/>
                <w:color w:val="000000"/>
                <w:szCs w:val="20"/>
                <w:lang w:val="it-IT"/>
              </w:rPr>
              <w:t>System Center 2012 Standard</w:t>
            </w:r>
          </w:p>
        </w:tc>
      </w:tr>
      <w:tr w:rsidR="00A92422" w:rsidRPr="00D87B79" w:rsidTr="00EA30FC">
        <w:tc>
          <w:tcPr>
            <w:tcW w:w="396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Licenza di Gestione Client (Client ML) per OSE</w:t>
            </w:r>
            <w:r>
              <w:rPr>
                <w:rFonts w:cs="Tahoma"/>
                <w:color w:val="000000"/>
                <w:szCs w:val="20"/>
                <w:lang w:val="it-IT"/>
              </w:rPr>
              <w:t> </w:t>
            </w:r>
            <w:r w:rsidRPr="00D87B79">
              <w:rPr>
                <w:rFonts w:cs="Tahoma"/>
                <w:color w:val="000000"/>
                <w:szCs w:val="20"/>
                <w:lang w:val="it-IT"/>
              </w:rPr>
              <w:t>per System Center Configuration Manager</w:t>
            </w:r>
            <w:r>
              <w:rPr>
                <w:rFonts w:cs="Tahoma"/>
                <w:color w:val="000000"/>
                <w:szCs w:val="20"/>
                <w:lang w:val="it-IT"/>
              </w:rPr>
              <w:t> </w:t>
            </w:r>
            <w:r w:rsidRPr="00D87B79">
              <w:rPr>
                <w:rFonts w:cs="Tahoma"/>
                <w:color w:val="000000"/>
                <w:szCs w:val="20"/>
                <w:lang w:val="it-IT"/>
              </w:rPr>
              <w:t>2007 R3</w:t>
            </w:r>
          </w:p>
        </w:tc>
        <w:tc>
          <w:tcPr>
            <w:tcW w:w="4050" w:type="dxa"/>
            <w:shd w:val="clear" w:color="auto" w:fill="FFFFFF"/>
          </w:tcPr>
          <w:p w:rsidR="00A92422" w:rsidRPr="00D87B79" w:rsidRDefault="00A92422" w:rsidP="00EA30FC">
            <w:pPr>
              <w:rPr>
                <w:rFonts w:cs="Tahoma"/>
                <w:color w:val="000000"/>
                <w:szCs w:val="20"/>
              </w:rPr>
            </w:pPr>
            <w:r w:rsidRPr="00D87B79">
              <w:rPr>
                <w:rFonts w:cs="Tahoma"/>
                <w:lang w:val="it-IT"/>
              </w:rPr>
              <w:t>1 Licenza di Gestione Client (Client ML) per OSE per System Center 2012 Configuration Manager</w:t>
            </w:r>
          </w:p>
        </w:tc>
      </w:tr>
      <w:tr w:rsidR="00A92422" w:rsidRPr="00D87B79" w:rsidTr="00EA30FC">
        <w:tc>
          <w:tcPr>
            <w:tcW w:w="396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Licenza di Gestione Client (Client ML) per Utente per System Center Configuration Manager 2007 R3</w:t>
            </w:r>
          </w:p>
        </w:tc>
        <w:tc>
          <w:tcPr>
            <w:tcW w:w="4050" w:type="dxa"/>
            <w:shd w:val="clear" w:color="auto" w:fill="FFFFFF"/>
          </w:tcPr>
          <w:p w:rsidR="00A92422" w:rsidRPr="00D87B79" w:rsidRDefault="00A92422" w:rsidP="00EA30FC">
            <w:pPr>
              <w:rPr>
                <w:rFonts w:cs="Tahoma"/>
                <w:color w:val="000000"/>
                <w:szCs w:val="20"/>
              </w:rPr>
            </w:pPr>
            <w:r w:rsidRPr="00D87B79">
              <w:rPr>
                <w:rFonts w:cs="Tahoma"/>
                <w:lang w:val="it-IT"/>
              </w:rPr>
              <w:t>1 Licenza di Gestione Client (Client ML) per Utente per System Center 2012 Configuration Manager</w:t>
            </w:r>
          </w:p>
        </w:tc>
      </w:tr>
      <w:tr w:rsidR="00A92422" w:rsidRPr="00D87B79" w:rsidTr="00EA30FC">
        <w:tc>
          <w:tcPr>
            <w:tcW w:w="3960" w:type="dxa"/>
            <w:shd w:val="clear" w:color="auto" w:fill="FFFFFF"/>
          </w:tcPr>
          <w:p w:rsidR="00A92422" w:rsidRPr="00D87B79" w:rsidRDefault="00A92422" w:rsidP="00EA30FC">
            <w:pPr>
              <w:rPr>
                <w:rFonts w:cs="Tahoma"/>
                <w:color w:val="000000"/>
                <w:szCs w:val="20"/>
              </w:rPr>
            </w:pPr>
            <w:r w:rsidRPr="00D87B79">
              <w:rPr>
                <w:rFonts w:cs="Tahoma"/>
                <w:color w:val="000000"/>
                <w:lang w:val="it-IT"/>
              </w:rPr>
              <w:t xml:space="preserve">Licenza di Gestione Client (Client ML) per System Center Configuration Manager 2007 R3 </w:t>
            </w:r>
            <w:r w:rsidRPr="00D87B79">
              <w:rPr>
                <w:rFonts w:cs="Tahoma"/>
                <w:color w:val="000000"/>
                <w:lang w:val="it-IT"/>
              </w:rPr>
              <w:lastRenderedPageBreak/>
              <w:t>(Solo Studenti)</w:t>
            </w:r>
            <w:r w:rsidRPr="00D87B79">
              <w:rPr>
                <w:rFonts w:cs="Tahoma"/>
                <w:color w:val="000000"/>
                <w:vertAlign w:val="superscript"/>
                <w:lang w:val="it-IT"/>
              </w:rPr>
              <w:t>*</w:t>
            </w:r>
          </w:p>
        </w:tc>
        <w:tc>
          <w:tcPr>
            <w:tcW w:w="4050" w:type="dxa"/>
            <w:shd w:val="clear" w:color="auto" w:fill="FFFFFF"/>
          </w:tcPr>
          <w:p w:rsidR="00A92422" w:rsidRPr="00D87B79" w:rsidRDefault="00A92422" w:rsidP="00EA30FC">
            <w:pPr>
              <w:rPr>
                <w:rFonts w:cs="Tahoma"/>
                <w:color w:val="000000"/>
                <w:szCs w:val="20"/>
              </w:rPr>
            </w:pPr>
            <w:r w:rsidRPr="00D87B79">
              <w:rPr>
                <w:rFonts w:cs="Tahoma"/>
                <w:lang w:val="it-IT"/>
              </w:rPr>
              <w:lastRenderedPageBreak/>
              <w:t xml:space="preserve">1 Licenza di Gestione Client (Client ML) per System Center Configuration Manager 2012 </w:t>
            </w:r>
            <w:r w:rsidRPr="00D87B79">
              <w:rPr>
                <w:rFonts w:cs="Tahoma"/>
                <w:lang w:val="it-IT"/>
              </w:rPr>
              <w:lastRenderedPageBreak/>
              <w:t>(Solo Studenti)</w:t>
            </w:r>
            <w:r w:rsidRPr="00D87B79">
              <w:rPr>
                <w:rFonts w:cs="Tahoma"/>
                <w:vertAlign w:val="superscript"/>
                <w:lang w:val="it-IT"/>
              </w:rPr>
              <w:t>*</w:t>
            </w:r>
          </w:p>
        </w:tc>
      </w:tr>
      <w:tr w:rsidR="00A92422" w:rsidRPr="00D87B79" w:rsidTr="00EA30FC">
        <w:tc>
          <w:tcPr>
            <w:tcW w:w="396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lastRenderedPageBreak/>
              <w:t>Licenza di Gestione Server Enterprise per System Center Configuration Manager 2007 R3</w:t>
            </w:r>
          </w:p>
        </w:tc>
        <w:tc>
          <w:tcPr>
            <w:tcW w:w="405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1 Licenza di Gestione Server (Server ML) per</w:t>
            </w:r>
            <w:r>
              <w:rPr>
                <w:rFonts w:cs="Tahoma"/>
                <w:color w:val="000000"/>
                <w:szCs w:val="20"/>
                <w:lang w:val="it-IT"/>
              </w:rPr>
              <w:t> </w:t>
            </w:r>
            <w:r w:rsidRPr="00D87B79">
              <w:rPr>
                <w:rFonts w:cs="Tahoma"/>
                <w:color w:val="000000"/>
                <w:szCs w:val="20"/>
                <w:lang w:val="it-IT"/>
              </w:rPr>
              <w:t>System Center 2012 Standard</w:t>
            </w:r>
          </w:p>
        </w:tc>
      </w:tr>
      <w:tr w:rsidR="00A92422" w:rsidRPr="00D87B79" w:rsidTr="00EA30FC">
        <w:tc>
          <w:tcPr>
            <w:tcW w:w="396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Licenza di Gestione Server Standard per System Center Configuration Manager 2007 R3</w:t>
            </w:r>
            <w:r w:rsidRPr="00D87B79">
              <w:rPr>
                <w:rFonts w:cs="Tahoma"/>
                <w:color w:val="000000"/>
                <w:szCs w:val="20"/>
              </w:rPr>
              <w:t xml:space="preserve"> </w:t>
            </w:r>
          </w:p>
        </w:tc>
        <w:tc>
          <w:tcPr>
            <w:tcW w:w="405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1 Licenza di Gestione Server (Server ML) per</w:t>
            </w:r>
            <w:r>
              <w:rPr>
                <w:rFonts w:cs="Tahoma"/>
                <w:color w:val="000000"/>
                <w:szCs w:val="20"/>
                <w:lang w:val="it-IT"/>
              </w:rPr>
              <w:t> </w:t>
            </w:r>
            <w:r w:rsidRPr="00D87B79">
              <w:rPr>
                <w:rFonts w:cs="Tahoma"/>
                <w:color w:val="000000"/>
                <w:szCs w:val="20"/>
                <w:lang w:val="it-IT"/>
              </w:rPr>
              <w:t>System Center 2012 Standard</w:t>
            </w:r>
          </w:p>
        </w:tc>
      </w:tr>
      <w:tr w:rsidR="00A92422" w:rsidRPr="00D87B79" w:rsidTr="00EA30FC">
        <w:tc>
          <w:tcPr>
            <w:tcW w:w="396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System Center Configuration Manager 2007 R3 con Tecnologia SQL Server 2008</w:t>
            </w:r>
          </w:p>
        </w:tc>
        <w:tc>
          <w:tcPr>
            <w:tcW w:w="405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1 Licenza di Gestione Server (Server ML) per</w:t>
            </w:r>
            <w:r>
              <w:rPr>
                <w:rFonts w:cs="Tahoma"/>
                <w:color w:val="000000"/>
                <w:szCs w:val="20"/>
                <w:lang w:val="it-IT"/>
              </w:rPr>
              <w:t> </w:t>
            </w:r>
            <w:r w:rsidRPr="00D87B79">
              <w:rPr>
                <w:rFonts w:cs="Tahoma"/>
                <w:color w:val="000000"/>
                <w:szCs w:val="20"/>
                <w:lang w:val="it-IT"/>
              </w:rPr>
              <w:t>System Center 2012 Standard</w:t>
            </w:r>
          </w:p>
        </w:tc>
      </w:tr>
      <w:tr w:rsidR="00A92422" w:rsidRPr="00D87B79" w:rsidTr="00EA30FC">
        <w:tc>
          <w:tcPr>
            <w:tcW w:w="396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Licenza di Gestione Client per Utente per System Center Data Protection Manager 2010</w:t>
            </w:r>
          </w:p>
        </w:tc>
        <w:tc>
          <w:tcPr>
            <w:tcW w:w="405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1 System Center 2012 Client Management Suite (Client ML) per Utente</w:t>
            </w:r>
          </w:p>
        </w:tc>
      </w:tr>
      <w:tr w:rsidR="00A92422" w:rsidRPr="00D87B79" w:rsidTr="00EA30FC">
        <w:tc>
          <w:tcPr>
            <w:tcW w:w="396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Licenza di Gestione Client per OSE per System Center Data Protection Manager 2010</w:t>
            </w:r>
          </w:p>
        </w:tc>
        <w:tc>
          <w:tcPr>
            <w:tcW w:w="405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1 System Center 2012 Client Management Suite (Client ML) per OSE</w:t>
            </w:r>
          </w:p>
        </w:tc>
      </w:tr>
      <w:tr w:rsidR="00A92422" w:rsidRPr="00D87B79" w:rsidTr="00EA30FC">
        <w:tc>
          <w:tcPr>
            <w:tcW w:w="396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Licenza di Gestione Server Enterprise per System Center Data Protection Manager 2010</w:t>
            </w:r>
          </w:p>
        </w:tc>
        <w:tc>
          <w:tcPr>
            <w:tcW w:w="405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1 Licenza di Gestione Server (Server ML) per</w:t>
            </w:r>
            <w:r>
              <w:rPr>
                <w:rFonts w:cs="Tahoma"/>
                <w:color w:val="000000"/>
                <w:szCs w:val="20"/>
                <w:lang w:val="it-IT"/>
              </w:rPr>
              <w:t> </w:t>
            </w:r>
            <w:r w:rsidRPr="00D87B79">
              <w:rPr>
                <w:rFonts w:cs="Tahoma"/>
                <w:color w:val="000000"/>
                <w:szCs w:val="20"/>
                <w:lang w:val="it-IT"/>
              </w:rPr>
              <w:t>System Center 2012 Standard</w:t>
            </w:r>
          </w:p>
        </w:tc>
      </w:tr>
      <w:tr w:rsidR="00A92422" w:rsidRPr="00D87B79" w:rsidTr="00EA30FC">
        <w:tc>
          <w:tcPr>
            <w:tcW w:w="396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Licenza di Gestione Server Standard per System Center Data Protection Manager 2010</w:t>
            </w:r>
          </w:p>
        </w:tc>
        <w:tc>
          <w:tcPr>
            <w:tcW w:w="405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1 Licenza di Gestione Server (Server ML) per</w:t>
            </w:r>
            <w:r>
              <w:rPr>
                <w:rFonts w:cs="Tahoma"/>
                <w:color w:val="000000"/>
                <w:szCs w:val="20"/>
                <w:lang w:val="it-IT"/>
              </w:rPr>
              <w:t> </w:t>
            </w:r>
            <w:r w:rsidRPr="00D87B79">
              <w:rPr>
                <w:rFonts w:cs="Tahoma"/>
                <w:color w:val="000000"/>
                <w:szCs w:val="20"/>
                <w:lang w:val="it-IT"/>
              </w:rPr>
              <w:t>System Center 2012 Standard</w:t>
            </w:r>
          </w:p>
        </w:tc>
      </w:tr>
      <w:tr w:rsidR="00A92422" w:rsidRPr="00D87B79" w:rsidTr="00EA30FC">
        <w:tc>
          <w:tcPr>
            <w:tcW w:w="396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System Center Operations Manager 2007 R2</w:t>
            </w:r>
          </w:p>
        </w:tc>
        <w:tc>
          <w:tcPr>
            <w:tcW w:w="405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1 Licenza di Gestione Server (Server ML) per</w:t>
            </w:r>
            <w:r>
              <w:rPr>
                <w:rFonts w:cs="Tahoma"/>
                <w:color w:val="000000"/>
                <w:szCs w:val="20"/>
                <w:lang w:val="it-IT"/>
              </w:rPr>
              <w:t> </w:t>
            </w:r>
            <w:r w:rsidRPr="00D87B79">
              <w:rPr>
                <w:rFonts w:cs="Tahoma"/>
                <w:color w:val="000000"/>
                <w:szCs w:val="20"/>
                <w:lang w:val="it-IT"/>
              </w:rPr>
              <w:t>System Center 2012 Standard</w:t>
            </w:r>
          </w:p>
        </w:tc>
      </w:tr>
      <w:tr w:rsidR="00A92422" w:rsidRPr="00D87B79" w:rsidTr="00EA30FC">
        <w:tc>
          <w:tcPr>
            <w:tcW w:w="396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System Center Operations Manager 2007 R2 con Tecnologia SQL Server 2008</w:t>
            </w:r>
          </w:p>
        </w:tc>
        <w:tc>
          <w:tcPr>
            <w:tcW w:w="405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1 Licenza di Gestione Server (Server ML) per</w:t>
            </w:r>
            <w:r>
              <w:rPr>
                <w:rFonts w:cs="Tahoma"/>
                <w:color w:val="000000"/>
                <w:szCs w:val="20"/>
                <w:lang w:val="it-IT"/>
              </w:rPr>
              <w:t> </w:t>
            </w:r>
            <w:r w:rsidRPr="00D87B79">
              <w:rPr>
                <w:rFonts w:cs="Tahoma"/>
                <w:color w:val="000000"/>
                <w:szCs w:val="20"/>
                <w:lang w:val="it-IT"/>
              </w:rPr>
              <w:t>System Center 2012 Standard</w:t>
            </w:r>
          </w:p>
        </w:tc>
      </w:tr>
      <w:tr w:rsidR="00A92422" w:rsidRPr="00D87B79" w:rsidTr="00EA30FC">
        <w:tc>
          <w:tcPr>
            <w:tcW w:w="396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Licenza di Gestione Server Standard per System Center Operations Manager 2007 R2</w:t>
            </w:r>
          </w:p>
        </w:tc>
        <w:tc>
          <w:tcPr>
            <w:tcW w:w="405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1 Licenza di Gestione Server (Server ML) per</w:t>
            </w:r>
            <w:r>
              <w:rPr>
                <w:rFonts w:cs="Tahoma"/>
                <w:color w:val="000000"/>
                <w:szCs w:val="20"/>
                <w:lang w:val="it-IT"/>
              </w:rPr>
              <w:t> </w:t>
            </w:r>
            <w:r w:rsidRPr="00D87B79">
              <w:rPr>
                <w:rFonts w:cs="Tahoma"/>
                <w:color w:val="000000"/>
                <w:szCs w:val="20"/>
                <w:lang w:val="it-IT"/>
              </w:rPr>
              <w:t>System Center 2012 Standard</w:t>
            </w:r>
          </w:p>
        </w:tc>
      </w:tr>
      <w:tr w:rsidR="00A92422" w:rsidRPr="00D87B79" w:rsidTr="00EA30FC">
        <w:tc>
          <w:tcPr>
            <w:tcW w:w="396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Licenza di Gestione Server Enterprise per System Center Operations Manager 2007 R2</w:t>
            </w:r>
          </w:p>
        </w:tc>
        <w:tc>
          <w:tcPr>
            <w:tcW w:w="405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1 Licenza di Gestione Server (Server ML) per</w:t>
            </w:r>
            <w:r>
              <w:rPr>
                <w:rFonts w:cs="Tahoma"/>
                <w:color w:val="000000"/>
                <w:szCs w:val="20"/>
                <w:lang w:val="it-IT"/>
              </w:rPr>
              <w:t> </w:t>
            </w:r>
            <w:r w:rsidRPr="00D87B79">
              <w:rPr>
                <w:rFonts w:cs="Tahoma"/>
                <w:color w:val="000000"/>
                <w:szCs w:val="20"/>
                <w:lang w:val="it-IT"/>
              </w:rPr>
              <w:t>System Center 2012 Standard</w:t>
            </w:r>
          </w:p>
        </w:tc>
      </w:tr>
      <w:tr w:rsidR="00A92422" w:rsidRPr="00D87B79" w:rsidTr="00EA30FC">
        <w:tc>
          <w:tcPr>
            <w:tcW w:w="396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Licenza di Gestione Client per OSE per System Center Operations Manager 2007 R2</w:t>
            </w:r>
          </w:p>
        </w:tc>
        <w:tc>
          <w:tcPr>
            <w:tcW w:w="405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1 System Center 2012 Client Management Suite (Client ML) per OSE</w:t>
            </w:r>
          </w:p>
        </w:tc>
      </w:tr>
      <w:tr w:rsidR="00A92422" w:rsidRPr="00D87B79" w:rsidTr="00EA30FC">
        <w:tc>
          <w:tcPr>
            <w:tcW w:w="396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Licenza di Gestione Client per Utente per System Center Operations Manager 2007 R2</w:t>
            </w:r>
          </w:p>
        </w:tc>
        <w:tc>
          <w:tcPr>
            <w:tcW w:w="405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1 System Center 2012 Client Management Suite (Client ML) per Utente</w:t>
            </w:r>
          </w:p>
        </w:tc>
      </w:tr>
      <w:tr w:rsidR="00A92422" w:rsidRPr="00D87B79" w:rsidTr="00EA30FC">
        <w:tc>
          <w:tcPr>
            <w:tcW w:w="396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System Center Server Management Suite Enterprise</w:t>
            </w:r>
          </w:p>
        </w:tc>
        <w:tc>
          <w:tcPr>
            <w:tcW w:w="405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2 Licenze di Gestione Server (Server ML) per</w:t>
            </w:r>
            <w:r>
              <w:rPr>
                <w:rFonts w:cs="Tahoma"/>
                <w:color w:val="000000"/>
                <w:szCs w:val="20"/>
                <w:lang w:val="it-IT"/>
              </w:rPr>
              <w:t> </w:t>
            </w:r>
            <w:r w:rsidRPr="00D87B79">
              <w:rPr>
                <w:rFonts w:cs="Tahoma"/>
                <w:color w:val="000000"/>
                <w:szCs w:val="20"/>
                <w:lang w:val="it-IT"/>
              </w:rPr>
              <w:t>System Center 2012 Standard</w:t>
            </w:r>
          </w:p>
        </w:tc>
      </w:tr>
      <w:tr w:rsidR="00A92422" w:rsidRPr="00D87B79" w:rsidTr="00EA30FC">
        <w:trPr>
          <w:cantSplit/>
        </w:trPr>
        <w:tc>
          <w:tcPr>
            <w:tcW w:w="396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System Center Server Management Suite Datacenter</w:t>
            </w:r>
          </w:p>
        </w:tc>
        <w:tc>
          <w:tcPr>
            <w:tcW w:w="405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1 Licenza di Gestione Server (Server ML) per System Center 2012 Datacenter per ogni 2 licenze qualificanti per System Center Server Management Suite Datacenter</w:t>
            </w:r>
          </w:p>
        </w:tc>
      </w:tr>
      <w:tr w:rsidR="00A92422" w:rsidRPr="00D87B79" w:rsidTr="00EA30FC">
        <w:tc>
          <w:tcPr>
            <w:tcW w:w="396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System Center Service Manager 2010</w:t>
            </w:r>
          </w:p>
        </w:tc>
        <w:tc>
          <w:tcPr>
            <w:tcW w:w="405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1 Licenza di Gestione Server (Server ML) per</w:t>
            </w:r>
            <w:r>
              <w:rPr>
                <w:rFonts w:cs="Tahoma"/>
                <w:color w:val="000000"/>
                <w:szCs w:val="20"/>
                <w:lang w:val="it-IT"/>
              </w:rPr>
              <w:t> </w:t>
            </w:r>
            <w:r w:rsidRPr="00D87B79">
              <w:rPr>
                <w:rFonts w:cs="Tahoma"/>
                <w:color w:val="000000"/>
                <w:szCs w:val="20"/>
                <w:lang w:val="it-IT"/>
              </w:rPr>
              <w:t>System Center 2012 Standard</w:t>
            </w:r>
          </w:p>
        </w:tc>
      </w:tr>
      <w:tr w:rsidR="00A92422" w:rsidRPr="00D87B79" w:rsidTr="00EA30FC">
        <w:tc>
          <w:tcPr>
            <w:tcW w:w="396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System Center Service Manager 2010 con Tecnologia SQL Server 2008</w:t>
            </w:r>
          </w:p>
        </w:tc>
        <w:tc>
          <w:tcPr>
            <w:tcW w:w="405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1 Licenza di Gestione Server (Server ML) per</w:t>
            </w:r>
            <w:r>
              <w:rPr>
                <w:rFonts w:cs="Tahoma"/>
                <w:color w:val="000000"/>
                <w:szCs w:val="20"/>
                <w:lang w:val="it-IT"/>
              </w:rPr>
              <w:t> </w:t>
            </w:r>
            <w:r w:rsidRPr="00D87B79">
              <w:rPr>
                <w:rFonts w:cs="Tahoma"/>
                <w:color w:val="000000"/>
                <w:szCs w:val="20"/>
                <w:lang w:val="it-IT"/>
              </w:rPr>
              <w:t>System Center 2012 Standard</w:t>
            </w:r>
          </w:p>
        </w:tc>
      </w:tr>
      <w:tr w:rsidR="00A92422" w:rsidRPr="00D87B79" w:rsidTr="00EA30FC">
        <w:tc>
          <w:tcPr>
            <w:tcW w:w="396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Licenza di Gestione Client (Client ML) per OSE per System Center Service Manager 2010</w:t>
            </w:r>
          </w:p>
        </w:tc>
        <w:tc>
          <w:tcPr>
            <w:tcW w:w="405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1 System Center 2012 Client Management Suite (Client ML) per OSE</w:t>
            </w:r>
          </w:p>
        </w:tc>
      </w:tr>
      <w:tr w:rsidR="00A92422" w:rsidRPr="00D87B79" w:rsidTr="00EA30FC">
        <w:tc>
          <w:tcPr>
            <w:tcW w:w="396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Licenza di Gestione Client (Client ML) per</w:t>
            </w:r>
            <w:r>
              <w:rPr>
                <w:rFonts w:cs="Tahoma"/>
                <w:color w:val="000000"/>
                <w:szCs w:val="20"/>
                <w:lang w:val="it-IT"/>
              </w:rPr>
              <w:t> </w:t>
            </w:r>
            <w:r w:rsidRPr="00D87B79">
              <w:rPr>
                <w:rFonts w:cs="Tahoma"/>
                <w:color w:val="000000"/>
                <w:szCs w:val="20"/>
                <w:lang w:val="it-IT"/>
              </w:rPr>
              <w:t>Utente per System Center Service Manager</w:t>
            </w:r>
            <w:r>
              <w:rPr>
                <w:rFonts w:cs="Tahoma"/>
                <w:color w:val="000000"/>
                <w:szCs w:val="20"/>
                <w:lang w:val="it-IT"/>
              </w:rPr>
              <w:t> </w:t>
            </w:r>
            <w:r w:rsidRPr="00D87B79">
              <w:rPr>
                <w:rFonts w:cs="Tahoma"/>
                <w:color w:val="000000"/>
                <w:szCs w:val="20"/>
                <w:lang w:val="it-IT"/>
              </w:rPr>
              <w:t>2010</w:t>
            </w:r>
          </w:p>
        </w:tc>
        <w:tc>
          <w:tcPr>
            <w:tcW w:w="405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1 System Center 2012 Client Management Suite (Client ML) per Utente</w:t>
            </w:r>
          </w:p>
        </w:tc>
      </w:tr>
      <w:tr w:rsidR="00A92422" w:rsidRPr="00D87B79" w:rsidTr="00EA30FC">
        <w:tc>
          <w:tcPr>
            <w:tcW w:w="396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Licenza di Gestione Server (Server ML) per System Center Service Manager 2010</w:t>
            </w:r>
            <w:r w:rsidRPr="00D87B79">
              <w:rPr>
                <w:rFonts w:cs="Tahoma"/>
                <w:color w:val="000000"/>
                <w:szCs w:val="20"/>
              </w:rPr>
              <w:t xml:space="preserve"> </w:t>
            </w:r>
          </w:p>
        </w:tc>
        <w:tc>
          <w:tcPr>
            <w:tcW w:w="405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1 Licenza di Gestione Server (Server ML) per</w:t>
            </w:r>
            <w:r>
              <w:rPr>
                <w:rFonts w:cs="Tahoma"/>
                <w:color w:val="000000"/>
                <w:szCs w:val="20"/>
                <w:lang w:val="it-IT"/>
              </w:rPr>
              <w:t> </w:t>
            </w:r>
            <w:r w:rsidRPr="00D87B79">
              <w:rPr>
                <w:rFonts w:cs="Tahoma"/>
                <w:color w:val="000000"/>
                <w:szCs w:val="20"/>
                <w:lang w:val="it-IT"/>
              </w:rPr>
              <w:t>System Center 2012 Standard</w:t>
            </w:r>
          </w:p>
        </w:tc>
      </w:tr>
      <w:tr w:rsidR="00A92422" w:rsidRPr="00D87B79" w:rsidTr="00EA30FC">
        <w:tc>
          <w:tcPr>
            <w:tcW w:w="396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Licenza di Gestione Client per OSE per System Center Virtual Machine Manager 2008 R2</w:t>
            </w:r>
          </w:p>
        </w:tc>
        <w:tc>
          <w:tcPr>
            <w:tcW w:w="405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1 Licenza di Gestione Client (Client ML) per OSE per System Center Configuration Manager</w:t>
            </w:r>
          </w:p>
        </w:tc>
      </w:tr>
      <w:tr w:rsidR="00A92422" w:rsidRPr="00D87B79" w:rsidTr="00EA30FC">
        <w:tc>
          <w:tcPr>
            <w:tcW w:w="3960" w:type="dxa"/>
            <w:shd w:val="clear" w:color="auto" w:fill="FFFFFF"/>
          </w:tcPr>
          <w:p w:rsidR="00A92422" w:rsidRPr="00D87B79" w:rsidRDefault="00A92422" w:rsidP="00EA30FC">
            <w:pPr>
              <w:rPr>
                <w:rFonts w:cs="Tahoma"/>
                <w:color w:val="000000"/>
                <w:szCs w:val="20"/>
              </w:rPr>
            </w:pPr>
            <w:r w:rsidRPr="00D87B79">
              <w:rPr>
                <w:rFonts w:cs="Tahoma"/>
                <w:color w:val="000000"/>
                <w:lang w:val="it-IT"/>
              </w:rPr>
              <w:t>Licenza di Gestione Client per Utente per</w:t>
            </w:r>
            <w:r>
              <w:rPr>
                <w:rFonts w:cs="Tahoma"/>
                <w:color w:val="000000"/>
                <w:lang w:val="it-IT"/>
              </w:rPr>
              <w:t> </w:t>
            </w:r>
            <w:r w:rsidRPr="00D87B79">
              <w:rPr>
                <w:rFonts w:cs="Tahoma"/>
                <w:color w:val="000000"/>
                <w:lang w:val="it-IT"/>
              </w:rPr>
              <w:t>System Center Virtual Machine Manager</w:t>
            </w:r>
            <w:r>
              <w:rPr>
                <w:rFonts w:cs="Tahoma"/>
                <w:color w:val="000000"/>
                <w:lang w:val="it-IT"/>
              </w:rPr>
              <w:t> </w:t>
            </w:r>
            <w:r w:rsidRPr="00D87B79">
              <w:rPr>
                <w:rFonts w:cs="Tahoma"/>
                <w:color w:val="000000"/>
                <w:lang w:val="it-IT"/>
              </w:rPr>
              <w:t>2008 R2</w:t>
            </w:r>
          </w:p>
        </w:tc>
        <w:tc>
          <w:tcPr>
            <w:tcW w:w="4050" w:type="dxa"/>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1 Licenza di Gestione Client (Client ML) per</w:t>
            </w:r>
            <w:r>
              <w:rPr>
                <w:rFonts w:cs="Tahoma"/>
                <w:color w:val="000000"/>
                <w:szCs w:val="20"/>
                <w:lang w:val="it-IT"/>
              </w:rPr>
              <w:t> </w:t>
            </w:r>
            <w:r w:rsidRPr="00D87B79">
              <w:rPr>
                <w:rFonts w:cs="Tahoma"/>
                <w:color w:val="000000"/>
                <w:szCs w:val="20"/>
                <w:lang w:val="it-IT"/>
              </w:rPr>
              <w:t>Utente per System Center Configuration</w:t>
            </w:r>
            <w:r>
              <w:rPr>
                <w:rFonts w:cs="Tahoma"/>
                <w:color w:val="000000"/>
                <w:szCs w:val="20"/>
                <w:lang w:val="it-IT"/>
              </w:rPr>
              <w:t> </w:t>
            </w:r>
            <w:r w:rsidRPr="00D87B79">
              <w:rPr>
                <w:rFonts w:cs="Tahoma"/>
                <w:color w:val="000000"/>
                <w:szCs w:val="20"/>
                <w:lang w:val="it-IT"/>
              </w:rPr>
              <w:t>Manager</w:t>
            </w:r>
          </w:p>
        </w:tc>
      </w:tr>
      <w:tr w:rsidR="00A92422" w:rsidRPr="00D87B79" w:rsidTr="00EA30FC">
        <w:tc>
          <w:tcPr>
            <w:tcW w:w="3960" w:type="dxa"/>
            <w:tcBorders>
              <w:bottom w:val="single" w:sz="4" w:space="0" w:color="000000"/>
            </w:tcBorders>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Licenza di Gestione Server per System Center Virtual Machine Manager 2008 R2 Enterprise</w:t>
            </w:r>
          </w:p>
        </w:tc>
        <w:tc>
          <w:tcPr>
            <w:tcW w:w="4050" w:type="dxa"/>
            <w:tcBorders>
              <w:bottom w:val="single" w:sz="4" w:space="0" w:color="000000"/>
            </w:tcBorders>
            <w:shd w:val="clear" w:color="auto" w:fill="FFFFFF"/>
          </w:tcPr>
          <w:p w:rsidR="00A92422" w:rsidRPr="00D87B79" w:rsidRDefault="00A92422" w:rsidP="00EA30FC">
            <w:pPr>
              <w:rPr>
                <w:rFonts w:cs="Tahoma"/>
                <w:color w:val="000000"/>
                <w:szCs w:val="20"/>
              </w:rPr>
            </w:pPr>
            <w:r w:rsidRPr="00D87B79">
              <w:rPr>
                <w:rFonts w:cs="Tahoma"/>
                <w:color w:val="000000"/>
                <w:szCs w:val="20"/>
                <w:lang w:val="it-IT"/>
              </w:rPr>
              <w:t>1 Licenza di Gestione Server (Server ML) per</w:t>
            </w:r>
            <w:r>
              <w:rPr>
                <w:rFonts w:cs="Tahoma"/>
                <w:color w:val="000000"/>
                <w:szCs w:val="20"/>
                <w:lang w:val="it-IT"/>
              </w:rPr>
              <w:t> </w:t>
            </w:r>
            <w:r w:rsidRPr="00D87B79">
              <w:rPr>
                <w:rFonts w:cs="Tahoma"/>
                <w:color w:val="000000"/>
                <w:szCs w:val="20"/>
                <w:lang w:val="it-IT"/>
              </w:rPr>
              <w:t>System Center 2012 Datacenter</w:t>
            </w:r>
          </w:p>
        </w:tc>
      </w:tr>
    </w:tbl>
    <w:p w:rsidR="00A92422" w:rsidRPr="00D87B79" w:rsidRDefault="00A92422" w:rsidP="00A92422">
      <w:pPr>
        <w:ind w:left="720"/>
        <w:rPr>
          <w:rFonts w:cs="Tahoma"/>
        </w:rPr>
      </w:pPr>
      <w:r>
        <w:rPr>
          <w:rFonts w:cs="Tahoma"/>
          <w:i/>
          <w:sz w:val="16"/>
          <w:lang w:val="it-IT"/>
        </w:rPr>
        <w:t xml:space="preserve">* </w:t>
      </w:r>
      <w:r w:rsidRPr="00D87B79">
        <w:rPr>
          <w:rFonts w:cs="Tahoma"/>
          <w:i/>
          <w:sz w:val="16"/>
          <w:lang w:val="it-IT"/>
        </w:rPr>
        <w:t>Le Licenze di Gestione Client Solo per Studenti sono disponibili per i PC di proprietà dello studente titolare della licenza o</w:t>
      </w:r>
      <w:r>
        <w:rPr>
          <w:rFonts w:cs="Tahoma"/>
          <w:i/>
          <w:sz w:val="16"/>
          <w:lang w:val="it-IT"/>
        </w:rPr>
        <w:t> </w:t>
      </w:r>
      <w:r w:rsidRPr="00D87B79">
        <w:rPr>
          <w:rFonts w:cs="Tahoma"/>
          <w:i/>
          <w:sz w:val="16"/>
          <w:lang w:val="it-IT"/>
        </w:rPr>
        <w:t>per i PC di proprietà dell’istituto che siano assegnati solo a un singolo studente e non siano utilizzati nei laboratori o</w:t>
      </w:r>
      <w:r>
        <w:rPr>
          <w:rFonts w:cs="Tahoma"/>
          <w:i/>
          <w:sz w:val="16"/>
          <w:lang w:val="it-IT"/>
        </w:rPr>
        <w:t> </w:t>
      </w:r>
      <w:r w:rsidRPr="00D87B79">
        <w:rPr>
          <w:rFonts w:cs="Tahoma"/>
          <w:i/>
          <w:sz w:val="16"/>
          <w:lang w:val="it-IT"/>
        </w:rPr>
        <w:t>in</w:t>
      </w:r>
      <w:r>
        <w:rPr>
          <w:rFonts w:cs="Tahoma"/>
          <w:i/>
          <w:sz w:val="16"/>
          <w:lang w:val="it-IT"/>
        </w:rPr>
        <w:t> </w:t>
      </w:r>
      <w:r w:rsidRPr="00D87B79">
        <w:rPr>
          <w:rFonts w:cs="Tahoma"/>
          <w:i/>
          <w:sz w:val="16"/>
          <w:lang w:val="it-IT"/>
        </w:rPr>
        <w:t>classe</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color w:val="000000"/>
          <w:lang w:val="it-IT"/>
        </w:rPr>
        <w:lastRenderedPageBreak/>
        <w:t>Tutte le licenze concesse ai sensi della presente offerta includeranno la copertura Software Assurance.</w:t>
      </w:r>
      <w:r w:rsidRPr="00D87B79">
        <w:rPr>
          <w:rFonts w:cs="Tahoma"/>
        </w:rPr>
        <w:t xml:space="preserve"> </w:t>
      </w:r>
      <w:r w:rsidRPr="00D87B79">
        <w:rPr>
          <w:rFonts w:cs="Tahoma"/>
          <w:color w:val="000000"/>
          <w:lang w:val="it-IT"/>
        </w:rPr>
        <w:t>Tale</w:t>
      </w:r>
      <w:r>
        <w:rPr>
          <w:rFonts w:cs="Tahoma"/>
          <w:color w:val="000000"/>
          <w:lang w:val="it-IT"/>
        </w:rPr>
        <w:t> </w:t>
      </w:r>
      <w:r w:rsidRPr="00D87B79">
        <w:rPr>
          <w:rFonts w:cs="Tahoma"/>
          <w:color w:val="000000"/>
          <w:lang w:val="it-IT"/>
        </w:rPr>
        <w:t>copertura cesserà alla scadenza della copertura Software Assurance qualificante corrispondente.</w:t>
      </w:r>
      <w:r w:rsidRPr="00D87B79">
        <w:rPr>
          <w:rFonts w:cs="Tahoma"/>
        </w:rPr>
        <w:t xml:space="preserve"> </w:t>
      </w:r>
      <w:r w:rsidRPr="00D87B79">
        <w:rPr>
          <w:rFonts w:cs="Tahoma"/>
          <w:color w:val="000000"/>
          <w:lang w:val="it-IT"/>
        </w:rPr>
        <w:t>Alla</w:t>
      </w:r>
      <w:r>
        <w:rPr>
          <w:rFonts w:cs="Tahoma"/>
          <w:color w:val="000000"/>
          <w:lang w:val="it-IT"/>
        </w:rPr>
        <w:t> </w:t>
      </w:r>
      <w:r w:rsidRPr="00D87B79">
        <w:rPr>
          <w:rFonts w:cs="Tahoma"/>
          <w:color w:val="000000"/>
          <w:lang w:val="it-IT"/>
        </w:rPr>
        <w:t>scadenza della copertura, le società potranno rinnovare Software Assurance sulle licenze concesse.</w:t>
      </w:r>
      <w:r w:rsidRPr="00D87B79">
        <w:rPr>
          <w:rFonts w:cs="Tahoma"/>
        </w:rPr>
        <w:t xml:space="preserve"> </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color w:val="000000"/>
          <w:lang w:val="it-IT"/>
        </w:rPr>
        <w:t>L’utilizzo del software da parte della società ai sensi della presente offerta sarà soggetto alle condizioni del</w:t>
      </w:r>
      <w:r>
        <w:rPr>
          <w:rFonts w:cs="Tahoma"/>
          <w:color w:val="000000"/>
          <w:lang w:val="it-IT"/>
        </w:rPr>
        <w:t> </w:t>
      </w:r>
      <w:r w:rsidRPr="00D87B79">
        <w:rPr>
          <w:rFonts w:cs="Tahoma"/>
          <w:color w:val="000000"/>
          <w:lang w:val="it-IT"/>
        </w:rPr>
        <w:t>relativo contratto di licenza e ai diritti di utilizzo del prodotto relativi al software.</w:t>
      </w:r>
      <w:r w:rsidRPr="00D87B79">
        <w:rPr>
          <w:rFonts w:cs="Tahoma"/>
        </w:rPr>
        <w:t xml:space="preserve"> </w:t>
      </w:r>
      <w:r w:rsidRPr="00D87B79">
        <w:rPr>
          <w:rFonts w:cs="Tahoma"/>
          <w:color w:val="000000"/>
          <w:lang w:val="it-IT"/>
        </w:rPr>
        <w:t>Il diritto di utilizzo del</w:t>
      </w:r>
      <w:r>
        <w:rPr>
          <w:rFonts w:cs="Tahoma"/>
          <w:color w:val="000000"/>
          <w:lang w:val="it-IT"/>
        </w:rPr>
        <w:t xml:space="preserve"> </w:t>
      </w:r>
      <w:r w:rsidRPr="00D87B79">
        <w:rPr>
          <w:rFonts w:cs="Tahoma"/>
          <w:color w:val="000000"/>
          <w:lang w:val="it-IT"/>
        </w:rPr>
        <w:t>software cesserà alla scadenza del diritto di utilizzo del software ai sensi delle licenze qualificanti.</w:t>
      </w:r>
      <w:r w:rsidRPr="00D87B79">
        <w:rPr>
          <w:rFonts w:cs="Tahoma"/>
        </w:rPr>
        <w:t xml:space="preserve"> </w:t>
      </w:r>
      <w:r w:rsidRPr="00D87B79">
        <w:rPr>
          <w:rFonts w:cs="Tahoma"/>
          <w:color w:val="000000"/>
          <w:lang w:val="it-IT"/>
        </w:rPr>
        <w:t>Questa</w:t>
      </w:r>
      <w:r>
        <w:rPr>
          <w:rFonts w:cs="Tahoma"/>
          <w:color w:val="000000"/>
          <w:lang w:val="it-IT"/>
        </w:rPr>
        <w:t xml:space="preserve"> </w:t>
      </w:r>
      <w:r w:rsidRPr="00D87B79">
        <w:rPr>
          <w:rFonts w:cs="Tahoma"/>
          <w:color w:val="000000"/>
          <w:lang w:val="it-IT"/>
        </w:rPr>
        <w:t>Nota relativa al Prodotto insieme alla prova delle licenze qualificanti attesteranno il diritto della società di utilizzare System Center 2012 ai sensi delle condizioni della presente offerta.</w:t>
      </w:r>
      <w:r w:rsidRPr="00D87B79">
        <w:rPr>
          <w:rFonts w:cs="Tahoma"/>
        </w:rPr>
        <w:t xml:space="preserve"> </w:t>
      </w:r>
      <w:r w:rsidRPr="00D87B79">
        <w:rPr>
          <w:rFonts w:cs="Tahoma"/>
          <w:color w:val="000000"/>
          <w:lang w:val="it-IT"/>
        </w:rPr>
        <w:t>La società non avrà</w:t>
      </w:r>
      <w:r>
        <w:rPr>
          <w:rFonts w:cs="Tahoma"/>
          <w:color w:val="000000"/>
          <w:lang w:val="it-IT"/>
        </w:rPr>
        <w:t xml:space="preserve"> </w:t>
      </w:r>
      <w:r w:rsidRPr="00D87B79">
        <w:rPr>
          <w:rFonts w:cs="Tahoma"/>
          <w:color w:val="000000"/>
          <w:lang w:val="it-IT"/>
        </w:rPr>
        <w:t>più il diritto</w:t>
      </w:r>
      <w:r>
        <w:rPr>
          <w:rFonts w:cs="Tahoma"/>
          <w:color w:val="000000"/>
          <w:lang w:val="it-IT"/>
        </w:rPr>
        <w:t> </w:t>
      </w:r>
      <w:r w:rsidRPr="00D87B79">
        <w:rPr>
          <w:rFonts w:cs="Tahoma"/>
          <w:color w:val="000000"/>
          <w:lang w:val="it-IT"/>
        </w:rPr>
        <w:t>di utilizzo del software ai sensi di licenze qualificanti cedute al server al momento dell’aggiornamento a System Center 2012. Le società non potranno trasferire le licenze ottenute in</w:t>
      </w:r>
      <w:r>
        <w:rPr>
          <w:rFonts w:cs="Tahoma"/>
          <w:color w:val="000000"/>
          <w:lang w:val="it-IT"/>
        </w:rPr>
        <w:t xml:space="preserve"> </w:t>
      </w:r>
      <w:r w:rsidRPr="00D87B79">
        <w:rPr>
          <w:rFonts w:cs="Tahoma"/>
          <w:color w:val="000000"/>
          <w:lang w:val="it-IT"/>
        </w:rPr>
        <w:t>base</w:t>
      </w:r>
      <w:r>
        <w:rPr>
          <w:rFonts w:cs="Tahoma"/>
          <w:color w:val="000000"/>
          <w:lang w:val="it-IT"/>
        </w:rPr>
        <w:t xml:space="preserve"> </w:t>
      </w:r>
      <w:r w:rsidRPr="00D87B79">
        <w:rPr>
          <w:rFonts w:cs="Tahoma"/>
          <w:color w:val="000000"/>
          <w:lang w:val="it-IT"/>
        </w:rPr>
        <w:t>alla</w:t>
      </w:r>
      <w:r>
        <w:rPr>
          <w:rFonts w:cs="Tahoma"/>
          <w:color w:val="000000"/>
          <w:lang w:val="it-IT"/>
        </w:rPr>
        <w:t xml:space="preserve"> </w:t>
      </w:r>
      <w:r w:rsidRPr="00D87B79">
        <w:rPr>
          <w:rFonts w:cs="Tahoma"/>
          <w:color w:val="000000"/>
          <w:lang w:val="it-IT"/>
        </w:rPr>
        <w:t>presente offerta separatamente dalle licenze qualificanti corrispondenti.</w:t>
      </w:r>
    </w:p>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color w:val="000000"/>
          <w:lang w:val="it-IT"/>
        </w:rPr>
        <w:t>Per le Società con Contratti Enterprise</w:t>
      </w:r>
    </w:p>
    <w:p w:rsidR="00A92422" w:rsidRPr="00D87B79" w:rsidRDefault="00A92422" w:rsidP="00A92422">
      <w:pPr>
        <w:ind w:left="720"/>
        <w:rPr>
          <w:rFonts w:cs="Tahoma"/>
        </w:rPr>
      </w:pPr>
      <w:r w:rsidRPr="00D87B79">
        <w:rPr>
          <w:rFonts w:cs="Tahoma"/>
          <w:color w:val="000000"/>
          <w:lang w:val="it-IT"/>
        </w:rPr>
        <w:t>Le licenze* acquistate il giorno stesso o in un giorno precedente la prima ricorrenza della data di entrata in vigore dell’iscrizione di una società dopo il 17 gennaio 2012 nel quadro dell’annuale processo di true-up di una società si qualificano per la concessione di licenze descritta in precedenza. Le licenze acquistate dopo tale data non si qualificheranno per una concessione delle licenze per System Center 2012 ai fini della presente offerta.</w:t>
      </w:r>
      <w:r w:rsidRPr="00D87B79">
        <w:rPr>
          <w:rFonts w:cs="Tahoma"/>
        </w:rPr>
        <w:t xml:space="preserve"> </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b/>
          <w:color w:val="000000"/>
          <w:vertAlign w:val="superscript"/>
          <w:lang w:val="it-IT"/>
        </w:rPr>
        <w:t>*</w:t>
      </w:r>
      <w:r w:rsidRPr="00D87B79">
        <w:rPr>
          <w:rFonts w:cs="Tahoma"/>
          <w:color w:val="000000"/>
          <w:lang w:val="it-IT"/>
        </w:rPr>
        <w:t>Per quanto riguarda System Center Server Management Suite Enterprise, System Center Server Management Suite Datacenter, System Center Client Management Suite e System Center Configuration Manager Client Management License, tutte le licenze acquistate fino alla scadenza del contratto si qualificano per la concessione.</w:t>
      </w:r>
    </w:p>
    <w:p w:rsidR="00A92422"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color w:val="000000"/>
          <w:lang w:val="it-IT"/>
        </w:rPr>
        <w:t>Per le Società con Contratti Enterprise Subscription, Campus e School (tra cui Enrollment for</w:t>
      </w:r>
      <w:r>
        <w:rPr>
          <w:rFonts w:cs="Tahoma"/>
          <w:b/>
          <w:color w:val="000000"/>
          <w:lang w:val="it-IT"/>
        </w:rPr>
        <w:t> </w:t>
      </w:r>
      <w:r w:rsidRPr="00D87B79">
        <w:rPr>
          <w:rFonts w:cs="Tahoma"/>
          <w:b/>
          <w:color w:val="000000"/>
          <w:lang w:val="it-IT"/>
        </w:rPr>
        <w:t>Education Solutions) e Open Value Subscription</w:t>
      </w:r>
    </w:p>
    <w:p w:rsidR="00A92422" w:rsidRPr="00D87B79" w:rsidRDefault="00A92422" w:rsidP="00A92422">
      <w:pPr>
        <w:ind w:left="720"/>
        <w:rPr>
          <w:rFonts w:cs="Tahoma"/>
        </w:rPr>
      </w:pPr>
      <w:r w:rsidRPr="00D87B79">
        <w:rPr>
          <w:rFonts w:cs="Tahoma"/>
          <w:color w:val="000000"/>
          <w:lang w:val="it-IT"/>
        </w:rPr>
        <w:t>Le licenze sono concesse ai sensi delle medesime condizioni, ma temporaneamente, fino al termine del</w:t>
      </w:r>
      <w:r>
        <w:rPr>
          <w:rFonts w:cs="Tahoma"/>
          <w:color w:val="000000"/>
          <w:lang w:val="it-IT"/>
        </w:rPr>
        <w:t> </w:t>
      </w:r>
      <w:r w:rsidRPr="00D87B79">
        <w:rPr>
          <w:rFonts w:cs="Tahoma"/>
          <w:color w:val="000000"/>
          <w:lang w:val="it-IT"/>
        </w:rPr>
        <w:t>periodo di validità dell’iscrizione Enterprise Subscription, del contratto Campus, School o Open Value Subscription oppure di Enrollment for Education Solutions, a condizione che la società mantenga la copertura della sottoscrizione in via continuativa.</w:t>
      </w:r>
      <w:r w:rsidRPr="00D87B79">
        <w:rPr>
          <w:rFonts w:cs="Tahoma"/>
        </w:rPr>
        <w:t xml:space="preserve"> </w:t>
      </w:r>
      <w:r w:rsidRPr="00D87B79">
        <w:rPr>
          <w:rFonts w:cs="Tahoma"/>
          <w:color w:val="000000"/>
          <w:lang w:val="it-IT"/>
        </w:rPr>
        <w:t>Le società che scelgono di eseguire il buy-out delle licenze</w:t>
      </w:r>
      <w:r>
        <w:rPr>
          <w:rFonts w:cs="Tahoma"/>
          <w:color w:val="000000"/>
          <w:lang w:val="it-IT"/>
        </w:rPr>
        <w:t> </w:t>
      </w:r>
      <w:r w:rsidRPr="00D87B79">
        <w:rPr>
          <w:rFonts w:cs="Tahoma"/>
          <w:color w:val="000000"/>
          <w:lang w:val="it-IT"/>
        </w:rPr>
        <w:t>hanno due opzioni.</w:t>
      </w:r>
      <w:r w:rsidRPr="00D87B79">
        <w:rPr>
          <w:rFonts w:cs="Tahoma"/>
        </w:rPr>
        <w:t xml:space="preserve"> </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color w:val="000000"/>
          <w:lang w:val="it-IT"/>
        </w:rPr>
        <w:t>Opzione 1: acquistare licenze per i prodotti System Center corrispondenti alle licenze qualificanti della società. In base a questa opzione la società non sarà idonea ad aggiungere Software Assurance alla licenza o a utilizzare System Center 2012 o qualsiasi altra versione successiva del software System Center.</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bCs/>
          <w:color w:val="000000"/>
          <w:szCs w:val="18"/>
          <w:lang w:val="it-IT"/>
        </w:rPr>
        <w:t>Opzione 2: acquistare licenze per System Center 2012 corrispondenti alle licenze qualificanti della società.</w:t>
      </w:r>
      <w:r w:rsidRPr="00D87B79">
        <w:rPr>
          <w:rFonts w:cs="Tahoma"/>
        </w:rPr>
        <w:t xml:space="preserve"> </w:t>
      </w:r>
      <w:r w:rsidRPr="00D87B79">
        <w:rPr>
          <w:rFonts w:cs="Tahoma"/>
          <w:color w:val="000000"/>
          <w:lang w:val="it-IT"/>
        </w:rPr>
        <w:t>In</w:t>
      </w:r>
      <w:r>
        <w:rPr>
          <w:rFonts w:cs="Tahoma"/>
          <w:color w:val="000000"/>
          <w:lang w:val="it-IT"/>
        </w:rPr>
        <w:t> </w:t>
      </w:r>
      <w:r w:rsidRPr="00D87B79">
        <w:rPr>
          <w:rFonts w:cs="Tahoma"/>
          <w:color w:val="000000"/>
          <w:lang w:val="it-IT"/>
        </w:rPr>
        <w:t>base a questa opzione la società sarà idonea ad aggiungere Software Assurance.</w:t>
      </w:r>
    </w:p>
    <w:p w:rsidR="00A92422"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color w:val="000000"/>
          <w:lang w:val="it-IT"/>
        </w:rPr>
        <w:t>Concessione di Licenza Alternativa per System Center 2012 Standard per le Società in possesso di Server con Più di Due Processori</w:t>
      </w:r>
    </w:p>
    <w:p w:rsidR="00A92422" w:rsidRPr="00D87B79" w:rsidRDefault="00A92422" w:rsidP="00A92422">
      <w:pPr>
        <w:ind w:left="720"/>
        <w:rPr>
          <w:rFonts w:cs="Tahoma"/>
        </w:rPr>
      </w:pPr>
      <w:r w:rsidRPr="00D87B79">
        <w:rPr>
          <w:rFonts w:cs="Tahoma"/>
          <w:szCs w:val="18"/>
          <w:lang w:val="it-IT"/>
        </w:rPr>
        <w:t>Ciascuna Server ML per System Center 2012 Standard copre fino a due processori di un server fisico.</w:t>
      </w:r>
      <w:r w:rsidRPr="00D87B79">
        <w:rPr>
          <w:rFonts w:cs="Tahoma"/>
          <w:szCs w:val="18"/>
        </w:rPr>
        <w:t xml:space="preserve"> </w:t>
      </w:r>
      <w:r w:rsidRPr="00D87B79">
        <w:rPr>
          <w:rFonts w:cs="Tahoma"/>
          <w:szCs w:val="18"/>
          <w:lang w:val="it-IT"/>
        </w:rPr>
        <w:t>Le</w:t>
      </w:r>
      <w:r>
        <w:rPr>
          <w:rFonts w:cs="Tahoma"/>
          <w:szCs w:val="18"/>
          <w:lang w:val="it-IT"/>
        </w:rPr>
        <w:t> </w:t>
      </w:r>
      <w:r w:rsidRPr="00D87B79">
        <w:rPr>
          <w:rFonts w:cs="Tahoma"/>
          <w:szCs w:val="18"/>
          <w:lang w:val="it-IT"/>
        </w:rPr>
        <w:t>società titolari di licenze qualificanti cedute a server con più di due processori in data 1 aprile 2012 o</w:t>
      </w:r>
      <w:r>
        <w:rPr>
          <w:rFonts w:cs="Tahoma"/>
          <w:szCs w:val="18"/>
          <w:lang w:val="it-IT"/>
        </w:rPr>
        <w:t> </w:t>
      </w:r>
      <w:r w:rsidRPr="00D87B79">
        <w:rPr>
          <w:rFonts w:cs="Tahoma"/>
          <w:szCs w:val="18"/>
          <w:lang w:val="it-IT"/>
        </w:rPr>
        <w:t>alla</w:t>
      </w:r>
      <w:r>
        <w:rPr>
          <w:rFonts w:cs="Tahoma"/>
          <w:szCs w:val="18"/>
          <w:lang w:val="it-IT"/>
        </w:rPr>
        <w:t> </w:t>
      </w:r>
      <w:r w:rsidRPr="00D87B79">
        <w:rPr>
          <w:rFonts w:cs="Tahoma"/>
          <w:szCs w:val="18"/>
          <w:lang w:val="it-IT"/>
        </w:rPr>
        <w:t>prima ricorrenza annuale della società dopo il 17 gennaio 2012, a seconda di quale delle due date si</w:t>
      </w:r>
      <w:r>
        <w:rPr>
          <w:rFonts w:cs="Tahoma"/>
          <w:szCs w:val="18"/>
          <w:lang w:val="it-IT"/>
        </w:rPr>
        <w:t> </w:t>
      </w:r>
      <w:r w:rsidRPr="00D87B79">
        <w:rPr>
          <w:rFonts w:cs="Tahoma"/>
          <w:szCs w:val="18"/>
          <w:lang w:val="it-IT"/>
        </w:rPr>
        <w:t>verificherà per ultima, potranno scegliere una concessione alternativa di un numero di Server ML per System Center 2012 Standard pari al numero di processori fisici sul server gestito diviso per due.</w:t>
      </w:r>
      <w:r w:rsidRPr="00D87B79">
        <w:rPr>
          <w:rFonts w:cs="Tahoma"/>
          <w:szCs w:val="18"/>
        </w:rPr>
        <w:t xml:space="preserve"> </w:t>
      </w:r>
      <w:r w:rsidRPr="00D87B79">
        <w:rPr>
          <w:rFonts w:cs="Tahoma"/>
          <w:szCs w:val="18"/>
          <w:lang w:val="it-IT"/>
        </w:rPr>
        <w:t>Il server dovrà disporre di una licenza completa per consentire la gestione degli ambienti del sistema operativo sul quel server ai sensi delle condizioni delle licenze qualificanti al momento della concessione.</w:t>
      </w:r>
      <w:r w:rsidRPr="00D87B79">
        <w:rPr>
          <w:rFonts w:cs="Tahoma"/>
          <w:szCs w:val="18"/>
        </w:rPr>
        <w:t xml:space="preserve"> </w:t>
      </w:r>
      <w:r w:rsidRPr="00D87B79">
        <w:rPr>
          <w:rFonts w:cs="Tahoma"/>
          <w:szCs w:val="18"/>
          <w:lang w:val="it-IT"/>
        </w:rPr>
        <w:t>La concessione alternativa garantisce che i server della società continuino a disporre di una licenza completa per tutto il</w:t>
      </w:r>
      <w:r>
        <w:rPr>
          <w:rFonts w:cs="Tahoma"/>
          <w:szCs w:val="18"/>
          <w:lang w:val="it-IT"/>
        </w:rPr>
        <w:t> </w:t>
      </w:r>
      <w:r w:rsidRPr="00D87B79">
        <w:rPr>
          <w:rFonts w:cs="Tahoma"/>
          <w:szCs w:val="18"/>
          <w:lang w:val="it-IT"/>
        </w:rPr>
        <w:t>periodo della transizione.</w:t>
      </w:r>
      <w:r w:rsidRPr="00D87B79">
        <w:rPr>
          <w:rFonts w:cs="Tahoma"/>
          <w:szCs w:val="18"/>
        </w:rPr>
        <w:t xml:space="preserve"> </w:t>
      </w:r>
      <w:r w:rsidRPr="00D87B79">
        <w:rPr>
          <w:rFonts w:cs="Tahoma"/>
          <w:szCs w:val="18"/>
          <w:lang w:val="it-IT"/>
        </w:rPr>
        <w:t>La società dovrà documentare il numero di processori fisici presenti nel server gestito utilizzando lo strumento Microsoft MAP o un software equivalente.</w:t>
      </w:r>
      <w:r w:rsidRPr="00D87B79">
        <w:rPr>
          <w:rFonts w:cs="Tahoma"/>
          <w:szCs w:val="18"/>
        </w:rPr>
        <w:t xml:space="preserve"> </w:t>
      </w:r>
      <w:r w:rsidRPr="00D87B79">
        <w:rPr>
          <w:rFonts w:cs="Tahoma"/>
          <w:szCs w:val="18"/>
          <w:lang w:val="it-IT"/>
        </w:rPr>
        <w:t>Questa documentazione insieme alla prova delle licenze qualificanti e alla presente Nota relativa al Prodotto attesteranno il diritto della società di utilizzare System Center 2012 ai sensi delle condizioni della presente offerta.</w:t>
      </w:r>
      <w:r w:rsidRPr="00D87B79">
        <w:rPr>
          <w:rFonts w:cs="Tahoma"/>
        </w:rPr>
        <w:t xml:space="preserve"> </w:t>
      </w:r>
      <w:r w:rsidRPr="00D87B79">
        <w:rPr>
          <w:rFonts w:cs="Tahoma"/>
          <w:lang w:val="it-IT"/>
        </w:rPr>
        <w:t>La società non avrà</w:t>
      </w:r>
      <w:r>
        <w:rPr>
          <w:rFonts w:cs="Tahoma"/>
          <w:lang w:val="it-IT"/>
        </w:rPr>
        <w:t> </w:t>
      </w:r>
      <w:r w:rsidRPr="00D87B79">
        <w:rPr>
          <w:rFonts w:cs="Tahoma"/>
          <w:lang w:val="it-IT"/>
        </w:rPr>
        <w:t>più il diritto di utilizzo del software ai sensi di licenze qualificanti cedute al server al momento dell’aggiornamento a System Center 2012. Le società non potranno trasferire le licenze ottenute in base alla</w:t>
      </w:r>
      <w:r>
        <w:rPr>
          <w:rFonts w:cs="Tahoma"/>
          <w:lang w:val="it-IT"/>
        </w:rPr>
        <w:t> </w:t>
      </w:r>
      <w:r w:rsidRPr="00D87B79">
        <w:rPr>
          <w:rFonts w:cs="Tahoma"/>
          <w:lang w:val="it-IT"/>
        </w:rPr>
        <w:t>presente offerta separatamente dalle licenze qualificanti corrispondenti.</w:t>
      </w:r>
    </w:p>
    <w:p w:rsidR="00A92422" w:rsidRPr="00D87B79" w:rsidRDefault="00A92422" w:rsidP="00A92422">
      <w:pPr>
        <w:tabs>
          <w:tab w:val="left" w:pos="2970"/>
        </w:tabs>
        <w:ind w:left="720"/>
        <w:contextualSpacing/>
        <w:rPr>
          <w:rFonts w:cs="Tahoma"/>
        </w:rPr>
      </w:pPr>
    </w:p>
    <w:p w:rsidR="00A92422" w:rsidRPr="00D87B79" w:rsidRDefault="00A92422" w:rsidP="00A92422">
      <w:pPr>
        <w:spacing w:after="60"/>
        <w:ind w:left="720"/>
        <w:rPr>
          <w:rFonts w:cs="Tahoma"/>
        </w:rPr>
      </w:pPr>
      <w:r w:rsidRPr="00D87B79">
        <w:rPr>
          <w:rFonts w:cs="Tahoma"/>
          <w:b/>
          <w:color w:val="000000"/>
          <w:lang w:val="it-IT"/>
        </w:rPr>
        <w:lastRenderedPageBreak/>
        <w:t>Concessione di Licenza Alternativa per System Center 2012 Datacenter per le Società in possesso di licenze qualificanti per Virtual Machine Manager (Enterprise Server ML per VMM)</w:t>
      </w:r>
    </w:p>
    <w:p w:rsidR="00A92422" w:rsidRPr="00D87B79" w:rsidRDefault="00A92422" w:rsidP="00A92422">
      <w:pPr>
        <w:tabs>
          <w:tab w:val="left" w:pos="2970"/>
        </w:tabs>
        <w:ind w:left="720"/>
        <w:contextualSpacing/>
        <w:rPr>
          <w:rFonts w:cs="Tahoma"/>
        </w:rPr>
      </w:pPr>
      <w:r w:rsidRPr="00D87B79">
        <w:rPr>
          <w:rFonts w:cs="Tahoma"/>
          <w:szCs w:val="18"/>
          <w:lang w:val="it-IT"/>
        </w:rPr>
        <w:t>Le società titolari di Enterprise Server ML qualificanti per VMM cedute a server con più di due processori in data 1 aprile 2012 o alla prima ricorrenza annuale della società dopo il 17 gennaio 2012, a seconda di quale delle due date si verificherà per ultima, potranno scegliere una concessione alternativa di un numero di Server ML per System Center 2012 Datacenter pari al numero di processori fisici sul server gestito diviso per</w:t>
      </w:r>
      <w:r>
        <w:rPr>
          <w:rFonts w:cs="Tahoma"/>
          <w:szCs w:val="18"/>
          <w:lang w:val="it-IT"/>
        </w:rPr>
        <w:t> </w:t>
      </w:r>
      <w:r w:rsidRPr="00D87B79">
        <w:rPr>
          <w:rFonts w:cs="Tahoma"/>
          <w:szCs w:val="18"/>
          <w:lang w:val="it-IT"/>
        </w:rPr>
        <w:t>due.</w:t>
      </w:r>
      <w:r w:rsidRPr="00D87B79">
        <w:rPr>
          <w:rFonts w:cs="Tahoma"/>
          <w:szCs w:val="18"/>
        </w:rPr>
        <w:t xml:space="preserve"> </w:t>
      </w:r>
      <w:r w:rsidRPr="00D87B79">
        <w:rPr>
          <w:rFonts w:cs="Tahoma"/>
          <w:szCs w:val="18"/>
          <w:lang w:val="it-IT"/>
        </w:rPr>
        <w:t>La concessione alternativa garantisce che i server della società continuino a disporre di una licenza completa per tutto il periodo della transizione.</w:t>
      </w:r>
      <w:r w:rsidRPr="00D87B79">
        <w:rPr>
          <w:rFonts w:cs="Tahoma"/>
          <w:szCs w:val="18"/>
        </w:rPr>
        <w:t xml:space="preserve"> </w:t>
      </w:r>
      <w:r w:rsidRPr="00D87B79">
        <w:rPr>
          <w:rFonts w:cs="Tahoma"/>
          <w:szCs w:val="18"/>
          <w:lang w:val="it-IT"/>
        </w:rPr>
        <w:t>La società dovrà documentare il numero di processori fisici presenti nel server gestito utilizzando lo strumento Microsoft MAP o un software equivalente.</w:t>
      </w:r>
      <w:r w:rsidRPr="00D87B79">
        <w:rPr>
          <w:rFonts w:cs="Tahoma"/>
          <w:szCs w:val="18"/>
        </w:rPr>
        <w:t xml:space="preserve"> </w:t>
      </w:r>
      <w:r w:rsidRPr="00D87B79">
        <w:rPr>
          <w:rFonts w:cs="Tahoma"/>
          <w:szCs w:val="18"/>
          <w:lang w:val="it-IT"/>
        </w:rPr>
        <w:t>Questa documentazione insieme alla prova delle licenze qualificanti e alla presente Nota relativa al Prodotto attesteranno il diritto della società di utilizzare System Center 2012 ai sensi delle condizioni della presente offerta.</w:t>
      </w:r>
      <w:r w:rsidRPr="00D87B79">
        <w:rPr>
          <w:rFonts w:cs="Tahoma"/>
        </w:rPr>
        <w:t xml:space="preserve"> </w:t>
      </w:r>
      <w:r w:rsidRPr="00D87B79">
        <w:rPr>
          <w:rFonts w:cs="Tahoma"/>
          <w:lang w:val="it-IT"/>
        </w:rPr>
        <w:t>La società non avrà più il diritto di utilizzo del software ai sensi di licenze qualificanti cedute al server al momento dell’aggiornamento a System Center 2012. Le società non potranno trasferire le licenze ottenute in base alla presente offerta separatamente dalle licenze qualificanti corrispondenti.</w:t>
      </w:r>
    </w:p>
    <w:p w:rsidR="00A92422" w:rsidRDefault="00A92422" w:rsidP="00A92422">
      <w:pPr>
        <w:spacing w:after="60"/>
        <w:rPr>
          <w:rFonts w:cs="Tahoma"/>
          <w:b/>
          <w:color w:val="000000"/>
          <w:lang w:val="it-IT"/>
        </w:rPr>
      </w:pPr>
    </w:p>
    <w:p w:rsidR="00A92422" w:rsidRPr="00D87B79" w:rsidRDefault="00A92422" w:rsidP="00A92422">
      <w:pPr>
        <w:spacing w:after="60"/>
        <w:ind w:left="720"/>
        <w:rPr>
          <w:rFonts w:cs="Tahoma"/>
        </w:rPr>
      </w:pPr>
      <w:r w:rsidRPr="00D87B79">
        <w:rPr>
          <w:rFonts w:cs="Tahoma"/>
          <w:b/>
          <w:color w:val="000000"/>
          <w:lang w:val="it-IT"/>
        </w:rPr>
        <w:t>Società che Rinnovano Software Assurance Prima del 1 Ottobre 2012</w:t>
      </w:r>
    </w:p>
    <w:p w:rsidR="00A92422" w:rsidRPr="00D87B79" w:rsidRDefault="00A92422" w:rsidP="00A92422">
      <w:pPr>
        <w:ind w:left="720"/>
        <w:rPr>
          <w:rFonts w:cs="Tahoma"/>
        </w:rPr>
      </w:pPr>
      <w:r w:rsidRPr="00D87B79">
        <w:rPr>
          <w:rFonts w:cs="Tahoma"/>
          <w:color w:val="000000"/>
          <w:lang w:val="it-IT"/>
        </w:rPr>
        <w:t xml:space="preserve">Le società titolari di contratti Academic, Open e Open Value che rinnovano </w:t>
      </w:r>
      <w:r w:rsidRPr="00D87B79">
        <w:rPr>
          <w:rFonts w:cs="Tahoma"/>
          <w:lang w:val="it-IT"/>
        </w:rPr>
        <w:t xml:space="preserve">Software Assurance per System Center 2012 prima del 1 ottobre 2012 saranno idonee a rinnovare la copertura per le </w:t>
      </w:r>
      <w:r w:rsidRPr="00D87B79">
        <w:rPr>
          <w:rFonts w:cs="Tahoma"/>
          <w:color w:val="000000"/>
          <w:lang w:val="it-IT"/>
        </w:rPr>
        <w:t>licenze che li qualificano per la concessione di licenza per System Center 2012 (ciascuna, una “licenza qualificante”).</w:t>
      </w:r>
      <w:r w:rsidRPr="00D87B79">
        <w:rPr>
          <w:rFonts w:cs="Tahoma"/>
        </w:rPr>
        <w:t xml:space="preserve"> </w:t>
      </w:r>
      <w:r w:rsidRPr="00D87B79">
        <w:rPr>
          <w:rFonts w:cs="Tahoma"/>
          <w:color w:val="000000"/>
          <w:lang w:val="it-IT"/>
        </w:rPr>
        <w:t>Rinnovando la copertura per una licenza qualificante, una società rinnoverà automaticamente la copertura per la licenza o le licenze per System Center 2012 corrispondenti fornite attraverso la concessione.</w:t>
      </w:r>
      <w:r w:rsidRPr="00D87B79">
        <w:rPr>
          <w:rFonts w:cs="Tahoma"/>
        </w:rPr>
        <w:t xml:space="preserve"> </w:t>
      </w:r>
      <w:r w:rsidRPr="00D87B79">
        <w:rPr>
          <w:rFonts w:cs="Tahoma"/>
          <w:color w:val="000000"/>
          <w:lang w:val="it-IT"/>
        </w:rPr>
        <w:t>Di conseguenza, la società sarà idonea per qualsiasi versione successiva di System Center 2012 resa disponibile durante il periodo di validità rinnovato della copertura Software Assurance e sarà altresì idonea a rinnovare la copertura per System Center 2012 sulla base dei prezzi per il rinnovo di System Center 2012 in vigore in quel momento, alla scadenza della copertura ordinata ai sensi della presente offerta.</w:t>
      </w:r>
      <w:r w:rsidRPr="00D87B79">
        <w:rPr>
          <w:rFonts w:cs="Tahoma"/>
        </w:rPr>
        <w:t xml:space="preserve"> </w:t>
      </w:r>
      <w:r w:rsidRPr="00D87B79">
        <w:rPr>
          <w:rFonts w:cs="Tahoma"/>
          <w:color w:val="000000"/>
          <w:lang w:val="it-IT"/>
        </w:rPr>
        <w:t>Nonostante il rinnovo di Software Assurance per le licenze qualificanti, le condizioni della concessione di licenza per System Center 2012 rimangono pienamente vincolanti ed efficaci.</w:t>
      </w:r>
      <w:r w:rsidRPr="00D87B79">
        <w:rPr>
          <w:rFonts w:cs="Tahoma"/>
        </w:rPr>
        <w:t xml:space="preserve"> </w:t>
      </w:r>
      <w:r w:rsidRPr="00D87B79">
        <w:rPr>
          <w:rFonts w:cs="Tahoma"/>
          <w:color w:val="000000"/>
          <w:lang w:val="it-IT"/>
        </w:rPr>
        <w:t>Di conseguenza, le società non potranno utilizzare contemporaneamente software ai sensi sia di una licenza qualificante che delle licenze corrispondenti per System Center 2012.</w:t>
      </w:r>
      <w:r w:rsidRPr="00D87B79">
        <w:rPr>
          <w:rFonts w:cs="Tahoma"/>
        </w:rPr>
        <w:t xml:space="preserve"> </w:t>
      </w:r>
      <w:r w:rsidRPr="00D87B79">
        <w:rPr>
          <w:rFonts w:cs="Tahoma"/>
          <w:color w:val="000000"/>
          <w:lang w:val="it-IT"/>
        </w:rPr>
        <w:t>Licenza e Software Assurance (L&amp;SA) per le nuove licenze acquistate in occasione del rinnovo dovrà essere ordinata sulla base dei prezzi per System Center 2012.</w:t>
      </w:r>
      <w:r w:rsidRPr="00D87B79">
        <w:rPr>
          <w:rFonts w:cs="Tahoma"/>
        </w:rPr>
        <w:t> </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lang w:val="it-IT"/>
        </w:rPr>
        <w:t>Analogamente qualsiasi altra società che rinnovi Software Assurance prima del 1 ottobre 2012 per le licenze</w:t>
      </w:r>
      <w:r>
        <w:rPr>
          <w:rFonts w:cs="Tahoma"/>
          <w:lang w:val="it-IT"/>
        </w:rPr>
        <w:t> </w:t>
      </w:r>
      <w:r w:rsidRPr="00D87B79">
        <w:rPr>
          <w:rFonts w:cs="Tahoma"/>
          <w:lang w:val="it-IT"/>
        </w:rPr>
        <w:t>per System Center 2012 concesse ai sensi della presente offerta potrà essere idonea a rinnovare la</w:t>
      </w:r>
      <w:r>
        <w:rPr>
          <w:rFonts w:cs="Tahoma"/>
          <w:lang w:val="it-IT"/>
        </w:rPr>
        <w:t> </w:t>
      </w:r>
      <w:r w:rsidRPr="00D87B79">
        <w:rPr>
          <w:rFonts w:cs="Tahoma"/>
          <w:lang w:val="it-IT"/>
        </w:rPr>
        <w:t>copertura, sulla base dei prezzi per Software Assurance, per le licenze che li qualificano per la concessione.</w:t>
      </w:r>
      <w:r w:rsidRPr="00D87B79">
        <w:rPr>
          <w:rFonts w:cs="Tahoma"/>
        </w:rPr>
        <w:t xml:space="preserve"> </w:t>
      </w:r>
      <w:r w:rsidRPr="00D87B79">
        <w:rPr>
          <w:rFonts w:cs="Tahoma"/>
          <w:lang w:val="it-IT"/>
        </w:rPr>
        <w:t>Per dettagli, le società dovranno contattare il proprio rivenditore o l’account manager designato da Microsoft.</w:t>
      </w:r>
      <w:r w:rsidRPr="00D87B79">
        <w:rPr>
          <w:rFonts w:cs="Tahoma"/>
        </w:rPr>
        <w:t xml:space="preserve"> </w:t>
      </w:r>
      <w:r w:rsidRPr="00D87B79">
        <w:rPr>
          <w:rFonts w:cs="Tahoma"/>
          <w:lang w:val="it-IT"/>
        </w:rPr>
        <w:t>Tale offerta non si applica al rinnovo di Software Assurance per le licenze di gestione client per System Center Client Management Suite e System Center Configuration Manager.</w:t>
      </w:r>
      <w:r w:rsidRPr="00D87B79">
        <w:rPr>
          <w:rFonts w:cs="Tahoma"/>
        </w:rPr>
        <w:t xml:space="preserve"> </w:t>
      </w:r>
    </w:p>
    <w:p w:rsidR="00A92422" w:rsidRDefault="00A92422" w:rsidP="00A92422">
      <w:pPr>
        <w:rPr>
          <w:rFonts w:cs="Tahoma"/>
        </w:rPr>
      </w:pPr>
    </w:p>
    <w:p w:rsidR="00A92422" w:rsidRPr="00D87B79" w:rsidRDefault="00A92422" w:rsidP="00A92422">
      <w:pPr>
        <w:rPr>
          <w:rFonts w:cs="Tahoma"/>
        </w:rPr>
      </w:pPr>
    </w:p>
    <w:p w:rsidR="00A92422" w:rsidRPr="00D87B79" w:rsidRDefault="00A92422" w:rsidP="00A92422">
      <w:pPr>
        <w:pStyle w:val="Heading3"/>
        <w:rPr>
          <w:rFonts w:ascii="Tahoma" w:hAnsi="Tahoma" w:cs="Tahoma"/>
        </w:rPr>
      </w:pPr>
      <w:bookmarkStart w:id="1516" w:name="_103_System_Center"/>
      <w:bookmarkStart w:id="1517" w:name="_91_System_Center"/>
      <w:bookmarkStart w:id="1518" w:name="_Toc336338359"/>
      <w:bookmarkStart w:id="1519" w:name="Srv_102SysCtr2012EndpointProt"/>
      <w:bookmarkStart w:id="1520" w:name="_Toc342900401"/>
      <w:bookmarkEnd w:id="1516"/>
      <w:bookmarkEnd w:id="1517"/>
      <w:bookmarkEnd w:id="1518"/>
      <w:bookmarkEnd w:id="1519"/>
      <w:r w:rsidRPr="00D87B79">
        <w:rPr>
          <w:rFonts w:ascii="Tahoma" w:hAnsi="Tahoma" w:cs="Tahoma"/>
          <w:caps/>
          <w:color w:val="F66400"/>
          <w:sz w:val="22"/>
          <w:vertAlign w:val="superscript"/>
          <w:lang w:val="it-IT"/>
        </w:rPr>
        <w:t>91</w:t>
      </w:r>
      <w:r w:rsidRPr="00D87B79">
        <w:rPr>
          <w:rFonts w:ascii="Tahoma" w:hAnsi="Tahoma" w:cs="Tahoma"/>
          <w:color w:val="F66400"/>
          <w:sz w:val="22"/>
          <w:lang w:val="it-IT"/>
        </w:rPr>
        <w:t xml:space="preserve"> System Center 2012 Endpoint Protection</w:t>
      </w:r>
      <w:bookmarkEnd w:id="1520"/>
    </w:p>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lang w:val="it-IT"/>
        </w:rPr>
        <w:t>Aggiornamenti/Downgrade</w:t>
      </w:r>
    </w:p>
    <w:p w:rsidR="00A92422" w:rsidRPr="00D87B79" w:rsidRDefault="00A92422" w:rsidP="00A92422">
      <w:pPr>
        <w:ind w:left="720"/>
        <w:rPr>
          <w:rFonts w:cs="Tahoma"/>
        </w:rPr>
      </w:pPr>
      <w:r w:rsidRPr="00D87B79">
        <w:rPr>
          <w:rFonts w:eastAsia="Times New Roman" w:cs="Tahoma"/>
          <w:szCs w:val="18"/>
          <w:lang w:val="it-IT"/>
        </w:rPr>
        <w:t>A partire dal 1 aprile 2012 l’applicazione Forefront Endpoint Protection è diventata System Center 2012 Endpoint Protection.</w:t>
      </w:r>
      <w:r w:rsidRPr="00D87B79">
        <w:rPr>
          <w:rFonts w:eastAsia="Times New Roman" w:cs="Tahoma"/>
          <w:szCs w:val="18"/>
        </w:rPr>
        <w:t xml:space="preserve"> </w:t>
      </w:r>
      <w:r w:rsidRPr="00D87B79">
        <w:rPr>
          <w:rFonts w:eastAsia="Times New Roman" w:cs="Tahoma"/>
          <w:szCs w:val="18"/>
          <w:lang w:val="it-IT"/>
        </w:rPr>
        <w:t>System Center 2012 Endpoint Protection, trattandosi di un’offerta standalone, conferisce diritti sull’utilizzo solo per proteggere i dispositivi client.</w:t>
      </w:r>
      <w:r w:rsidRPr="00D87B79">
        <w:rPr>
          <w:rFonts w:cs="Tahoma"/>
        </w:rPr>
        <w:t xml:space="preserve"> </w:t>
      </w:r>
      <w:r w:rsidRPr="00D87B79">
        <w:rPr>
          <w:rFonts w:cs="Tahoma"/>
          <w:lang w:val="it-IT"/>
        </w:rPr>
        <w:t>I diritti sull’utilizzo per la protezione dei</w:t>
      </w:r>
      <w:r>
        <w:rPr>
          <w:rFonts w:cs="Tahoma"/>
          <w:lang w:val="it-IT"/>
        </w:rPr>
        <w:t> </w:t>
      </w:r>
      <w:r w:rsidRPr="00D87B79">
        <w:rPr>
          <w:rFonts w:cs="Tahoma"/>
          <w:lang w:val="it-IT"/>
        </w:rPr>
        <w:t>dispositivi server possono essere acquistati solo tramite l’acquisto di licenze di gestione server per System Center 2012 Standard o Datacenter.</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eastAsia="Times New Roman" w:cs="Tahoma"/>
          <w:szCs w:val="18"/>
          <w:lang w:val="it-IT"/>
        </w:rPr>
        <w:t>Gli utenti con sottoscrizioni di Forefront Endpoint Protection attive che utilizzano il servizio per proteggere i</w:t>
      </w:r>
      <w:r>
        <w:rPr>
          <w:rFonts w:eastAsia="Times New Roman" w:cs="Tahoma"/>
          <w:szCs w:val="18"/>
          <w:lang w:val="it-IT"/>
        </w:rPr>
        <w:t> </w:t>
      </w:r>
      <w:r w:rsidRPr="00D87B79">
        <w:rPr>
          <w:rFonts w:eastAsia="Times New Roman" w:cs="Tahoma"/>
          <w:szCs w:val="18"/>
          <w:lang w:val="it-IT"/>
        </w:rPr>
        <w:t>dispositivi client possono effettuare l’aggiornamento a System Center 2012 Endpoint Protection e utilizzare l’applicazione per lo stesso scopo.</w:t>
      </w:r>
      <w:r w:rsidRPr="00D87B79">
        <w:rPr>
          <w:rFonts w:cs="Tahoma"/>
        </w:rPr>
        <w:t xml:space="preserve"> </w:t>
      </w:r>
      <w:r w:rsidRPr="00D87B79">
        <w:rPr>
          <w:rFonts w:cs="Tahoma"/>
          <w:lang w:val="it-IT"/>
        </w:rPr>
        <w:t>Le società in possesso di sottoscrizioni di System Center 2012 Endpoint Protection potranno anche effettuare il downgrade a Forefront Endpoint Protection.</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lang w:val="it-IT"/>
        </w:rPr>
        <w:t>System Center 2012 Configuration Manager è la console di gestione di System Center 2012 Endpoint Protection. Le società dovranno avere la licenza per System Center 2012 Configuration Manager per fornire funzionalità di gestione a System Center 2012 Endpoint Protection. In alternativa, System Center 2012 Endpoint Protection può essere utilizzato senza funzionalità di gestione e senza dovere acquistare la licenza per System Center 2012 Configuration Manager.</w:t>
      </w:r>
      <w:r w:rsidRPr="00D87B79">
        <w:rPr>
          <w:rFonts w:cs="Tahoma"/>
        </w:rPr>
        <w:t xml:space="preserve"> </w:t>
      </w:r>
    </w:p>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lang w:val="it-IT"/>
        </w:rPr>
        <w:t>Home Use Program</w:t>
      </w:r>
    </w:p>
    <w:p w:rsidR="00A92422" w:rsidRPr="00D87B79" w:rsidRDefault="00A92422" w:rsidP="00A92422">
      <w:pPr>
        <w:ind w:left="720"/>
        <w:rPr>
          <w:rFonts w:cs="Tahoma"/>
        </w:rPr>
      </w:pPr>
      <w:r w:rsidRPr="00D87B79">
        <w:rPr>
          <w:rFonts w:cs="Tahoma"/>
          <w:lang w:val="it-IT"/>
        </w:rPr>
        <w:t>Le società in possesso di Licenze “Subscription” per Utente attive per System Center 2012 Endpoint Protection si qualificano per il programma Home Use Program.</w:t>
      </w:r>
    </w:p>
    <w:p w:rsidR="00A92422" w:rsidRPr="00D87B79" w:rsidRDefault="00A92422" w:rsidP="00A92422">
      <w:pPr>
        <w:rPr>
          <w:rFonts w:cs="Tahoma"/>
        </w:rPr>
      </w:pPr>
    </w:p>
    <w:p w:rsidR="00A92422" w:rsidRPr="00D87B79" w:rsidRDefault="00A92422" w:rsidP="00A92422">
      <w:pPr>
        <w:rPr>
          <w:rFonts w:cs="Tahoma"/>
        </w:rPr>
      </w:pPr>
    </w:p>
    <w:p w:rsidR="00A92422" w:rsidRPr="00D87B79" w:rsidRDefault="00A92422" w:rsidP="00A92422">
      <w:pPr>
        <w:pStyle w:val="Heading3"/>
        <w:rPr>
          <w:rFonts w:ascii="Tahoma" w:hAnsi="Tahoma" w:cs="Tahoma"/>
        </w:rPr>
      </w:pPr>
      <w:bookmarkStart w:id="1521" w:name="Srv_103TechNetPlusSingleUser"/>
      <w:bookmarkStart w:id="1522" w:name="_Toc336338360"/>
      <w:bookmarkStart w:id="1523" w:name="_92_TechNet_Plus"/>
      <w:bookmarkStart w:id="1524" w:name="_Toc342900402"/>
      <w:bookmarkEnd w:id="1521"/>
      <w:bookmarkEnd w:id="1522"/>
      <w:bookmarkEnd w:id="1523"/>
      <w:r w:rsidRPr="00D87B79">
        <w:rPr>
          <w:rFonts w:ascii="Tahoma" w:hAnsi="Tahoma" w:cs="Tahoma"/>
          <w:caps/>
          <w:color w:val="F66400"/>
          <w:sz w:val="22"/>
          <w:vertAlign w:val="superscript"/>
          <w:lang w:val="it-IT"/>
        </w:rPr>
        <w:t>92</w:t>
      </w:r>
      <w:r w:rsidRPr="00D87B79">
        <w:rPr>
          <w:rFonts w:ascii="Tahoma" w:hAnsi="Tahoma" w:cs="Tahoma"/>
          <w:color w:val="F66400"/>
          <w:sz w:val="22"/>
          <w:lang w:val="it-IT"/>
        </w:rPr>
        <w:t xml:space="preserve"> TechNet Plus Single User</w:t>
      </w:r>
      <w:bookmarkEnd w:id="1524"/>
    </w:p>
    <w:p w:rsidR="00A92422" w:rsidRPr="00D87B79" w:rsidRDefault="00A92422" w:rsidP="00A92422">
      <w:pPr>
        <w:tabs>
          <w:tab w:val="left" w:pos="2690"/>
        </w:tabs>
        <w:rPr>
          <w:rFonts w:cs="Tahoma"/>
        </w:rPr>
      </w:pPr>
    </w:p>
    <w:p w:rsidR="00A92422" w:rsidRPr="00D87B79" w:rsidRDefault="00A92422" w:rsidP="00A92422">
      <w:pPr>
        <w:pStyle w:val="FootnoteBulletLevel1"/>
        <w:tabs>
          <w:tab w:val="clear" w:pos="900"/>
        </w:tabs>
        <w:spacing w:before="0" w:after="60"/>
        <w:ind w:left="720" w:firstLine="0"/>
        <w:rPr>
          <w:rFonts w:ascii="Tahoma" w:hAnsi="Tahoma" w:cs="Tahoma"/>
        </w:rPr>
      </w:pPr>
      <w:r w:rsidRPr="00D87B79">
        <w:rPr>
          <w:rFonts w:ascii="Tahoma" w:hAnsi="Tahoma" w:cs="Tahoma"/>
          <w:b/>
          <w:sz w:val="18"/>
          <w:lang w:val="it-IT"/>
        </w:rPr>
        <w:t>Percorso di Migrazione per società con TechNet Plus Single Server iscritte a</w:t>
      </w:r>
      <w:r>
        <w:rPr>
          <w:rFonts w:ascii="Tahoma" w:hAnsi="Tahoma" w:cs="Tahoma"/>
          <w:b/>
          <w:sz w:val="18"/>
          <w:lang w:val="it-IT"/>
        </w:rPr>
        <w:t> </w:t>
      </w:r>
      <w:r w:rsidRPr="00D87B79">
        <w:rPr>
          <w:rFonts w:ascii="Tahoma" w:hAnsi="Tahoma" w:cs="Tahoma"/>
          <w:b/>
          <w:sz w:val="18"/>
          <w:lang w:val="it-IT"/>
        </w:rPr>
        <w:t>Software</w:t>
      </w:r>
      <w:r>
        <w:rPr>
          <w:rFonts w:ascii="Tahoma" w:hAnsi="Tahoma" w:cs="Tahoma"/>
          <w:b/>
          <w:sz w:val="18"/>
          <w:lang w:val="it-IT"/>
        </w:rPr>
        <w:t> </w:t>
      </w:r>
      <w:r w:rsidRPr="00D87B79">
        <w:rPr>
          <w:rFonts w:ascii="Tahoma" w:hAnsi="Tahoma" w:cs="Tahoma"/>
          <w:b/>
          <w:sz w:val="18"/>
          <w:lang w:val="it-IT"/>
        </w:rPr>
        <w:t>Assurance</w:t>
      </w:r>
    </w:p>
    <w:p w:rsidR="00A92422" w:rsidRPr="00D87B79" w:rsidRDefault="00A92422" w:rsidP="00A92422">
      <w:pPr>
        <w:pStyle w:val="FootnoteBulletLevel1"/>
        <w:tabs>
          <w:tab w:val="clear" w:pos="900"/>
        </w:tabs>
        <w:spacing w:before="0" w:after="0"/>
        <w:ind w:left="720" w:firstLine="0"/>
        <w:rPr>
          <w:rFonts w:ascii="Tahoma" w:hAnsi="Tahoma" w:cs="Tahoma"/>
        </w:rPr>
      </w:pPr>
      <w:r w:rsidRPr="00D87B79">
        <w:rPr>
          <w:rFonts w:ascii="Tahoma" w:hAnsi="Tahoma" w:cs="Tahoma"/>
          <w:sz w:val="18"/>
          <w:lang w:val="it-IT"/>
        </w:rPr>
        <w:t>Le società con copertura Software Assurance in scadenza su TechNet Plus Single Server che intendono rinnovare tale copertura possono acquistare Software Assurance per TechNet Plus Single User o TechNet Plus Direct.</w:t>
      </w:r>
      <w:r w:rsidRPr="00D87B79">
        <w:rPr>
          <w:rFonts w:ascii="Tahoma" w:hAnsi="Tahoma" w:cs="Tahoma"/>
        </w:rPr>
        <w:t xml:space="preserve"> </w:t>
      </w:r>
    </w:p>
    <w:p w:rsidR="00A92422" w:rsidRPr="00D87B79" w:rsidRDefault="00A92422" w:rsidP="00A92422">
      <w:pPr>
        <w:rPr>
          <w:rFonts w:cs="Tahoma"/>
        </w:rPr>
      </w:pPr>
    </w:p>
    <w:p w:rsidR="00A92422" w:rsidRPr="00D87B79" w:rsidRDefault="00A92422" w:rsidP="00A92422">
      <w:pPr>
        <w:pStyle w:val="Heading3"/>
        <w:rPr>
          <w:rFonts w:ascii="Tahoma" w:hAnsi="Tahoma" w:cs="Tahoma"/>
        </w:rPr>
      </w:pPr>
      <w:bookmarkStart w:id="1525" w:name="_92_Visual_Studio"/>
      <w:bookmarkStart w:id="1526" w:name="_Toc336338361"/>
      <w:bookmarkStart w:id="1527" w:name="Srv_105VDIStandardandPremiumSuites"/>
      <w:bookmarkStart w:id="1528" w:name="Srv_94VSLoadTestVirtualUserPack10"/>
      <w:bookmarkStart w:id="1529" w:name="_93_VDI_Standard"/>
      <w:bookmarkStart w:id="1530" w:name="_Toc342900403"/>
      <w:bookmarkEnd w:id="1525"/>
      <w:bookmarkEnd w:id="1526"/>
      <w:bookmarkEnd w:id="1527"/>
      <w:bookmarkEnd w:id="1528"/>
      <w:bookmarkEnd w:id="1529"/>
      <w:r w:rsidRPr="00D87B79">
        <w:rPr>
          <w:rFonts w:ascii="Tahoma" w:hAnsi="Tahoma" w:cs="Tahoma"/>
          <w:caps/>
          <w:color w:val="FF7415"/>
          <w:sz w:val="22"/>
          <w:vertAlign w:val="superscript"/>
          <w:lang w:val="it-IT"/>
        </w:rPr>
        <w:t xml:space="preserve">93 </w:t>
      </w:r>
      <w:r w:rsidRPr="00D87B79">
        <w:rPr>
          <w:rFonts w:ascii="Tahoma" w:hAnsi="Tahoma" w:cs="Tahoma"/>
          <w:color w:val="FF7415"/>
          <w:sz w:val="22"/>
          <w:lang w:val="it-IT"/>
        </w:rPr>
        <w:t>VDI Standard e Premium Suite</w:t>
      </w:r>
      <w:bookmarkEnd w:id="1530"/>
    </w:p>
    <w:p w:rsidR="00A92422" w:rsidRPr="00D87B79" w:rsidRDefault="00A92422" w:rsidP="00A92422">
      <w:pPr>
        <w:rPr>
          <w:rFonts w:cs="Tahoma"/>
        </w:rPr>
      </w:pPr>
    </w:p>
    <w:p w:rsidR="00A92422" w:rsidRPr="00D87B79" w:rsidRDefault="00A92422" w:rsidP="00A92422">
      <w:pPr>
        <w:pStyle w:val="EndnoteText"/>
        <w:ind w:left="720"/>
        <w:rPr>
          <w:rFonts w:ascii="Tahoma" w:hAnsi="Tahoma" w:cs="Tahoma"/>
        </w:rPr>
      </w:pPr>
      <w:r w:rsidRPr="00D87B79">
        <w:rPr>
          <w:rFonts w:ascii="Tahoma" w:hAnsi="Tahoma" w:cs="Tahoma"/>
          <w:color w:val="000000"/>
          <w:sz w:val="18"/>
          <w:lang w:val="it-IT"/>
        </w:rPr>
        <w:t>Prodotti End-Of-Life (EOL) che non verranno più offerti.</w:t>
      </w:r>
      <w:r w:rsidRPr="00D87B79">
        <w:rPr>
          <w:rFonts w:ascii="Tahoma" w:hAnsi="Tahoma" w:cs="Tahoma"/>
        </w:rPr>
        <w:t xml:space="preserve"> </w:t>
      </w:r>
      <w:r w:rsidRPr="00D87B79">
        <w:rPr>
          <w:rFonts w:ascii="Tahoma" w:hAnsi="Tahoma" w:cs="Tahoma"/>
          <w:color w:val="000000"/>
          <w:sz w:val="18"/>
          <w:lang w:val="it-IT"/>
        </w:rPr>
        <w:t>Le società con Contratto Enterprise possono fare riferimento alle versioni precedenti dei Diritti di Utilizzo del Prodotto per informazioni sui diritti sull’utilizzo.</w:t>
      </w:r>
    </w:p>
    <w:p w:rsidR="00A92422" w:rsidRPr="00F564C3" w:rsidRDefault="00A92422" w:rsidP="00A92422">
      <w:pPr>
        <w:pStyle w:val="EndnoteText"/>
        <w:ind w:left="0"/>
        <w:rPr>
          <w:rFonts w:ascii="Tahoma" w:hAnsi="Tahoma" w:cs="Tahoma"/>
          <w:sz w:val="18"/>
          <w:szCs w:val="18"/>
        </w:rPr>
      </w:pPr>
    </w:p>
    <w:p w:rsidR="00A92422" w:rsidRPr="00D87B79" w:rsidRDefault="00A92422" w:rsidP="00A92422">
      <w:pPr>
        <w:pStyle w:val="Heading2"/>
        <w:ind w:left="0"/>
        <w:rPr>
          <w:rFonts w:ascii="Tahoma" w:hAnsi="Tahoma" w:cs="Tahoma"/>
        </w:rPr>
      </w:pPr>
      <w:bookmarkStart w:id="1531" w:name="_105_Windows_Azure"/>
      <w:bookmarkStart w:id="1532" w:name="_Toc336338362"/>
      <w:bookmarkStart w:id="1533" w:name="_94_Servizi_Windows"/>
      <w:bookmarkStart w:id="1534" w:name="_Toc342900404"/>
      <w:bookmarkEnd w:id="1531"/>
      <w:bookmarkEnd w:id="1532"/>
      <w:bookmarkEnd w:id="1533"/>
      <w:r w:rsidRPr="00D87B79">
        <w:rPr>
          <w:rFonts w:ascii="Tahoma" w:hAnsi="Tahoma" w:cs="Tahoma"/>
          <w:caps/>
          <w:color w:val="EE6000"/>
          <w:sz w:val="22"/>
          <w:vertAlign w:val="superscript"/>
          <w:lang w:val="it-IT"/>
        </w:rPr>
        <w:t xml:space="preserve">94 </w:t>
      </w:r>
      <w:r w:rsidRPr="00D87B79">
        <w:rPr>
          <w:rFonts w:ascii="Tahoma" w:hAnsi="Tahoma" w:cs="Tahoma"/>
          <w:color w:val="F8701C"/>
          <w:sz w:val="22"/>
          <w:lang w:val="it-IT"/>
        </w:rPr>
        <w:t>Servizi Windows Azure</w:t>
      </w:r>
      <w:bookmarkEnd w:id="1534"/>
    </w:p>
    <w:p w:rsidR="00A92422" w:rsidRPr="00D87B79" w:rsidRDefault="00A92422" w:rsidP="00A92422">
      <w:pPr>
        <w:widowControl w:val="0"/>
        <w:jc w:val="both"/>
        <w:rPr>
          <w:rFonts w:cs="Tahoma"/>
        </w:rPr>
      </w:pPr>
    </w:p>
    <w:p w:rsidR="00A92422" w:rsidRPr="00D87B79" w:rsidRDefault="00A92422" w:rsidP="00A92422">
      <w:pPr>
        <w:widowControl w:val="0"/>
        <w:spacing w:after="60"/>
        <w:ind w:left="720"/>
        <w:jc w:val="both"/>
        <w:rPr>
          <w:rFonts w:cs="Tahoma"/>
        </w:rPr>
      </w:pPr>
      <w:r w:rsidRPr="00D87B79">
        <w:rPr>
          <w:rFonts w:cs="Tahoma"/>
          <w:b/>
          <w:color w:val="000000"/>
          <w:lang w:val="it-IT"/>
        </w:rPr>
        <w:t>Impegno in termini di Risorse di Calcolo per Windows Azure</w:t>
      </w:r>
    </w:p>
    <w:p w:rsidR="00A92422" w:rsidRPr="00D87B79" w:rsidRDefault="00A92422" w:rsidP="00A92422">
      <w:pPr>
        <w:widowControl w:val="0"/>
        <w:ind w:left="720"/>
        <w:jc w:val="both"/>
        <w:rPr>
          <w:rFonts w:cs="Tahoma"/>
        </w:rPr>
      </w:pPr>
      <w:r w:rsidRPr="00D87B79">
        <w:rPr>
          <w:rFonts w:cs="Tahoma"/>
          <w:lang w:val="it-IT"/>
        </w:rPr>
        <w:t>Per il servizio Calcolo di Windows Azure, Microsoft accetta di fornire alla società un Impegno in termini di</w:t>
      </w:r>
      <w:r>
        <w:rPr>
          <w:rFonts w:cs="Tahoma"/>
          <w:lang w:val="it-IT"/>
        </w:rPr>
        <w:t> </w:t>
      </w:r>
      <w:r w:rsidRPr="00D87B79">
        <w:rPr>
          <w:rFonts w:cs="Tahoma"/>
          <w:lang w:val="it-IT"/>
        </w:rPr>
        <w:t>Risorse di Calcolo.</w:t>
      </w:r>
      <w:r w:rsidRPr="00D87B79">
        <w:rPr>
          <w:rFonts w:cs="Tahoma"/>
        </w:rPr>
        <w:t xml:space="preserve"> </w:t>
      </w:r>
      <w:r w:rsidRPr="00D87B79">
        <w:rPr>
          <w:rFonts w:cs="Tahoma"/>
          <w:lang w:val="it-IT"/>
        </w:rPr>
        <w:t>L’Impegno in termini di Risorse di Calcolo sarà pari al maggiore tra (1) 50 istanze di</w:t>
      </w:r>
      <w:r>
        <w:rPr>
          <w:rFonts w:cs="Tahoma"/>
          <w:lang w:val="it-IT"/>
        </w:rPr>
        <w:t> </w:t>
      </w:r>
      <w:r w:rsidRPr="00D87B79">
        <w:rPr>
          <w:rFonts w:cs="Tahoma"/>
          <w:lang w:val="it-IT"/>
        </w:rPr>
        <w:t>calcolo di piccole dimensioni concorrenti al mese oppure (2) il 125% dell’Utilizzo Stimato del Calcolo della società (come indicato di seguito).</w:t>
      </w:r>
      <w:r w:rsidRPr="00D87B79">
        <w:rPr>
          <w:rFonts w:cs="Tahoma"/>
        </w:rPr>
        <w:t xml:space="preserve"> </w:t>
      </w:r>
    </w:p>
    <w:p w:rsidR="00A92422" w:rsidRPr="00D87B79" w:rsidRDefault="00A92422" w:rsidP="00A92422">
      <w:pPr>
        <w:widowControl w:val="0"/>
        <w:ind w:left="720"/>
        <w:jc w:val="both"/>
        <w:rPr>
          <w:rFonts w:cs="Tahoma"/>
        </w:rPr>
      </w:pPr>
    </w:p>
    <w:p w:rsidR="00A92422" w:rsidRPr="00D87B79" w:rsidRDefault="00A92422" w:rsidP="00A92422">
      <w:pPr>
        <w:widowControl w:val="0"/>
        <w:ind w:left="720"/>
        <w:jc w:val="both"/>
        <w:rPr>
          <w:rFonts w:cs="Tahoma"/>
        </w:rPr>
      </w:pPr>
      <w:r w:rsidRPr="00D87B79">
        <w:rPr>
          <w:rFonts w:cs="Tahoma"/>
          <w:lang w:val="it-IT"/>
        </w:rPr>
        <w:t>L’“Utilizzo Stimato del Calcolo” viene calcolato dividendo l’Impegno Monetario della società per il numero di</w:t>
      </w:r>
      <w:r>
        <w:rPr>
          <w:rFonts w:cs="Tahoma"/>
          <w:lang w:val="it-IT"/>
        </w:rPr>
        <w:t> </w:t>
      </w:r>
      <w:r w:rsidRPr="00D87B79">
        <w:rPr>
          <w:rFonts w:cs="Tahoma"/>
          <w:lang w:val="it-IT"/>
        </w:rPr>
        <w:t>mesi coperti da tale Impegno Monetario (12 mesi oppure il numero di mesi residui dell’Iscrizione della società, a seconda che la società scelga l’Opzione “Subscription” annuale o l’opzione “Subcription” con scadenza identica) e dividendo la cifra risultante per la Tariffa di Impegno relativa al Calcolo di Windows Azure.</w:t>
      </w:r>
      <w:r w:rsidRPr="00D87B79">
        <w:rPr>
          <w:rFonts w:cs="Tahoma"/>
        </w:rPr>
        <w:t xml:space="preserve"> </w:t>
      </w:r>
      <w:r w:rsidRPr="00D87B79">
        <w:rPr>
          <w:rFonts w:cs="Tahoma"/>
          <w:lang w:val="it-IT"/>
        </w:rPr>
        <w:t>Qualora, nel corso del periodo di validità dell’iscrizione, la società aggiunga fondi al proprio Impegno Monetario, l’Utilizzo Stimato del Calcolo verrà ricalcolato di conseguenza.</w:t>
      </w:r>
      <w:r w:rsidRPr="00D87B79">
        <w:rPr>
          <w:rFonts w:cs="Tahoma"/>
        </w:rPr>
        <w:t xml:space="preserve"> </w:t>
      </w:r>
      <w:r w:rsidRPr="00D87B79">
        <w:rPr>
          <w:rFonts w:cs="Tahoma"/>
          <w:lang w:val="it-IT"/>
        </w:rPr>
        <w:t>Qualora l’Impegno Monetario residuo della società scenda al di sotto del valore monetario dell’Utilizzo Stimato del Calcolo, l’Utilizzo Stimato del Calcolo verrà ridotto proporzionalmente in modo che l’Impegno Monetario residuo sia pari al</w:t>
      </w:r>
      <w:r>
        <w:rPr>
          <w:rFonts w:cs="Tahoma"/>
          <w:lang w:val="it-IT"/>
        </w:rPr>
        <w:t> </w:t>
      </w:r>
      <w:r w:rsidRPr="00D87B79">
        <w:rPr>
          <w:rFonts w:cs="Tahoma"/>
          <w:lang w:val="it-IT"/>
        </w:rPr>
        <w:t>valore monetario dell’Utilizzo Stimato del Calcolo.</w:t>
      </w:r>
    </w:p>
    <w:p w:rsidR="00A92422" w:rsidRPr="00D87B79" w:rsidRDefault="00A92422" w:rsidP="00A92422">
      <w:pPr>
        <w:widowControl w:val="0"/>
        <w:ind w:left="720"/>
        <w:jc w:val="both"/>
        <w:rPr>
          <w:rFonts w:cs="Tahoma"/>
        </w:rPr>
      </w:pPr>
    </w:p>
    <w:p w:rsidR="00A92422" w:rsidRPr="00D87B79" w:rsidRDefault="00A92422" w:rsidP="00A92422">
      <w:pPr>
        <w:widowControl w:val="0"/>
        <w:ind w:left="720"/>
        <w:jc w:val="both"/>
        <w:rPr>
          <w:rFonts w:cs="Tahoma"/>
        </w:rPr>
      </w:pPr>
      <w:r w:rsidRPr="00D87B79">
        <w:rPr>
          <w:rFonts w:cs="Tahoma"/>
          <w:lang w:val="it-IT"/>
        </w:rPr>
        <w:t>Qualora Microsoft non faccia fronte all’Impegno in termini di Risorse di Calcolo, la società riceverà un credito pari al 25% del valore monetario del servizio Calcolo di Windows Azure in questione, alla Tariffa di Impegno.</w:t>
      </w:r>
      <w:r w:rsidRPr="00D87B79">
        <w:rPr>
          <w:rFonts w:cs="Tahoma"/>
        </w:rPr>
        <w:t xml:space="preserve"> </w:t>
      </w:r>
      <w:r w:rsidRPr="00D87B79">
        <w:rPr>
          <w:rFonts w:cs="Tahoma"/>
          <w:lang w:val="it-IT"/>
        </w:rPr>
        <w:t>Tale credito non potrà superare il valore monetario totale dell’Impegno Monetario residuo della società.</w:t>
      </w:r>
      <w:r w:rsidRPr="00D87B79">
        <w:rPr>
          <w:rFonts w:cs="Tahoma"/>
        </w:rPr>
        <w:t xml:space="preserve"> </w:t>
      </w:r>
      <w:r w:rsidRPr="00D87B79">
        <w:rPr>
          <w:rFonts w:cs="Tahoma"/>
          <w:lang w:val="it-IT"/>
        </w:rPr>
        <w:t>Qualora tale indisponibilità qualifichi la società anche per un Credito di Servizio ai sensi del Contratto di</w:t>
      </w:r>
      <w:r>
        <w:rPr>
          <w:rFonts w:cs="Tahoma"/>
          <w:lang w:val="it-IT"/>
        </w:rPr>
        <w:t> </w:t>
      </w:r>
      <w:r w:rsidRPr="00D87B79">
        <w:rPr>
          <w:rFonts w:cs="Tahoma"/>
          <w:lang w:val="it-IT"/>
        </w:rPr>
        <w:t>Servizio (vedere il precedente l’Articolo 2.c), la società riceverà esclusivamente il rimedio con il valore monetario più elevato.</w:t>
      </w:r>
    </w:p>
    <w:p w:rsidR="00A92422" w:rsidRPr="00D87B79" w:rsidRDefault="00A92422" w:rsidP="00A92422">
      <w:pPr>
        <w:widowControl w:val="0"/>
        <w:ind w:left="720"/>
        <w:jc w:val="both"/>
        <w:rPr>
          <w:rFonts w:cs="Tahoma"/>
        </w:rPr>
      </w:pPr>
      <w:r w:rsidRPr="00D87B79">
        <w:rPr>
          <w:rFonts w:cs="Tahoma"/>
          <w:lang w:val="it-IT"/>
        </w:rPr>
        <w:t>L’utilizzo globale del Calcolo di Windows Azure al di sopra dell’Impegno in termini di Risorse di Calcolo avverrà in base alla disponibilità.</w:t>
      </w:r>
      <w:r w:rsidRPr="00D87B79">
        <w:rPr>
          <w:rFonts w:cs="Tahoma"/>
        </w:rPr>
        <w:t xml:space="preserve"> </w:t>
      </w:r>
      <w:r w:rsidRPr="00D87B79">
        <w:rPr>
          <w:rFonts w:cs="Tahoma"/>
          <w:lang w:val="it-IT"/>
        </w:rPr>
        <w:t>L’utilizzo globale di qualsiasi Servizio di Windows Azure diverso dal Calcolo di Windows Azure avverrà in base alla disponibilità.</w:t>
      </w:r>
      <w:r w:rsidRPr="00D87B79">
        <w:rPr>
          <w:rFonts w:cs="Tahoma"/>
        </w:rPr>
        <w:t xml:space="preserve"> </w:t>
      </w:r>
    </w:p>
    <w:p w:rsidR="00A92422" w:rsidRPr="00AF3CD4" w:rsidRDefault="00A92422" w:rsidP="00A92422">
      <w:pPr>
        <w:pStyle w:val="EndnoteText"/>
        <w:ind w:left="720"/>
        <w:rPr>
          <w:rFonts w:ascii="Tahoma" w:hAnsi="Tahoma" w:cs="Tahoma"/>
          <w:sz w:val="18"/>
          <w:szCs w:val="18"/>
        </w:rPr>
      </w:pPr>
    </w:p>
    <w:p w:rsidR="00A92422" w:rsidRPr="00AF3CD4" w:rsidRDefault="00A92422" w:rsidP="00A92422">
      <w:pPr>
        <w:pStyle w:val="EndnoteText"/>
        <w:ind w:left="720"/>
        <w:rPr>
          <w:rFonts w:ascii="Tahoma" w:hAnsi="Tahoma" w:cs="Tahoma"/>
          <w:sz w:val="18"/>
          <w:szCs w:val="18"/>
        </w:rPr>
      </w:pPr>
    </w:p>
    <w:p w:rsidR="00A92422" w:rsidRPr="00D87B79" w:rsidRDefault="00A92422" w:rsidP="00A92422">
      <w:pPr>
        <w:pStyle w:val="Heading2"/>
        <w:ind w:left="0"/>
        <w:rPr>
          <w:rFonts w:ascii="Tahoma" w:hAnsi="Tahoma" w:cs="Tahoma"/>
        </w:rPr>
      </w:pPr>
      <w:bookmarkStart w:id="1535" w:name="_Toc336338363"/>
      <w:bookmarkStart w:id="1536" w:name="Srv_107WindowsEmbeddedDeviceMgr2011"/>
      <w:bookmarkStart w:id="1537" w:name="Srv_93SBS2008PremiumEdition"/>
      <w:bookmarkStart w:id="1538" w:name="_95_Licenza_di"/>
      <w:bookmarkStart w:id="1539" w:name="_Toc342900405"/>
      <w:bookmarkEnd w:id="1535"/>
      <w:bookmarkEnd w:id="1536"/>
      <w:bookmarkEnd w:id="1537"/>
      <w:bookmarkEnd w:id="1538"/>
      <w:r w:rsidRPr="00D87B79">
        <w:rPr>
          <w:rFonts w:ascii="Tahoma" w:hAnsi="Tahoma" w:cs="Tahoma"/>
          <w:caps/>
          <w:color w:val="FF6600"/>
          <w:sz w:val="22"/>
          <w:vertAlign w:val="superscript"/>
          <w:lang w:val="it-IT"/>
        </w:rPr>
        <w:t>95</w:t>
      </w:r>
      <w:r w:rsidRPr="00D87B79">
        <w:rPr>
          <w:rFonts w:ascii="Tahoma" w:hAnsi="Tahoma" w:cs="Tahoma"/>
          <w:color w:val="FF6600"/>
          <w:lang w:val="it-IT"/>
        </w:rPr>
        <w:t xml:space="preserve"> </w:t>
      </w:r>
      <w:r w:rsidRPr="00D87B79">
        <w:rPr>
          <w:rFonts w:ascii="Tahoma" w:hAnsi="Tahoma" w:cs="Tahoma"/>
          <w:color w:val="FF6600"/>
          <w:sz w:val="22"/>
          <w:lang w:val="it-IT"/>
        </w:rPr>
        <w:t>Licenza di Server di Gestione per Windows Embedded Device Manager 2011</w:t>
      </w:r>
      <w:bookmarkEnd w:id="1539"/>
    </w:p>
    <w:p w:rsidR="00A92422" w:rsidRPr="00D87B79" w:rsidRDefault="00A92422" w:rsidP="00A92422">
      <w:pPr>
        <w:rPr>
          <w:rFonts w:cs="Tahoma"/>
        </w:rPr>
      </w:pPr>
    </w:p>
    <w:p w:rsidR="00A92422" w:rsidRPr="00AF3CD4" w:rsidRDefault="00A92422" w:rsidP="00A92422">
      <w:pPr>
        <w:pStyle w:val="EndnoteText"/>
        <w:ind w:left="720"/>
        <w:rPr>
          <w:rFonts w:ascii="Tahoma" w:hAnsi="Tahoma" w:cs="Tahoma"/>
          <w:sz w:val="18"/>
          <w:szCs w:val="18"/>
        </w:rPr>
      </w:pPr>
      <w:r w:rsidRPr="00AF3CD4">
        <w:rPr>
          <w:rFonts w:ascii="Tahoma" w:hAnsi="Tahoma" w:cs="Tahoma"/>
          <w:color w:val="000000"/>
          <w:sz w:val="18"/>
          <w:szCs w:val="18"/>
          <w:lang w:val="it-IT"/>
        </w:rPr>
        <w:t>Prodotto End-Of-Life (EOL) che non verrà più offerto.</w:t>
      </w:r>
    </w:p>
    <w:p w:rsidR="00A92422" w:rsidRPr="00AF3CD4" w:rsidRDefault="00A92422" w:rsidP="00A92422">
      <w:pPr>
        <w:pStyle w:val="EndnoteText"/>
        <w:ind w:left="720"/>
        <w:rPr>
          <w:rFonts w:ascii="Tahoma" w:hAnsi="Tahoma" w:cs="Tahoma"/>
          <w:sz w:val="18"/>
          <w:szCs w:val="18"/>
        </w:rPr>
      </w:pPr>
    </w:p>
    <w:p w:rsidR="00A92422" w:rsidRPr="00AF3CD4" w:rsidRDefault="00A92422" w:rsidP="00A92422">
      <w:pPr>
        <w:pStyle w:val="EndnoteText"/>
        <w:spacing w:after="60"/>
        <w:ind w:left="720"/>
        <w:rPr>
          <w:rFonts w:ascii="Tahoma" w:hAnsi="Tahoma" w:cs="Tahoma"/>
          <w:sz w:val="18"/>
          <w:szCs w:val="18"/>
        </w:rPr>
      </w:pPr>
      <w:r w:rsidRPr="00AF3CD4">
        <w:rPr>
          <w:rFonts w:ascii="Tahoma" w:hAnsi="Tahoma" w:cs="Tahoma"/>
          <w:b/>
          <w:color w:val="000000"/>
          <w:sz w:val="18"/>
          <w:szCs w:val="18"/>
          <w:lang w:val="it-IT"/>
        </w:rPr>
        <w:t>Concessione di una Licenza Una Tantum ai Titolari di Licenza per Windows Embedded Device Manager 2011 con Software Assurance Attiva</w:t>
      </w:r>
    </w:p>
    <w:p w:rsidR="00A92422" w:rsidRPr="00AF3CD4" w:rsidRDefault="00A92422" w:rsidP="00A92422">
      <w:pPr>
        <w:pStyle w:val="EndnoteText"/>
        <w:ind w:left="720"/>
        <w:rPr>
          <w:rFonts w:ascii="Tahoma" w:hAnsi="Tahoma" w:cs="Tahoma"/>
          <w:sz w:val="18"/>
          <w:szCs w:val="18"/>
        </w:rPr>
      </w:pPr>
      <w:r w:rsidRPr="00AF3CD4">
        <w:rPr>
          <w:rFonts w:ascii="Tahoma" w:hAnsi="Tahoma" w:cs="Tahoma"/>
          <w:color w:val="000000"/>
          <w:sz w:val="18"/>
          <w:szCs w:val="18"/>
          <w:lang w:val="it-IT"/>
        </w:rPr>
        <w:t>In via di eccezione una tantum legata all’interruzione di licenze di server di gestione per Windows Embedded Device Manager 2011, alle società in possesso di Software Assurance con copertura attiva al 1 aprile 2012 verranno fornite le licenze di gestione client come di seguito indicato:</w:t>
      </w:r>
    </w:p>
    <w:p w:rsidR="00A92422" w:rsidRPr="00AF3CD4" w:rsidRDefault="00A92422" w:rsidP="00A92422">
      <w:pPr>
        <w:pStyle w:val="EndnoteText"/>
        <w:rPr>
          <w:rFonts w:ascii="Tahoma" w:hAnsi="Tahoma" w:cs="Tahoma"/>
          <w:sz w:val="18"/>
          <w:szCs w:val="18"/>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A92422" w:rsidRPr="00D87B79" w:rsidTr="00EA30FC">
        <w:tc>
          <w:tcPr>
            <w:tcW w:w="3960" w:type="dxa"/>
            <w:tcBorders>
              <w:top w:val="single" w:sz="4" w:space="0" w:color="000000"/>
            </w:tcBorders>
            <w:shd w:val="clear" w:color="auto" w:fill="FABF8F"/>
          </w:tcPr>
          <w:p w:rsidR="00A92422" w:rsidRPr="00D87B79" w:rsidRDefault="00A92422" w:rsidP="00EA30FC">
            <w:pPr>
              <w:jc w:val="center"/>
              <w:rPr>
                <w:rFonts w:cs="Tahoma"/>
                <w:b/>
                <w:color w:val="000000"/>
                <w:szCs w:val="20"/>
              </w:rPr>
            </w:pPr>
            <w:r w:rsidRPr="00D87B79">
              <w:rPr>
                <w:rFonts w:cs="Tahoma"/>
                <w:b/>
                <w:color w:val="000000"/>
                <w:lang w:val="it-IT"/>
              </w:rPr>
              <w:t>Licenze Qualificanti</w:t>
            </w:r>
          </w:p>
        </w:tc>
        <w:tc>
          <w:tcPr>
            <w:tcW w:w="4050" w:type="dxa"/>
            <w:tcBorders>
              <w:top w:val="single" w:sz="4" w:space="0" w:color="000000"/>
            </w:tcBorders>
            <w:shd w:val="clear" w:color="auto" w:fill="FABF8F"/>
          </w:tcPr>
          <w:p w:rsidR="00A92422" w:rsidRPr="00D87B79" w:rsidRDefault="00A92422" w:rsidP="00EA30FC">
            <w:pPr>
              <w:jc w:val="center"/>
              <w:rPr>
                <w:rFonts w:cs="Tahoma"/>
                <w:b/>
                <w:color w:val="000000"/>
                <w:szCs w:val="20"/>
              </w:rPr>
            </w:pPr>
            <w:r w:rsidRPr="00D87B79">
              <w:rPr>
                <w:rFonts w:cs="Tahoma"/>
                <w:color w:val="000000"/>
                <w:lang w:val="it-IT"/>
              </w:rPr>
              <w:t>Licenze di Gestione Client per Windows Embedded Device Manager 2011</w:t>
            </w:r>
          </w:p>
        </w:tc>
      </w:tr>
      <w:tr w:rsidR="00A92422" w:rsidRPr="00D87B79" w:rsidTr="00EA30FC">
        <w:tc>
          <w:tcPr>
            <w:tcW w:w="3960" w:type="dxa"/>
            <w:shd w:val="clear" w:color="auto" w:fill="FFFFFF"/>
          </w:tcPr>
          <w:p w:rsidR="00A92422" w:rsidRPr="00D87B79" w:rsidRDefault="00A92422" w:rsidP="00EA30FC">
            <w:pPr>
              <w:rPr>
                <w:rFonts w:cs="Tahoma"/>
                <w:color w:val="000000"/>
                <w:szCs w:val="20"/>
              </w:rPr>
            </w:pPr>
            <w:r w:rsidRPr="00D87B79">
              <w:rPr>
                <w:rFonts w:cs="Tahoma"/>
                <w:color w:val="000000"/>
                <w:lang w:val="it-IT"/>
              </w:rPr>
              <w:t>Licenza per Windows Embedded Device Manager 2011 Server</w:t>
            </w:r>
          </w:p>
        </w:tc>
        <w:tc>
          <w:tcPr>
            <w:tcW w:w="4050" w:type="dxa"/>
            <w:shd w:val="clear" w:color="auto" w:fill="FFFFFF"/>
          </w:tcPr>
          <w:p w:rsidR="00A92422" w:rsidRPr="00D87B79" w:rsidRDefault="00A92422" w:rsidP="00EA30FC">
            <w:pPr>
              <w:rPr>
                <w:rFonts w:cs="Tahoma"/>
                <w:color w:val="000000"/>
                <w:szCs w:val="20"/>
              </w:rPr>
            </w:pPr>
            <w:r w:rsidRPr="00D87B79">
              <w:rPr>
                <w:rFonts w:cs="Tahoma"/>
                <w:color w:val="000000"/>
                <w:lang w:val="it-IT"/>
              </w:rPr>
              <w:t>13 Licenze di Gestione Client per Windows Embedded Device Manager 2011</w:t>
            </w:r>
          </w:p>
        </w:tc>
      </w:tr>
      <w:tr w:rsidR="00A92422" w:rsidRPr="00D87B79" w:rsidTr="00EA30FC">
        <w:tc>
          <w:tcPr>
            <w:tcW w:w="3960" w:type="dxa"/>
            <w:tcBorders>
              <w:bottom w:val="single" w:sz="4" w:space="0" w:color="000000"/>
            </w:tcBorders>
            <w:shd w:val="clear" w:color="auto" w:fill="FFFFFF"/>
          </w:tcPr>
          <w:p w:rsidR="00A92422" w:rsidRPr="00D87B79" w:rsidRDefault="00A92422" w:rsidP="00EA30FC">
            <w:pPr>
              <w:rPr>
                <w:rFonts w:cs="Tahoma"/>
                <w:color w:val="000000"/>
                <w:szCs w:val="20"/>
              </w:rPr>
            </w:pPr>
            <w:r w:rsidRPr="00D87B79">
              <w:rPr>
                <w:rFonts w:cs="Tahoma"/>
                <w:color w:val="000000"/>
                <w:lang w:val="it-IT"/>
              </w:rPr>
              <w:t>Licenza per Windows Embedded Device Manager 2011 Server con Tecnologia SQL Server 2008</w:t>
            </w:r>
          </w:p>
        </w:tc>
        <w:tc>
          <w:tcPr>
            <w:tcW w:w="4050" w:type="dxa"/>
            <w:tcBorders>
              <w:bottom w:val="single" w:sz="4" w:space="0" w:color="000000"/>
            </w:tcBorders>
            <w:shd w:val="clear" w:color="auto" w:fill="FFFFFF"/>
          </w:tcPr>
          <w:p w:rsidR="00A92422" w:rsidRPr="00D87B79" w:rsidRDefault="00A92422" w:rsidP="00EA30FC">
            <w:pPr>
              <w:rPr>
                <w:rFonts w:cs="Tahoma"/>
                <w:color w:val="000000"/>
                <w:szCs w:val="20"/>
              </w:rPr>
            </w:pPr>
            <w:r w:rsidRPr="00D87B79">
              <w:rPr>
                <w:rFonts w:cs="Tahoma"/>
                <w:color w:val="000000"/>
                <w:lang w:val="it-IT"/>
              </w:rPr>
              <w:t>30 Licenze di Gestione Client per Windows Embedded Device Manager 2011</w:t>
            </w:r>
          </w:p>
        </w:tc>
      </w:tr>
    </w:tbl>
    <w:p w:rsidR="00A92422" w:rsidRPr="00AF3CD4" w:rsidRDefault="00A92422" w:rsidP="00A92422">
      <w:pPr>
        <w:pStyle w:val="EndnoteText"/>
        <w:ind w:left="0"/>
        <w:rPr>
          <w:rFonts w:ascii="Tahoma" w:hAnsi="Tahoma" w:cs="Tahoma"/>
          <w:sz w:val="18"/>
          <w:szCs w:val="18"/>
        </w:rPr>
      </w:pPr>
    </w:p>
    <w:p w:rsidR="00A92422" w:rsidRPr="00AF3CD4" w:rsidRDefault="00A92422" w:rsidP="00A92422">
      <w:pPr>
        <w:pStyle w:val="EndnoteText"/>
        <w:ind w:left="720"/>
        <w:rPr>
          <w:rFonts w:ascii="Tahoma" w:hAnsi="Tahoma" w:cs="Tahoma"/>
          <w:sz w:val="18"/>
          <w:szCs w:val="18"/>
        </w:rPr>
      </w:pPr>
      <w:r w:rsidRPr="00AF3CD4">
        <w:rPr>
          <w:rFonts w:ascii="Tahoma" w:hAnsi="Tahoma" w:cs="Tahoma"/>
          <w:color w:val="000000"/>
          <w:sz w:val="18"/>
          <w:szCs w:val="18"/>
          <w:lang w:val="it-IT"/>
        </w:rPr>
        <w:t>Tutte le licenze concesse ai sensi della presente offerta includeranno la copertura Software Assurance.</w:t>
      </w:r>
      <w:r w:rsidRPr="00AF3CD4">
        <w:rPr>
          <w:rFonts w:ascii="Tahoma" w:hAnsi="Tahoma" w:cs="Tahoma"/>
          <w:sz w:val="18"/>
          <w:szCs w:val="18"/>
        </w:rPr>
        <w:t xml:space="preserve"> </w:t>
      </w:r>
      <w:r w:rsidRPr="00AF3CD4">
        <w:rPr>
          <w:rFonts w:ascii="Tahoma" w:hAnsi="Tahoma" w:cs="Tahoma"/>
          <w:color w:val="000000"/>
          <w:sz w:val="18"/>
          <w:szCs w:val="18"/>
          <w:lang w:val="it-IT"/>
        </w:rPr>
        <w:t>Tale</w:t>
      </w:r>
      <w:r>
        <w:rPr>
          <w:rFonts w:ascii="Tahoma" w:hAnsi="Tahoma" w:cs="Tahoma"/>
          <w:color w:val="000000"/>
          <w:sz w:val="18"/>
          <w:szCs w:val="18"/>
          <w:lang w:val="it-IT"/>
        </w:rPr>
        <w:t> </w:t>
      </w:r>
      <w:r w:rsidRPr="00AF3CD4">
        <w:rPr>
          <w:rFonts w:ascii="Tahoma" w:hAnsi="Tahoma" w:cs="Tahoma"/>
          <w:color w:val="000000"/>
          <w:sz w:val="18"/>
          <w:szCs w:val="18"/>
          <w:lang w:val="it-IT"/>
        </w:rPr>
        <w:t>copertura cesserà alla scadenza della copertura per le licenze qualificanti.</w:t>
      </w:r>
      <w:r w:rsidRPr="00AF3CD4">
        <w:rPr>
          <w:rFonts w:ascii="Tahoma" w:hAnsi="Tahoma" w:cs="Tahoma"/>
          <w:sz w:val="18"/>
          <w:szCs w:val="18"/>
        </w:rPr>
        <w:t xml:space="preserve"> </w:t>
      </w:r>
      <w:r w:rsidRPr="00AF3CD4">
        <w:rPr>
          <w:rFonts w:ascii="Tahoma" w:hAnsi="Tahoma" w:cs="Tahoma"/>
          <w:color w:val="000000"/>
          <w:sz w:val="18"/>
          <w:szCs w:val="18"/>
          <w:lang w:val="it-IT"/>
        </w:rPr>
        <w:t>Alla scadenza della copertura, le società potranno rinnovare Software Assurance sulle licenze concesse.</w:t>
      </w:r>
      <w:r w:rsidRPr="00AF3CD4">
        <w:rPr>
          <w:rFonts w:ascii="Tahoma" w:hAnsi="Tahoma" w:cs="Tahoma"/>
          <w:sz w:val="18"/>
          <w:szCs w:val="18"/>
        </w:rPr>
        <w:t xml:space="preserve"> </w:t>
      </w:r>
    </w:p>
    <w:p w:rsidR="00A92422" w:rsidRPr="00AF3CD4" w:rsidRDefault="00A92422" w:rsidP="00A92422">
      <w:pPr>
        <w:pStyle w:val="EndnoteText"/>
        <w:ind w:left="720"/>
        <w:rPr>
          <w:rFonts w:ascii="Tahoma" w:hAnsi="Tahoma" w:cs="Tahoma"/>
          <w:sz w:val="18"/>
          <w:szCs w:val="18"/>
        </w:rPr>
      </w:pPr>
    </w:p>
    <w:p w:rsidR="00A92422" w:rsidRDefault="00A92422" w:rsidP="00A92422">
      <w:pPr>
        <w:pStyle w:val="EndnoteText"/>
        <w:ind w:left="720"/>
        <w:rPr>
          <w:rFonts w:ascii="Tahoma" w:hAnsi="Tahoma" w:cs="Tahoma"/>
          <w:color w:val="000000"/>
          <w:sz w:val="18"/>
          <w:szCs w:val="18"/>
          <w:lang w:val="it-IT"/>
        </w:rPr>
      </w:pPr>
    </w:p>
    <w:p w:rsidR="00A92422" w:rsidRPr="00385EFB" w:rsidRDefault="00A92422" w:rsidP="00A92422">
      <w:pPr>
        <w:pStyle w:val="EndnoteText"/>
        <w:ind w:left="720"/>
        <w:rPr>
          <w:rFonts w:ascii="Tahoma" w:hAnsi="Tahoma" w:cs="Tahoma"/>
          <w:sz w:val="18"/>
          <w:szCs w:val="18"/>
        </w:rPr>
      </w:pPr>
      <w:r w:rsidRPr="00385EFB">
        <w:rPr>
          <w:rFonts w:ascii="Tahoma" w:hAnsi="Tahoma" w:cs="Tahoma"/>
          <w:color w:val="000000"/>
          <w:sz w:val="18"/>
          <w:szCs w:val="18"/>
          <w:lang w:val="it-IT"/>
        </w:rPr>
        <w:t>L’utilizzo del software da parte della società ai sensi della presente offerta sarà soggetto alle condizioni del relativo contratto di licenza e ai diritti di utilizzo del prodotto relativi al software.</w:t>
      </w:r>
      <w:r w:rsidRPr="00385EFB">
        <w:rPr>
          <w:rFonts w:ascii="Tahoma" w:hAnsi="Tahoma" w:cs="Tahoma"/>
          <w:sz w:val="18"/>
          <w:szCs w:val="18"/>
        </w:rPr>
        <w:t xml:space="preserve"> </w:t>
      </w:r>
      <w:r w:rsidRPr="00385EFB">
        <w:rPr>
          <w:rFonts w:ascii="Tahoma" w:hAnsi="Tahoma" w:cs="Tahoma"/>
          <w:color w:val="000000"/>
          <w:sz w:val="18"/>
          <w:szCs w:val="18"/>
          <w:lang w:val="it-IT"/>
        </w:rPr>
        <w:t>Il diritto di utilizzo del software in concessione scadrà alla scadenza del diritto di utilizzo del software ai sensi della licenza qualificante per Windows Embedded Device Manager 2011.</w:t>
      </w:r>
      <w:r w:rsidRPr="00385EFB">
        <w:rPr>
          <w:rFonts w:ascii="Tahoma" w:hAnsi="Tahoma" w:cs="Tahoma"/>
          <w:sz w:val="18"/>
          <w:szCs w:val="18"/>
        </w:rPr>
        <w:t xml:space="preserve"> </w:t>
      </w:r>
      <w:r w:rsidRPr="00385EFB">
        <w:rPr>
          <w:rFonts w:ascii="Tahoma" w:hAnsi="Tahoma" w:cs="Tahoma"/>
          <w:color w:val="000000"/>
          <w:sz w:val="18"/>
          <w:szCs w:val="18"/>
          <w:lang w:val="it-IT"/>
        </w:rPr>
        <w:t>Questa Nota relativa al Prodotto insieme alla prova delle licenze qualificanti attesteranno il diritto della società di utilizzare Windows Embedded Device Manager 2011 ai sensi delle condizioni della presente offerta.</w:t>
      </w:r>
      <w:r w:rsidRPr="00385EFB">
        <w:rPr>
          <w:rFonts w:ascii="Tahoma" w:hAnsi="Tahoma" w:cs="Tahoma"/>
          <w:sz w:val="18"/>
          <w:szCs w:val="18"/>
        </w:rPr>
        <w:t xml:space="preserve"> </w:t>
      </w:r>
      <w:r w:rsidRPr="00385EFB">
        <w:rPr>
          <w:rFonts w:ascii="Tahoma" w:hAnsi="Tahoma" w:cs="Tahoma"/>
          <w:color w:val="000000"/>
          <w:sz w:val="18"/>
          <w:szCs w:val="18"/>
          <w:lang w:val="it-IT"/>
        </w:rPr>
        <w:t>La società non avrà più il diritto di utilizzo del software ai sensi di licenze qualificanti cedute al server al momento dell’uso del software in base alla presente offerta.</w:t>
      </w:r>
      <w:r w:rsidRPr="00385EFB">
        <w:rPr>
          <w:rFonts w:ascii="Tahoma" w:hAnsi="Tahoma" w:cs="Tahoma"/>
          <w:sz w:val="18"/>
          <w:szCs w:val="18"/>
        </w:rPr>
        <w:t xml:space="preserve"> </w:t>
      </w:r>
      <w:r w:rsidRPr="00385EFB">
        <w:rPr>
          <w:rFonts w:ascii="Tahoma" w:hAnsi="Tahoma" w:cs="Tahoma"/>
          <w:color w:val="000000"/>
          <w:sz w:val="18"/>
          <w:szCs w:val="18"/>
          <w:lang w:val="it-IT"/>
        </w:rPr>
        <w:t>Le società non potranno trasferire le licenze concesse in virtù della presente offerta separatamente dalle licenze qualificanti corrispondenti.</w:t>
      </w:r>
    </w:p>
    <w:p w:rsidR="00A92422" w:rsidRPr="00385EFB" w:rsidRDefault="00A92422" w:rsidP="00A92422">
      <w:pPr>
        <w:pStyle w:val="EndnoteText"/>
        <w:ind w:left="720"/>
        <w:rPr>
          <w:rFonts w:ascii="Tahoma" w:hAnsi="Tahoma" w:cs="Tahoma"/>
          <w:sz w:val="18"/>
          <w:szCs w:val="18"/>
        </w:rPr>
      </w:pPr>
    </w:p>
    <w:p w:rsidR="00A92422" w:rsidRPr="00D87B79" w:rsidRDefault="00A92422" w:rsidP="00A92422">
      <w:pPr>
        <w:ind w:left="720"/>
        <w:rPr>
          <w:rFonts w:cs="Tahoma"/>
        </w:rPr>
      </w:pPr>
      <w:r w:rsidRPr="00D87B79">
        <w:rPr>
          <w:rFonts w:cs="Tahoma"/>
          <w:color w:val="000000"/>
          <w:lang w:val="it-IT"/>
        </w:rPr>
        <w:t>Anche le licenze per Windows Embedded Device Manager 2011, acquistate dopo il 1 aprile 2012 nel quadro del processo annuale di true-up di una società per le Iscrizioni Enterprise, ai sensi delle quali le licenze per Windows Embedded Device Manager 2011 sono state acquistate prima del 1 aprile 2012, sono idonee a</w:t>
      </w:r>
      <w:r>
        <w:rPr>
          <w:rFonts w:cs="Tahoma"/>
          <w:color w:val="000000"/>
          <w:lang w:val="it-IT"/>
        </w:rPr>
        <w:t> </w:t>
      </w:r>
      <w:r w:rsidRPr="00D87B79">
        <w:rPr>
          <w:rFonts w:cs="Tahoma"/>
          <w:color w:val="000000"/>
          <w:lang w:val="it-IT"/>
        </w:rPr>
        <w:t>ricevere Client ML per Windows Embedded Device Manager 2011 in base alla presente offerta.</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color w:val="000000"/>
          <w:szCs w:val="24"/>
          <w:lang w:val="it-IT"/>
        </w:rPr>
        <w:t>Per Contratti Enterprise Subscription, Campus e School e Open Value Subscription, gli stessi diritti verranno</w:t>
      </w:r>
      <w:r>
        <w:rPr>
          <w:rFonts w:cs="Tahoma"/>
          <w:color w:val="000000"/>
          <w:szCs w:val="24"/>
          <w:lang w:val="it-IT"/>
        </w:rPr>
        <w:t> </w:t>
      </w:r>
      <w:r w:rsidRPr="00D87B79">
        <w:rPr>
          <w:rFonts w:cs="Tahoma"/>
          <w:color w:val="000000"/>
          <w:szCs w:val="24"/>
          <w:lang w:val="it-IT"/>
        </w:rPr>
        <w:t>concessi temporaneamente fino al termine del periodo di validità dell’iscrizione della licenza, qualora le Licenze e la copertura Software Assurance siano valide durante il periodo di concessione e la società mantenga la copertura dell’abbonamento in via continuativa.</w:t>
      </w:r>
      <w:r w:rsidRPr="00D87B79">
        <w:rPr>
          <w:rFonts w:cs="Tahoma"/>
        </w:rPr>
        <w:t xml:space="preserve"> </w:t>
      </w:r>
      <w:r w:rsidRPr="00D87B79">
        <w:rPr>
          <w:rFonts w:cs="Tahoma"/>
          <w:color w:val="000000"/>
          <w:lang w:val="it-IT"/>
        </w:rPr>
        <w:t>Tali diritti diventeranno permanenti soltanto all’esercizio dell’opzione buy-out e resteranno soggetti a tutte le condizioni del contratto di licenza della società.</w:t>
      </w:r>
    </w:p>
    <w:p w:rsidR="00A92422" w:rsidRPr="00D87B79" w:rsidRDefault="00A92422" w:rsidP="00A92422">
      <w:pPr>
        <w:ind w:left="720"/>
        <w:rPr>
          <w:rFonts w:cs="Tahoma"/>
        </w:rPr>
      </w:pPr>
    </w:p>
    <w:p w:rsidR="00A92422" w:rsidRPr="00D87B79" w:rsidRDefault="00A92422" w:rsidP="00A92422">
      <w:pPr>
        <w:pStyle w:val="Heading2"/>
        <w:ind w:left="0"/>
        <w:rPr>
          <w:rFonts w:ascii="Tahoma" w:hAnsi="Tahoma" w:cs="Tahoma"/>
        </w:rPr>
      </w:pPr>
      <w:bookmarkStart w:id="1540" w:name="_96_Windows_Embedded"/>
      <w:bookmarkStart w:id="1541" w:name="Srv_108EBS2008StandardPrem"/>
      <w:bookmarkStart w:id="1542" w:name="_96_Licenza_di"/>
      <w:bookmarkStart w:id="1543" w:name="_Toc342900406"/>
      <w:bookmarkEnd w:id="1540"/>
      <w:bookmarkEnd w:id="1541"/>
      <w:bookmarkEnd w:id="1542"/>
      <w:r w:rsidRPr="00D87B79">
        <w:rPr>
          <w:rFonts w:ascii="Tahoma" w:hAnsi="Tahoma" w:cs="Tahoma"/>
          <w:caps/>
          <w:color w:val="FF6600"/>
          <w:sz w:val="22"/>
          <w:vertAlign w:val="superscript"/>
          <w:lang w:val="it-IT"/>
        </w:rPr>
        <w:t>96</w:t>
      </w:r>
      <w:r w:rsidRPr="00A66A55">
        <w:rPr>
          <w:rFonts w:ascii="Tahoma" w:hAnsi="Tahoma" w:cs="Tahoma"/>
          <w:caps/>
          <w:color w:val="FF6600"/>
          <w:sz w:val="22"/>
          <w:lang w:val="it-IT"/>
        </w:rPr>
        <w:t xml:space="preserve"> </w:t>
      </w:r>
      <w:r w:rsidRPr="00D87B79">
        <w:rPr>
          <w:rFonts w:ascii="Tahoma" w:hAnsi="Tahoma" w:cs="Tahoma"/>
          <w:color w:val="FF6600"/>
          <w:sz w:val="22"/>
          <w:lang w:val="it-IT"/>
        </w:rPr>
        <w:t>Licenza di Gestione Client per Windows Embedded Device Manager 2011</w:t>
      </w:r>
      <w:bookmarkEnd w:id="1543"/>
    </w:p>
    <w:p w:rsidR="00A92422" w:rsidRPr="00D87B79" w:rsidRDefault="00A92422" w:rsidP="00A92422">
      <w:pPr>
        <w:rPr>
          <w:rFonts w:cs="Tahoma"/>
        </w:rPr>
      </w:pPr>
    </w:p>
    <w:p w:rsidR="00A92422" w:rsidRPr="00385EFB" w:rsidRDefault="00A92422" w:rsidP="00A92422">
      <w:pPr>
        <w:pStyle w:val="EndnoteText"/>
        <w:ind w:left="720"/>
        <w:rPr>
          <w:rFonts w:ascii="Tahoma" w:hAnsi="Tahoma" w:cs="Tahoma"/>
          <w:sz w:val="18"/>
          <w:szCs w:val="18"/>
        </w:rPr>
      </w:pPr>
      <w:r w:rsidRPr="00385EFB">
        <w:rPr>
          <w:rFonts w:ascii="Tahoma" w:hAnsi="Tahoma" w:cs="Tahoma"/>
          <w:color w:val="000000"/>
          <w:sz w:val="18"/>
          <w:szCs w:val="18"/>
          <w:lang w:val="it-IT"/>
        </w:rPr>
        <w:t>Prodotto End-Of-Life (EOL) che non verrà più offerto.</w:t>
      </w:r>
    </w:p>
    <w:p w:rsidR="00A92422" w:rsidRPr="00385EFB" w:rsidRDefault="00A92422" w:rsidP="00A92422">
      <w:pPr>
        <w:pStyle w:val="EndnoteText"/>
        <w:ind w:left="720"/>
        <w:rPr>
          <w:rFonts w:ascii="Tahoma" w:hAnsi="Tahoma" w:cs="Tahoma"/>
          <w:sz w:val="18"/>
          <w:szCs w:val="18"/>
        </w:rPr>
      </w:pPr>
    </w:p>
    <w:p w:rsidR="00A92422" w:rsidRPr="00385EFB" w:rsidRDefault="00A92422" w:rsidP="00A92422">
      <w:pPr>
        <w:pStyle w:val="EndnoteText"/>
        <w:ind w:left="720"/>
        <w:rPr>
          <w:rFonts w:ascii="Tahoma" w:hAnsi="Tahoma" w:cs="Tahoma"/>
          <w:sz w:val="18"/>
          <w:szCs w:val="18"/>
        </w:rPr>
      </w:pPr>
      <w:r w:rsidRPr="00385EFB">
        <w:rPr>
          <w:rFonts w:ascii="Tahoma" w:hAnsi="Tahoma" w:cs="Tahoma"/>
          <w:color w:val="000000"/>
          <w:sz w:val="18"/>
          <w:szCs w:val="18"/>
          <w:u w:val="single"/>
          <w:lang w:val="it-IT"/>
        </w:rPr>
        <w:t>Concessione di una Licenza di Gestione Client Una Tantum ai Titolari di Licenza per Windows Embedded Device Manager 2011 con Software Assurance Attiva</w:t>
      </w:r>
      <w:r w:rsidRPr="00385EFB">
        <w:rPr>
          <w:rFonts w:ascii="Tahoma" w:hAnsi="Tahoma" w:cs="Tahoma"/>
          <w:color w:val="000000"/>
          <w:sz w:val="18"/>
          <w:szCs w:val="18"/>
          <w:lang w:val="it-IT"/>
        </w:rPr>
        <w:t>:</w:t>
      </w:r>
    </w:p>
    <w:p w:rsidR="00A92422" w:rsidRPr="00385EFB" w:rsidRDefault="00A92422" w:rsidP="00A92422">
      <w:pPr>
        <w:pStyle w:val="EndnoteText"/>
        <w:ind w:left="720"/>
        <w:rPr>
          <w:rFonts w:ascii="Tahoma" w:hAnsi="Tahoma" w:cs="Tahoma"/>
          <w:sz w:val="18"/>
          <w:szCs w:val="18"/>
        </w:rPr>
      </w:pPr>
    </w:p>
    <w:p w:rsidR="00A92422" w:rsidRPr="00385EFB" w:rsidRDefault="00A92422" w:rsidP="00A92422">
      <w:pPr>
        <w:pStyle w:val="EndnoteText"/>
        <w:ind w:left="720"/>
        <w:rPr>
          <w:rFonts w:ascii="Tahoma" w:hAnsi="Tahoma" w:cs="Tahoma"/>
          <w:sz w:val="18"/>
          <w:szCs w:val="18"/>
        </w:rPr>
      </w:pPr>
      <w:r w:rsidRPr="00385EFB">
        <w:rPr>
          <w:rFonts w:ascii="Tahoma" w:hAnsi="Tahoma" w:cs="Tahoma"/>
          <w:color w:val="000000"/>
          <w:sz w:val="18"/>
          <w:szCs w:val="18"/>
          <w:lang w:val="it-IT"/>
        </w:rPr>
        <w:t>In via di eccezione una tantum legata all’interruzione di licenze di Gestione Client per Windows Embedded Device Manager 2011 (per OSE/Utente), alle società in possesso di Software Assurance con copertura attiva al 1 gennaio 2013 verrà fornito lo stesso numero di licenze di Gestione Client per System Center 2012 Configuration Manager (per OSE/Utente).</w:t>
      </w:r>
    </w:p>
    <w:p w:rsidR="00A92422" w:rsidRPr="00385EFB" w:rsidRDefault="00A92422" w:rsidP="00A92422">
      <w:pPr>
        <w:pStyle w:val="EndnoteText"/>
        <w:ind w:left="0"/>
        <w:rPr>
          <w:rFonts w:ascii="Tahoma" w:hAnsi="Tahoma" w:cs="Tahoma"/>
          <w:sz w:val="18"/>
          <w:szCs w:val="18"/>
        </w:rPr>
      </w:pPr>
    </w:p>
    <w:p w:rsidR="00A92422" w:rsidRPr="00385EFB" w:rsidRDefault="00A92422" w:rsidP="00A92422">
      <w:pPr>
        <w:pStyle w:val="EndnoteText"/>
        <w:ind w:left="720"/>
        <w:rPr>
          <w:rFonts w:ascii="Tahoma" w:hAnsi="Tahoma" w:cs="Tahoma"/>
          <w:sz w:val="18"/>
          <w:szCs w:val="18"/>
        </w:rPr>
      </w:pPr>
      <w:r w:rsidRPr="00385EFB">
        <w:rPr>
          <w:rFonts w:ascii="Tahoma" w:hAnsi="Tahoma" w:cs="Tahoma"/>
          <w:color w:val="000000"/>
          <w:sz w:val="18"/>
          <w:szCs w:val="18"/>
          <w:lang w:val="it-IT"/>
        </w:rPr>
        <w:t>Tutte le licenze concesse ai sensi della presente offerta includeranno la copertura Software Assurance.</w:t>
      </w:r>
      <w:r w:rsidRPr="00385EFB">
        <w:rPr>
          <w:rFonts w:ascii="Tahoma" w:hAnsi="Tahoma" w:cs="Tahoma"/>
          <w:sz w:val="18"/>
          <w:szCs w:val="18"/>
        </w:rPr>
        <w:t xml:space="preserve"> </w:t>
      </w:r>
      <w:r w:rsidRPr="00385EFB">
        <w:rPr>
          <w:rFonts w:ascii="Tahoma" w:hAnsi="Tahoma" w:cs="Tahoma"/>
          <w:color w:val="000000"/>
          <w:sz w:val="18"/>
          <w:szCs w:val="18"/>
          <w:lang w:val="it-IT"/>
        </w:rPr>
        <w:t>Tale copertura cesserà alla scadenza della copertura per le licenze qualificanti.</w:t>
      </w:r>
      <w:r w:rsidRPr="00385EFB">
        <w:rPr>
          <w:rFonts w:ascii="Tahoma" w:hAnsi="Tahoma" w:cs="Tahoma"/>
          <w:sz w:val="18"/>
          <w:szCs w:val="18"/>
        </w:rPr>
        <w:t xml:space="preserve"> </w:t>
      </w:r>
      <w:r w:rsidRPr="00385EFB">
        <w:rPr>
          <w:rFonts w:ascii="Tahoma" w:hAnsi="Tahoma" w:cs="Tahoma"/>
          <w:color w:val="000000"/>
          <w:sz w:val="18"/>
          <w:szCs w:val="18"/>
          <w:lang w:val="it-IT"/>
        </w:rPr>
        <w:t>Alla scadenza della copertura, le società potranno rinnovare Software Assurance sulle licenze concesse.</w:t>
      </w:r>
      <w:r w:rsidRPr="00385EFB">
        <w:rPr>
          <w:rFonts w:ascii="Tahoma" w:hAnsi="Tahoma" w:cs="Tahoma"/>
          <w:sz w:val="18"/>
          <w:szCs w:val="18"/>
        </w:rPr>
        <w:t xml:space="preserve"> </w:t>
      </w:r>
    </w:p>
    <w:p w:rsidR="00A92422" w:rsidRPr="00385EFB" w:rsidRDefault="00A92422" w:rsidP="00A92422">
      <w:pPr>
        <w:pStyle w:val="EndnoteText"/>
        <w:ind w:left="720"/>
        <w:rPr>
          <w:rFonts w:ascii="Tahoma" w:hAnsi="Tahoma" w:cs="Tahoma"/>
          <w:sz w:val="18"/>
          <w:szCs w:val="18"/>
        </w:rPr>
      </w:pPr>
    </w:p>
    <w:p w:rsidR="00A92422" w:rsidRPr="00385EFB" w:rsidRDefault="00A92422" w:rsidP="00A92422">
      <w:pPr>
        <w:pStyle w:val="EndnoteText"/>
        <w:ind w:left="720"/>
        <w:rPr>
          <w:rFonts w:ascii="Tahoma" w:hAnsi="Tahoma" w:cs="Tahoma"/>
          <w:sz w:val="18"/>
          <w:szCs w:val="18"/>
        </w:rPr>
      </w:pPr>
      <w:r w:rsidRPr="00385EFB">
        <w:rPr>
          <w:rFonts w:ascii="Tahoma" w:hAnsi="Tahoma" w:cs="Tahoma"/>
          <w:color w:val="000000"/>
          <w:sz w:val="18"/>
          <w:szCs w:val="18"/>
          <w:lang w:val="it-IT"/>
        </w:rPr>
        <w:t>L’utilizzo del software da parte della società ai sensi della presente offerta sarà soggetto alle condizioni del relativo contratto di licenza e ai diritti di utilizzo del prodotto relativi al software.</w:t>
      </w:r>
      <w:r w:rsidRPr="00385EFB">
        <w:rPr>
          <w:rFonts w:ascii="Tahoma" w:hAnsi="Tahoma" w:cs="Tahoma"/>
          <w:sz w:val="18"/>
          <w:szCs w:val="18"/>
        </w:rPr>
        <w:t xml:space="preserve"> </w:t>
      </w:r>
      <w:r w:rsidRPr="00385EFB">
        <w:rPr>
          <w:rFonts w:ascii="Tahoma" w:hAnsi="Tahoma" w:cs="Tahoma"/>
          <w:color w:val="000000"/>
          <w:sz w:val="18"/>
          <w:szCs w:val="18"/>
          <w:lang w:val="it-IT"/>
        </w:rPr>
        <w:t>Il diritto di utilizzo del software in concessione scadrà alla scadenza del diritto di utilizzo del software ai sensi della licenza qualificante di Gestione Client per Windows Embedded Device Manager 2011.</w:t>
      </w:r>
      <w:r w:rsidRPr="00385EFB">
        <w:rPr>
          <w:rFonts w:ascii="Tahoma" w:hAnsi="Tahoma" w:cs="Tahoma"/>
          <w:sz w:val="18"/>
          <w:szCs w:val="18"/>
        </w:rPr>
        <w:t xml:space="preserve"> </w:t>
      </w:r>
      <w:r w:rsidRPr="00385EFB">
        <w:rPr>
          <w:rFonts w:ascii="Tahoma" w:hAnsi="Tahoma" w:cs="Tahoma"/>
          <w:color w:val="000000"/>
          <w:sz w:val="18"/>
          <w:szCs w:val="18"/>
          <w:lang w:val="it-IT"/>
        </w:rPr>
        <w:t>Questa Nota relativa al Prodotto insieme alla prova delle licenze qualificanti attesteranno il diritto della società di utilizzare la licenza di Gestione Client per System Center 2012 Configuration Manager ai sensi delle condizioni della presente offerta.</w:t>
      </w:r>
      <w:r w:rsidRPr="00385EFB">
        <w:rPr>
          <w:rFonts w:ascii="Tahoma" w:hAnsi="Tahoma" w:cs="Tahoma"/>
          <w:sz w:val="18"/>
          <w:szCs w:val="18"/>
        </w:rPr>
        <w:t xml:space="preserve"> </w:t>
      </w:r>
      <w:r w:rsidRPr="00385EFB">
        <w:rPr>
          <w:rFonts w:ascii="Tahoma" w:hAnsi="Tahoma" w:cs="Tahoma"/>
          <w:color w:val="000000"/>
          <w:sz w:val="18"/>
          <w:szCs w:val="18"/>
          <w:lang w:val="it-IT"/>
        </w:rPr>
        <w:t xml:space="preserve">La società non avrà più il diritto di utilizzo del software ai sensi di licenze qualificanti cedute al server </w:t>
      </w:r>
      <w:r w:rsidRPr="00385EFB">
        <w:rPr>
          <w:rFonts w:ascii="Tahoma" w:hAnsi="Tahoma" w:cs="Tahoma"/>
          <w:color w:val="000000"/>
          <w:sz w:val="18"/>
          <w:szCs w:val="18"/>
          <w:lang w:val="it-IT"/>
        </w:rPr>
        <w:lastRenderedPageBreak/>
        <w:t>al momento dell’uso del software in base alla presente offerta.</w:t>
      </w:r>
      <w:r w:rsidRPr="00385EFB">
        <w:rPr>
          <w:rFonts w:ascii="Tahoma" w:hAnsi="Tahoma" w:cs="Tahoma"/>
          <w:sz w:val="18"/>
          <w:szCs w:val="18"/>
        </w:rPr>
        <w:t xml:space="preserve"> </w:t>
      </w:r>
      <w:r w:rsidRPr="00385EFB">
        <w:rPr>
          <w:rFonts w:ascii="Tahoma" w:hAnsi="Tahoma" w:cs="Tahoma"/>
          <w:color w:val="000000"/>
          <w:sz w:val="18"/>
          <w:szCs w:val="18"/>
          <w:lang w:val="it-IT"/>
        </w:rPr>
        <w:t>Le società non potranno trasferire le licenze concesse in virtù della presente offerta separatamente dalle licenze qualificanti corrispondenti.</w:t>
      </w:r>
    </w:p>
    <w:p w:rsidR="00A92422" w:rsidRPr="00C5134F" w:rsidRDefault="00A92422" w:rsidP="00A92422">
      <w:pPr>
        <w:pStyle w:val="EndnoteText"/>
        <w:ind w:left="720"/>
        <w:rPr>
          <w:rFonts w:ascii="Tahoma" w:hAnsi="Tahoma" w:cs="Tahoma"/>
          <w:sz w:val="18"/>
          <w:szCs w:val="18"/>
        </w:rPr>
      </w:pPr>
    </w:p>
    <w:p w:rsidR="00A92422" w:rsidRPr="00D87B79" w:rsidRDefault="00A92422" w:rsidP="00A92422">
      <w:pPr>
        <w:ind w:left="720"/>
        <w:rPr>
          <w:rFonts w:cs="Tahoma"/>
        </w:rPr>
      </w:pPr>
      <w:r w:rsidRPr="00D87B79">
        <w:rPr>
          <w:rFonts w:cs="Tahoma"/>
          <w:color w:val="000000"/>
          <w:lang w:val="it-IT"/>
        </w:rPr>
        <w:t>Anche le licenze di Gestione Client per Windows Embedded Device Manager 2011, acquistate dopo il 1 gennaio 2013 nel quadro del processo annuale di true-up di una società per le Iscrizioni Enterprise ai sensi delle quali le licenze di Gestione Client per Windows Embedded Device Manager 2011 sono state acquistate prima del 1 gennaio 2013, sono idonee a ricevere le licenze di Gestione Client per System Center 2012 Configuration Manager ai sensi della presente offerta.</w:t>
      </w:r>
    </w:p>
    <w:p w:rsidR="00A92422" w:rsidRDefault="00A92422" w:rsidP="00A92422">
      <w:pPr>
        <w:ind w:left="720"/>
        <w:rPr>
          <w:rFonts w:cs="Tahoma"/>
        </w:rPr>
      </w:pPr>
    </w:p>
    <w:p w:rsidR="00A92422" w:rsidRPr="00CE2924" w:rsidRDefault="00A92422" w:rsidP="00A92422">
      <w:pPr>
        <w:ind w:left="720"/>
        <w:rPr>
          <w:rFonts w:cs="Tahoma"/>
          <w:spacing w:val="-2"/>
        </w:rPr>
      </w:pPr>
      <w:r w:rsidRPr="00CE2924">
        <w:rPr>
          <w:rFonts w:cs="Tahoma"/>
          <w:color w:val="000000"/>
          <w:spacing w:val="-2"/>
          <w:szCs w:val="24"/>
          <w:lang w:val="it-IT"/>
        </w:rPr>
        <w:t>Per Contratti Enterprise Subscription, Campus e School e Open Value Subscription, gli stessi diritti verranno concessi temporaneamente fino al termine del periodo di validità dell’iscrizione della licenza, qualora le Licenze e la copertura Software Assurance siano valide durante il periodo di concessione e la società mantenga la copertura dell’abbonamento in via continuativa.</w:t>
      </w:r>
      <w:r w:rsidRPr="00CE2924">
        <w:rPr>
          <w:rFonts w:cs="Tahoma"/>
          <w:spacing w:val="-2"/>
        </w:rPr>
        <w:t xml:space="preserve"> </w:t>
      </w:r>
      <w:r w:rsidRPr="00CE2924">
        <w:rPr>
          <w:rFonts w:cs="Tahoma"/>
          <w:color w:val="000000"/>
          <w:spacing w:val="-2"/>
          <w:lang w:val="it-IT"/>
        </w:rPr>
        <w:t>Tali diritti diventeranno permanenti soltanto all’esercizio dell’opzione buy-out e resteranno soggetti a tutte le condizioni del contratto di licenza della società.</w:t>
      </w:r>
    </w:p>
    <w:p w:rsidR="00A92422" w:rsidRPr="00D87B79" w:rsidRDefault="00A92422" w:rsidP="00A92422">
      <w:pPr>
        <w:ind w:left="720"/>
        <w:rPr>
          <w:rFonts w:cs="Tahoma"/>
        </w:rPr>
      </w:pPr>
      <w:r w:rsidRPr="00D87B79">
        <w:rPr>
          <w:rFonts w:cs="Tahoma"/>
          <w:color w:val="000000"/>
          <w:lang w:val="it-IT"/>
        </w:rPr>
        <w:t>I diritti di downgrade della versione sono applicabili a tutte le licenze di Gestione Client per System Center</w:t>
      </w:r>
      <w:r>
        <w:rPr>
          <w:rFonts w:cs="Tahoma"/>
          <w:color w:val="000000"/>
          <w:lang w:val="it-IT"/>
        </w:rPr>
        <w:t> </w:t>
      </w:r>
      <w:r w:rsidRPr="00D87B79">
        <w:rPr>
          <w:rFonts w:cs="Tahoma"/>
          <w:color w:val="000000"/>
          <w:lang w:val="it-IT"/>
        </w:rPr>
        <w:t>2012 Configuration Manager concesse.</w:t>
      </w:r>
    </w:p>
    <w:p w:rsidR="00A92422" w:rsidRPr="00D87B79" w:rsidRDefault="00A92422" w:rsidP="00A92422">
      <w:pPr>
        <w:ind w:left="900"/>
        <w:rPr>
          <w:rFonts w:cs="Tahoma"/>
        </w:rPr>
      </w:pPr>
    </w:p>
    <w:p w:rsidR="00A92422" w:rsidRPr="00D87B79" w:rsidRDefault="00A92422" w:rsidP="00A92422">
      <w:pPr>
        <w:ind w:left="900"/>
        <w:rPr>
          <w:rFonts w:cs="Tahoma"/>
        </w:rPr>
      </w:pPr>
    </w:p>
    <w:p w:rsidR="00A92422" w:rsidRPr="00C5134F" w:rsidRDefault="00A92422" w:rsidP="00A92422">
      <w:pPr>
        <w:pStyle w:val="Heading3"/>
        <w:rPr>
          <w:rFonts w:ascii="Tahoma" w:hAnsi="Tahoma" w:cs="Tahoma"/>
          <w:sz w:val="22"/>
          <w:szCs w:val="22"/>
        </w:rPr>
      </w:pPr>
      <w:bookmarkStart w:id="1544" w:name="_107_EBS_2008"/>
      <w:bookmarkStart w:id="1545" w:name="_Toc336338364"/>
      <w:bookmarkStart w:id="1546" w:name="Srv_101WindowsEssBusSvrStdPrem"/>
      <w:bookmarkStart w:id="1547" w:name="_97_EBS_2008"/>
      <w:bookmarkStart w:id="1548" w:name="_Toc342900407"/>
      <w:bookmarkEnd w:id="1544"/>
      <w:bookmarkEnd w:id="1545"/>
      <w:bookmarkEnd w:id="1546"/>
      <w:bookmarkEnd w:id="1547"/>
      <w:r w:rsidRPr="00C5134F">
        <w:rPr>
          <w:rFonts w:ascii="Tahoma" w:hAnsi="Tahoma" w:cs="Tahoma"/>
          <w:caps/>
          <w:color w:val="F66400"/>
          <w:sz w:val="22"/>
          <w:szCs w:val="22"/>
          <w:vertAlign w:val="superscript"/>
          <w:lang w:val="it-IT"/>
        </w:rPr>
        <w:t>97</w:t>
      </w:r>
      <w:r w:rsidRPr="00C5134F">
        <w:rPr>
          <w:rFonts w:ascii="Tahoma" w:hAnsi="Tahoma" w:cs="Tahoma"/>
          <w:color w:val="F66400"/>
          <w:sz w:val="22"/>
          <w:szCs w:val="22"/>
          <w:lang w:val="it-IT"/>
        </w:rPr>
        <w:t xml:space="preserve"> EBS 2008 Standard ed EBS 2008 Premium</w:t>
      </w:r>
      <w:bookmarkEnd w:id="1548"/>
    </w:p>
    <w:p w:rsidR="00A92422" w:rsidRPr="00D87B79" w:rsidRDefault="00A92422" w:rsidP="00A92422">
      <w:pPr>
        <w:rPr>
          <w:rFonts w:cs="Tahoma"/>
        </w:rPr>
      </w:pPr>
    </w:p>
    <w:p w:rsidR="00A92422" w:rsidRPr="00C5134F" w:rsidRDefault="00A92422" w:rsidP="00A92422">
      <w:pPr>
        <w:pStyle w:val="EndnoteText"/>
        <w:ind w:left="720"/>
        <w:rPr>
          <w:rFonts w:ascii="Tahoma" w:hAnsi="Tahoma" w:cs="Tahoma"/>
          <w:sz w:val="18"/>
          <w:szCs w:val="18"/>
        </w:rPr>
      </w:pPr>
      <w:r w:rsidRPr="00C5134F">
        <w:rPr>
          <w:rFonts w:ascii="Tahoma" w:hAnsi="Tahoma" w:cs="Tahoma"/>
          <w:sz w:val="18"/>
          <w:szCs w:val="18"/>
          <w:lang w:val="it-IT"/>
        </w:rPr>
        <w:t>Prodotti End-Of-Life (EOL) che non verranno più offerti.</w:t>
      </w:r>
    </w:p>
    <w:p w:rsidR="00A92422" w:rsidRPr="00C5134F" w:rsidRDefault="00A92422" w:rsidP="00A92422">
      <w:pPr>
        <w:pStyle w:val="EndnoteText"/>
        <w:ind w:left="720"/>
        <w:rPr>
          <w:rFonts w:ascii="Tahoma" w:hAnsi="Tahoma" w:cs="Tahoma"/>
          <w:sz w:val="18"/>
          <w:szCs w:val="18"/>
        </w:rPr>
      </w:pPr>
    </w:p>
    <w:p w:rsidR="00A92422" w:rsidRPr="00C5134F" w:rsidRDefault="00A92422" w:rsidP="00A92422">
      <w:pPr>
        <w:pStyle w:val="EndnoteText"/>
        <w:spacing w:after="60"/>
        <w:ind w:left="720"/>
        <w:rPr>
          <w:rFonts w:ascii="Tahoma" w:hAnsi="Tahoma" w:cs="Tahoma"/>
          <w:sz w:val="18"/>
          <w:szCs w:val="18"/>
        </w:rPr>
      </w:pPr>
      <w:r w:rsidRPr="00C5134F">
        <w:rPr>
          <w:rFonts w:ascii="Tahoma" w:hAnsi="Tahoma" w:cs="Tahoma"/>
          <w:b/>
          <w:sz w:val="18"/>
          <w:szCs w:val="18"/>
          <w:lang w:val="it-IT"/>
        </w:rPr>
        <w:t>Concessione di una Licenza Una Tantum ai Titolari di Licenza per EBS 2008 Standard ed</w:t>
      </w:r>
      <w:r>
        <w:rPr>
          <w:rFonts w:ascii="Tahoma" w:hAnsi="Tahoma" w:cs="Tahoma"/>
          <w:b/>
          <w:sz w:val="18"/>
          <w:szCs w:val="18"/>
          <w:lang w:val="it-IT"/>
        </w:rPr>
        <w:t> </w:t>
      </w:r>
      <w:r w:rsidRPr="00C5134F">
        <w:rPr>
          <w:rFonts w:ascii="Tahoma" w:hAnsi="Tahoma" w:cs="Tahoma"/>
          <w:b/>
          <w:sz w:val="18"/>
          <w:szCs w:val="18"/>
          <w:lang w:val="it-IT"/>
        </w:rPr>
        <w:t>EBS</w:t>
      </w:r>
      <w:r>
        <w:rPr>
          <w:rFonts w:ascii="Tahoma" w:hAnsi="Tahoma" w:cs="Tahoma"/>
          <w:b/>
          <w:sz w:val="18"/>
          <w:szCs w:val="18"/>
          <w:lang w:val="it-IT"/>
        </w:rPr>
        <w:t> </w:t>
      </w:r>
      <w:r w:rsidRPr="00C5134F">
        <w:rPr>
          <w:rFonts w:ascii="Tahoma" w:hAnsi="Tahoma" w:cs="Tahoma"/>
          <w:b/>
          <w:sz w:val="18"/>
          <w:szCs w:val="18"/>
          <w:lang w:val="it-IT"/>
        </w:rPr>
        <w:t>2008 Premium</w:t>
      </w:r>
    </w:p>
    <w:p w:rsidR="00A92422" w:rsidRPr="00C5134F" w:rsidRDefault="00A92422" w:rsidP="00A92422">
      <w:pPr>
        <w:pStyle w:val="ListParagraph"/>
        <w:contextualSpacing w:val="0"/>
        <w:rPr>
          <w:rFonts w:ascii="Tahoma" w:hAnsi="Tahoma" w:cs="Tahoma"/>
          <w:sz w:val="18"/>
          <w:szCs w:val="18"/>
        </w:rPr>
      </w:pPr>
      <w:r w:rsidRPr="00C5134F">
        <w:rPr>
          <w:rFonts w:ascii="Tahoma" w:hAnsi="Tahoma" w:cs="Tahoma"/>
          <w:sz w:val="18"/>
          <w:szCs w:val="18"/>
          <w:u w:val="single"/>
          <w:lang w:val="it-IT"/>
        </w:rPr>
        <w:t>Tutte le società che hanno stipulato Contratti Multilicenza (Volume License) per Windows Essential Business Server 2008 (EBS) Standard e Premium</w:t>
      </w:r>
      <w:r w:rsidRPr="00C5134F">
        <w:rPr>
          <w:rFonts w:ascii="Tahoma" w:hAnsi="Tahoma" w:cs="Tahoma"/>
          <w:sz w:val="18"/>
          <w:szCs w:val="18"/>
          <w:lang w:val="it-IT"/>
        </w:rPr>
        <w:t xml:space="preserve"> sono idonee a ricevere le seguenti licenze gratuite per ogni licenza per EBS 2008 Standard o Premium posseduta al 1 luglio 2010:</w:t>
      </w:r>
    </w:p>
    <w:p w:rsidR="00A92422" w:rsidRPr="00C5134F" w:rsidRDefault="00A92422" w:rsidP="00A92422">
      <w:pPr>
        <w:pStyle w:val="ListParagraph"/>
        <w:ind w:left="1260"/>
        <w:contextualSpacing w:val="0"/>
        <w:rPr>
          <w:rFonts w:ascii="Tahoma" w:hAnsi="Tahoma" w:cs="Tahoma"/>
          <w:sz w:val="18"/>
          <w:szCs w:val="18"/>
        </w:rPr>
      </w:pPr>
    </w:p>
    <w:p w:rsidR="00A92422" w:rsidRPr="00C5134F" w:rsidRDefault="00A92422" w:rsidP="00A92422">
      <w:pPr>
        <w:pStyle w:val="ListParagraph"/>
        <w:numPr>
          <w:ilvl w:val="0"/>
          <w:numId w:val="73"/>
        </w:numPr>
        <w:spacing w:after="60"/>
        <w:ind w:left="1440"/>
        <w:contextualSpacing w:val="0"/>
        <w:rPr>
          <w:rFonts w:ascii="Tahoma" w:hAnsi="Tahoma" w:cs="Tahoma"/>
          <w:sz w:val="18"/>
          <w:szCs w:val="18"/>
        </w:rPr>
      </w:pPr>
      <w:r w:rsidRPr="00C5134F">
        <w:rPr>
          <w:rFonts w:ascii="Tahoma" w:hAnsi="Tahoma" w:cs="Tahoma"/>
          <w:sz w:val="18"/>
          <w:szCs w:val="18"/>
          <w:lang w:val="it-IT"/>
        </w:rPr>
        <w:t>3 licenze software per Windows Server 2008 Standard</w:t>
      </w:r>
    </w:p>
    <w:p w:rsidR="00A92422" w:rsidRPr="00C5134F" w:rsidRDefault="00A92422" w:rsidP="00A92422">
      <w:pPr>
        <w:pStyle w:val="ListParagraph"/>
        <w:numPr>
          <w:ilvl w:val="0"/>
          <w:numId w:val="73"/>
        </w:numPr>
        <w:spacing w:after="60"/>
        <w:ind w:left="1440"/>
        <w:contextualSpacing w:val="0"/>
        <w:rPr>
          <w:rFonts w:ascii="Tahoma" w:hAnsi="Tahoma" w:cs="Tahoma"/>
          <w:sz w:val="18"/>
          <w:szCs w:val="18"/>
        </w:rPr>
      </w:pPr>
      <w:r w:rsidRPr="00C5134F">
        <w:rPr>
          <w:rFonts w:ascii="Tahoma" w:hAnsi="Tahoma" w:cs="Tahoma"/>
          <w:sz w:val="18"/>
          <w:szCs w:val="18"/>
          <w:lang w:val="it-IT"/>
        </w:rPr>
        <w:t>2 licenze software per Exchange Server 2007 Standard</w:t>
      </w:r>
    </w:p>
    <w:p w:rsidR="00A92422" w:rsidRPr="00C5134F" w:rsidRDefault="00A92422" w:rsidP="00A92422">
      <w:pPr>
        <w:pStyle w:val="ListParagraph"/>
        <w:numPr>
          <w:ilvl w:val="0"/>
          <w:numId w:val="73"/>
        </w:numPr>
        <w:spacing w:after="60"/>
        <w:ind w:left="1440"/>
        <w:contextualSpacing w:val="0"/>
        <w:rPr>
          <w:rFonts w:ascii="Tahoma" w:hAnsi="Tahoma" w:cs="Tahoma"/>
          <w:sz w:val="18"/>
          <w:szCs w:val="18"/>
        </w:rPr>
      </w:pPr>
      <w:r w:rsidRPr="00C5134F">
        <w:rPr>
          <w:rFonts w:ascii="Tahoma" w:hAnsi="Tahoma" w:cs="Tahoma"/>
          <w:sz w:val="18"/>
          <w:szCs w:val="18"/>
          <w:lang w:val="it-IT"/>
        </w:rPr>
        <w:t>1 licenza software per System Center Essentials 2007 e 10 licenze di gestione Server e 50 di</w:t>
      </w:r>
      <w:r>
        <w:rPr>
          <w:rFonts w:ascii="Tahoma" w:hAnsi="Tahoma" w:cs="Tahoma"/>
          <w:sz w:val="18"/>
          <w:szCs w:val="18"/>
          <w:lang w:val="it-IT"/>
        </w:rPr>
        <w:t> </w:t>
      </w:r>
      <w:r w:rsidRPr="00C5134F">
        <w:rPr>
          <w:rFonts w:ascii="Tahoma" w:hAnsi="Tahoma" w:cs="Tahoma"/>
          <w:sz w:val="18"/>
          <w:szCs w:val="18"/>
          <w:lang w:val="it-IT"/>
        </w:rPr>
        <w:t>gestione Client</w:t>
      </w:r>
    </w:p>
    <w:p w:rsidR="00A92422" w:rsidRPr="00C5134F" w:rsidRDefault="00A92422" w:rsidP="00A92422">
      <w:pPr>
        <w:ind w:left="720"/>
        <w:rPr>
          <w:rFonts w:cs="Tahoma"/>
          <w:szCs w:val="18"/>
        </w:rPr>
      </w:pPr>
      <w:r w:rsidRPr="00C5134F">
        <w:rPr>
          <w:rFonts w:cs="Tahoma"/>
          <w:szCs w:val="18"/>
          <w:lang w:val="it-IT"/>
        </w:rPr>
        <w:t>Le licenze gratuite sono attestate dal Contratto Multilicenza della società e dalla presente nota relativa alle</w:t>
      </w:r>
      <w:r>
        <w:rPr>
          <w:rFonts w:cs="Tahoma"/>
          <w:szCs w:val="18"/>
          <w:lang w:val="it-IT"/>
        </w:rPr>
        <w:t> </w:t>
      </w:r>
      <w:r w:rsidRPr="00C5134F">
        <w:rPr>
          <w:rFonts w:cs="Tahoma"/>
          <w:szCs w:val="18"/>
          <w:lang w:val="it-IT"/>
        </w:rPr>
        <w:t>condizioni del prodotto.</w:t>
      </w:r>
      <w:r w:rsidRPr="00C5134F">
        <w:rPr>
          <w:rFonts w:cs="Tahoma"/>
          <w:szCs w:val="18"/>
        </w:rPr>
        <w:t xml:space="preserve"> </w:t>
      </w:r>
      <w:r w:rsidRPr="00C5134F">
        <w:rPr>
          <w:rFonts w:cs="Tahoma"/>
          <w:szCs w:val="18"/>
          <w:lang w:val="it-IT"/>
        </w:rPr>
        <w:t>L’utilizzo del software ai sensi delle licenze gratuite è soggetto alle condizioni del</w:t>
      </w:r>
      <w:r>
        <w:rPr>
          <w:rFonts w:cs="Tahoma"/>
          <w:szCs w:val="18"/>
          <w:lang w:val="it-IT"/>
        </w:rPr>
        <w:t> </w:t>
      </w:r>
      <w:r w:rsidRPr="00C5134F">
        <w:rPr>
          <w:rFonts w:cs="Tahoma"/>
          <w:szCs w:val="18"/>
          <w:lang w:val="it-IT"/>
        </w:rPr>
        <w:t>contratto della società e ai diritti di utilizzo del prodotto per i prodotti individuali.</w:t>
      </w:r>
      <w:r w:rsidRPr="00C5134F">
        <w:rPr>
          <w:rFonts w:cs="Tahoma"/>
          <w:szCs w:val="18"/>
        </w:rPr>
        <w:t xml:space="preserve"> </w:t>
      </w:r>
      <w:r w:rsidRPr="00C5134F">
        <w:rPr>
          <w:rFonts w:cs="Tahoma"/>
          <w:szCs w:val="18"/>
          <w:lang w:val="it-IT"/>
        </w:rPr>
        <w:t>Il diritto di utilizzo del software ai sensi delle licenze gratuite scadrà alla scadenza del diritto di utilizzo del software ai sensi delle licenze qualificanti.</w:t>
      </w:r>
      <w:r w:rsidRPr="00C5134F">
        <w:rPr>
          <w:rFonts w:cs="Tahoma"/>
          <w:szCs w:val="18"/>
        </w:rPr>
        <w:t xml:space="preserve"> </w:t>
      </w:r>
      <w:r w:rsidRPr="00C5134F">
        <w:rPr>
          <w:rFonts w:cs="Tahoma"/>
          <w:szCs w:val="18"/>
          <w:lang w:val="it-IT"/>
        </w:rPr>
        <w:t>Le licenze gratuite non possono essere trasferite separatamente dalle licenze qualificanti.</w:t>
      </w:r>
    </w:p>
    <w:p w:rsidR="00A92422" w:rsidRPr="00D87B79" w:rsidRDefault="00A92422" w:rsidP="00A92422">
      <w:pPr>
        <w:ind w:left="720"/>
        <w:rPr>
          <w:rFonts w:cs="Tahoma"/>
        </w:rPr>
      </w:pPr>
    </w:p>
    <w:p w:rsidR="00A92422" w:rsidRPr="00C5134F" w:rsidRDefault="00A92422" w:rsidP="00A92422">
      <w:pPr>
        <w:pStyle w:val="ListParagraph"/>
        <w:contextualSpacing w:val="0"/>
        <w:rPr>
          <w:rFonts w:ascii="Tahoma" w:hAnsi="Tahoma" w:cs="Tahoma"/>
          <w:sz w:val="18"/>
          <w:szCs w:val="18"/>
        </w:rPr>
      </w:pPr>
      <w:r w:rsidRPr="00C5134F">
        <w:rPr>
          <w:rFonts w:ascii="Tahoma" w:hAnsi="Tahoma" w:cs="Tahoma"/>
          <w:sz w:val="18"/>
          <w:szCs w:val="18"/>
          <w:u w:val="single"/>
          <w:lang w:val="it-IT"/>
        </w:rPr>
        <w:t>Le società che hanno stipulato contratti Volume License per Windows Essential Business Server (EBS) 2008 Standard</w:t>
      </w:r>
      <w:r w:rsidRPr="00C5134F">
        <w:rPr>
          <w:rFonts w:ascii="Tahoma" w:hAnsi="Tahoma" w:cs="Tahoma"/>
          <w:sz w:val="18"/>
          <w:szCs w:val="18"/>
          <w:lang w:val="it-IT"/>
        </w:rPr>
        <w:t xml:space="preserve"> sono anche idonee a ricevere le seguenti licenze gratuite per ogni licenza per EBS 2008 Standard con Software Assurance attiva posseduta al 1 luglio 2010:</w:t>
      </w:r>
    </w:p>
    <w:p w:rsidR="00A92422" w:rsidRPr="00C5134F" w:rsidRDefault="00A92422" w:rsidP="00A92422">
      <w:pPr>
        <w:pStyle w:val="ListParagraph"/>
        <w:ind w:left="1260"/>
        <w:contextualSpacing w:val="0"/>
        <w:rPr>
          <w:rFonts w:ascii="Tahoma" w:hAnsi="Tahoma" w:cs="Tahoma"/>
          <w:sz w:val="18"/>
          <w:szCs w:val="18"/>
        </w:rPr>
      </w:pPr>
    </w:p>
    <w:p w:rsidR="00A92422" w:rsidRPr="00C5134F" w:rsidRDefault="00A92422" w:rsidP="00A92422">
      <w:pPr>
        <w:pStyle w:val="ListParagraph"/>
        <w:numPr>
          <w:ilvl w:val="0"/>
          <w:numId w:val="74"/>
        </w:numPr>
        <w:spacing w:after="60"/>
        <w:ind w:left="1440"/>
        <w:contextualSpacing w:val="0"/>
        <w:rPr>
          <w:rFonts w:ascii="Tahoma" w:hAnsi="Tahoma" w:cs="Tahoma"/>
          <w:sz w:val="18"/>
          <w:szCs w:val="18"/>
        </w:rPr>
      </w:pPr>
      <w:r w:rsidRPr="00C5134F">
        <w:rPr>
          <w:rFonts w:ascii="Tahoma" w:hAnsi="Tahoma" w:cs="Tahoma"/>
          <w:sz w:val="18"/>
          <w:szCs w:val="18"/>
          <w:lang w:val="it-IT"/>
        </w:rPr>
        <w:t>3 licenze software per Windows Server 2008 R2 Standard</w:t>
      </w:r>
    </w:p>
    <w:p w:rsidR="00A92422" w:rsidRPr="00C5134F" w:rsidRDefault="00A92422" w:rsidP="00A92422">
      <w:pPr>
        <w:pStyle w:val="ListParagraph"/>
        <w:numPr>
          <w:ilvl w:val="0"/>
          <w:numId w:val="74"/>
        </w:numPr>
        <w:spacing w:after="60"/>
        <w:ind w:left="1440"/>
        <w:contextualSpacing w:val="0"/>
        <w:rPr>
          <w:rFonts w:ascii="Tahoma" w:hAnsi="Tahoma" w:cs="Tahoma"/>
          <w:sz w:val="18"/>
          <w:szCs w:val="18"/>
        </w:rPr>
      </w:pPr>
      <w:r w:rsidRPr="00C5134F">
        <w:rPr>
          <w:rFonts w:ascii="Tahoma" w:hAnsi="Tahoma" w:cs="Tahoma"/>
          <w:sz w:val="18"/>
          <w:szCs w:val="18"/>
          <w:lang w:val="it-IT"/>
        </w:rPr>
        <w:t>1 licenza software per Exchange Server 2010 Standard</w:t>
      </w:r>
    </w:p>
    <w:p w:rsidR="00A92422" w:rsidRPr="00C5134F" w:rsidRDefault="00A92422" w:rsidP="00A92422">
      <w:pPr>
        <w:pStyle w:val="ListParagraph"/>
        <w:numPr>
          <w:ilvl w:val="0"/>
          <w:numId w:val="74"/>
        </w:numPr>
        <w:spacing w:after="60"/>
        <w:ind w:left="1440"/>
        <w:contextualSpacing w:val="0"/>
        <w:rPr>
          <w:rFonts w:ascii="Tahoma" w:hAnsi="Tahoma" w:cs="Tahoma"/>
          <w:sz w:val="18"/>
          <w:szCs w:val="18"/>
        </w:rPr>
      </w:pPr>
      <w:r w:rsidRPr="00C5134F">
        <w:rPr>
          <w:rFonts w:ascii="Tahoma" w:hAnsi="Tahoma" w:cs="Tahoma"/>
          <w:sz w:val="18"/>
          <w:szCs w:val="18"/>
          <w:lang w:val="it-IT"/>
        </w:rPr>
        <w:t>1 licenza software per System Center Essentials 2010 e 10 licenze di gestione Server e 50</w:t>
      </w:r>
      <w:r>
        <w:rPr>
          <w:rFonts w:ascii="Tahoma" w:hAnsi="Tahoma" w:cs="Tahoma"/>
          <w:sz w:val="18"/>
          <w:szCs w:val="18"/>
          <w:lang w:val="it-IT"/>
        </w:rPr>
        <w:t> </w:t>
      </w:r>
      <w:r w:rsidRPr="00C5134F">
        <w:rPr>
          <w:rFonts w:ascii="Tahoma" w:hAnsi="Tahoma" w:cs="Tahoma"/>
          <w:sz w:val="18"/>
          <w:szCs w:val="18"/>
          <w:lang w:val="it-IT"/>
        </w:rPr>
        <w:t>di gestione Client</w:t>
      </w:r>
    </w:p>
    <w:p w:rsidR="00A92422" w:rsidRPr="00C5134F" w:rsidRDefault="00A92422" w:rsidP="00A92422">
      <w:pPr>
        <w:pStyle w:val="ListParagraph"/>
        <w:numPr>
          <w:ilvl w:val="0"/>
          <w:numId w:val="74"/>
        </w:numPr>
        <w:spacing w:after="60"/>
        <w:ind w:left="1440"/>
        <w:contextualSpacing w:val="0"/>
        <w:rPr>
          <w:rFonts w:ascii="Tahoma" w:hAnsi="Tahoma" w:cs="Tahoma"/>
          <w:sz w:val="18"/>
          <w:szCs w:val="18"/>
        </w:rPr>
      </w:pPr>
      <w:r w:rsidRPr="00C5134F">
        <w:rPr>
          <w:rFonts w:ascii="Tahoma" w:hAnsi="Tahoma" w:cs="Tahoma"/>
          <w:sz w:val="18"/>
          <w:szCs w:val="18"/>
          <w:lang w:val="it-IT"/>
        </w:rPr>
        <w:t>1 licenza software per Forefront Threat Management Gateway Medium Business Edition 2010</w:t>
      </w:r>
    </w:p>
    <w:p w:rsidR="00A92422" w:rsidRPr="00C5134F" w:rsidRDefault="00A92422" w:rsidP="00A92422">
      <w:pPr>
        <w:pStyle w:val="ListParagraph"/>
        <w:ind w:left="1260"/>
        <w:rPr>
          <w:rFonts w:ascii="Tahoma" w:hAnsi="Tahoma" w:cs="Tahoma"/>
          <w:sz w:val="18"/>
          <w:szCs w:val="18"/>
        </w:rPr>
      </w:pPr>
    </w:p>
    <w:p w:rsidR="00A92422" w:rsidRPr="00C5134F" w:rsidRDefault="00A92422" w:rsidP="00A92422">
      <w:pPr>
        <w:pStyle w:val="ListParagraph"/>
        <w:rPr>
          <w:rFonts w:ascii="Tahoma" w:hAnsi="Tahoma" w:cs="Tahoma"/>
          <w:sz w:val="18"/>
          <w:szCs w:val="18"/>
        </w:rPr>
      </w:pPr>
      <w:r w:rsidRPr="00C5134F">
        <w:rPr>
          <w:rFonts w:ascii="Tahoma" w:hAnsi="Tahoma" w:cs="Tahoma"/>
          <w:sz w:val="18"/>
          <w:szCs w:val="18"/>
          <w:lang w:val="it-IT"/>
        </w:rPr>
        <w:t>(qualora sia disponibile una nuova versione di uno qualsiasi dei prodotti summenzionati ai sensi del programma Volume Licensing in base al quale una società ha acquistato le licenze qualificanti prima della</w:t>
      </w:r>
      <w:r>
        <w:rPr>
          <w:rFonts w:ascii="Tahoma" w:hAnsi="Tahoma" w:cs="Tahoma"/>
          <w:sz w:val="18"/>
          <w:szCs w:val="18"/>
          <w:lang w:val="it-IT"/>
        </w:rPr>
        <w:t> </w:t>
      </w:r>
      <w:r w:rsidRPr="00C5134F">
        <w:rPr>
          <w:rFonts w:ascii="Tahoma" w:hAnsi="Tahoma" w:cs="Tahoma"/>
          <w:sz w:val="18"/>
          <w:szCs w:val="18"/>
          <w:lang w:val="it-IT"/>
        </w:rPr>
        <w:t>fine della copertura Software Assurance attiva per la licenza di EBS 2008 Standard, la società sarà idonea a utilizzare la nuova versione al posto della versione specificata sopra).</w:t>
      </w:r>
    </w:p>
    <w:p w:rsidR="00A92422" w:rsidRPr="00C5134F" w:rsidRDefault="00A92422" w:rsidP="00A92422">
      <w:pPr>
        <w:pStyle w:val="ListParagraph"/>
        <w:rPr>
          <w:rFonts w:ascii="Tahoma" w:hAnsi="Tahoma" w:cs="Tahoma"/>
          <w:sz w:val="18"/>
          <w:szCs w:val="18"/>
        </w:rPr>
      </w:pPr>
    </w:p>
    <w:p w:rsidR="00A92422" w:rsidRPr="00D87B79" w:rsidRDefault="00A92422" w:rsidP="00A92422">
      <w:pPr>
        <w:ind w:left="720"/>
        <w:rPr>
          <w:rFonts w:cs="Tahoma"/>
        </w:rPr>
      </w:pPr>
      <w:r w:rsidRPr="00D87B79">
        <w:rPr>
          <w:rFonts w:cs="Tahoma"/>
          <w:szCs w:val="18"/>
          <w:lang w:val="it-IT"/>
        </w:rPr>
        <w:t>Le licenze gratuite sono attestate dal Contratto Multilicenza della società e dalla presente nota relativa alle</w:t>
      </w:r>
      <w:r>
        <w:rPr>
          <w:rFonts w:cs="Tahoma"/>
          <w:szCs w:val="18"/>
          <w:lang w:val="it-IT"/>
        </w:rPr>
        <w:t> </w:t>
      </w:r>
      <w:r w:rsidRPr="00D87B79">
        <w:rPr>
          <w:rFonts w:cs="Tahoma"/>
          <w:szCs w:val="18"/>
          <w:lang w:val="it-IT"/>
        </w:rPr>
        <w:t>condizioni del prodotto.</w:t>
      </w:r>
      <w:r w:rsidRPr="00D87B79">
        <w:rPr>
          <w:rFonts w:cs="Tahoma"/>
          <w:szCs w:val="18"/>
        </w:rPr>
        <w:t xml:space="preserve"> </w:t>
      </w:r>
      <w:r w:rsidRPr="00D87B79">
        <w:rPr>
          <w:rFonts w:cs="Tahoma"/>
          <w:szCs w:val="18"/>
          <w:lang w:val="it-IT"/>
        </w:rPr>
        <w:t>L’utilizzo del software ai sensi delle licenze gratuite è soggetto alle condizioni del</w:t>
      </w:r>
      <w:r>
        <w:rPr>
          <w:rFonts w:cs="Tahoma"/>
          <w:szCs w:val="18"/>
          <w:lang w:val="it-IT"/>
        </w:rPr>
        <w:t> </w:t>
      </w:r>
      <w:r w:rsidRPr="00D87B79">
        <w:rPr>
          <w:rFonts w:cs="Tahoma"/>
          <w:szCs w:val="18"/>
          <w:lang w:val="it-IT"/>
        </w:rPr>
        <w:t>contratto della società e ai diritti di utilizzo del prodotto per i prodotti individuali.</w:t>
      </w:r>
      <w:r w:rsidRPr="00D87B79">
        <w:rPr>
          <w:rFonts w:cs="Tahoma"/>
          <w:szCs w:val="18"/>
        </w:rPr>
        <w:t xml:space="preserve"> </w:t>
      </w:r>
      <w:r w:rsidRPr="00D87B79">
        <w:rPr>
          <w:rFonts w:cs="Tahoma"/>
          <w:szCs w:val="18"/>
          <w:lang w:val="it-IT"/>
        </w:rPr>
        <w:t xml:space="preserve">Tranne per Forefront </w:t>
      </w:r>
      <w:r w:rsidRPr="00D87B79">
        <w:rPr>
          <w:rFonts w:cs="Tahoma"/>
          <w:szCs w:val="18"/>
          <w:lang w:val="it-IT"/>
        </w:rPr>
        <w:lastRenderedPageBreak/>
        <w:t>Protection for Exchange Server 2010, il diritto di utilizzo del software ai sensi delle licenze gratuite scadrà alla scadenza del diritto di utilizzo del software ai sensi delle licenze qualificanti.</w:t>
      </w:r>
      <w:r w:rsidRPr="00D87B79">
        <w:rPr>
          <w:rFonts w:cs="Tahoma"/>
          <w:szCs w:val="18"/>
        </w:rPr>
        <w:t xml:space="preserve"> </w:t>
      </w:r>
      <w:r w:rsidRPr="00D87B79">
        <w:rPr>
          <w:rFonts w:cs="Tahoma"/>
          <w:szCs w:val="18"/>
          <w:lang w:val="it-IT"/>
        </w:rPr>
        <w:t>Il diritto di utilizzo di Forefront Protection for Exchange Server 2010 scadrà alla scadenza della copertura Software Assurance sulle licenze qualificanti.</w:t>
      </w:r>
      <w:r w:rsidRPr="00D87B79">
        <w:rPr>
          <w:rFonts w:cs="Tahoma"/>
        </w:rPr>
        <w:t xml:space="preserve"> </w:t>
      </w:r>
      <w:r w:rsidRPr="00D87B79">
        <w:rPr>
          <w:rFonts w:cs="Tahoma"/>
          <w:lang w:val="it-IT"/>
        </w:rPr>
        <w:t>Le licenze gratuite non possono in nessun caso essere trasferite separatamente dalle licenze qualificanti.</w:t>
      </w:r>
    </w:p>
    <w:p w:rsidR="00A92422" w:rsidRPr="00C5134F" w:rsidRDefault="00A92422" w:rsidP="00A92422">
      <w:pPr>
        <w:pStyle w:val="ListParagraph"/>
        <w:ind w:left="1260"/>
        <w:rPr>
          <w:rFonts w:ascii="Tahoma" w:hAnsi="Tahoma" w:cs="Tahoma"/>
          <w:sz w:val="18"/>
          <w:szCs w:val="18"/>
        </w:rPr>
      </w:pPr>
    </w:p>
    <w:p w:rsidR="00A92422" w:rsidRPr="00D87B79" w:rsidRDefault="00A92422" w:rsidP="00A92422">
      <w:pPr>
        <w:tabs>
          <w:tab w:val="left" w:pos="1260"/>
        </w:tabs>
        <w:ind w:left="720"/>
        <w:rPr>
          <w:rFonts w:cs="Tahoma"/>
        </w:rPr>
      </w:pPr>
      <w:r w:rsidRPr="00857698">
        <w:rPr>
          <w:rFonts w:cs="Tahoma"/>
          <w:u w:val="single"/>
          <w:lang w:val="it-IT"/>
        </w:rPr>
        <w:t>Le società che hanno stipulato Contratti Multilicenza per Windows Essential Business Server (EBS) 2008 Premium</w:t>
      </w:r>
      <w:r w:rsidRPr="00D87B79">
        <w:rPr>
          <w:rFonts w:cs="Tahoma"/>
          <w:lang w:val="it-IT"/>
        </w:rPr>
        <w:t xml:space="preserve"> sono anche idonee a ricevere le seguenti licenze gratuite per ogni licenza per EBS 2008 Premium con copertura Software Assurance attiva posseduta al 1 luglio 2010:</w:t>
      </w:r>
    </w:p>
    <w:p w:rsidR="00A92422" w:rsidRPr="00C5134F" w:rsidRDefault="00A92422" w:rsidP="00A92422">
      <w:pPr>
        <w:pStyle w:val="ListParagraph"/>
        <w:ind w:left="1620"/>
        <w:contextualSpacing w:val="0"/>
        <w:rPr>
          <w:rFonts w:ascii="Tahoma" w:hAnsi="Tahoma" w:cs="Tahoma"/>
          <w:sz w:val="18"/>
          <w:szCs w:val="18"/>
        </w:rPr>
      </w:pPr>
    </w:p>
    <w:p w:rsidR="00A92422" w:rsidRPr="00C5134F" w:rsidRDefault="00A92422" w:rsidP="00A92422">
      <w:pPr>
        <w:pStyle w:val="ListParagraph"/>
        <w:numPr>
          <w:ilvl w:val="0"/>
          <w:numId w:val="75"/>
        </w:numPr>
        <w:spacing w:after="60"/>
        <w:contextualSpacing w:val="0"/>
        <w:rPr>
          <w:rFonts w:ascii="Tahoma" w:hAnsi="Tahoma" w:cs="Tahoma"/>
          <w:sz w:val="18"/>
          <w:szCs w:val="18"/>
        </w:rPr>
      </w:pPr>
      <w:r w:rsidRPr="00C5134F">
        <w:rPr>
          <w:rFonts w:ascii="Tahoma" w:hAnsi="Tahoma" w:cs="Tahoma"/>
          <w:sz w:val="18"/>
          <w:szCs w:val="18"/>
          <w:lang w:val="it-IT"/>
        </w:rPr>
        <w:t>4 licenze software per Windows Server 2008 R2 Standard</w:t>
      </w:r>
    </w:p>
    <w:p w:rsidR="00A92422" w:rsidRPr="00C5134F" w:rsidRDefault="00A92422" w:rsidP="00A92422">
      <w:pPr>
        <w:pStyle w:val="ListParagraph"/>
        <w:numPr>
          <w:ilvl w:val="0"/>
          <w:numId w:val="75"/>
        </w:numPr>
        <w:spacing w:after="60"/>
        <w:contextualSpacing w:val="0"/>
        <w:rPr>
          <w:rFonts w:ascii="Tahoma" w:hAnsi="Tahoma" w:cs="Tahoma"/>
          <w:sz w:val="18"/>
          <w:szCs w:val="18"/>
        </w:rPr>
      </w:pPr>
      <w:r w:rsidRPr="00C5134F">
        <w:rPr>
          <w:rFonts w:ascii="Tahoma" w:hAnsi="Tahoma" w:cs="Tahoma"/>
          <w:sz w:val="18"/>
          <w:szCs w:val="18"/>
          <w:lang w:val="it-IT"/>
        </w:rPr>
        <w:t>1 licenza software per SQL Server 2008 R2 Standard</w:t>
      </w:r>
    </w:p>
    <w:p w:rsidR="00A92422" w:rsidRPr="00C5134F" w:rsidRDefault="00A92422" w:rsidP="00A92422">
      <w:pPr>
        <w:pStyle w:val="ListParagraph"/>
        <w:numPr>
          <w:ilvl w:val="0"/>
          <w:numId w:val="75"/>
        </w:numPr>
        <w:spacing w:after="60"/>
        <w:contextualSpacing w:val="0"/>
        <w:rPr>
          <w:rFonts w:ascii="Tahoma" w:hAnsi="Tahoma" w:cs="Tahoma"/>
          <w:sz w:val="18"/>
          <w:szCs w:val="18"/>
        </w:rPr>
      </w:pPr>
      <w:r w:rsidRPr="00C5134F">
        <w:rPr>
          <w:rFonts w:ascii="Tahoma" w:hAnsi="Tahoma" w:cs="Tahoma"/>
          <w:sz w:val="18"/>
          <w:szCs w:val="18"/>
          <w:lang w:val="it-IT"/>
        </w:rPr>
        <w:t>2 licenze software per Exchange Server 2010 Standard</w:t>
      </w:r>
    </w:p>
    <w:p w:rsidR="00A92422" w:rsidRPr="00C5134F" w:rsidRDefault="00A92422" w:rsidP="00A92422">
      <w:pPr>
        <w:pStyle w:val="ListParagraph"/>
        <w:numPr>
          <w:ilvl w:val="0"/>
          <w:numId w:val="75"/>
        </w:numPr>
        <w:spacing w:after="60"/>
        <w:contextualSpacing w:val="0"/>
        <w:rPr>
          <w:rFonts w:ascii="Tahoma" w:hAnsi="Tahoma" w:cs="Tahoma"/>
          <w:sz w:val="18"/>
          <w:szCs w:val="18"/>
        </w:rPr>
      </w:pPr>
      <w:r w:rsidRPr="00C5134F">
        <w:rPr>
          <w:rFonts w:ascii="Tahoma" w:hAnsi="Tahoma" w:cs="Tahoma"/>
          <w:sz w:val="18"/>
          <w:szCs w:val="18"/>
          <w:lang w:val="it-IT"/>
        </w:rPr>
        <w:t>1 licenza software per System Center Essentials 2010 e 10 licenze di gestione Server e 50 di gestione Client</w:t>
      </w:r>
    </w:p>
    <w:p w:rsidR="00A92422" w:rsidRPr="00C5134F" w:rsidRDefault="00A92422" w:rsidP="00A92422">
      <w:pPr>
        <w:pStyle w:val="ListParagraph"/>
        <w:numPr>
          <w:ilvl w:val="0"/>
          <w:numId w:val="75"/>
        </w:numPr>
        <w:spacing w:after="60"/>
        <w:contextualSpacing w:val="0"/>
        <w:rPr>
          <w:rFonts w:ascii="Tahoma" w:hAnsi="Tahoma" w:cs="Tahoma"/>
          <w:sz w:val="18"/>
          <w:szCs w:val="18"/>
        </w:rPr>
      </w:pPr>
      <w:r w:rsidRPr="00C5134F">
        <w:rPr>
          <w:rFonts w:ascii="Tahoma" w:hAnsi="Tahoma" w:cs="Tahoma"/>
          <w:sz w:val="18"/>
          <w:szCs w:val="18"/>
          <w:lang w:val="it-IT"/>
        </w:rPr>
        <w:t>1 licenza software per Forefront Threat Management Gateway Medium Business Edition 2010</w:t>
      </w:r>
    </w:p>
    <w:p w:rsidR="00A92422" w:rsidRPr="00C5134F" w:rsidRDefault="00A92422" w:rsidP="00A92422">
      <w:pPr>
        <w:pStyle w:val="ListParagraph"/>
        <w:ind w:left="1620"/>
        <w:rPr>
          <w:rFonts w:ascii="Tahoma" w:hAnsi="Tahoma" w:cs="Tahoma"/>
          <w:sz w:val="18"/>
          <w:szCs w:val="18"/>
        </w:rPr>
      </w:pPr>
    </w:p>
    <w:p w:rsidR="00A92422" w:rsidRPr="00C5134F" w:rsidRDefault="00A92422" w:rsidP="00A92422">
      <w:pPr>
        <w:pStyle w:val="ListParagraph"/>
        <w:rPr>
          <w:rFonts w:ascii="Tahoma" w:hAnsi="Tahoma" w:cs="Tahoma"/>
          <w:sz w:val="18"/>
          <w:szCs w:val="18"/>
        </w:rPr>
      </w:pPr>
      <w:r w:rsidRPr="00C5134F">
        <w:rPr>
          <w:rFonts w:ascii="Tahoma" w:hAnsi="Tahoma" w:cs="Tahoma"/>
          <w:sz w:val="18"/>
          <w:szCs w:val="18"/>
          <w:lang w:val="it-IT"/>
        </w:rPr>
        <w:t>(qualora sia disponibile una nuova versione di uno qualsiasi dei prodotti summenzionati ai sensi del programma Volume Licensing in base al quale una società ha acquistato le licenze qualificanti prima della fine della copertura Software Assurance attiva per la licenza di EBS 2008 Premium, la società sarà idonea a</w:t>
      </w:r>
      <w:r>
        <w:rPr>
          <w:rFonts w:ascii="Tahoma" w:hAnsi="Tahoma" w:cs="Tahoma"/>
          <w:sz w:val="18"/>
          <w:szCs w:val="18"/>
          <w:lang w:val="it-IT"/>
        </w:rPr>
        <w:t> </w:t>
      </w:r>
      <w:r w:rsidRPr="00C5134F">
        <w:rPr>
          <w:rFonts w:ascii="Tahoma" w:hAnsi="Tahoma" w:cs="Tahoma"/>
          <w:sz w:val="18"/>
          <w:szCs w:val="18"/>
          <w:lang w:val="it-IT"/>
        </w:rPr>
        <w:t>utilizzare quella versione al posto della versione specificata sopra).</w:t>
      </w:r>
    </w:p>
    <w:p w:rsidR="00A92422" w:rsidRPr="00C5134F" w:rsidRDefault="00A92422" w:rsidP="00A92422">
      <w:pPr>
        <w:pStyle w:val="ListParagraph"/>
        <w:ind w:left="1260"/>
        <w:rPr>
          <w:rFonts w:ascii="Tahoma" w:hAnsi="Tahoma" w:cs="Tahoma"/>
          <w:sz w:val="18"/>
          <w:szCs w:val="18"/>
        </w:rPr>
      </w:pPr>
    </w:p>
    <w:p w:rsidR="00A92422" w:rsidRDefault="00A92422" w:rsidP="00A92422">
      <w:pPr>
        <w:ind w:left="720"/>
        <w:rPr>
          <w:rFonts w:cs="Tahoma"/>
          <w:szCs w:val="18"/>
        </w:rPr>
      </w:pPr>
      <w:r w:rsidRPr="00C5134F">
        <w:rPr>
          <w:rFonts w:cs="Tahoma"/>
          <w:szCs w:val="18"/>
          <w:lang w:val="it-IT"/>
        </w:rPr>
        <w:t>Le licenze gratuite sono attestate dal Contratto Multilicenza della società e dalla presente nota relativa alle</w:t>
      </w:r>
      <w:r>
        <w:rPr>
          <w:rFonts w:cs="Tahoma"/>
          <w:szCs w:val="18"/>
          <w:lang w:val="it-IT"/>
        </w:rPr>
        <w:t> </w:t>
      </w:r>
      <w:r w:rsidRPr="00C5134F">
        <w:rPr>
          <w:rFonts w:cs="Tahoma"/>
          <w:szCs w:val="18"/>
          <w:lang w:val="it-IT"/>
        </w:rPr>
        <w:t>condizioni del prodotto.</w:t>
      </w:r>
      <w:r w:rsidRPr="00C5134F">
        <w:rPr>
          <w:rFonts w:cs="Tahoma"/>
          <w:szCs w:val="18"/>
        </w:rPr>
        <w:t xml:space="preserve"> </w:t>
      </w:r>
      <w:r w:rsidRPr="00C5134F">
        <w:rPr>
          <w:rFonts w:cs="Tahoma"/>
          <w:szCs w:val="18"/>
          <w:lang w:val="it-IT"/>
        </w:rPr>
        <w:t>L’utilizzo del software ai sensi delle licenze gratuite è soggetto alle condizioni del</w:t>
      </w:r>
      <w:r>
        <w:rPr>
          <w:rFonts w:cs="Tahoma"/>
          <w:szCs w:val="18"/>
          <w:lang w:val="it-IT"/>
        </w:rPr>
        <w:t> </w:t>
      </w:r>
      <w:r w:rsidRPr="00C5134F">
        <w:rPr>
          <w:rFonts w:cs="Tahoma"/>
          <w:szCs w:val="18"/>
          <w:lang w:val="it-IT"/>
        </w:rPr>
        <w:t>contratto della società e ai diritti di utilizzo del prodotto per i prodotti individuali.</w:t>
      </w:r>
      <w:r w:rsidRPr="00C5134F">
        <w:rPr>
          <w:rFonts w:cs="Tahoma"/>
          <w:szCs w:val="18"/>
        </w:rPr>
        <w:t xml:space="preserve"> </w:t>
      </w:r>
      <w:r w:rsidRPr="00C5134F">
        <w:rPr>
          <w:rFonts w:cs="Tahoma"/>
          <w:szCs w:val="18"/>
          <w:lang w:val="it-IT"/>
        </w:rPr>
        <w:t>Tranne per Forefront Protection for Exchange Server 2010, il diritto di utilizzo del software ai sensi delle licenze gratuite scadrà alla scadenza del diritto di utilizzo del software ai sensi delle licenze qualificanti.</w:t>
      </w:r>
      <w:r w:rsidRPr="00C5134F">
        <w:rPr>
          <w:rFonts w:cs="Tahoma"/>
          <w:szCs w:val="18"/>
        </w:rPr>
        <w:t xml:space="preserve"> </w:t>
      </w:r>
      <w:r w:rsidRPr="00C5134F">
        <w:rPr>
          <w:rFonts w:cs="Tahoma"/>
          <w:szCs w:val="18"/>
          <w:lang w:val="it-IT"/>
        </w:rPr>
        <w:t>Il diritto di utilizzo di Forefront Protection for Exchange Server 2010 scadrà alla scadenza della copertura Software Assurance sulle licenze qualificanti.</w:t>
      </w:r>
      <w:r w:rsidRPr="00C5134F">
        <w:rPr>
          <w:rFonts w:cs="Tahoma"/>
          <w:szCs w:val="18"/>
        </w:rPr>
        <w:t xml:space="preserve"> </w:t>
      </w:r>
      <w:r w:rsidRPr="00C5134F">
        <w:rPr>
          <w:rFonts w:cs="Tahoma"/>
          <w:szCs w:val="18"/>
          <w:lang w:val="it-IT"/>
        </w:rPr>
        <w:t>Le licenze gratuite non possono in nessun caso essere trasferite separatamente dalle licenze qualificanti.</w:t>
      </w:r>
      <w:r>
        <w:rPr>
          <w:rFonts w:cs="Tahoma"/>
          <w:szCs w:val="18"/>
        </w:rPr>
        <w:t xml:space="preserve"> </w:t>
      </w:r>
    </w:p>
    <w:p w:rsidR="00A92422" w:rsidRPr="00F564C3" w:rsidRDefault="00A92422" w:rsidP="00A92422">
      <w:pPr>
        <w:pStyle w:val="ListParagraph"/>
        <w:ind w:left="1800"/>
        <w:rPr>
          <w:rFonts w:ascii="Tahoma" w:hAnsi="Tahoma" w:cs="Tahoma"/>
          <w:sz w:val="18"/>
          <w:szCs w:val="18"/>
        </w:rPr>
      </w:pPr>
    </w:p>
    <w:p w:rsidR="00A92422" w:rsidRPr="00D87B79" w:rsidRDefault="00A92422" w:rsidP="00A92422">
      <w:pPr>
        <w:pStyle w:val="ListParagraph"/>
        <w:spacing w:after="60"/>
        <w:contextualSpacing w:val="0"/>
        <w:rPr>
          <w:rFonts w:ascii="Tahoma" w:hAnsi="Tahoma" w:cs="Tahoma"/>
        </w:rPr>
      </w:pPr>
      <w:r w:rsidRPr="00D87B79">
        <w:rPr>
          <w:rFonts w:ascii="Tahoma" w:hAnsi="Tahoma" w:cs="Tahoma"/>
          <w:b/>
          <w:sz w:val="18"/>
          <w:lang w:val="it-IT"/>
        </w:rPr>
        <w:t>Diritti sull'utilizzo aggiuntivi per CAL per Windows Essential Business Server (EBS) 2008</w:t>
      </w:r>
    </w:p>
    <w:p w:rsidR="00A92422" w:rsidRPr="00D87B79" w:rsidRDefault="00A92422" w:rsidP="00A92422">
      <w:pPr>
        <w:ind w:left="720"/>
        <w:rPr>
          <w:rFonts w:cs="Tahoma"/>
        </w:rPr>
      </w:pPr>
      <w:r w:rsidRPr="00D87B79">
        <w:rPr>
          <w:rFonts w:cs="Tahoma"/>
          <w:szCs w:val="18"/>
          <w:lang w:val="it-IT"/>
        </w:rPr>
        <w:t>Nonostante eventuali disposizioni contrarie dei diritti di utilizzo del prodotto per Windows Server 2008 ed</w:t>
      </w:r>
      <w:r>
        <w:rPr>
          <w:rFonts w:cs="Tahoma"/>
          <w:szCs w:val="18"/>
          <w:lang w:val="it-IT"/>
        </w:rPr>
        <w:t> </w:t>
      </w:r>
      <w:r w:rsidRPr="00D87B79">
        <w:rPr>
          <w:rFonts w:cs="Tahoma"/>
          <w:szCs w:val="18"/>
          <w:lang w:val="it-IT"/>
        </w:rPr>
        <w:t>Exchange Server 2007 Standard, le società possono utilizzare EBS 2008 CAL Suite ed EBS 2008 CAL Suite per Utenti o Dispositivi Premium per accedere alle istanze in licenza del software all’interno o all’esterno del loro dominio EBS 2008.</w:t>
      </w:r>
      <w:r w:rsidRPr="00D87B79">
        <w:rPr>
          <w:rFonts w:cs="Tahoma"/>
        </w:rPr>
        <w:t xml:space="preserve"> </w:t>
      </w:r>
      <w:r w:rsidRPr="00D87B79">
        <w:rPr>
          <w:rFonts w:cs="Tahoma"/>
          <w:lang w:val="it-IT"/>
        </w:rPr>
        <w:t>Inoltre, nonostante eventuali disposizioni contrarie dei diritti di utilizzo del prodotto per SQL Server 2008 Standard, le società possono utilizzare EBS 2008 CAL Suite per Utenti o Dispositivi Premium per accedere alle istanze in licenza di SQL Server 2008 Standard all’interno o all’esterno del loro dominio EBS 2008.</w:t>
      </w:r>
    </w:p>
    <w:p w:rsidR="00A92422" w:rsidRPr="00D87B79" w:rsidRDefault="00A92422" w:rsidP="00A92422">
      <w:pPr>
        <w:tabs>
          <w:tab w:val="left" w:pos="1260"/>
        </w:tabs>
        <w:ind w:left="1260"/>
        <w:rPr>
          <w:rFonts w:cs="Tahoma"/>
        </w:rPr>
      </w:pPr>
    </w:p>
    <w:p w:rsidR="00A92422" w:rsidRPr="00D87B79" w:rsidRDefault="00A92422" w:rsidP="00A92422">
      <w:pPr>
        <w:tabs>
          <w:tab w:val="left" w:pos="1260"/>
        </w:tabs>
        <w:ind w:left="720"/>
        <w:rPr>
          <w:rFonts w:cs="Tahoma"/>
        </w:rPr>
      </w:pPr>
      <w:r w:rsidRPr="00D87B79">
        <w:rPr>
          <w:rFonts w:cs="Tahoma"/>
          <w:lang w:val="it-IT"/>
        </w:rPr>
        <w:t>Per le società con copertura Software Assurance attiva per CAL per Windows Essential Business Server (EBS) 2008 al 1 luglio 2010 è previsto quanto segue:</w:t>
      </w:r>
    </w:p>
    <w:p w:rsidR="00A92422" w:rsidRPr="00C5134F" w:rsidRDefault="00A92422" w:rsidP="00A92422">
      <w:pPr>
        <w:pStyle w:val="ListParagraph"/>
        <w:tabs>
          <w:tab w:val="left" w:pos="1260"/>
        </w:tabs>
        <w:ind w:left="1260"/>
        <w:contextualSpacing w:val="0"/>
        <w:rPr>
          <w:rFonts w:ascii="Tahoma" w:hAnsi="Tahoma" w:cs="Tahoma"/>
          <w:sz w:val="18"/>
          <w:szCs w:val="18"/>
        </w:rPr>
      </w:pPr>
    </w:p>
    <w:p w:rsidR="00A92422" w:rsidRPr="00D87B79" w:rsidRDefault="00A92422" w:rsidP="00A92422">
      <w:pPr>
        <w:pStyle w:val="ListParagraph"/>
        <w:numPr>
          <w:ilvl w:val="0"/>
          <w:numId w:val="124"/>
        </w:numPr>
        <w:tabs>
          <w:tab w:val="left" w:pos="1440"/>
        </w:tabs>
        <w:spacing w:after="60"/>
        <w:contextualSpacing w:val="0"/>
        <w:rPr>
          <w:rFonts w:ascii="Tahoma" w:hAnsi="Tahoma" w:cs="Tahoma"/>
        </w:rPr>
      </w:pPr>
      <w:r w:rsidRPr="00D87B79">
        <w:rPr>
          <w:rFonts w:ascii="Tahoma" w:hAnsi="Tahoma" w:cs="Tahoma"/>
          <w:sz w:val="18"/>
          <w:lang w:val="it-IT"/>
        </w:rPr>
        <w:t>Per ogni EBS 2008 CAL Suite con copertura Software Assurance attiva in tale data, la società è</w:t>
      </w:r>
      <w:r>
        <w:rPr>
          <w:rFonts w:ascii="Tahoma" w:hAnsi="Tahoma" w:cs="Tahoma"/>
          <w:sz w:val="18"/>
          <w:lang w:val="it-IT"/>
        </w:rPr>
        <w:t> </w:t>
      </w:r>
      <w:r w:rsidRPr="00D87B79">
        <w:rPr>
          <w:rFonts w:ascii="Tahoma" w:hAnsi="Tahoma" w:cs="Tahoma"/>
          <w:sz w:val="18"/>
          <w:lang w:val="it-IT"/>
        </w:rPr>
        <w:t>idonea a ricevere le seguenti licenze gratuite:</w:t>
      </w:r>
    </w:p>
    <w:p w:rsidR="00A92422" w:rsidRPr="00D87B79" w:rsidRDefault="00A92422" w:rsidP="00A92422">
      <w:pPr>
        <w:pStyle w:val="ListParagraph"/>
        <w:numPr>
          <w:ilvl w:val="1"/>
          <w:numId w:val="125"/>
        </w:numPr>
        <w:tabs>
          <w:tab w:val="clear" w:pos="720"/>
        </w:tabs>
        <w:spacing w:after="60"/>
        <w:ind w:left="1980"/>
        <w:contextualSpacing w:val="0"/>
        <w:rPr>
          <w:rFonts w:ascii="Tahoma" w:hAnsi="Tahoma" w:cs="Tahoma"/>
        </w:rPr>
      </w:pPr>
      <w:r w:rsidRPr="00D87B79">
        <w:rPr>
          <w:rFonts w:ascii="Tahoma" w:hAnsi="Tahoma" w:cs="Tahoma"/>
          <w:sz w:val="18"/>
          <w:lang w:val="it-IT"/>
        </w:rPr>
        <w:t>1 CAL per Windows Server 2008</w:t>
      </w:r>
    </w:p>
    <w:p w:rsidR="00A92422" w:rsidRPr="00D87B79" w:rsidRDefault="00A92422" w:rsidP="00A92422">
      <w:pPr>
        <w:pStyle w:val="ListParagraph"/>
        <w:numPr>
          <w:ilvl w:val="1"/>
          <w:numId w:val="125"/>
        </w:numPr>
        <w:tabs>
          <w:tab w:val="clear" w:pos="720"/>
        </w:tabs>
        <w:spacing w:after="60"/>
        <w:ind w:left="1980"/>
        <w:contextualSpacing w:val="0"/>
        <w:rPr>
          <w:rFonts w:ascii="Tahoma" w:hAnsi="Tahoma" w:cs="Tahoma"/>
        </w:rPr>
      </w:pPr>
      <w:r w:rsidRPr="00D87B79">
        <w:rPr>
          <w:rFonts w:ascii="Tahoma" w:hAnsi="Tahoma" w:cs="Tahoma"/>
          <w:sz w:val="18"/>
          <w:lang w:val="it-IT"/>
        </w:rPr>
        <w:t>1 licenza Exchange Server 2010 Standard CAL</w:t>
      </w:r>
    </w:p>
    <w:p w:rsidR="00A92422" w:rsidRPr="00D87B79" w:rsidRDefault="00A92422" w:rsidP="00A92422">
      <w:pPr>
        <w:pStyle w:val="ListParagraph"/>
        <w:numPr>
          <w:ilvl w:val="1"/>
          <w:numId w:val="125"/>
        </w:numPr>
        <w:tabs>
          <w:tab w:val="clear" w:pos="720"/>
        </w:tabs>
        <w:spacing w:after="60"/>
        <w:ind w:left="1980"/>
        <w:contextualSpacing w:val="0"/>
        <w:rPr>
          <w:rFonts w:ascii="Tahoma" w:hAnsi="Tahoma" w:cs="Tahoma"/>
        </w:rPr>
      </w:pPr>
      <w:r w:rsidRPr="00D87B79">
        <w:rPr>
          <w:rFonts w:ascii="Tahoma" w:hAnsi="Tahoma" w:cs="Tahoma"/>
          <w:sz w:val="18"/>
          <w:lang w:val="it-IT"/>
        </w:rPr>
        <w:t>1 licenza “Subscription” per utente o dispositivo per Forefront Protection for Exchange Server 2010</w:t>
      </w:r>
    </w:p>
    <w:p w:rsidR="00A92422" w:rsidRPr="00C5134F" w:rsidRDefault="00A92422" w:rsidP="00A92422">
      <w:pPr>
        <w:pStyle w:val="ListParagraph"/>
        <w:tabs>
          <w:tab w:val="num" w:pos="1800"/>
        </w:tabs>
        <w:spacing w:after="60"/>
        <w:ind w:left="1800"/>
        <w:contextualSpacing w:val="0"/>
        <w:rPr>
          <w:rFonts w:ascii="Tahoma" w:hAnsi="Tahoma" w:cs="Tahoma"/>
          <w:sz w:val="18"/>
          <w:szCs w:val="18"/>
        </w:rPr>
      </w:pPr>
    </w:p>
    <w:p w:rsidR="00A92422" w:rsidRPr="00D87B79" w:rsidRDefault="00A92422" w:rsidP="00A92422">
      <w:pPr>
        <w:pStyle w:val="ListParagraph"/>
        <w:numPr>
          <w:ilvl w:val="0"/>
          <w:numId w:val="124"/>
        </w:numPr>
        <w:tabs>
          <w:tab w:val="left" w:pos="1440"/>
        </w:tabs>
        <w:spacing w:after="60"/>
        <w:contextualSpacing w:val="0"/>
        <w:rPr>
          <w:rFonts w:ascii="Tahoma" w:hAnsi="Tahoma" w:cs="Tahoma"/>
        </w:rPr>
      </w:pPr>
      <w:r w:rsidRPr="00D87B79">
        <w:rPr>
          <w:rFonts w:ascii="Tahoma" w:hAnsi="Tahoma" w:cs="Tahoma"/>
          <w:sz w:val="18"/>
          <w:lang w:val="it-IT"/>
        </w:rPr>
        <w:t>Per ogni EBS 2008 CAL Suite per Utenti e Dispositivi Premium con copertura Software Assurance attiva in tale data, la società è idonea a ricevere le seguenti licenze gratuite:</w:t>
      </w:r>
    </w:p>
    <w:p w:rsidR="00A92422" w:rsidRPr="00D87B79" w:rsidRDefault="00A92422" w:rsidP="00A92422">
      <w:pPr>
        <w:pStyle w:val="ListParagraph"/>
        <w:numPr>
          <w:ilvl w:val="1"/>
          <w:numId w:val="125"/>
        </w:numPr>
        <w:tabs>
          <w:tab w:val="clear" w:pos="720"/>
        </w:tabs>
        <w:spacing w:after="60"/>
        <w:ind w:left="1980"/>
        <w:contextualSpacing w:val="0"/>
        <w:rPr>
          <w:rFonts w:ascii="Tahoma" w:hAnsi="Tahoma" w:cs="Tahoma"/>
        </w:rPr>
      </w:pPr>
      <w:r w:rsidRPr="00D87B79">
        <w:rPr>
          <w:rFonts w:ascii="Tahoma" w:hAnsi="Tahoma" w:cs="Tahoma"/>
          <w:sz w:val="18"/>
          <w:lang w:val="it-IT"/>
        </w:rPr>
        <w:t>CAL per Windows Server 2008</w:t>
      </w:r>
    </w:p>
    <w:p w:rsidR="00A92422" w:rsidRPr="00C5134F" w:rsidRDefault="00A92422" w:rsidP="00A92422">
      <w:pPr>
        <w:pStyle w:val="ListParagraph"/>
        <w:numPr>
          <w:ilvl w:val="1"/>
          <w:numId w:val="125"/>
        </w:numPr>
        <w:tabs>
          <w:tab w:val="clear" w:pos="720"/>
        </w:tabs>
        <w:spacing w:after="60"/>
        <w:ind w:left="1980"/>
        <w:contextualSpacing w:val="0"/>
        <w:rPr>
          <w:rFonts w:ascii="Tahoma" w:hAnsi="Tahoma" w:cs="Tahoma"/>
        </w:rPr>
      </w:pPr>
      <w:r w:rsidRPr="00D87B79">
        <w:rPr>
          <w:rFonts w:ascii="Tahoma" w:hAnsi="Tahoma" w:cs="Tahoma"/>
          <w:sz w:val="18"/>
          <w:lang w:val="it-IT"/>
        </w:rPr>
        <w:t>Exchange Server 2010 Standard CAL</w:t>
      </w:r>
    </w:p>
    <w:p w:rsidR="00A92422" w:rsidRPr="00D87B79" w:rsidRDefault="00A92422" w:rsidP="00A92422">
      <w:pPr>
        <w:pStyle w:val="ListParagraph"/>
        <w:numPr>
          <w:ilvl w:val="1"/>
          <w:numId w:val="125"/>
        </w:numPr>
        <w:tabs>
          <w:tab w:val="clear" w:pos="720"/>
        </w:tabs>
        <w:spacing w:after="60"/>
        <w:ind w:left="1980"/>
        <w:contextualSpacing w:val="0"/>
        <w:rPr>
          <w:rFonts w:ascii="Tahoma" w:hAnsi="Tahoma" w:cs="Tahoma"/>
        </w:rPr>
      </w:pPr>
      <w:r w:rsidRPr="00D87B79">
        <w:rPr>
          <w:rFonts w:ascii="Tahoma" w:hAnsi="Tahoma" w:cs="Tahoma"/>
          <w:sz w:val="18"/>
          <w:lang w:val="it-IT"/>
        </w:rPr>
        <w:t>CAL per SQL Server 2008 R2</w:t>
      </w:r>
    </w:p>
    <w:p w:rsidR="00A92422" w:rsidRPr="00D87B79" w:rsidRDefault="00A92422" w:rsidP="00A92422">
      <w:pPr>
        <w:pStyle w:val="ListParagraph"/>
        <w:numPr>
          <w:ilvl w:val="1"/>
          <w:numId w:val="125"/>
        </w:numPr>
        <w:tabs>
          <w:tab w:val="clear" w:pos="720"/>
        </w:tabs>
        <w:spacing w:after="60"/>
        <w:ind w:left="1980"/>
        <w:contextualSpacing w:val="0"/>
        <w:rPr>
          <w:rFonts w:ascii="Tahoma" w:hAnsi="Tahoma" w:cs="Tahoma"/>
        </w:rPr>
      </w:pPr>
      <w:r w:rsidRPr="00D87B79">
        <w:rPr>
          <w:rFonts w:ascii="Tahoma" w:hAnsi="Tahoma" w:cs="Tahoma"/>
          <w:sz w:val="18"/>
          <w:lang w:val="it-IT"/>
        </w:rPr>
        <w:lastRenderedPageBreak/>
        <w:t>1 licenza “Subscription” per utente o dispositivo per Forefront Protection for Exchange Server 2010</w:t>
      </w:r>
    </w:p>
    <w:p w:rsidR="00A92422" w:rsidRPr="00D87B79" w:rsidRDefault="00A92422" w:rsidP="00A92422">
      <w:pPr>
        <w:pStyle w:val="ListParagraph"/>
        <w:spacing w:after="60"/>
        <w:ind w:left="1980"/>
        <w:contextualSpacing w:val="0"/>
        <w:rPr>
          <w:rFonts w:ascii="Tahoma" w:hAnsi="Tahoma" w:cs="Tahoma"/>
        </w:rPr>
      </w:pPr>
      <w:r w:rsidRPr="00D87B79">
        <w:rPr>
          <w:rFonts w:ascii="Tahoma" w:hAnsi="Tahoma" w:cs="Tahoma"/>
          <w:sz w:val="18"/>
          <w:lang w:val="it-IT"/>
        </w:rPr>
        <w:t>(qualora sia disponibile una nuova versione di tali prodotti ai sensi del programma Volume Licensing in base al quale una società ha acquistato le licenze qualificanti prima della fine della copertura Software Assurance attiva per la CAL qualificante per EBS 2008, la società sarà idonea a ricevere invece le CAL corrispondenti a quella versione).</w:t>
      </w:r>
    </w:p>
    <w:p w:rsidR="00A92422" w:rsidRPr="00D87B79" w:rsidRDefault="00A92422" w:rsidP="00A92422">
      <w:pPr>
        <w:rPr>
          <w:rFonts w:cs="Tahoma"/>
        </w:rPr>
      </w:pPr>
    </w:p>
    <w:p w:rsidR="00A92422" w:rsidRDefault="00A92422" w:rsidP="00A92422">
      <w:pPr>
        <w:ind w:left="720"/>
        <w:rPr>
          <w:rFonts w:cs="Tahoma"/>
          <w:lang w:val="it-IT"/>
        </w:rPr>
      </w:pPr>
      <w:r w:rsidRPr="00D87B79">
        <w:rPr>
          <w:rFonts w:cs="Tahoma"/>
          <w:szCs w:val="18"/>
          <w:lang w:val="it-IT"/>
        </w:rPr>
        <w:t>Le CAL gratuite sono attestate dal contratto multilicenza (Volume Licensing) della società e dalla presente nota relativa alle condizioni del prodotto.</w:t>
      </w:r>
      <w:r w:rsidRPr="00D87B79">
        <w:rPr>
          <w:rFonts w:cs="Tahoma"/>
          <w:szCs w:val="18"/>
        </w:rPr>
        <w:t xml:space="preserve"> </w:t>
      </w:r>
      <w:r w:rsidRPr="00D87B79">
        <w:rPr>
          <w:rFonts w:cs="Tahoma"/>
          <w:szCs w:val="18"/>
          <w:lang w:val="it-IT"/>
        </w:rPr>
        <w:t>L’utilizzo del software ai sensi delle CAL gratuite è soggetto alle condizioni del contratto della società e ai diritti di utilizzo del prodotto per i prodotti individuali.</w:t>
      </w:r>
      <w:r w:rsidRPr="00D87B79">
        <w:rPr>
          <w:rFonts w:cs="Tahoma"/>
          <w:szCs w:val="18"/>
        </w:rPr>
        <w:t xml:space="preserve"> </w:t>
      </w:r>
      <w:r w:rsidRPr="00D87B79">
        <w:rPr>
          <w:rFonts w:cs="Tahoma"/>
          <w:szCs w:val="18"/>
          <w:lang w:val="it-IT"/>
        </w:rPr>
        <w:t>Il diritto di</w:t>
      </w:r>
      <w:r>
        <w:rPr>
          <w:rFonts w:cs="Tahoma"/>
          <w:szCs w:val="18"/>
          <w:lang w:val="it-IT"/>
        </w:rPr>
        <w:t> </w:t>
      </w:r>
      <w:r w:rsidRPr="00D87B79">
        <w:rPr>
          <w:rFonts w:cs="Tahoma"/>
          <w:szCs w:val="18"/>
          <w:lang w:val="it-IT"/>
        </w:rPr>
        <w:t>utilizzo del software ai sensi delle CAL gratuite scadrà alla scadenza del diritto di utilizzo del software ai</w:t>
      </w:r>
      <w:r>
        <w:rPr>
          <w:rFonts w:cs="Tahoma"/>
          <w:szCs w:val="18"/>
          <w:lang w:val="it-IT"/>
        </w:rPr>
        <w:t> </w:t>
      </w:r>
      <w:r w:rsidRPr="00D87B79">
        <w:rPr>
          <w:rFonts w:cs="Tahoma"/>
          <w:szCs w:val="18"/>
          <w:lang w:val="it-IT"/>
        </w:rPr>
        <w:t>sensi delle CAL qualificanti.</w:t>
      </w:r>
      <w:r w:rsidRPr="00D87B79">
        <w:rPr>
          <w:rFonts w:cs="Tahoma"/>
        </w:rPr>
        <w:t xml:space="preserve"> </w:t>
      </w:r>
      <w:bookmarkStart w:id="1549" w:name="_107_Windows_Azure"/>
      <w:bookmarkEnd w:id="1549"/>
      <w:r w:rsidRPr="00D87B79">
        <w:rPr>
          <w:rFonts w:cs="Tahoma"/>
          <w:lang w:val="it-IT"/>
        </w:rPr>
        <w:t>Le CAL gratuite non possono in nessun caso essere trasferite separatamente dalle CAL qualificanti.</w:t>
      </w:r>
    </w:p>
    <w:p w:rsidR="00A92422" w:rsidRDefault="00A92422" w:rsidP="00A92422">
      <w:pPr>
        <w:ind w:left="720"/>
        <w:rPr>
          <w:rFonts w:cs="Tahoma"/>
          <w:lang w:val="it-IT"/>
        </w:rPr>
      </w:pPr>
    </w:p>
    <w:p w:rsidR="00A92422" w:rsidRPr="00D87B79" w:rsidRDefault="00A92422" w:rsidP="00A92422">
      <w:pPr>
        <w:ind w:left="720"/>
        <w:rPr>
          <w:rFonts w:cs="Tahoma"/>
        </w:rPr>
      </w:pPr>
    </w:p>
    <w:p w:rsidR="00A92422" w:rsidRPr="00D87B79" w:rsidRDefault="00A92422" w:rsidP="00A92422">
      <w:pPr>
        <w:pStyle w:val="Heading3"/>
        <w:rPr>
          <w:rFonts w:ascii="Tahoma" w:hAnsi="Tahoma" w:cs="Tahoma"/>
        </w:rPr>
      </w:pPr>
      <w:bookmarkStart w:id="1550" w:name="_Toc336338365"/>
      <w:bookmarkStart w:id="1551" w:name="Srv_109HPCServer2008_R2Suite"/>
      <w:bookmarkStart w:id="1552" w:name="Srv_96WindowsHighPerfCompSvr08"/>
      <w:bookmarkStart w:id="1553" w:name="Srv_94HPCServer2008_R2Suite"/>
      <w:bookmarkStart w:id="1554" w:name="Srv_106HPCServer2008_R2Suite"/>
      <w:bookmarkStart w:id="1555" w:name="_98_Windows_HPC"/>
      <w:bookmarkStart w:id="1556" w:name="_Toc342900408"/>
      <w:bookmarkEnd w:id="1550"/>
      <w:bookmarkEnd w:id="1551"/>
      <w:bookmarkEnd w:id="1552"/>
      <w:bookmarkEnd w:id="1553"/>
      <w:bookmarkEnd w:id="1554"/>
      <w:bookmarkEnd w:id="1555"/>
      <w:r w:rsidRPr="00D87B79">
        <w:rPr>
          <w:rFonts w:ascii="Tahoma" w:hAnsi="Tahoma" w:cs="Tahoma"/>
          <w:caps/>
          <w:color w:val="F66400"/>
          <w:sz w:val="22"/>
          <w:vertAlign w:val="superscript"/>
          <w:lang w:val="it-IT"/>
        </w:rPr>
        <w:t>98</w:t>
      </w:r>
      <w:r w:rsidRPr="00D87B79">
        <w:rPr>
          <w:rFonts w:ascii="Tahoma" w:hAnsi="Tahoma" w:cs="Tahoma"/>
          <w:color w:val="F66400"/>
          <w:sz w:val="22"/>
          <w:lang w:val="it-IT"/>
        </w:rPr>
        <w:t xml:space="preserve"> Windows HPC Server 2008 R2 Suite</w:t>
      </w:r>
      <w:bookmarkEnd w:id="1556"/>
    </w:p>
    <w:p w:rsidR="00A92422" w:rsidRPr="00E8509E" w:rsidRDefault="00A92422" w:rsidP="00A92422">
      <w:pPr>
        <w:pStyle w:val="EndnoteText"/>
        <w:rPr>
          <w:rFonts w:ascii="Tahoma" w:hAnsi="Tahoma" w:cs="Tahoma"/>
          <w:sz w:val="18"/>
          <w:szCs w:val="18"/>
        </w:rPr>
      </w:pPr>
    </w:p>
    <w:p w:rsidR="00A92422" w:rsidRPr="00D87B79" w:rsidRDefault="00A92422" w:rsidP="00A92422">
      <w:pPr>
        <w:spacing w:after="60"/>
        <w:ind w:left="720"/>
        <w:rPr>
          <w:rFonts w:cs="Tahoma"/>
        </w:rPr>
      </w:pPr>
      <w:r w:rsidRPr="00D87B79">
        <w:rPr>
          <w:rFonts w:cs="Tahoma"/>
          <w:b/>
          <w:color w:val="000000"/>
          <w:lang w:val="it-IT"/>
        </w:rPr>
        <w:t>Concessioni di licenza associate alla fine del ciclo di vita di HPC Server Suite</w:t>
      </w:r>
    </w:p>
    <w:p w:rsidR="00A92422" w:rsidRDefault="00A92422" w:rsidP="00A92422">
      <w:pPr>
        <w:ind w:left="720"/>
        <w:rPr>
          <w:rFonts w:cs="Tahoma"/>
        </w:rPr>
      </w:pPr>
      <w:r w:rsidRPr="00D87B79">
        <w:rPr>
          <w:rFonts w:cs="Tahoma"/>
          <w:color w:val="000000"/>
          <w:lang w:val="it-IT"/>
        </w:rPr>
        <w:t>HPC Server Suite 2008 R2 sarà l’ultima versione di HPC Server Suite.</w:t>
      </w:r>
      <w:r w:rsidRPr="00D87B79">
        <w:rPr>
          <w:rFonts w:cs="Tahoma"/>
        </w:rPr>
        <w:t xml:space="preserve"> </w:t>
      </w:r>
      <w:r w:rsidRPr="00D87B79">
        <w:rPr>
          <w:rFonts w:cs="Tahoma"/>
          <w:color w:val="000000"/>
          <w:lang w:val="it-IT"/>
        </w:rPr>
        <w:t xml:space="preserve">Le società titolari di contratti multilicenza con copertura Software Assurance attiva per le licenze per HPC Server Suite in data 1 settembre 2012 o in occasione della prima disponibilità di Windows Server 2012 per il download dal sito Web Volume Licensing Service Center, a seconda di quale evento si verificherà per primo, (“Licenze Qualificanti”) saranno autorizzate a effettuare l’aggiornamento al software </w:t>
      </w:r>
      <w:r w:rsidRPr="00D87B79">
        <w:rPr>
          <w:rFonts w:cs="Tahoma"/>
          <w:lang w:val="it-IT"/>
        </w:rPr>
        <w:t xml:space="preserve">Windows Server 2012 Standard e a </w:t>
      </w:r>
      <w:r w:rsidRPr="00D87B79">
        <w:rPr>
          <w:rFonts w:cs="Tahoma"/>
          <w:color w:val="000000"/>
          <w:lang w:val="it-IT"/>
        </w:rPr>
        <w:t xml:space="preserve">utilizzarlo al posto di </w:t>
      </w:r>
      <w:r w:rsidRPr="00D87B79">
        <w:rPr>
          <w:rFonts w:cs="Tahoma"/>
          <w:lang w:val="it-IT"/>
        </w:rPr>
        <w:t>HPC Server Suite.</w:t>
      </w:r>
      <w:r w:rsidRPr="00D87B79">
        <w:rPr>
          <w:rFonts w:cs="Tahoma"/>
        </w:rPr>
        <w:t xml:space="preserve"> </w:t>
      </w:r>
      <w:r w:rsidRPr="00D87B79">
        <w:rPr>
          <w:rFonts w:cs="Tahoma"/>
          <w:lang w:val="it-IT"/>
        </w:rPr>
        <w:t>Per agevolare tale aggiornamento, per ogni Licenza Qualificante in suo possesso, alla</w:t>
      </w:r>
      <w:r>
        <w:rPr>
          <w:rFonts w:cs="Tahoma"/>
          <w:lang w:val="it-IT"/>
        </w:rPr>
        <w:t> </w:t>
      </w:r>
      <w:r w:rsidRPr="00D87B79">
        <w:rPr>
          <w:rFonts w:cs="Tahoma"/>
          <w:lang w:val="it-IT"/>
        </w:rPr>
        <w:t>società verrà concessa una licenza per processore per Windows Server 2012 Standard in base alla disponibilità di Windows Server 2012.</w:t>
      </w:r>
    </w:p>
    <w:p w:rsidR="00A92422" w:rsidRPr="00D87B79" w:rsidRDefault="00A92422" w:rsidP="00A92422">
      <w:pPr>
        <w:ind w:left="720"/>
        <w:rPr>
          <w:rFonts w:cs="Tahoma"/>
        </w:rPr>
      </w:pPr>
    </w:p>
    <w:p w:rsidR="00A92422" w:rsidRPr="00D87B79" w:rsidRDefault="00A92422" w:rsidP="00A92422">
      <w:pPr>
        <w:numPr>
          <w:ilvl w:val="0"/>
          <w:numId w:val="92"/>
        </w:numPr>
        <w:tabs>
          <w:tab w:val="left" w:pos="1440"/>
        </w:tabs>
        <w:spacing w:after="60"/>
        <w:ind w:left="1440"/>
        <w:rPr>
          <w:rFonts w:cs="Tahoma"/>
        </w:rPr>
      </w:pPr>
      <w:r w:rsidRPr="00D87B79">
        <w:rPr>
          <w:rFonts w:eastAsia="Times New Roman" w:cs="Tahoma"/>
          <w:szCs w:val="18"/>
          <w:lang w:val="it-IT"/>
        </w:rPr>
        <w:t>Le licenze acquistate ai sensi della presente concessione includono la copertura Software Assurance.</w:t>
      </w:r>
      <w:r w:rsidRPr="00D87B79">
        <w:rPr>
          <w:rFonts w:cs="Tahoma"/>
        </w:rPr>
        <w:t xml:space="preserve"> </w:t>
      </w:r>
      <w:r w:rsidRPr="00D87B79">
        <w:rPr>
          <w:rFonts w:cs="Tahoma"/>
          <w:lang w:val="it-IT"/>
        </w:rPr>
        <w:t>Tale copertura cessa alla scadenza della corrispondente copertura per le Licenze</w:t>
      </w:r>
      <w:r>
        <w:rPr>
          <w:rFonts w:cs="Tahoma"/>
          <w:lang w:val="it-IT"/>
        </w:rPr>
        <w:t> </w:t>
      </w:r>
      <w:r w:rsidRPr="00D87B79">
        <w:rPr>
          <w:rFonts w:cs="Tahoma"/>
          <w:lang w:val="it-IT"/>
        </w:rPr>
        <w:t>Qualificanti.</w:t>
      </w:r>
    </w:p>
    <w:p w:rsidR="00A92422" w:rsidRPr="00D87B79" w:rsidRDefault="00A92422" w:rsidP="00A92422">
      <w:pPr>
        <w:numPr>
          <w:ilvl w:val="0"/>
          <w:numId w:val="92"/>
        </w:numPr>
        <w:tabs>
          <w:tab w:val="left" w:pos="1440"/>
        </w:tabs>
        <w:spacing w:after="60"/>
        <w:ind w:left="1440"/>
        <w:rPr>
          <w:rFonts w:cs="Tahoma"/>
        </w:rPr>
      </w:pPr>
      <w:r w:rsidRPr="00D87B79">
        <w:rPr>
          <w:rFonts w:cs="Tahoma"/>
          <w:lang w:val="it-IT"/>
        </w:rPr>
        <w:t>Nel caso in cui le società abbiano acquistato diritti perpetui di utilizzo del software ai sensi di</w:t>
      </w:r>
      <w:r>
        <w:rPr>
          <w:rFonts w:cs="Tahoma"/>
          <w:lang w:val="it-IT"/>
        </w:rPr>
        <w:t> </w:t>
      </w:r>
      <w:r w:rsidRPr="00D87B79">
        <w:rPr>
          <w:rFonts w:cs="Tahoma"/>
          <w:lang w:val="it-IT"/>
        </w:rPr>
        <w:t>Licenze Qualificanti, le licenze acquistate ai sensi della presente concessione saranno anch’esse perpetue; diversamente, le licenze acquistate ai sensi della presente concessione cesseranno alla scadenza delle Licenze Qualificanti sottostanti.</w:t>
      </w:r>
    </w:p>
    <w:p w:rsidR="00A92422" w:rsidRPr="00D87B79" w:rsidRDefault="00A92422" w:rsidP="00A92422">
      <w:pPr>
        <w:numPr>
          <w:ilvl w:val="0"/>
          <w:numId w:val="92"/>
        </w:numPr>
        <w:tabs>
          <w:tab w:val="left" w:pos="1440"/>
        </w:tabs>
        <w:spacing w:after="60"/>
        <w:ind w:left="1440"/>
        <w:rPr>
          <w:rFonts w:cs="Tahoma"/>
        </w:rPr>
      </w:pPr>
      <w:r w:rsidRPr="00D87B79">
        <w:rPr>
          <w:rFonts w:cs="Tahoma"/>
          <w:lang w:val="it-IT"/>
        </w:rPr>
        <w:t>Eseguendo l’aggiornamento a Windows Server 2012 Standard ai sensi della presente concessione, le Licenze Qualificanti in essere per HPC Server Suite non saranno più valide.</w:t>
      </w:r>
    </w:p>
    <w:p w:rsidR="00A92422" w:rsidRPr="00D87B79" w:rsidRDefault="00A92422" w:rsidP="00A92422">
      <w:pPr>
        <w:numPr>
          <w:ilvl w:val="0"/>
          <w:numId w:val="96"/>
        </w:numPr>
        <w:tabs>
          <w:tab w:val="left" w:pos="1440"/>
        </w:tabs>
        <w:spacing w:after="60"/>
        <w:ind w:left="1440"/>
        <w:rPr>
          <w:rFonts w:cs="Tahoma"/>
        </w:rPr>
      </w:pPr>
      <w:r w:rsidRPr="00D87B79">
        <w:rPr>
          <w:rFonts w:cs="Tahoma"/>
          <w:color w:val="000000"/>
          <w:lang w:val="it-IT"/>
        </w:rPr>
        <w:t>Le licenze per HPC Server Suite acquistate successivamente nello stesso periodo di validità dell’iscrizione nell’ambito di una procedura pianificata di true-up di una società Enterprise, Enterprise Subscription, Open Value Subscription o EES sono anch’esse Licenze Qualificanti per gli</w:t>
      </w:r>
      <w:r>
        <w:rPr>
          <w:rFonts w:cs="Tahoma"/>
          <w:color w:val="000000"/>
          <w:lang w:val="it-IT"/>
        </w:rPr>
        <w:t> </w:t>
      </w:r>
      <w:r w:rsidRPr="00D87B79">
        <w:rPr>
          <w:rFonts w:cs="Tahoma"/>
          <w:color w:val="000000"/>
          <w:lang w:val="it-IT"/>
        </w:rPr>
        <w:t>scopi previsti dalla suddetta concessione.</w:t>
      </w:r>
      <w:r w:rsidRPr="00D87B79">
        <w:rPr>
          <w:rFonts w:cs="Tahoma"/>
        </w:rPr>
        <w:t xml:space="preserve"> </w:t>
      </w:r>
    </w:p>
    <w:p w:rsidR="00A92422" w:rsidRPr="00D87B79" w:rsidRDefault="00A92422" w:rsidP="00A92422">
      <w:pPr>
        <w:numPr>
          <w:ilvl w:val="0"/>
          <w:numId w:val="96"/>
        </w:numPr>
        <w:tabs>
          <w:tab w:val="left" w:pos="1440"/>
        </w:tabs>
        <w:spacing w:after="60"/>
        <w:ind w:left="1440"/>
        <w:rPr>
          <w:rFonts w:cs="Tahoma"/>
        </w:rPr>
      </w:pPr>
      <w:r w:rsidRPr="00D87B79">
        <w:rPr>
          <w:rFonts w:cs="Tahoma"/>
          <w:color w:val="000000"/>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p>
    <w:p w:rsidR="00A92422" w:rsidRPr="00E311F8" w:rsidRDefault="00A92422" w:rsidP="00A92422">
      <w:pPr>
        <w:numPr>
          <w:ilvl w:val="0"/>
          <w:numId w:val="96"/>
        </w:numPr>
        <w:tabs>
          <w:tab w:val="left" w:pos="1440"/>
        </w:tabs>
        <w:spacing w:after="60"/>
        <w:ind w:left="1440"/>
        <w:rPr>
          <w:rFonts w:cs="Tahoma"/>
        </w:rPr>
      </w:pPr>
      <w:bookmarkStart w:id="1557" w:name="_109_Windows®_Intune"/>
      <w:bookmarkEnd w:id="1557"/>
      <w:r w:rsidRPr="00E311F8">
        <w:rPr>
          <w:rFonts w:cs="Tahoma"/>
          <w:color w:val="000000"/>
          <w:lang w:val="it-IT"/>
        </w:rPr>
        <w:t>Fare anche riferimento alle note della lista dei prodotti per Windows Server 2008 R2 HPC Edition e HPC Pack 2008 R2 Enterprise.</w:t>
      </w:r>
    </w:p>
    <w:p w:rsidR="00A92422" w:rsidRDefault="00A92422" w:rsidP="00A92422">
      <w:pPr>
        <w:pStyle w:val="Heading2"/>
        <w:ind w:hanging="720"/>
        <w:rPr>
          <w:rFonts w:ascii="Tahoma" w:hAnsi="Tahoma" w:cs="Tahoma"/>
          <w:caps/>
          <w:color w:val="EE6000"/>
          <w:sz w:val="22"/>
          <w:vertAlign w:val="superscript"/>
          <w:lang w:val="it-IT"/>
        </w:rPr>
      </w:pPr>
      <w:bookmarkStart w:id="1558" w:name="_98Windows_Intune_Add-on"/>
      <w:bookmarkStart w:id="1559" w:name="_98_Windows_Multipoint"/>
      <w:bookmarkStart w:id="1560" w:name="_Toc336338366"/>
      <w:bookmarkStart w:id="1561" w:name="Srv_110WindowsIntuneAddOn"/>
      <w:bookmarkStart w:id="1562" w:name="Srv_104WindowsIntuneAddOn"/>
      <w:bookmarkEnd w:id="1558"/>
      <w:bookmarkEnd w:id="1559"/>
      <w:bookmarkEnd w:id="1560"/>
      <w:bookmarkEnd w:id="1561"/>
      <w:bookmarkEnd w:id="1562"/>
    </w:p>
    <w:p w:rsidR="00A92422" w:rsidRPr="00D87B79" w:rsidRDefault="00A92422" w:rsidP="00A92422">
      <w:pPr>
        <w:pStyle w:val="Heading2"/>
        <w:ind w:hanging="720"/>
        <w:rPr>
          <w:rFonts w:ascii="Tahoma" w:hAnsi="Tahoma" w:cs="Tahoma"/>
        </w:rPr>
      </w:pPr>
      <w:bookmarkStart w:id="1563" w:name="_99_Componente_Aggiuntivo"/>
      <w:bookmarkStart w:id="1564" w:name="_Toc342900409"/>
      <w:bookmarkEnd w:id="1563"/>
      <w:r w:rsidRPr="00D87B79">
        <w:rPr>
          <w:rFonts w:ascii="Tahoma" w:hAnsi="Tahoma" w:cs="Tahoma"/>
          <w:caps/>
          <w:color w:val="EE6000"/>
          <w:sz w:val="22"/>
          <w:vertAlign w:val="superscript"/>
          <w:lang w:val="it-IT"/>
        </w:rPr>
        <w:t xml:space="preserve">99 </w:t>
      </w:r>
      <w:r w:rsidRPr="00D87B79">
        <w:rPr>
          <w:rFonts w:ascii="Tahoma" w:hAnsi="Tahoma" w:cs="Tahoma"/>
          <w:color w:val="EE6000"/>
          <w:sz w:val="22"/>
          <w:lang w:val="it-IT"/>
        </w:rPr>
        <w:t>Componente Aggiuntivo per Windows Intune (Per Dispositivo)</w:t>
      </w:r>
      <w:bookmarkEnd w:id="1564"/>
    </w:p>
    <w:p w:rsidR="00A92422" w:rsidRPr="00D87B79" w:rsidRDefault="00A92422" w:rsidP="00A92422">
      <w:pPr>
        <w:ind w:left="720"/>
        <w:rPr>
          <w:rFonts w:cs="Tahoma"/>
        </w:rPr>
      </w:pPr>
    </w:p>
    <w:p w:rsidR="00A92422" w:rsidRDefault="00A92422" w:rsidP="00A92422">
      <w:pPr>
        <w:ind w:left="720"/>
        <w:rPr>
          <w:rFonts w:cs="Tahoma"/>
        </w:rPr>
      </w:pPr>
      <w:r w:rsidRPr="00D87B79">
        <w:rPr>
          <w:rFonts w:cs="Tahoma"/>
          <w:lang w:val="it-IT"/>
        </w:rPr>
        <w:t>Le società Enterprise che desiderano acquistare licenze Add-on per Windows Intune (Per Dispositivo) aggiuntive dovranno innanzitutto avere acquistato e ceduto al proprio desktop, per il quale stanno acquistando le licenze Add-on per Windows Intune, la copertura Windows Software Assurance attiva o una licenza attiva per Windows Virtual Desktop Access (Windows VDA).</w:t>
      </w:r>
      <w:r w:rsidRPr="00D87B79">
        <w:rPr>
          <w:rFonts w:cs="Tahoma"/>
        </w:rPr>
        <w:t xml:space="preserve"> </w:t>
      </w:r>
      <w:r w:rsidRPr="00D87B79">
        <w:rPr>
          <w:rFonts w:cs="Tahoma"/>
          <w:lang w:val="it-IT"/>
        </w:rPr>
        <w:t>Le licenze Add-on per Windows Intune (Per Dispositivo) dovranno essere acquistate ai sensi della stessa iscrizione della copertura Software Assurance o della licenza per Windows VDA corrispondente.</w:t>
      </w:r>
    </w:p>
    <w:p w:rsidR="00A92422" w:rsidRPr="00D87B79" w:rsidRDefault="00A92422" w:rsidP="00A92422">
      <w:pPr>
        <w:ind w:left="720"/>
        <w:rPr>
          <w:rFonts w:cs="Tahoma"/>
        </w:rPr>
      </w:pPr>
    </w:p>
    <w:p w:rsidR="00A92422" w:rsidRDefault="00A92422" w:rsidP="00A92422">
      <w:pPr>
        <w:rPr>
          <w:rFonts w:cs="Tahoma"/>
          <w:b/>
          <w:lang w:val="it-IT"/>
        </w:rPr>
      </w:pPr>
      <w:r>
        <w:rPr>
          <w:rFonts w:cs="Tahoma"/>
          <w:b/>
          <w:lang w:val="it-IT"/>
        </w:rPr>
        <w:br w:type="page"/>
      </w:r>
    </w:p>
    <w:p w:rsidR="00A92422" w:rsidRPr="00D87B79" w:rsidRDefault="00A92422" w:rsidP="00A92422">
      <w:pPr>
        <w:spacing w:after="60"/>
        <w:ind w:left="720"/>
        <w:rPr>
          <w:rFonts w:cs="Tahoma"/>
        </w:rPr>
      </w:pPr>
      <w:r w:rsidRPr="00D87B79">
        <w:rPr>
          <w:rFonts w:cs="Tahoma"/>
          <w:b/>
          <w:lang w:val="it-IT"/>
        </w:rPr>
        <w:lastRenderedPageBreak/>
        <w:t>Riassegnazione delle Licenze</w:t>
      </w:r>
    </w:p>
    <w:p w:rsidR="00A92422" w:rsidRPr="00D87B79" w:rsidRDefault="00A92422" w:rsidP="00A92422">
      <w:pPr>
        <w:ind w:left="720"/>
        <w:rPr>
          <w:rFonts w:cs="Tahoma"/>
        </w:rPr>
      </w:pPr>
      <w:r w:rsidRPr="00D87B79">
        <w:rPr>
          <w:rFonts w:cs="Tahoma"/>
          <w:lang w:val="it-IT"/>
        </w:rPr>
        <w:t>Le società potranno riassegnare le licenze Add-on per Windows Intune (Per Dispositivo), ma non a breve termine, vale a dire non prima di 90 giorni dall’ultima cessione.</w:t>
      </w:r>
      <w:r w:rsidRPr="00D87B79">
        <w:rPr>
          <w:rFonts w:cs="Tahoma"/>
        </w:rPr>
        <w:t xml:space="preserve"> </w:t>
      </w:r>
      <w:r w:rsidRPr="00D87B79">
        <w:rPr>
          <w:rFonts w:cs="Tahoma"/>
          <w:lang w:val="it-IT"/>
        </w:rPr>
        <w:t>Le società potranno riassegnare prima una licenza Add-on per Windows Intune (Per Dispositivo), nel caso in cui ritirino il dispositivo con licenza esistente a causa di un problema hardware permanente.</w:t>
      </w:r>
      <w:r w:rsidRPr="00D87B79">
        <w:rPr>
          <w:rFonts w:cs="Tahoma"/>
        </w:rPr>
        <w:t xml:space="preserve"> </w:t>
      </w:r>
      <w:r w:rsidRPr="00D87B79">
        <w:rPr>
          <w:rFonts w:cs="Tahoma"/>
          <w:lang w:val="it-IT"/>
        </w:rPr>
        <w:t>Il dispositivo al quale è stata riassegnata una licenza Add-on per Windows Intune (Per Dispositivo) dovrà disporre di una copertura Windows Software Assurance attiva o di una licenza per Windows VDA attiva acquistata ai sensi della stessa iscrizione della licenza Add-on per Windows Intune (Per Dispositivo).</w:t>
      </w:r>
      <w:r w:rsidRPr="00D87B79">
        <w:rPr>
          <w:rFonts w:cs="Tahoma"/>
        </w:rPr>
        <w:t xml:space="preserve"> </w:t>
      </w:r>
    </w:p>
    <w:p w:rsidR="00A92422" w:rsidRPr="00D87B79" w:rsidRDefault="00A92422" w:rsidP="00A92422">
      <w:pPr>
        <w:ind w:left="720"/>
        <w:rPr>
          <w:rFonts w:cs="Tahoma"/>
        </w:rPr>
      </w:pPr>
    </w:p>
    <w:p w:rsidR="00A92422" w:rsidRPr="00D87B79" w:rsidRDefault="00A92422" w:rsidP="00A92422">
      <w:pPr>
        <w:ind w:left="720"/>
        <w:rPr>
          <w:rFonts w:cs="Tahoma"/>
        </w:rPr>
      </w:pPr>
    </w:p>
    <w:p w:rsidR="00A92422" w:rsidRPr="00D87B79" w:rsidRDefault="00A92422" w:rsidP="00A92422">
      <w:pPr>
        <w:pStyle w:val="Heading2"/>
        <w:ind w:left="0"/>
        <w:rPr>
          <w:rFonts w:ascii="Tahoma" w:hAnsi="Tahoma" w:cs="Tahoma"/>
        </w:rPr>
      </w:pPr>
      <w:bookmarkStart w:id="1565" w:name="_Toc336338367"/>
      <w:bookmarkStart w:id="1566" w:name="_100_Windows_Multipoint"/>
      <w:bookmarkStart w:id="1567" w:name="_Toc342900410"/>
      <w:bookmarkEnd w:id="1565"/>
      <w:bookmarkEnd w:id="1566"/>
      <w:r w:rsidRPr="00D87B79">
        <w:rPr>
          <w:rFonts w:ascii="Tahoma" w:hAnsi="Tahoma" w:cs="Tahoma"/>
          <w:caps/>
          <w:color w:val="FA6500"/>
          <w:sz w:val="22"/>
          <w:vertAlign w:val="superscript"/>
          <w:lang w:val="it-IT"/>
        </w:rPr>
        <w:t>100</w:t>
      </w:r>
      <w:r w:rsidRPr="004168CE">
        <w:rPr>
          <w:rFonts w:ascii="Tahoma" w:hAnsi="Tahoma" w:cs="Tahoma"/>
          <w:caps/>
          <w:color w:val="FA6500"/>
          <w:sz w:val="22"/>
          <w:lang w:val="it-IT"/>
        </w:rPr>
        <w:t xml:space="preserve"> </w:t>
      </w:r>
      <w:r w:rsidRPr="00D87B79">
        <w:rPr>
          <w:rFonts w:ascii="Tahoma" w:hAnsi="Tahoma" w:cs="Tahoma"/>
          <w:color w:val="FA6500"/>
          <w:sz w:val="22"/>
          <w:lang w:val="it-IT"/>
        </w:rPr>
        <w:t>Windows Multipoint Server 2012 Standard</w:t>
      </w:r>
      <w:bookmarkEnd w:id="1567"/>
      <w:r w:rsidRPr="00D87B79">
        <w:rPr>
          <w:rFonts w:ascii="Tahoma" w:hAnsi="Tahoma" w:cs="Tahoma"/>
        </w:rPr>
        <w:t xml:space="preserve"> </w:t>
      </w:r>
    </w:p>
    <w:p w:rsidR="00A92422" w:rsidRPr="00D87B79" w:rsidRDefault="00A92422" w:rsidP="00A92422">
      <w:pPr>
        <w:rPr>
          <w:rFonts w:cs="Tahoma"/>
        </w:rPr>
      </w:pPr>
    </w:p>
    <w:p w:rsidR="00A92422" w:rsidRPr="00D87B79" w:rsidRDefault="00A92422" w:rsidP="00A92422">
      <w:pPr>
        <w:ind w:left="720"/>
        <w:rPr>
          <w:rFonts w:cs="Tahoma"/>
        </w:rPr>
      </w:pPr>
      <w:r w:rsidRPr="00D87B79">
        <w:rPr>
          <w:rFonts w:cs="Tahoma"/>
          <w:color w:val="000000"/>
          <w:lang w:val="it-IT"/>
        </w:rPr>
        <w:t>Windows Multipoint Server 2012 Standard è la versione successiva di Windows Multipoint Server 2011</w:t>
      </w:r>
      <w:r>
        <w:rPr>
          <w:rFonts w:cs="Tahoma"/>
          <w:color w:val="000000"/>
          <w:lang w:val="it-IT"/>
        </w:rPr>
        <w:t> </w:t>
      </w:r>
      <w:r w:rsidRPr="00D87B79">
        <w:rPr>
          <w:rFonts w:cs="Tahoma"/>
          <w:color w:val="000000"/>
          <w:lang w:val="it-IT"/>
        </w:rPr>
        <w:t>Standard.</w:t>
      </w:r>
    </w:p>
    <w:p w:rsidR="00A92422" w:rsidRPr="00D87B79" w:rsidRDefault="00A92422" w:rsidP="00A92422">
      <w:pPr>
        <w:rPr>
          <w:rFonts w:cs="Tahoma"/>
        </w:rPr>
      </w:pPr>
    </w:p>
    <w:p w:rsidR="00A92422" w:rsidRPr="00D87B79" w:rsidRDefault="00A92422" w:rsidP="00A92422">
      <w:pPr>
        <w:rPr>
          <w:rFonts w:cs="Tahoma"/>
        </w:rPr>
      </w:pPr>
    </w:p>
    <w:p w:rsidR="00A92422" w:rsidRPr="00D87B79" w:rsidRDefault="00A92422" w:rsidP="00A92422">
      <w:pPr>
        <w:pStyle w:val="Heading2"/>
        <w:ind w:left="0"/>
        <w:rPr>
          <w:rFonts w:ascii="Tahoma" w:hAnsi="Tahoma" w:cs="Tahoma"/>
        </w:rPr>
      </w:pPr>
      <w:bookmarkStart w:id="1568" w:name="_Toc336338368"/>
      <w:bookmarkStart w:id="1569" w:name="Srv_103WinMultipointSvr2011Premium"/>
      <w:bookmarkStart w:id="1570" w:name="Srv_107WinMultipointSvr2011Premium"/>
      <w:bookmarkStart w:id="1571" w:name="Srv_111WinMultipointSvr2011Premium"/>
      <w:bookmarkStart w:id="1572" w:name="_101_Windows_Multipoint"/>
      <w:bookmarkStart w:id="1573" w:name="_Toc342900411"/>
      <w:bookmarkEnd w:id="1568"/>
      <w:bookmarkEnd w:id="1569"/>
      <w:bookmarkEnd w:id="1570"/>
      <w:bookmarkEnd w:id="1571"/>
      <w:bookmarkEnd w:id="1572"/>
      <w:r w:rsidRPr="00D87B79">
        <w:rPr>
          <w:rFonts w:ascii="Tahoma" w:hAnsi="Tahoma" w:cs="Tahoma"/>
          <w:caps/>
          <w:color w:val="FA6500"/>
          <w:sz w:val="22"/>
          <w:vertAlign w:val="superscript"/>
          <w:lang w:val="it-IT"/>
        </w:rPr>
        <w:t>101</w:t>
      </w:r>
      <w:r w:rsidRPr="004168CE">
        <w:rPr>
          <w:rFonts w:ascii="Tahoma" w:hAnsi="Tahoma" w:cs="Tahoma"/>
          <w:caps/>
          <w:color w:val="FA6500"/>
          <w:sz w:val="22"/>
          <w:lang w:val="it-IT"/>
        </w:rPr>
        <w:t xml:space="preserve"> </w:t>
      </w:r>
      <w:r w:rsidRPr="00D87B79">
        <w:rPr>
          <w:rFonts w:ascii="Tahoma" w:hAnsi="Tahoma" w:cs="Tahoma"/>
          <w:color w:val="FA6500"/>
          <w:sz w:val="22"/>
          <w:lang w:val="it-IT"/>
        </w:rPr>
        <w:t>Windows Multipoint Server 2012 Premium</w:t>
      </w:r>
      <w:bookmarkEnd w:id="1573"/>
      <w:r w:rsidRPr="00D87B79">
        <w:rPr>
          <w:rFonts w:ascii="Tahoma" w:hAnsi="Tahoma" w:cs="Tahoma"/>
        </w:rPr>
        <w:t xml:space="preserve"> </w:t>
      </w:r>
    </w:p>
    <w:p w:rsidR="00A92422" w:rsidRPr="00D87B79" w:rsidRDefault="00A92422" w:rsidP="00A92422">
      <w:pPr>
        <w:rPr>
          <w:rFonts w:cs="Tahoma"/>
        </w:rPr>
      </w:pPr>
    </w:p>
    <w:p w:rsidR="00A92422" w:rsidRPr="00D87B79" w:rsidRDefault="00A92422" w:rsidP="00A92422">
      <w:pPr>
        <w:ind w:left="720"/>
        <w:rPr>
          <w:rFonts w:cs="Tahoma"/>
        </w:rPr>
      </w:pPr>
      <w:bookmarkStart w:id="1574" w:name="_Toc280612355"/>
      <w:r w:rsidRPr="00D87B79">
        <w:rPr>
          <w:rFonts w:cs="Tahoma"/>
          <w:color w:val="000000"/>
          <w:lang w:val="it-IT"/>
        </w:rPr>
        <w:t>Windows Multipoint Server 2012 Premium è la versione successiva di Windows Multipoint Server 2011</w:t>
      </w:r>
      <w:r>
        <w:rPr>
          <w:rFonts w:cs="Tahoma"/>
          <w:color w:val="000000"/>
          <w:lang w:val="it-IT"/>
        </w:rPr>
        <w:t> </w:t>
      </w:r>
      <w:r w:rsidRPr="00D87B79">
        <w:rPr>
          <w:rFonts w:cs="Tahoma"/>
          <w:color w:val="000000"/>
          <w:lang w:val="it-IT"/>
        </w:rPr>
        <w:t>Premium.</w:t>
      </w:r>
    </w:p>
    <w:p w:rsidR="00A92422" w:rsidRPr="00D87B79" w:rsidRDefault="00A92422" w:rsidP="00A92422">
      <w:pPr>
        <w:rPr>
          <w:rFonts w:cs="Tahoma"/>
        </w:rPr>
      </w:pPr>
    </w:p>
    <w:p w:rsidR="00A92422" w:rsidRPr="00D87B79" w:rsidRDefault="00A92422" w:rsidP="00A92422">
      <w:pPr>
        <w:rPr>
          <w:rFonts w:cs="Tahoma"/>
        </w:rPr>
      </w:pPr>
    </w:p>
    <w:p w:rsidR="00A92422" w:rsidRPr="00D87B79" w:rsidRDefault="00A92422" w:rsidP="00A92422">
      <w:pPr>
        <w:pStyle w:val="Heading2"/>
        <w:ind w:left="0"/>
        <w:rPr>
          <w:rFonts w:ascii="Tahoma" w:hAnsi="Tahoma" w:cs="Tahoma"/>
        </w:rPr>
      </w:pPr>
      <w:bookmarkStart w:id="1575" w:name="_102_CAL_per"/>
      <w:bookmarkStart w:id="1576" w:name="_Toc342900412"/>
      <w:bookmarkStart w:id="1577" w:name="Srv_104WinMultipointSvr2011CAL"/>
      <w:bookmarkStart w:id="1578" w:name="Srv_108WinMultipointSvr2011CAL"/>
      <w:bookmarkStart w:id="1579" w:name="Srv_112WinMultipointSvr2011CAL"/>
      <w:bookmarkEnd w:id="1574"/>
      <w:bookmarkEnd w:id="1575"/>
      <w:r w:rsidRPr="00D87B79">
        <w:rPr>
          <w:rFonts w:ascii="Tahoma" w:hAnsi="Tahoma" w:cs="Tahoma"/>
          <w:caps/>
          <w:color w:val="FA6500"/>
          <w:sz w:val="22"/>
          <w:vertAlign w:val="superscript"/>
          <w:lang w:val="it-IT"/>
        </w:rPr>
        <w:t>102</w:t>
      </w:r>
      <w:r w:rsidRPr="00D87B79">
        <w:rPr>
          <w:rFonts w:ascii="Tahoma" w:hAnsi="Tahoma" w:cs="Tahoma"/>
          <w:color w:val="FA6500"/>
          <w:sz w:val="22"/>
          <w:lang w:val="it-IT"/>
        </w:rPr>
        <w:t xml:space="preserve"> CAL per Windows Multipoint Server 2012</w:t>
      </w:r>
      <w:bookmarkEnd w:id="1576"/>
    </w:p>
    <w:bookmarkEnd w:id="1577"/>
    <w:bookmarkEnd w:id="1578"/>
    <w:bookmarkEnd w:id="1579"/>
    <w:p w:rsidR="00A92422" w:rsidRPr="00D87B79" w:rsidRDefault="00A92422" w:rsidP="00A92422">
      <w:pPr>
        <w:ind w:firstLine="360"/>
        <w:rPr>
          <w:rFonts w:cs="Tahoma"/>
        </w:rPr>
      </w:pPr>
    </w:p>
    <w:p w:rsidR="00A92422" w:rsidRPr="00D87B79" w:rsidRDefault="00A92422" w:rsidP="00A92422">
      <w:pPr>
        <w:ind w:left="720"/>
        <w:rPr>
          <w:rFonts w:cs="Tahoma"/>
        </w:rPr>
      </w:pPr>
      <w:r w:rsidRPr="00D87B79">
        <w:rPr>
          <w:rFonts w:cs="Tahoma"/>
          <w:color w:val="000000"/>
          <w:lang w:val="it-IT"/>
        </w:rPr>
        <w:t>La CAL per Windows MultiPoint Server 2012 è la versione successiva della CAL per Windows Multipoint Server 2011.</w:t>
      </w:r>
    </w:p>
    <w:p w:rsidR="00A92422" w:rsidRPr="00D87B79" w:rsidRDefault="00A92422" w:rsidP="00A92422">
      <w:pPr>
        <w:rPr>
          <w:rFonts w:cs="Tahoma"/>
        </w:rPr>
      </w:pPr>
    </w:p>
    <w:p w:rsidR="00A92422" w:rsidRPr="00D87B79" w:rsidRDefault="00A92422" w:rsidP="00A92422">
      <w:pPr>
        <w:pStyle w:val="Heading3"/>
        <w:ind w:left="360" w:hanging="360"/>
        <w:rPr>
          <w:rFonts w:ascii="Tahoma" w:hAnsi="Tahoma" w:cs="Tahoma"/>
        </w:rPr>
      </w:pPr>
      <w:bookmarkStart w:id="1580" w:name="_Toc336338369"/>
      <w:bookmarkStart w:id="1581" w:name="Srv_97WinSvr08HighPerfCompandHyperV"/>
      <w:bookmarkStart w:id="1582" w:name="Srv_98WinSvr08HighPerfCompandHyperV"/>
      <w:bookmarkStart w:id="1583" w:name="Srv_110WinSvr08R2HPC"/>
      <w:bookmarkStart w:id="1584" w:name="Srv_114WinSvr08R2HPC"/>
      <w:bookmarkStart w:id="1585" w:name="_103_Windows_Server"/>
      <w:bookmarkStart w:id="1586" w:name="_Toc342900413"/>
      <w:bookmarkEnd w:id="1580"/>
      <w:bookmarkEnd w:id="1581"/>
      <w:bookmarkEnd w:id="1582"/>
      <w:bookmarkEnd w:id="1583"/>
      <w:bookmarkEnd w:id="1584"/>
      <w:bookmarkEnd w:id="1585"/>
      <w:r w:rsidRPr="00D87B79">
        <w:rPr>
          <w:rFonts w:ascii="Tahoma" w:hAnsi="Tahoma" w:cs="Tahoma"/>
          <w:caps/>
          <w:color w:val="F66400"/>
          <w:sz w:val="22"/>
          <w:vertAlign w:val="superscript"/>
          <w:lang w:val="it-IT"/>
        </w:rPr>
        <w:t>103</w:t>
      </w:r>
      <w:r w:rsidRPr="00D87B79">
        <w:rPr>
          <w:rFonts w:ascii="Tahoma" w:hAnsi="Tahoma" w:cs="Tahoma"/>
          <w:color w:val="F66400"/>
          <w:sz w:val="22"/>
          <w:lang w:val="it-IT"/>
        </w:rPr>
        <w:t xml:space="preserve"> Windows Server 2008 R2 HPC Edition</w:t>
      </w:r>
      <w:bookmarkEnd w:id="1586"/>
      <w:r w:rsidRPr="00D87B79">
        <w:rPr>
          <w:rFonts w:ascii="Tahoma" w:hAnsi="Tahoma" w:cs="Tahoma"/>
        </w:rPr>
        <w:t xml:space="preserve"> </w:t>
      </w:r>
    </w:p>
    <w:p w:rsidR="00A92422" w:rsidRPr="00D87B79" w:rsidRDefault="00A92422" w:rsidP="00A92422">
      <w:pPr>
        <w:rPr>
          <w:rFonts w:cs="Tahoma"/>
        </w:rPr>
      </w:pPr>
    </w:p>
    <w:p w:rsidR="00A92422" w:rsidRPr="00D87B79" w:rsidRDefault="00A92422" w:rsidP="00A92422">
      <w:pPr>
        <w:spacing w:after="60"/>
        <w:ind w:left="720"/>
        <w:rPr>
          <w:rFonts w:cs="Tahoma"/>
        </w:rPr>
      </w:pPr>
      <w:r w:rsidRPr="00D87B79">
        <w:rPr>
          <w:rFonts w:cs="Tahoma"/>
          <w:b/>
          <w:color w:val="000000"/>
          <w:lang w:val="it-IT"/>
        </w:rPr>
        <w:t>Concessioni di licenza associate alla fine del ciclo di vita di Windows Server HPC Edition</w:t>
      </w:r>
    </w:p>
    <w:p w:rsidR="00A92422" w:rsidRPr="00D87B79" w:rsidRDefault="00A92422" w:rsidP="00A92422">
      <w:pPr>
        <w:ind w:left="720"/>
        <w:rPr>
          <w:rFonts w:cs="Tahoma"/>
        </w:rPr>
      </w:pPr>
      <w:r w:rsidRPr="00D87B79">
        <w:rPr>
          <w:rFonts w:cs="Tahoma"/>
          <w:color w:val="000000"/>
          <w:lang w:val="it-IT"/>
        </w:rPr>
        <w:t>Windows Server 2008 R2 sarà l’ultima versione di Windows Server HPC Edition.</w:t>
      </w:r>
      <w:r w:rsidRPr="00D87B79">
        <w:rPr>
          <w:rFonts w:cs="Tahoma"/>
        </w:rPr>
        <w:t xml:space="preserve"> </w:t>
      </w:r>
      <w:r w:rsidRPr="00D87B79">
        <w:rPr>
          <w:rFonts w:cs="Tahoma"/>
          <w:color w:val="000000"/>
          <w:lang w:val="it-IT"/>
        </w:rPr>
        <w:t>Le società titolari di contratti</w:t>
      </w:r>
      <w:r>
        <w:rPr>
          <w:rFonts w:cs="Tahoma"/>
          <w:color w:val="000000"/>
          <w:lang w:val="it-IT"/>
        </w:rPr>
        <w:t> </w:t>
      </w:r>
      <w:r w:rsidRPr="00D87B79">
        <w:rPr>
          <w:rFonts w:cs="Tahoma"/>
          <w:color w:val="000000"/>
          <w:lang w:val="it-IT"/>
        </w:rPr>
        <w:t>multilicenza con copertura Software Assurance attiva per le licenze per Windows Server 2008 R2 HPC Edition in data 1 settembre 2012 o in occasione della prima disponibilità di Windows Server 2012 per il</w:t>
      </w:r>
      <w:r>
        <w:rPr>
          <w:rFonts w:cs="Tahoma"/>
          <w:color w:val="000000"/>
          <w:lang w:val="it-IT"/>
        </w:rPr>
        <w:t> </w:t>
      </w:r>
      <w:r w:rsidRPr="00D87B79">
        <w:rPr>
          <w:rFonts w:cs="Tahoma"/>
          <w:color w:val="000000"/>
          <w:lang w:val="it-IT"/>
        </w:rPr>
        <w:t xml:space="preserve">download dal sito Web Volume Licensing Service Center, a seconda di quale evento si verificherà per primo, (“Licenze Qualificanti”) saranno autorizzate a utilizzare il software </w:t>
      </w:r>
      <w:r w:rsidRPr="00D87B79">
        <w:rPr>
          <w:rFonts w:cs="Tahoma"/>
          <w:lang w:val="it-IT"/>
        </w:rPr>
        <w:t>Windows Server 2012 Standard.</w:t>
      </w:r>
      <w:r w:rsidRPr="00D87B79">
        <w:rPr>
          <w:rFonts w:cs="Tahoma"/>
        </w:rPr>
        <w:t xml:space="preserve"> </w:t>
      </w:r>
      <w:r w:rsidRPr="00D87B79">
        <w:rPr>
          <w:rFonts w:cs="Tahoma"/>
          <w:lang w:val="it-IT"/>
        </w:rPr>
        <w:t>Per agevolare tale utilizzo, per ogni due Licenze Qualificanti in suo possesso, alla società verrà concessa una licenza per processore per Windows Server 2012 Standard in base alla disponibilità di Windows Server 2012.</w:t>
      </w:r>
      <w:r w:rsidRPr="00D87B79">
        <w:rPr>
          <w:rFonts w:cs="Tahoma"/>
        </w:rPr>
        <w:t xml:space="preserve"> </w:t>
      </w:r>
    </w:p>
    <w:p w:rsidR="00A92422" w:rsidRPr="00D87B79" w:rsidRDefault="00A92422" w:rsidP="00A92422">
      <w:pPr>
        <w:ind w:left="720"/>
        <w:rPr>
          <w:rFonts w:cs="Tahoma"/>
        </w:rPr>
      </w:pPr>
    </w:p>
    <w:p w:rsidR="00A92422" w:rsidRPr="00D87B79" w:rsidRDefault="00A92422" w:rsidP="00A92422">
      <w:pPr>
        <w:numPr>
          <w:ilvl w:val="0"/>
          <w:numId w:val="96"/>
        </w:numPr>
        <w:tabs>
          <w:tab w:val="clear" w:pos="360"/>
          <w:tab w:val="num" w:pos="1440"/>
        </w:tabs>
        <w:spacing w:after="60"/>
        <w:ind w:left="1440"/>
        <w:rPr>
          <w:rFonts w:cs="Tahoma"/>
        </w:rPr>
      </w:pPr>
      <w:r w:rsidRPr="00D87B79">
        <w:rPr>
          <w:rFonts w:cs="Tahoma"/>
          <w:color w:val="000000"/>
          <w:lang w:val="it-IT"/>
        </w:rPr>
        <w:t>Qualora una società disponga di un numero dispari di licenze per Windows Server HPC Edition, dovrà arrotondarle al successivo numero pari per determinare la quantità concessa.</w:t>
      </w:r>
      <w:r w:rsidRPr="00D87B79">
        <w:rPr>
          <w:rFonts w:cs="Tahoma"/>
        </w:rPr>
        <w:t xml:space="preserve"> </w:t>
      </w:r>
      <w:r w:rsidRPr="00D87B79">
        <w:rPr>
          <w:rFonts w:cs="Tahoma"/>
          <w:color w:val="000000"/>
          <w:lang w:val="it-IT"/>
        </w:rPr>
        <w:t>Ad esempio, una società titolare di tre licenze per Windows Server HPC Edition riceverà in totale due licenze per</w:t>
      </w:r>
      <w:r>
        <w:rPr>
          <w:rFonts w:cs="Tahoma"/>
          <w:color w:val="000000"/>
          <w:lang w:val="it-IT"/>
        </w:rPr>
        <w:t> </w:t>
      </w:r>
      <w:r w:rsidRPr="00D87B79">
        <w:rPr>
          <w:rFonts w:cs="Tahoma"/>
          <w:color w:val="000000"/>
          <w:lang w:val="it-IT"/>
        </w:rPr>
        <w:t>Windows Server 2012 Standard.</w:t>
      </w:r>
    </w:p>
    <w:p w:rsidR="00A92422" w:rsidRPr="00437E7F" w:rsidRDefault="00A92422" w:rsidP="00A92422">
      <w:pPr>
        <w:pStyle w:val="ListParagraph"/>
        <w:numPr>
          <w:ilvl w:val="0"/>
          <w:numId w:val="96"/>
        </w:numPr>
        <w:tabs>
          <w:tab w:val="clear" w:pos="360"/>
          <w:tab w:val="num" w:pos="1440"/>
        </w:tabs>
        <w:spacing w:after="60"/>
        <w:ind w:left="1440"/>
        <w:contextualSpacing w:val="0"/>
        <w:rPr>
          <w:rFonts w:ascii="Tahoma" w:hAnsi="Tahoma" w:cs="Tahoma"/>
          <w:spacing w:val="-1"/>
          <w:sz w:val="18"/>
          <w:szCs w:val="18"/>
        </w:rPr>
      </w:pPr>
      <w:r w:rsidRPr="00437E7F">
        <w:rPr>
          <w:rFonts w:ascii="Tahoma" w:hAnsi="Tahoma" w:cs="Tahoma"/>
          <w:spacing w:val="-1"/>
          <w:sz w:val="18"/>
          <w:szCs w:val="18"/>
          <w:lang w:val="it-IT"/>
        </w:rPr>
        <w:t>Le licenze acquistate ai sensi della presente concessione includono la copertura Software Assurance.</w:t>
      </w:r>
      <w:r w:rsidRPr="00437E7F">
        <w:rPr>
          <w:rFonts w:ascii="Tahoma" w:hAnsi="Tahoma" w:cs="Tahoma"/>
          <w:spacing w:val="-1"/>
          <w:sz w:val="18"/>
          <w:szCs w:val="18"/>
        </w:rPr>
        <w:t xml:space="preserve"> </w:t>
      </w:r>
      <w:r w:rsidRPr="00437E7F">
        <w:rPr>
          <w:rFonts w:ascii="Tahoma" w:hAnsi="Tahoma" w:cs="Tahoma"/>
          <w:spacing w:val="-1"/>
          <w:sz w:val="18"/>
          <w:szCs w:val="18"/>
          <w:lang w:val="it-IT"/>
        </w:rPr>
        <w:t>Tale copertura cessa alla scadenza della corrispondente copertura per le Licenze Qualificanti.</w:t>
      </w:r>
    </w:p>
    <w:p w:rsidR="00A92422" w:rsidRPr="004473D4" w:rsidRDefault="00A92422" w:rsidP="00A92422">
      <w:pPr>
        <w:pStyle w:val="ListParagraph"/>
        <w:numPr>
          <w:ilvl w:val="0"/>
          <w:numId w:val="96"/>
        </w:numPr>
        <w:tabs>
          <w:tab w:val="clear" w:pos="360"/>
          <w:tab w:val="num" w:pos="1440"/>
        </w:tabs>
        <w:spacing w:after="60"/>
        <w:ind w:left="1440"/>
        <w:contextualSpacing w:val="0"/>
        <w:rPr>
          <w:rFonts w:ascii="Tahoma" w:hAnsi="Tahoma" w:cs="Tahoma"/>
          <w:sz w:val="18"/>
          <w:szCs w:val="18"/>
        </w:rPr>
      </w:pPr>
      <w:r w:rsidRPr="004473D4">
        <w:rPr>
          <w:rFonts w:ascii="Tahoma" w:hAnsi="Tahoma" w:cs="Tahoma"/>
          <w:sz w:val="18"/>
          <w:szCs w:val="18"/>
          <w:lang w:val="it-IT"/>
        </w:rPr>
        <w:t>Nel caso in cui le società abbiano acquistato diritti perpetui per utilizzare software ai sensi di Licenze Qualificanti, le licenze acquistate ai sensi della presente concessione saranno anch’esse perpetue; diversamente, le licenze acquistate ai sensi della presente concessione cesseranno alla scadenza delle Licenze Qualificanti sottostanti.</w:t>
      </w:r>
    </w:p>
    <w:p w:rsidR="00A92422" w:rsidRPr="00D87B79" w:rsidRDefault="00A92422" w:rsidP="00A92422">
      <w:pPr>
        <w:numPr>
          <w:ilvl w:val="0"/>
          <w:numId w:val="96"/>
        </w:numPr>
        <w:tabs>
          <w:tab w:val="clear" w:pos="360"/>
          <w:tab w:val="num" w:pos="1440"/>
          <w:tab w:val="left" w:pos="2160"/>
        </w:tabs>
        <w:spacing w:after="60"/>
        <w:ind w:left="1440"/>
        <w:rPr>
          <w:rFonts w:cs="Tahoma"/>
        </w:rPr>
      </w:pPr>
      <w:r w:rsidRPr="00D87B79">
        <w:rPr>
          <w:rFonts w:cs="Tahoma"/>
          <w:lang w:val="it-IT"/>
        </w:rPr>
        <w:t xml:space="preserve">Eseguendo l’aggiornamento a Windows Server 2012 Standard ai sensi della presente concessione, le licenze </w:t>
      </w:r>
      <w:r w:rsidRPr="00D87B79">
        <w:rPr>
          <w:rFonts w:cs="Tahoma"/>
          <w:color w:val="000000"/>
          <w:lang w:val="it-IT"/>
        </w:rPr>
        <w:t>in essere</w:t>
      </w:r>
      <w:r w:rsidRPr="00D87B79">
        <w:rPr>
          <w:rFonts w:cs="Tahoma"/>
          <w:lang w:val="it-IT"/>
        </w:rPr>
        <w:t xml:space="preserve"> per </w:t>
      </w:r>
      <w:r w:rsidRPr="00D87B79">
        <w:rPr>
          <w:rFonts w:cs="Tahoma"/>
          <w:color w:val="000000"/>
          <w:lang w:val="it-IT"/>
        </w:rPr>
        <w:t xml:space="preserve">Windows Server 2008 R2 HPC Edition </w:t>
      </w:r>
      <w:r w:rsidRPr="00D87B79">
        <w:rPr>
          <w:rFonts w:cs="Tahoma"/>
          <w:lang w:val="it-IT"/>
        </w:rPr>
        <w:t>rimangono valide.</w:t>
      </w:r>
    </w:p>
    <w:p w:rsidR="00A92422" w:rsidRPr="00D87B79" w:rsidRDefault="00A92422" w:rsidP="00A92422">
      <w:pPr>
        <w:numPr>
          <w:ilvl w:val="0"/>
          <w:numId w:val="96"/>
        </w:numPr>
        <w:tabs>
          <w:tab w:val="clear" w:pos="360"/>
          <w:tab w:val="num" w:pos="1440"/>
        </w:tabs>
        <w:spacing w:after="60"/>
        <w:ind w:left="1440"/>
        <w:rPr>
          <w:rFonts w:cs="Tahoma"/>
        </w:rPr>
      </w:pPr>
      <w:r w:rsidRPr="00D87B79">
        <w:rPr>
          <w:rFonts w:cs="Tahoma"/>
          <w:color w:val="000000"/>
          <w:lang w:val="it-IT"/>
        </w:rPr>
        <w:t>Le licenze per Windows Server 2008 R2 HPC Edition acquistate successivamente nello stesso periodo di validità dell’iscrizione nell’ambito di una procedura pianificata di true-up di una società Enterprise, Enterprise Subscription, Open Value Subscription o EES sono anch’esse Licenze Qualificanti per gli scopi previsti dalla suddetta concessione.</w:t>
      </w:r>
      <w:r w:rsidRPr="00D87B79">
        <w:rPr>
          <w:rFonts w:cs="Tahoma"/>
        </w:rPr>
        <w:t xml:space="preserve"> </w:t>
      </w:r>
    </w:p>
    <w:p w:rsidR="00A92422" w:rsidRPr="00D87B79" w:rsidRDefault="00A92422" w:rsidP="00A92422">
      <w:pPr>
        <w:numPr>
          <w:ilvl w:val="0"/>
          <w:numId w:val="96"/>
        </w:numPr>
        <w:tabs>
          <w:tab w:val="clear" w:pos="360"/>
          <w:tab w:val="num" w:pos="1440"/>
        </w:tabs>
        <w:spacing w:after="60"/>
        <w:ind w:left="1440"/>
        <w:rPr>
          <w:rFonts w:cs="Tahoma"/>
        </w:rPr>
      </w:pPr>
      <w:r w:rsidRPr="00D87B79">
        <w:rPr>
          <w:rFonts w:cs="Tahoma"/>
          <w:color w:val="000000"/>
          <w:lang w:val="it-IT"/>
        </w:rPr>
        <w:lastRenderedPageBreak/>
        <w:t>Nonostante la concessione di licenze per Windows Server 2012 Standard e di aggiornamenti per tale versione, le obbligazioni di pagamento degli importi scaduti e dovuti per le Licenze Qualificanti e la copertura rimangono pienamente vincolanti ed efficaci.</w:t>
      </w:r>
    </w:p>
    <w:p w:rsidR="00A92422" w:rsidRPr="00D87B79" w:rsidRDefault="00A92422" w:rsidP="00A92422">
      <w:pPr>
        <w:contextualSpacing/>
        <w:rPr>
          <w:rFonts w:cs="Tahoma"/>
        </w:rPr>
      </w:pPr>
    </w:p>
    <w:p w:rsidR="00A92422" w:rsidRPr="00437E7F" w:rsidRDefault="00A92422" w:rsidP="00A92422">
      <w:pPr>
        <w:spacing w:after="60"/>
        <w:ind w:left="720"/>
        <w:rPr>
          <w:rFonts w:cs="Tahoma"/>
          <w:spacing w:val="-3"/>
        </w:rPr>
      </w:pPr>
      <w:r w:rsidRPr="00437E7F">
        <w:rPr>
          <w:rFonts w:cs="Tahoma"/>
          <w:b/>
          <w:spacing w:val="-3"/>
          <w:lang w:val="it-IT"/>
        </w:rPr>
        <w:t>Informazioni aggiuntive sull’utilizzo di Windows Server 2012 High Performance Computing (HPC)</w:t>
      </w:r>
    </w:p>
    <w:p w:rsidR="00A92422" w:rsidRPr="00D87B79" w:rsidRDefault="00A92422" w:rsidP="00A92422">
      <w:pPr>
        <w:ind w:left="720"/>
        <w:contextualSpacing/>
        <w:rPr>
          <w:rFonts w:cs="Tahoma"/>
        </w:rPr>
      </w:pPr>
      <w:r w:rsidRPr="00D87B79">
        <w:rPr>
          <w:rFonts w:eastAsia="Times New Roman" w:cs="Tahoma"/>
          <w:szCs w:val="18"/>
          <w:lang w:val="it-IT"/>
        </w:rPr>
        <w:t>Quando Windows Server 2012 Standard o Datacenter viene utilizzato per High Performance Computing, non</w:t>
      </w:r>
      <w:r>
        <w:rPr>
          <w:rFonts w:eastAsia="Times New Roman" w:cs="Tahoma"/>
          <w:szCs w:val="18"/>
          <w:lang w:val="it-IT"/>
        </w:rPr>
        <w:t> </w:t>
      </w:r>
      <w:r w:rsidRPr="00D87B79">
        <w:rPr>
          <w:rFonts w:eastAsia="Times New Roman" w:cs="Tahoma"/>
          <w:szCs w:val="18"/>
          <w:lang w:val="it-IT"/>
        </w:rPr>
        <w:t>servono licenze CAL per accedere al software.</w:t>
      </w:r>
      <w:r w:rsidRPr="00D87B79">
        <w:rPr>
          <w:rFonts w:cs="Tahoma"/>
        </w:rPr>
        <w:t xml:space="preserve"> </w:t>
      </w:r>
      <w:r w:rsidRPr="00D87B79">
        <w:rPr>
          <w:rFonts w:cs="Tahoma"/>
          <w:lang w:val="it-IT"/>
        </w:rPr>
        <w:t>Un “Carico di Lavoro High Performance Computing (“HPC”)”</w:t>
      </w:r>
      <w:r w:rsidRPr="00D87B79">
        <w:rPr>
          <w:rFonts w:cs="Tahoma"/>
          <w:b/>
          <w:lang w:val="it-IT"/>
        </w:rPr>
        <w:t xml:space="preserve"> </w:t>
      </w:r>
      <w:r w:rsidRPr="00D87B79">
        <w:rPr>
          <w:rFonts w:cs="Tahoma"/>
          <w:lang w:val="it-IT"/>
        </w:rPr>
        <w:t xml:space="preserve">indica un carico di lavoro nel quale il software server </w:t>
      </w:r>
      <w:r w:rsidRPr="00D87B79">
        <w:rPr>
          <w:rFonts w:cs="Tahoma"/>
          <w:u w:val="single"/>
          <w:lang w:val="it-IT"/>
        </w:rPr>
        <w:t>viene utilizzato</w:t>
      </w:r>
      <w:r w:rsidRPr="00D87B79">
        <w:rPr>
          <w:rFonts w:cs="Tahoma"/>
          <w:lang w:val="it-IT"/>
        </w:rPr>
        <w:t xml:space="preserve"> per eseguire un Nodo del Cluster e per consentire, insieme ad altro software, la gestione dei sistemi, la gestione della protezione e</w:t>
      </w:r>
      <w:r>
        <w:rPr>
          <w:rFonts w:cs="Tahoma"/>
          <w:lang w:val="it-IT"/>
        </w:rPr>
        <w:t> </w:t>
      </w:r>
      <w:r w:rsidRPr="00D87B79">
        <w:rPr>
          <w:rFonts w:cs="Tahoma"/>
          <w:lang w:val="it-IT"/>
        </w:rPr>
        <w:t>dell’archiviazione o il miglioramento delle prestazioni in un nodo del cluster allo scopo di supportare le</w:t>
      </w:r>
      <w:r>
        <w:rPr>
          <w:rFonts w:cs="Tahoma"/>
          <w:lang w:val="it-IT"/>
        </w:rPr>
        <w:t> </w:t>
      </w:r>
      <w:r w:rsidRPr="00D87B79">
        <w:rPr>
          <w:rFonts w:cs="Tahoma"/>
          <w:lang w:val="it-IT"/>
        </w:rPr>
        <w:t>Applicazioni HPC con cluster.</w:t>
      </w:r>
      <w:r w:rsidRPr="00D87B79">
        <w:rPr>
          <w:rFonts w:cs="Tahoma"/>
        </w:rPr>
        <w:t xml:space="preserve"> </w:t>
      </w:r>
      <w:bookmarkStart w:id="1587" w:name="Srv_1120WinSvr08R2Enterprise"/>
      <w:r w:rsidRPr="00D87B79">
        <w:rPr>
          <w:rFonts w:cs="Tahoma"/>
          <w:lang w:val="it-IT"/>
        </w:rPr>
        <w:t>Ulteriori dettagli sono disponibili nei Diritti di Utilizzo del Prodotto.</w:t>
      </w:r>
    </w:p>
    <w:p w:rsidR="00A92422" w:rsidRDefault="00A92422" w:rsidP="00A92422">
      <w:pPr>
        <w:contextualSpacing/>
        <w:rPr>
          <w:rFonts w:cs="Tahoma"/>
        </w:rPr>
      </w:pPr>
    </w:p>
    <w:p w:rsidR="00A92422" w:rsidRPr="00D87B79" w:rsidRDefault="00A92422" w:rsidP="00A92422">
      <w:pPr>
        <w:contextualSpacing/>
        <w:rPr>
          <w:rFonts w:cs="Tahoma"/>
        </w:rPr>
      </w:pPr>
    </w:p>
    <w:p w:rsidR="00A92422" w:rsidRPr="00D87B79" w:rsidRDefault="00A92422" w:rsidP="00A92422">
      <w:pPr>
        <w:pStyle w:val="Heading3"/>
        <w:ind w:left="360" w:hanging="360"/>
        <w:rPr>
          <w:rFonts w:ascii="Tahoma" w:hAnsi="Tahoma" w:cs="Tahoma"/>
        </w:rPr>
      </w:pPr>
      <w:bookmarkStart w:id="1588" w:name="_97_Windows_Server"/>
      <w:bookmarkStart w:id="1589" w:name="_98_Windows_Server"/>
      <w:bookmarkStart w:id="1590" w:name="_Toc336338370"/>
      <w:bookmarkStart w:id="1591" w:name="Srv_116WinSvr08R2Enterprise"/>
      <w:bookmarkStart w:id="1592" w:name="_104_Windows_Server"/>
      <w:bookmarkStart w:id="1593" w:name="_Toc342900414"/>
      <w:bookmarkStart w:id="1594" w:name="Srv_100WinSvr08R2Enterprise"/>
      <w:bookmarkEnd w:id="1588"/>
      <w:bookmarkEnd w:id="1589"/>
      <w:bookmarkEnd w:id="1590"/>
      <w:bookmarkEnd w:id="1591"/>
      <w:bookmarkEnd w:id="1592"/>
      <w:r w:rsidRPr="00D87B79">
        <w:rPr>
          <w:rFonts w:ascii="Tahoma" w:hAnsi="Tahoma" w:cs="Tahoma"/>
          <w:caps/>
          <w:color w:val="F66400"/>
          <w:sz w:val="22"/>
          <w:vertAlign w:val="superscript"/>
          <w:lang w:val="it-IT"/>
        </w:rPr>
        <w:t>104</w:t>
      </w:r>
      <w:r w:rsidRPr="00D87B79">
        <w:rPr>
          <w:rFonts w:ascii="Tahoma" w:hAnsi="Tahoma" w:cs="Tahoma"/>
          <w:color w:val="F66400"/>
          <w:sz w:val="22"/>
          <w:lang w:val="it-IT"/>
        </w:rPr>
        <w:t xml:space="preserve"> Windows Server 2008 R2 Enterprise</w:t>
      </w:r>
      <w:bookmarkEnd w:id="1593"/>
      <w:r w:rsidRPr="00D87B79">
        <w:rPr>
          <w:rFonts w:ascii="Tahoma" w:hAnsi="Tahoma" w:cs="Tahoma"/>
        </w:rPr>
        <w:t xml:space="preserve"> </w:t>
      </w:r>
    </w:p>
    <w:bookmarkEnd w:id="1587"/>
    <w:bookmarkEnd w:id="1594"/>
    <w:p w:rsidR="00A92422" w:rsidRPr="00D87B79" w:rsidRDefault="00A92422" w:rsidP="00A92422">
      <w:pPr>
        <w:ind w:left="900"/>
        <w:rPr>
          <w:rFonts w:cs="Tahoma"/>
        </w:rPr>
      </w:pPr>
    </w:p>
    <w:p w:rsidR="00A92422" w:rsidRPr="00D87B79" w:rsidRDefault="00A92422" w:rsidP="00A92422">
      <w:pPr>
        <w:spacing w:after="60"/>
        <w:ind w:left="720"/>
        <w:rPr>
          <w:rFonts w:cs="Tahoma"/>
        </w:rPr>
      </w:pPr>
      <w:r w:rsidRPr="00D87B79">
        <w:rPr>
          <w:rFonts w:cs="Tahoma"/>
          <w:b/>
          <w:color w:val="000000"/>
          <w:lang w:val="it-IT"/>
        </w:rPr>
        <w:t>Concessioni di licenza associate alla fine del ciclo di vita di Windows Server Enterprise</w:t>
      </w:r>
    </w:p>
    <w:p w:rsidR="00A92422" w:rsidRPr="00D87B79" w:rsidRDefault="00A92422" w:rsidP="00A92422">
      <w:pPr>
        <w:ind w:left="720"/>
        <w:rPr>
          <w:rFonts w:cs="Tahoma"/>
        </w:rPr>
      </w:pPr>
      <w:r w:rsidRPr="00D87B79">
        <w:rPr>
          <w:rFonts w:cs="Tahoma"/>
          <w:color w:val="000000"/>
          <w:lang w:val="it-IT"/>
        </w:rPr>
        <w:t>Windows Server 2008 R2 sarà l’ultima versione di Windows Server Enterprise.</w:t>
      </w:r>
      <w:r w:rsidRPr="00D87B79">
        <w:rPr>
          <w:rFonts w:cs="Tahoma"/>
        </w:rPr>
        <w:t xml:space="preserve"> </w:t>
      </w:r>
      <w:r w:rsidRPr="00D87B79">
        <w:rPr>
          <w:rFonts w:cs="Tahoma"/>
          <w:color w:val="000000"/>
          <w:lang w:val="it-IT"/>
        </w:rPr>
        <w:t xml:space="preserve">Le società titolari di Contratti Multilicenza (Volume License) con copertura Software Assurance attiva per le licenze per Windows Server 2008 R2 Enterprise in data 1 settembre 2012 o in occasione della prima disponibilità di Windows Server 2012 per il download dal sito Web Volume Licensing Service Center, a seconda di quale evento si verificherà per primo, (“Licenze Qualificanti”) saranno autorizzate a effettuare l’aggiornamento al software </w:t>
      </w:r>
      <w:r w:rsidRPr="00D87B79">
        <w:rPr>
          <w:rFonts w:cs="Tahoma"/>
          <w:lang w:val="it-IT"/>
        </w:rPr>
        <w:t xml:space="preserve">Windows Server 2012 Standard e a </w:t>
      </w:r>
      <w:r w:rsidRPr="00D87B79">
        <w:rPr>
          <w:rFonts w:cs="Tahoma"/>
          <w:color w:val="000000"/>
          <w:lang w:val="it-IT"/>
        </w:rPr>
        <w:t xml:space="preserve">utilizzarlo al posto di </w:t>
      </w:r>
      <w:r w:rsidRPr="00D87B79">
        <w:rPr>
          <w:rFonts w:cs="Tahoma"/>
          <w:lang w:val="it-IT"/>
        </w:rPr>
        <w:t>Windows Server 2008 R2 Enterprise.</w:t>
      </w:r>
      <w:r w:rsidRPr="00D87B79">
        <w:rPr>
          <w:rFonts w:cs="Tahoma"/>
        </w:rPr>
        <w:t xml:space="preserve"> </w:t>
      </w:r>
      <w:r w:rsidRPr="00D87B79">
        <w:rPr>
          <w:rFonts w:cs="Tahoma"/>
          <w:lang w:val="it-IT"/>
        </w:rPr>
        <w:t>Per agevolare tale aggiornamento, per ogni Licenza Qualificante in suo possesso, alla società verrà concesso quanto segue in</w:t>
      </w:r>
      <w:r>
        <w:rPr>
          <w:rFonts w:cs="Tahoma"/>
          <w:lang w:val="it-IT"/>
        </w:rPr>
        <w:t> </w:t>
      </w:r>
      <w:r w:rsidRPr="00D87B79">
        <w:rPr>
          <w:rFonts w:cs="Tahoma"/>
          <w:lang w:val="it-IT"/>
        </w:rPr>
        <w:t>base alla disponibilità di Windows Server 2012:</w:t>
      </w:r>
    </w:p>
    <w:p w:rsidR="00A92422" w:rsidRPr="00D87B79" w:rsidRDefault="00A92422" w:rsidP="00A92422">
      <w:pPr>
        <w:spacing w:after="60"/>
        <w:ind w:left="720"/>
        <w:rPr>
          <w:rFonts w:cs="Tahoma"/>
        </w:rPr>
      </w:pPr>
    </w:p>
    <w:p w:rsidR="00A92422" w:rsidRPr="00D87B79" w:rsidRDefault="00A92422" w:rsidP="00A92422">
      <w:pPr>
        <w:numPr>
          <w:ilvl w:val="0"/>
          <w:numId w:val="92"/>
        </w:numPr>
        <w:spacing w:after="60"/>
        <w:ind w:left="1440"/>
        <w:rPr>
          <w:rFonts w:cs="Tahoma"/>
        </w:rPr>
      </w:pPr>
      <w:r w:rsidRPr="00D87B79">
        <w:rPr>
          <w:rFonts w:cs="Tahoma"/>
          <w:lang w:val="it-IT"/>
        </w:rPr>
        <w:t>due licenze per Windows Server 2012 Standard o</w:t>
      </w:r>
    </w:p>
    <w:p w:rsidR="00A92422" w:rsidRPr="00D87B79" w:rsidRDefault="00A92422" w:rsidP="00A92422">
      <w:pPr>
        <w:numPr>
          <w:ilvl w:val="0"/>
          <w:numId w:val="92"/>
        </w:numPr>
        <w:spacing w:after="60"/>
        <w:ind w:left="1440"/>
        <w:rPr>
          <w:rFonts w:cs="Tahoma"/>
        </w:rPr>
      </w:pPr>
      <w:r w:rsidRPr="00D87B79">
        <w:rPr>
          <w:rFonts w:cs="Tahoma"/>
          <w:lang w:val="it-IT"/>
        </w:rPr>
        <w:t xml:space="preserve">tre, nel caso di Licenze Qualificanti acquistate con la copertura SA o rinnovate nel periodo </w:t>
      </w:r>
      <w:r>
        <w:rPr>
          <w:rFonts w:cs="Tahoma"/>
          <w:lang w:val="it-IT"/>
        </w:rPr>
        <w:br/>
      </w:r>
      <w:r w:rsidRPr="00D87B79">
        <w:rPr>
          <w:rFonts w:cs="Tahoma"/>
          <w:lang w:val="it-IT"/>
        </w:rPr>
        <w:t>1 aprile - 31 agosto 2012 o</w:t>
      </w:r>
    </w:p>
    <w:p w:rsidR="00A92422" w:rsidRPr="00D87B79" w:rsidRDefault="00A92422" w:rsidP="00A92422">
      <w:pPr>
        <w:numPr>
          <w:ilvl w:val="0"/>
          <w:numId w:val="92"/>
        </w:numPr>
        <w:spacing w:after="60"/>
        <w:ind w:left="1440"/>
        <w:rPr>
          <w:rFonts w:cs="Tahoma"/>
        </w:rPr>
      </w:pPr>
      <w:r w:rsidRPr="00D87B79">
        <w:rPr>
          <w:rFonts w:eastAsia="Times New Roman" w:cs="Tahoma"/>
          <w:szCs w:val="18"/>
          <w:lang w:val="it-IT"/>
        </w:rPr>
        <w:t>quatto licenze per Windows Server 2012 Standard, qualora il numero effettivo di processori fisici sul server al quale viene ceduta la Licenza Qualificante sia maggiore di quattro.</w:t>
      </w:r>
      <w:r w:rsidRPr="00D87B79">
        <w:rPr>
          <w:rFonts w:eastAsia="Times New Roman" w:cs="Tahoma"/>
          <w:szCs w:val="18"/>
        </w:rPr>
        <w:t xml:space="preserve"> </w:t>
      </w:r>
      <w:r w:rsidRPr="00D87B79">
        <w:rPr>
          <w:rFonts w:eastAsia="Times New Roman" w:cs="Tahoma"/>
          <w:szCs w:val="18"/>
          <w:lang w:val="it-IT"/>
        </w:rPr>
        <w:t>(In questi casi le</w:t>
      </w:r>
      <w:r>
        <w:rPr>
          <w:rFonts w:eastAsia="Times New Roman" w:cs="Tahoma"/>
          <w:szCs w:val="18"/>
          <w:lang w:val="it-IT"/>
        </w:rPr>
        <w:t> </w:t>
      </w:r>
      <w:r w:rsidRPr="00D87B79">
        <w:rPr>
          <w:rFonts w:eastAsia="Times New Roman" w:cs="Tahoma"/>
          <w:szCs w:val="18"/>
          <w:lang w:val="it-IT"/>
        </w:rPr>
        <w:t>società dovranno creare un record della configurazione dell’hardware fisico che supporta tale software prima della scadenza della copertura Software Assurance per le Licenze Qualificanti ai</w:t>
      </w:r>
      <w:r>
        <w:t> </w:t>
      </w:r>
      <w:r w:rsidRPr="00D87B79">
        <w:rPr>
          <w:rFonts w:eastAsia="Times New Roman" w:cs="Tahoma"/>
          <w:szCs w:val="18"/>
          <w:lang w:val="it-IT"/>
        </w:rPr>
        <w:t>sensi del presente contratto, utilizzando lo strumento MAP di Microsoft o qualsiasi software equivalente.</w:t>
      </w:r>
      <w:r w:rsidRPr="00D87B79">
        <w:rPr>
          <w:rFonts w:cs="Tahoma"/>
        </w:rPr>
        <w:t xml:space="preserve"> </w:t>
      </w:r>
      <w:r w:rsidRPr="00D87B79">
        <w:rPr>
          <w:rFonts w:cs="Tahoma"/>
          <w:lang w:val="it-IT"/>
        </w:rPr>
        <w:t>La presente concessione è disponibile solo per una Licenza Qualificante per server).</w:t>
      </w:r>
    </w:p>
    <w:p w:rsidR="00A92422" w:rsidRPr="00D87B79" w:rsidRDefault="00A92422" w:rsidP="00A92422">
      <w:pPr>
        <w:numPr>
          <w:ilvl w:val="0"/>
          <w:numId w:val="92"/>
        </w:numPr>
        <w:spacing w:after="60"/>
        <w:ind w:left="1440"/>
        <w:rPr>
          <w:rFonts w:cs="Tahoma"/>
        </w:rPr>
      </w:pPr>
      <w:r w:rsidRPr="00D87B79">
        <w:rPr>
          <w:rFonts w:eastAsia="Times New Roman" w:cs="Tahoma"/>
          <w:szCs w:val="18"/>
          <w:lang w:val="it-IT"/>
        </w:rPr>
        <w:t>Le licenze acquistate ai sensi della presente concessione includono la copertura Software Assurance.</w:t>
      </w:r>
      <w:r w:rsidRPr="00D87B79">
        <w:rPr>
          <w:rFonts w:cs="Tahoma"/>
        </w:rPr>
        <w:t xml:space="preserve"> </w:t>
      </w:r>
      <w:r w:rsidRPr="00D87B79">
        <w:rPr>
          <w:rFonts w:cs="Tahoma"/>
          <w:lang w:val="it-IT"/>
        </w:rPr>
        <w:t>Tale copertura cessa alla scadenza della corrispondente copertura per le Licenze Qualificanti.</w:t>
      </w:r>
    </w:p>
    <w:p w:rsidR="00A92422" w:rsidRPr="00D87B79" w:rsidRDefault="00A92422" w:rsidP="00A92422">
      <w:pPr>
        <w:numPr>
          <w:ilvl w:val="0"/>
          <w:numId w:val="92"/>
        </w:numPr>
        <w:spacing w:after="60"/>
        <w:ind w:left="1440"/>
        <w:rPr>
          <w:rFonts w:cs="Tahoma"/>
        </w:rPr>
      </w:pPr>
      <w:r w:rsidRPr="00D87B79">
        <w:rPr>
          <w:rFonts w:eastAsia="Times New Roman" w:cs="Tahoma"/>
          <w:szCs w:val="18"/>
          <w:lang w:val="it-IT"/>
        </w:rPr>
        <w:t>Nel caso in cui le società abbiano acquistato diritti perpetui di utilizzo del software ai sensi di Licenze Qualificanti, le licenze acquistate ai sensi della presente concessione saranno anch’esse perpetue; diversamente, le licenze acquistate ai sensi della presente concessione cesseranno alla</w:t>
      </w:r>
      <w:r>
        <w:rPr>
          <w:rFonts w:eastAsia="Times New Roman" w:cs="Tahoma"/>
          <w:szCs w:val="18"/>
          <w:lang w:val="it-IT"/>
        </w:rPr>
        <w:t> </w:t>
      </w:r>
      <w:r w:rsidRPr="00D87B79">
        <w:rPr>
          <w:rFonts w:eastAsia="Times New Roman" w:cs="Tahoma"/>
          <w:szCs w:val="18"/>
          <w:lang w:val="it-IT"/>
        </w:rPr>
        <w:t>scadenza delle Licenze Qualificanti sottostanti.</w:t>
      </w:r>
      <w:r w:rsidRPr="00D87B79">
        <w:rPr>
          <w:rFonts w:eastAsia="Times New Roman" w:cs="Tahoma"/>
          <w:szCs w:val="18"/>
        </w:rPr>
        <w:t xml:space="preserve"> </w:t>
      </w:r>
    </w:p>
    <w:p w:rsidR="00A92422" w:rsidRPr="00D87B79" w:rsidRDefault="00A92422" w:rsidP="00A92422">
      <w:pPr>
        <w:numPr>
          <w:ilvl w:val="0"/>
          <w:numId w:val="92"/>
        </w:numPr>
        <w:spacing w:after="60"/>
        <w:ind w:left="1440"/>
        <w:rPr>
          <w:rFonts w:cs="Tahoma"/>
        </w:rPr>
      </w:pPr>
      <w:r w:rsidRPr="00D87B79">
        <w:rPr>
          <w:rFonts w:cs="Tahoma"/>
          <w:lang w:val="it-IT"/>
        </w:rPr>
        <w:t>Eseguendo l’aggiornamento a Windows Server 2012 Standard ai sensi della presente concessione, le Licenze Qualificanti in essere per Windows Server Enterprise non saranno più valide.</w:t>
      </w:r>
    </w:p>
    <w:p w:rsidR="00A92422" w:rsidRPr="00D87B79" w:rsidRDefault="00A92422" w:rsidP="00A92422">
      <w:pPr>
        <w:numPr>
          <w:ilvl w:val="0"/>
          <w:numId w:val="92"/>
        </w:numPr>
        <w:spacing w:after="60"/>
        <w:ind w:left="1440"/>
        <w:rPr>
          <w:rFonts w:cs="Tahoma"/>
        </w:rPr>
      </w:pPr>
      <w:r w:rsidRPr="00D87B79">
        <w:rPr>
          <w:rFonts w:eastAsia="Times New Roman" w:cs="Tahoma"/>
          <w:szCs w:val="18"/>
          <w:lang w:val="it-IT"/>
        </w:rPr>
        <w:t>Le licenze per Windows Server 2008 R2 Enterprise acquistate successivamente nello stesso periodo di validità dell’iscrizione nell’ambito di una procedura pianificata di true-up di una società Enterprise, Enterprise Subscription, Open Value Subscription o EES sono anch’esse Licenze Qualificanti per gli scopi previsti dalla suddetta concessione di licenze.</w:t>
      </w:r>
      <w:r w:rsidRPr="00D87B79">
        <w:rPr>
          <w:rFonts w:eastAsia="Times New Roman" w:cs="Tahoma"/>
          <w:szCs w:val="18"/>
        </w:rPr>
        <w:t xml:space="preserve"> </w:t>
      </w:r>
    </w:p>
    <w:p w:rsidR="00A92422" w:rsidRPr="00D87B79" w:rsidRDefault="00A92422" w:rsidP="00A92422">
      <w:pPr>
        <w:numPr>
          <w:ilvl w:val="0"/>
          <w:numId w:val="92"/>
        </w:numPr>
        <w:ind w:left="1440"/>
        <w:rPr>
          <w:rFonts w:cs="Tahoma"/>
        </w:rPr>
      </w:pPr>
      <w:r w:rsidRPr="00D87B79">
        <w:rPr>
          <w:rFonts w:cs="Tahoma"/>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p>
    <w:p w:rsidR="00A92422" w:rsidRPr="004473D4" w:rsidRDefault="00A92422" w:rsidP="00A92422">
      <w:pPr>
        <w:pStyle w:val="EndnoteText"/>
        <w:ind w:left="0"/>
        <w:rPr>
          <w:rFonts w:ascii="Tahoma" w:hAnsi="Tahoma" w:cs="Tahoma"/>
          <w:sz w:val="18"/>
          <w:szCs w:val="18"/>
        </w:rPr>
      </w:pPr>
    </w:p>
    <w:p w:rsidR="00A92422" w:rsidRDefault="00A92422" w:rsidP="00A92422">
      <w:pPr>
        <w:rPr>
          <w:rFonts w:cs="Tahoma"/>
          <w:b/>
          <w:caps/>
          <w:color w:val="F66400"/>
          <w:sz w:val="22"/>
          <w:szCs w:val="20"/>
          <w:vertAlign w:val="superscript"/>
          <w:lang w:val="it-IT"/>
        </w:rPr>
      </w:pPr>
      <w:bookmarkStart w:id="1595" w:name="_105_Windows_Server"/>
      <w:bookmarkStart w:id="1596" w:name="_Toc342900415"/>
      <w:bookmarkStart w:id="1597" w:name="Srv_1132WinSvr08R2Itanium"/>
      <w:bookmarkStart w:id="1598" w:name="Srv_117WinSvr08R2Itanium"/>
      <w:bookmarkEnd w:id="1595"/>
      <w:r>
        <w:rPr>
          <w:rFonts w:cs="Tahoma"/>
          <w:caps/>
          <w:color w:val="F66400"/>
          <w:sz w:val="22"/>
          <w:vertAlign w:val="superscript"/>
          <w:lang w:val="it-IT"/>
        </w:rPr>
        <w:br w:type="page"/>
      </w:r>
    </w:p>
    <w:p w:rsidR="00A92422" w:rsidRPr="005C3FA4" w:rsidRDefault="00A92422" w:rsidP="00A92422">
      <w:pPr>
        <w:pStyle w:val="Heading3"/>
        <w:ind w:left="360" w:hanging="360"/>
        <w:rPr>
          <w:rFonts w:ascii="Tahoma" w:hAnsi="Tahoma" w:cs="Tahoma"/>
          <w:caps/>
          <w:color w:val="F66400"/>
          <w:sz w:val="22"/>
          <w:vertAlign w:val="superscript"/>
          <w:lang w:val="it-IT"/>
        </w:rPr>
      </w:pPr>
      <w:r w:rsidRPr="005C3FA4">
        <w:rPr>
          <w:rFonts w:ascii="Tahoma" w:hAnsi="Tahoma" w:cs="Tahoma"/>
          <w:caps/>
          <w:color w:val="F66400"/>
          <w:sz w:val="22"/>
          <w:vertAlign w:val="superscript"/>
          <w:lang w:val="it-IT"/>
        </w:rPr>
        <w:lastRenderedPageBreak/>
        <w:t xml:space="preserve">105 </w:t>
      </w:r>
      <w:r w:rsidRPr="005C3FA4">
        <w:rPr>
          <w:rFonts w:ascii="Tahoma" w:hAnsi="Tahoma" w:cs="Tahoma"/>
          <w:color w:val="F66400"/>
          <w:sz w:val="22"/>
          <w:lang w:val="it-IT"/>
        </w:rPr>
        <w:t>Windows Server 2008 R2 For Itanium Based Systems</w:t>
      </w:r>
      <w:bookmarkEnd w:id="1596"/>
    </w:p>
    <w:bookmarkEnd w:id="1597"/>
    <w:bookmarkEnd w:id="1598"/>
    <w:p w:rsidR="00A92422" w:rsidRPr="00D87B79" w:rsidRDefault="00A92422" w:rsidP="00A92422">
      <w:pPr>
        <w:ind w:left="360"/>
        <w:rPr>
          <w:rFonts w:cs="Tahoma"/>
        </w:rPr>
      </w:pPr>
    </w:p>
    <w:p w:rsidR="00A92422" w:rsidRPr="00D87B79" w:rsidRDefault="00A92422" w:rsidP="00A92422">
      <w:pPr>
        <w:spacing w:after="60"/>
        <w:ind w:left="720"/>
        <w:rPr>
          <w:rFonts w:cs="Tahoma"/>
        </w:rPr>
      </w:pPr>
      <w:bookmarkStart w:id="1599" w:name="Srv_98WinSvr08StdandHyperV"/>
      <w:bookmarkStart w:id="1600" w:name="Srv_99WinSvr08StdandHyperV"/>
      <w:bookmarkEnd w:id="1599"/>
      <w:bookmarkEnd w:id="1600"/>
      <w:r w:rsidRPr="00D87B79">
        <w:rPr>
          <w:rFonts w:cs="Tahoma"/>
          <w:b/>
          <w:color w:val="000000"/>
          <w:lang w:val="it-IT"/>
        </w:rPr>
        <w:t>Concessioni di licenza associate alla fine del ciclo di vita di Windows Server per i</w:t>
      </w:r>
      <w:r>
        <w:rPr>
          <w:rFonts w:cs="Tahoma"/>
          <w:b/>
          <w:color w:val="000000"/>
          <w:lang w:val="it-IT"/>
        </w:rPr>
        <w:t> </w:t>
      </w:r>
      <w:r w:rsidRPr="00D87B79">
        <w:rPr>
          <w:rFonts w:cs="Tahoma"/>
          <w:b/>
          <w:color w:val="000000"/>
          <w:lang w:val="it-IT"/>
        </w:rPr>
        <w:t>Sistemi</w:t>
      </w:r>
      <w:r>
        <w:rPr>
          <w:rFonts w:cs="Tahoma"/>
          <w:b/>
          <w:color w:val="000000"/>
          <w:lang w:val="it-IT"/>
        </w:rPr>
        <w:t> </w:t>
      </w:r>
      <w:r w:rsidRPr="00D87B79">
        <w:rPr>
          <w:rFonts w:cs="Tahoma"/>
          <w:b/>
          <w:color w:val="000000"/>
          <w:lang w:val="it-IT"/>
        </w:rPr>
        <w:t>Itanium</w:t>
      </w:r>
    </w:p>
    <w:p w:rsidR="00A92422" w:rsidRPr="00E311F8" w:rsidRDefault="00A92422" w:rsidP="00A92422">
      <w:pPr>
        <w:ind w:left="720"/>
        <w:rPr>
          <w:rFonts w:cs="Tahoma"/>
          <w:spacing w:val="-2"/>
        </w:rPr>
      </w:pPr>
      <w:r w:rsidRPr="00E311F8">
        <w:rPr>
          <w:rFonts w:cs="Tahoma"/>
          <w:color w:val="000000"/>
          <w:spacing w:val="-2"/>
          <w:lang w:val="it-IT"/>
        </w:rPr>
        <w:t>Windows Server 2008 R2 sarà l’ultima versione di Windows Server per Sistemi Itanium.</w:t>
      </w:r>
      <w:r w:rsidRPr="00E311F8">
        <w:rPr>
          <w:rFonts w:cs="Tahoma"/>
          <w:spacing w:val="-2"/>
        </w:rPr>
        <w:t xml:space="preserve"> </w:t>
      </w:r>
      <w:r w:rsidRPr="00E311F8">
        <w:rPr>
          <w:rFonts w:cs="Tahoma"/>
          <w:color w:val="000000"/>
          <w:spacing w:val="-2"/>
          <w:lang w:val="it-IT"/>
        </w:rPr>
        <w:t xml:space="preserve">Le società titolari di contratti multilicenza con copertura Software Assurance attiva per le licenze per Windows Server 2008 R2 per Sistemi Itanium in data 1 settembre 2012 o in occasione della prima disponibilità di Windows Server 2012 per il download dal sito Web Volume Licensing Service Center, a seconda di quale evento si verificherà per primo, (“Licenze Qualificanti”) saranno autorizzate a effettuare l’aggiornamento al software </w:t>
      </w:r>
      <w:r w:rsidRPr="00E311F8">
        <w:rPr>
          <w:rFonts w:cs="Tahoma"/>
          <w:spacing w:val="-2"/>
          <w:lang w:val="it-IT"/>
        </w:rPr>
        <w:t xml:space="preserve">Windows Server 2012 Datacenter e a </w:t>
      </w:r>
      <w:r w:rsidRPr="00E311F8">
        <w:rPr>
          <w:rFonts w:cs="Tahoma"/>
          <w:color w:val="000000"/>
          <w:spacing w:val="-2"/>
          <w:lang w:val="it-IT"/>
        </w:rPr>
        <w:t xml:space="preserve">utilizzarlo al posto di </w:t>
      </w:r>
      <w:r w:rsidRPr="00E311F8">
        <w:rPr>
          <w:rFonts w:cs="Tahoma"/>
          <w:spacing w:val="-2"/>
          <w:lang w:val="it-IT"/>
        </w:rPr>
        <w:t xml:space="preserve">Windows Server 2008 R2 </w:t>
      </w:r>
      <w:r w:rsidRPr="00E311F8">
        <w:rPr>
          <w:rFonts w:cs="Tahoma"/>
          <w:color w:val="000000"/>
          <w:spacing w:val="-2"/>
          <w:lang w:val="it-IT"/>
        </w:rPr>
        <w:t>per Sistemi Itanium.</w:t>
      </w:r>
      <w:r w:rsidRPr="00E311F8">
        <w:rPr>
          <w:rFonts w:cs="Tahoma"/>
          <w:spacing w:val="-2"/>
        </w:rPr>
        <w:t xml:space="preserve"> </w:t>
      </w:r>
      <w:r w:rsidRPr="00E311F8">
        <w:rPr>
          <w:rFonts w:cs="Tahoma"/>
          <w:spacing w:val="-2"/>
          <w:lang w:val="it-IT"/>
        </w:rPr>
        <w:t>Per agevolare tale aggiornamento, per due Licenze Qualificanti in suo possesso, alla società verrà concessa una licenza per processore per Windows Server 2012 Datacenter in base alla disponibilità di Windows Server 2012.</w:t>
      </w:r>
      <w:r w:rsidRPr="00E311F8">
        <w:rPr>
          <w:rFonts w:cs="Tahoma"/>
          <w:spacing w:val="-2"/>
        </w:rPr>
        <w:t xml:space="preserve"> </w:t>
      </w:r>
    </w:p>
    <w:p w:rsidR="00A92422" w:rsidRPr="00D87B79" w:rsidRDefault="00A92422" w:rsidP="00A92422">
      <w:pPr>
        <w:ind w:left="720"/>
        <w:rPr>
          <w:rFonts w:cs="Tahoma"/>
        </w:rPr>
      </w:pPr>
    </w:p>
    <w:p w:rsidR="00A92422" w:rsidRPr="00D87B79" w:rsidRDefault="00A92422" w:rsidP="00A92422">
      <w:pPr>
        <w:numPr>
          <w:ilvl w:val="0"/>
          <w:numId w:val="96"/>
        </w:numPr>
        <w:tabs>
          <w:tab w:val="clear" w:pos="360"/>
          <w:tab w:val="num" w:pos="1440"/>
        </w:tabs>
        <w:spacing w:after="60"/>
        <w:ind w:left="1440"/>
        <w:rPr>
          <w:rFonts w:cs="Tahoma"/>
        </w:rPr>
      </w:pPr>
      <w:r w:rsidRPr="00D87B79">
        <w:rPr>
          <w:rFonts w:cs="Tahoma"/>
          <w:color w:val="000000"/>
          <w:lang w:val="it-IT"/>
        </w:rPr>
        <w:t>Qualora una società disponga di un numero dispari di Licenze Qualificanti, dovrà arrotondarle per</w:t>
      </w:r>
      <w:r>
        <w:rPr>
          <w:rFonts w:cs="Tahoma"/>
          <w:color w:val="000000"/>
          <w:lang w:val="it-IT"/>
        </w:rPr>
        <w:t> </w:t>
      </w:r>
      <w:r w:rsidRPr="00D87B79">
        <w:rPr>
          <w:rFonts w:cs="Tahoma"/>
          <w:color w:val="000000"/>
          <w:lang w:val="it-IT"/>
        </w:rPr>
        <w:t>difetto al numero pari più vicino per determinare la quantità concessa.</w:t>
      </w:r>
      <w:r w:rsidRPr="00D87B79">
        <w:rPr>
          <w:rFonts w:cs="Tahoma"/>
          <w:color w:val="000000"/>
        </w:rPr>
        <w:t xml:space="preserve"> </w:t>
      </w:r>
      <w:r w:rsidRPr="00D87B79">
        <w:rPr>
          <w:rFonts w:cs="Tahoma"/>
          <w:color w:val="000000"/>
          <w:lang w:val="it-IT"/>
        </w:rPr>
        <w:t>Ad esempio, una società</w:t>
      </w:r>
      <w:r>
        <w:rPr>
          <w:rFonts w:cs="Tahoma"/>
          <w:color w:val="000000"/>
          <w:lang w:val="it-IT"/>
        </w:rPr>
        <w:t> </w:t>
      </w:r>
      <w:r w:rsidRPr="00D87B79">
        <w:rPr>
          <w:rFonts w:cs="Tahoma"/>
          <w:color w:val="000000"/>
          <w:lang w:val="it-IT"/>
        </w:rPr>
        <w:t>titolare di tre Licenze Qualificanti riceverà in totale una licenza per Windows Server 2012</w:t>
      </w:r>
      <w:r>
        <w:rPr>
          <w:rFonts w:cs="Tahoma"/>
          <w:color w:val="000000"/>
          <w:lang w:val="it-IT"/>
        </w:rPr>
        <w:t> </w:t>
      </w:r>
      <w:r w:rsidRPr="00D87B79">
        <w:rPr>
          <w:rFonts w:cs="Tahoma"/>
          <w:color w:val="000000"/>
          <w:lang w:val="it-IT"/>
        </w:rPr>
        <w:t>Datacenter.</w:t>
      </w:r>
      <w:r w:rsidRPr="00D87B79">
        <w:rPr>
          <w:rFonts w:cs="Tahoma"/>
          <w:color w:val="000000"/>
        </w:rPr>
        <w:t xml:space="preserve"> </w:t>
      </w:r>
    </w:p>
    <w:p w:rsidR="00A92422" w:rsidRPr="004473D4" w:rsidRDefault="00A92422" w:rsidP="00A92422">
      <w:pPr>
        <w:pStyle w:val="ListParagraph"/>
        <w:numPr>
          <w:ilvl w:val="0"/>
          <w:numId w:val="96"/>
        </w:numPr>
        <w:tabs>
          <w:tab w:val="clear" w:pos="360"/>
          <w:tab w:val="num" w:pos="1440"/>
        </w:tabs>
        <w:spacing w:after="60"/>
        <w:ind w:left="1440"/>
        <w:contextualSpacing w:val="0"/>
        <w:rPr>
          <w:rFonts w:ascii="Tahoma" w:hAnsi="Tahoma" w:cs="Tahoma"/>
          <w:sz w:val="18"/>
          <w:szCs w:val="18"/>
        </w:rPr>
      </w:pPr>
      <w:r w:rsidRPr="004473D4">
        <w:rPr>
          <w:rFonts w:ascii="Tahoma" w:hAnsi="Tahoma" w:cs="Tahoma"/>
          <w:sz w:val="18"/>
          <w:szCs w:val="18"/>
          <w:lang w:val="it-IT"/>
        </w:rPr>
        <w:t>Le licenze acquistate ai sensi della presente concessione includono la copertura Software Assurance.</w:t>
      </w:r>
      <w:r w:rsidRPr="004473D4">
        <w:rPr>
          <w:rFonts w:ascii="Tahoma" w:hAnsi="Tahoma" w:cs="Tahoma"/>
          <w:sz w:val="18"/>
          <w:szCs w:val="18"/>
        </w:rPr>
        <w:t xml:space="preserve"> </w:t>
      </w:r>
      <w:r w:rsidRPr="004473D4">
        <w:rPr>
          <w:rFonts w:ascii="Tahoma" w:hAnsi="Tahoma" w:cs="Tahoma"/>
          <w:sz w:val="18"/>
          <w:szCs w:val="18"/>
          <w:lang w:val="it-IT"/>
        </w:rPr>
        <w:t>Tale copertura cessa alla scadenza della corrispondente copertura per le Licenze Qualificanti.</w:t>
      </w:r>
    </w:p>
    <w:p w:rsidR="00A92422" w:rsidRPr="004473D4" w:rsidRDefault="00A92422" w:rsidP="00A92422">
      <w:pPr>
        <w:pStyle w:val="ListParagraph"/>
        <w:numPr>
          <w:ilvl w:val="0"/>
          <w:numId w:val="96"/>
        </w:numPr>
        <w:tabs>
          <w:tab w:val="clear" w:pos="360"/>
          <w:tab w:val="num" w:pos="1440"/>
        </w:tabs>
        <w:spacing w:after="60"/>
        <w:ind w:left="1440"/>
        <w:contextualSpacing w:val="0"/>
        <w:rPr>
          <w:rFonts w:ascii="Tahoma" w:hAnsi="Tahoma" w:cs="Tahoma"/>
          <w:sz w:val="18"/>
          <w:szCs w:val="18"/>
        </w:rPr>
      </w:pPr>
      <w:r w:rsidRPr="004473D4">
        <w:rPr>
          <w:rFonts w:ascii="Tahoma" w:hAnsi="Tahoma" w:cs="Tahoma"/>
          <w:sz w:val="18"/>
          <w:szCs w:val="18"/>
          <w:lang w:val="it-IT"/>
        </w:rPr>
        <w:t>Nel caso in cui le società abbiano acquistato diritti perpetui di utilizzo del software ai sensi di Licenze Qualificanti, le licenze acquistate ai sensi della presente concessione saranno anch’esse perpetue; diversamente, le licenze acquistate ai sensi della presente concessione cesseranno alla scadenza delle Licenze Qualificanti sottostanti.</w:t>
      </w:r>
    </w:p>
    <w:p w:rsidR="00A92422" w:rsidRPr="00437E7F" w:rsidRDefault="00A92422" w:rsidP="00A92422">
      <w:pPr>
        <w:numPr>
          <w:ilvl w:val="0"/>
          <w:numId w:val="96"/>
        </w:numPr>
        <w:tabs>
          <w:tab w:val="clear" w:pos="360"/>
          <w:tab w:val="num" w:pos="1440"/>
        </w:tabs>
        <w:spacing w:after="60"/>
        <w:ind w:left="1440"/>
        <w:rPr>
          <w:rFonts w:cs="Tahoma"/>
        </w:rPr>
      </w:pPr>
      <w:r w:rsidRPr="00D87B79">
        <w:rPr>
          <w:rFonts w:cs="Tahoma"/>
          <w:lang w:val="it-IT"/>
        </w:rPr>
        <w:t>Eseguendo l’aggiornamento a Windows Server 2012 Datacenter ai sensi della presente concessione, le Licenze Qualificanti in essere per Windows Server 2008 R2 per Sistemi Itanium non</w:t>
      </w:r>
      <w:r>
        <w:rPr>
          <w:rFonts w:cs="Tahoma"/>
          <w:lang w:val="it-IT"/>
        </w:rPr>
        <w:t> </w:t>
      </w:r>
      <w:r w:rsidRPr="00D87B79">
        <w:rPr>
          <w:rFonts w:cs="Tahoma"/>
          <w:lang w:val="it-IT"/>
        </w:rPr>
        <w:t>saranno più valide.</w:t>
      </w:r>
    </w:p>
    <w:p w:rsidR="00A92422" w:rsidRPr="00D87B79" w:rsidRDefault="00A92422" w:rsidP="00A92422">
      <w:pPr>
        <w:numPr>
          <w:ilvl w:val="0"/>
          <w:numId w:val="96"/>
        </w:numPr>
        <w:tabs>
          <w:tab w:val="clear" w:pos="360"/>
          <w:tab w:val="num" w:pos="1440"/>
        </w:tabs>
        <w:spacing w:after="60"/>
        <w:ind w:left="1440"/>
        <w:rPr>
          <w:rFonts w:cs="Tahoma"/>
        </w:rPr>
      </w:pPr>
      <w:r w:rsidRPr="00D87B79">
        <w:rPr>
          <w:rFonts w:cs="Tahoma"/>
          <w:color w:val="000000"/>
          <w:lang w:val="it-IT"/>
        </w:rPr>
        <w:t>Le licenze per Windows Server 2008 R2 per Sistemi Itanium acquistate successivamente nello stesso periodo di validità dell’iscrizione nell’ambito di una procedura pianificata di true-up della società Enterprise, Enterprise Subscription, Open Value Subscription o EES sono anch’esse Licenze Qualificanti per gli scopi previsti dalla suddetta concessione.</w:t>
      </w:r>
      <w:r w:rsidRPr="00D87B79">
        <w:rPr>
          <w:rFonts w:cs="Tahoma"/>
        </w:rPr>
        <w:t xml:space="preserve"> </w:t>
      </w:r>
    </w:p>
    <w:p w:rsidR="00A92422" w:rsidRPr="00D87B79" w:rsidRDefault="00A92422" w:rsidP="00A92422">
      <w:pPr>
        <w:numPr>
          <w:ilvl w:val="0"/>
          <w:numId w:val="96"/>
        </w:numPr>
        <w:tabs>
          <w:tab w:val="clear" w:pos="360"/>
          <w:tab w:val="num" w:pos="1440"/>
        </w:tabs>
        <w:spacing w:after="60"/>
        <w:ind w:left="1440"/>
        <w:rPr>
          <w:rFonts w:cs="Tahoma"/>
        </w:rPr>
      </w:pPr>
      <w:r w:rsidRPr="00D87B79">
        <w:rPr>
          <w:rFonts w:cs="Tahoma"/>
          <w:color w:val="000000"/>
          <w:lang w:val="it-IT"/>
        </w:rPr>
        <w:t>Nonostante la concessione di licenze per Windows Server 2012 Datacenter e di aggiornamenti per</w:t>
      </w:r>
      <w:r>
        <w:rPr>
          <w:rFonts w:cs="Tahoma"/>
          <w:color w:val="000000"/>
          <w:lang w:val="it-IT"/>
        </w:rPr>
        <w:t> </w:t>
      </w:r>
      <w:r w:rsidRPr="00D87B79">
        <w:rPr>
          <w:rFonts w:cs="Tahoma"/>
          <w:color w:val="000000"/>
          <w:lang w:val="it-IT"/>
        </w:rPr>
        <w:t>tale versione, le obbligazioni di pagamento degli importi scaduti e dovuti per le Licenze Qualificanti e la copertura rimangono pienamente vincolanti ed efficaci.</w:t>
      </w:r>
    </w:p>
    <w:p w:rsidR="00A92422" w:rsidRPr="00D87B79" w:rsidRDefault="00A92422" w:rsidP="00A92422">
      <w:pPr>
        <w:rPr>
          <w:rFonts w:cs="Tahoma"/>
        </w:rPr>
      </w:pPr>
      <w:bookmarkStart w:id="1601" w:name="_117_Windows_Server"/>
      <w:bookmarkEnd w:id="1601"/>
    </w:p>
    <w:p w:rsidR="00A92422" w:rsidRPr="00D87B79" w:rsidRDefault="00A92422" w:rsidP="00A92422">
      <w:pPr>
        <w:pStyle w:val="Heading3"/>
        <w:rPr>
          <w:rFonts w:ascii="Tahoma" w:hAnsi="Tahoma" w:cs="Tahoma"/>
        </w:rPr>
      </w:pPr>
      <w:bookmarkStart w:id="1602" w:name="_116_Windows_Server"/>
      <w:bookmarkStart w:id="1603" w:name="_Toc336338372"/>
      <w:bookmarkStart w:id="1604" w:name="Srv_101Win2008RemoteCALandExtConn"/>
      <w:bookmarkStart w:id="1605" w:name="Srv_115Win2008RemoteCALandExtConn"/>
      <w:bookmarkStart w:id="1606" w:name="Srv_119Win2008RemoteCALandExtConn"/>
      <w:bookmarkStart w:id="1607" w:name="Srv_101WindowsSvr2008RemoteDesktop"/>
      <w:bookmarkStart w:id="1608" w:name="_106_CAL_per"/>
      <w:bookmarkStart w:id="1609" w:name="_Toc342900416"/>
      <w:bookmarkEnd w:id="1602"/>
      <w:bookmarkEnd w:id="1603"/>
      <w:bookmarkEnd w:id="1604"/>
      <w:bookmarkEnd w:id="1605"/>
      <w:bookmarkEnd w:id="1606"/>
      <w:bookmarkEnd w:id="1607"/>
      <w:bookmarkEnd w:id="1608"/>
      <w:r w:rsidRPr="00D87B79">
        <w:rPr>
          <w:rStyle w:val="Heading3Char"/>
          <w:rFonts w:ascii="Tahoma" w:hAnsi="Tahoma" w:cs="Tahoma"/>
          <w:b/>
          <w:caps/>
          <w:color w:val="F66400"/>
          <w:sz w:val="22"/>
          <w:vertAlign w:val="superscript"/>
          <w:lang w:val="it-IT"/>
        </w:rPr>
        <w:t>106</w:t>
      </w:r>
      <w:r w:rsidRPr="00437E7F">
        <w:rPr>
          <w:rStyle w:val="Heading3Char"/>
          <w:rFonts w:ascii="Tahoma" w:hAnsi="Tahoma" w:cs="Tahoma"/>
          <w:b/>
          <w:caps/>
          <w:color w:val="F66400"/>
          <w:sz w:val="22"/>
          <w:lang w:val="it-IT"/>
        </w:rPr>
        <w:t xml:space="preserve"> </w:t>
      </w:r>
      <w:r w:rsidRPr="00D87B79">
        <w:rPr>
          <w:rFonts w:ascii="Tahoma" w:hAnsi="Tahoma" w:cs="Tahoma"/>
          <w:color w:val="F66400"/>
          <w:sz w:val="22"/>
          <w:lang w:val="it-IT"/>
        </w:rPr>
        <w:t>CAL per Windows Server 2012</w:t>
      </w:r>
      <w:bookmarkEnd w:id="1609"/>
    </w:p>
    <w:p w:rsidR="00A92422" w:rsidRPr="00D87B79" w:rsidRDefault="00A92422" w:rsidP="00A92422">
      <w:pPr>
        <w:rPr>
          <w:rFonts w:cs="Tahoma"/>
        </w:rPr>
      </w:pPr>
    </w:p>
    <w:p w:rsidR="00A92422" w:rsidRPr="00D87B79" w:rsidRDefault="00A92422" w:rsidP="00A92422">
      <w:pPr>
        <w:ind w:left="720"/>
        <w:rPr>
          <w:rFonts w:cs="Tahoma"/>
        </w:rPr>
      </w:pPr>
      <w:r w:rsidRPr="00D87B79">
        <w:rPr>
          <w:rFonts w:cs="Tahoma"/>
          <w:lang w:val="it-IT"/>
        </w:rPr>
        <w:t>La CAL per Windows Server 2012 è la versione successiva della CAL per Windows Server 2008.</w:t>
      </w:r>
    </w:p>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lang w:val="it-IT"/>
        </w:rPr>
        <w:t>Utilizzo di Windows Server 2012 come Server Web</w:t>
      </w:r>
    </w:p>
    <w:p w:rsidR="00A92422" w:rsidRDefault="00A92422" w:rsidP="00A92422">
      <w:pPr>
        <w:ind w:left="720"/>
        <w:rPr>
          <w:rFonts w:cs="Tahoma"/>
          <w:color w:val="000000"/>
          <w:lang w:val="it-IT"/>
        </w:rPr>
      </w:pPr>
      <w:r w:rsidRPr="00D87B79">
        <w:rPr>
          <w:rFonts w:cs="Tahoma"/>
          <w:color w:val="000000"/>
          <w:szCs w:val="18"/>
          <w:lang w:val="it-IT"/>
        </w:rPr>
        <w:t>Quando Windows Server 2012 Standard o Datacenter viene utilizzato come Server Web, non servono licenze CAL per accedere al software.</w:t>
      </w:r>
      <w:r w:rsidRPr="00D87B79">
        <w:rPr>
          <w:rFonts w:cs="Tahoma"/>
        </w:rPr>
        <w:t xml:space="preserve"> </w:t>
      </w:r>
      <w:r w:rsidRPr="00D87B79">
        <w:rPr>
          <w:rFonts w:cs="Tahoma"/>
          <w:color w:val="000000"/>
          <w:lang w:val="it-IT"/>
        </w:rPr>
        <w:t>Un “Carico di Lavoro Web” indica:</w:t>
      </w:r>
    </w:p>
    <w:p w:rsidR="00A92422" w:rsidRPr="00D87B79" w:rsidRDefault="00A92422" w:rsidP="00A92422">
      <w:pPr>
        <w:ind w:left="720"/>
        <w:rPr>
          <w:rFonts w:cs="Tahoma"/>
        </w:rPr>
      </w:pPr>
    </w:p>
    <w:p w:rsidR="00A92422" w:rsidRPr="00D87B79" w:rsidRDefault="00A92422" w:rsidP="00A92422">
      <w:pPr>
        <w:pStyle w:val="PURBody-Indented"/>
        <w:spacing w:after="60"/>
        <w:ind w:left="720"/>
        <w:rPr>
          <w:rFonts w:ascii="Tahoma" w:hAnsi="Tahoma" w:cs="Tahoma"/>
        </w:rPr>
      </w:pPr>
      <w:r w:rsidRPr="00D87B79">
        <w:rPr>
          <w:rFonts w:ascii="Tahoma" w:hAnsi="Tahoma" w:cs="Tahoma"/>
          <w:b/>
          <w:sz w:val="18"/>
          <w:lang w:val="it-IT"/>
        </w:rPr>
        <w:t>Carico di Lavoro Web (Soluzioni per il Web su Internet)</w:t>
      </w:r>
    </w:p>
    <w:p w:rsidR="00A92422" w:rsidRPr="00C94468" w:rsidRDefault="00A92422" w:rsidP="00A92422">
      <w:pPr>
        <w:pStyle w:val="PURBody-Indented"/>
        <w:spacing w:after="0"/>
        <w:ind w:left="720"/>
        <w:rPr>
          <w:rFonts w:ascii="Tahoma" w:hAnsi="Tahoma" w:cs="Tahoma"/>
          <w:sz w:val="18"/>
          <w:szCs w:val="18"/>
        </w:rPr>
      </w:pPr>
      <w:r w:rsidRPr="00C94468">
        <w:rPr>
          <w:rFonts w:ascii="Tahoma" w:hAnsi="Tahoma" w:cs="Tahoma"/>
          <w:sz w:val="18"/>
          <w:szCs w:val="18"/>
          <w:lang w:val="it-IT"/>
        </w:rPr>
        <w:t>le “soluzioni per il Web su Internet” sono accessibili pubblicamente e consistono esclusivamente di pagine Web, siti Web, applicazioni Web, servizi Web e/o servizi di posta POP3.</w:t>
      </w:r>
      <w:r w:rsidRPr="00C94468">
        <w:rPr>
          <w:rFonts w:ascii="Tahoma" w:hAnsi="Tahoma" w:cs="Tahoma"/>
          <w:sz w:val="18"/>
          <w:szCs w:val="18"/>
        </w:rPr>
        <w:t xml:space="preserve"> </w:t>
      </w:r>
      <w:r w:rsidRPr="00C94468">
        <w:rPr>
          <w:rFonts w:ascii="Tahoma" w:hAnsi="Tahoma" w:cs="Tahoma"/>
          <w:sz w:val="18"/>
          <w:szCs w:val="18"/>
          <w:lang w:val="it-IT"/>
        </w:rPr>
        <w:t>Per maggiore chiarezza, l’accesso al contenuto, alle informazioni e alle applicazioni gestiti dal software in una soluzione per il Web su Internet non è limitata ai dipendenti del licenziatario o delle consociate del licenziatario.</w:t>
      </w:r>
      <w:r w:rsidRPr="00C94468">
        <w:rPr>
          <w:rFonts w:ascii="Tahoma" w:hAnsi="Tahoma" w:cs="Tahoma"/>
          <w:sz w:val="18"/>
          <w:szCs w:val="18"/>
        </w:rPr>
        <w:t xml:space="preserve"> </w:t>
      </w:r>
    </w:p>
    <w:p w:rsidR="00A92422" w:rsidRPr="00C94468" w:rsidRDefault="00A92422" w:rsidP="00A92422">
      <w:pPr>
        <w:pStyle w:val="PURBody-Indented"/>
        <w:spacing w:after="0"/>
        <w:ind w:firstLine="450"/>
        <w:rPr>
          <w:rFonts w:ascii="Tahoma" w:hAnsi="Tahoma" w:cs="Tahoma"/>
          <w:sz w:val="18"/>
          <w:szCs w:val="18"/>
        </w:rPr>
      </w:pPr>
    </w:p>
    <w:p w:rsidR="00A92422" w:rsidRPr="00863DAE" w:rsidRDefault="00A92422" w:rsidP="00A92422">
      <w:pPr>
        <w:pStyle w:val="PURBody-Indented"/>
        <w:spacing w:after="0"/>
        <w:ind w:firstLine="450"/>
        <w:rPr>
          <w:rFonts w:ascii="Tahoma" w:hAnsi="Tahoma" w:cs="Tahoma"/>
          <w:sz w:val="18"/>
          <w:szCs w:val="18"/>
        </w:rPr>
      </w:pPr>
      <w:r w:rsidRPr="00863DAE">
        <w:rPr>
          <w:rFonts w:ascii="Tahoma" w:hAnsi="Tahoma" w:cs="Tahoma"/>
          <w:sz w:val="18"/>
          <w:szCs w:val="18"/>
          <w:lang w:val="it-IT"/>
        </w:rPr>
        <w:t>Il licenziatario potrà utilizzare il software delle “Soluzioni per il Web su Internet” per eseguire:</w:t>
      </w:r>
    </w:p>
    <w:p w:rsidR="00A92422" w:rsidRPr="00C94468" w:rsidRDefault="00A92422" w:rsidP="00A92422">
      <w:pPr>
        <w:pStyle w:val="PURBody-Indented"/>
        <w:spacing w:after="0"/>
        <w:ind w:firstLine="450"/>
        <w:rPr>
          <w:rFonts w:ascii="Tahoma" w:hAnsi="Tahoma" w:cs="Tahoma"/>
          <w:sz w:val="18"/>
          <w:szCs w:val="18"/>
        </w:rPr>
      </w:pPr>
    </w:p>
    <w:p w:rsidR="00A92422" w:rsidRPr="00863DAE" w:rsidRDefault="00A92422" w:rsidP="00A92422">
      <w:pPr>
        <w:pStyle w:val="PURBullet-Indented"/>
        <w:numPr>
          <w:ilvl w:val="0"/>
          <w:numId w:val="126"/>
        </w:numPr>
        <w:spacing w:after="60" w:line="240" w:lineRule="auto"/>
        <w:ind w:left="1440" w:hanging="360"/>
        <w:contextualSpacing w:val="0"/>
        <w:rPr>
          <w:rFonts w:ascii="Tahoma" w:hAnsi="Tahoma" w:cs="Tahoma"/>
          <w:sz w:val="18"/>
          <w:szCs w:val="18"/>
        </w:rPr>
      </w:pPr>
      <w:r w:rsidRPr="00863DAE">
        <w:rPr>
          <w:rFonts w:ascii="Tahoma" w:hAnsi="Tahoma" w:cs="Tahoma"/>
          <w:sz w:val="18"/>
          <w:szCs w:val="18"/>
          <w:lang w:val="it-IT"/>
        </w:rPr>
        <w:t>software server Web (ad esempio, Microsoft Internet Information Services) e agenti di gestione o di sicurezza (ad esempio l’agente System Center Operations Manager);</w:t>
      </w:r>
    </w:p>
    <w:p w:rsidR="00A92422" w:rsidRPr="00863DAE" w:rsidRDefault="00A92422" w:rsidP="00A92422">
      <w:pPr>
        <w:pStyle w:val="PURBullet-Indented"/>
        <w:numPr>
          <w:ilvl w:val="0"/>
          <w:numId w:val="126"/>
        </w:numPr>
        <w:spacing w:after="60" w:line="240" w:lineRule="auto"/>
        <w:ind w:left="1440" w:hanging="360"/>
        <w:contextualSpacing w:val="0"/>
        <w:rPr>
          <w:rFonts w:ascii="Tahoma" w:hAnsi="Tahoma" w:cs="Tahoma"/>
          <w:sz w:val="18"/>
          <w:szCs w:val="18"/>
        </w:rPr>
      </w:pPr>
      <w:r w:rsidRPr="00863DAE">
        <w:rPr>
          <w:rFonts w:ascii="Tahoma" w:hAnsi="Tahoma" w:cs="Tahoma"/>
          <w:sz w:val="18"/>
          <w:szCs w:val="18"/>
          <w:lang w:val="it-IT"/>
        </w:rPr>
        <w:t>software del motore di database (ad esempio, Microsoft SQL Server) esclusivamente per supportare le soluzioni per il Web su Internet;</w:t>
      </w:r>
      <w:r w:rsidRPr="00863DAE">
        <w:rPr>
          <w:rFonts w:ascii="Tahoma" w:hAnsi="Tahoma" w:cs="Tahoma"/>
          <w:sz w:val="18"/>
          <w:szCs w:val="18"/>
        </w:rPr>
        <w:t xml:space="preserve"> </w:t>
      </w:r>
    </w:p>
    <w:p w:rsidR="00A92422" w:rsidRPr="00863DAE" w:rsidRDefault="00A92422" w:rsidP="00A92422">
      <w:pPr>
        <w:pStyle w:val="PURBullet-Indented"/>
        <w:numPr>
          <w:ilvl w:val="0"/>
          <w:numId w:val="126"/>
        </w:numPr>
        <w:spacing w:after="60" w:line="240" w:lineRule="auto"/>
        <w:ind w:left="1440" w:hanging="360"/>
        <w:contextualSpacing w:val="0"/>
        <w:rPr>
          <w:rFonts w:ascii="Tahoma" w:hAnsi="Tahoma" w:cs="Tahoma"/>
          <w:sz w:val="18"/>
          <w:szCs w:val="18"/>
        </w:rPr>
      </w:pPr>
      <w:r w:rsidRPr="00863DAE">
        <w:rPr>
          <w:rFonts w:ascii="Tahoma" w:hAnsi="Tahoma" w:cs="Tahoma"/>
          <w:sz w:val="18"/>
          <w:szCs w:val="18"/>
          <w:lang w:val="it-IT"/>
        </w:rPr>
        <w:lastRenderedPageBreak/>
        <w:t>il servizio Domain Name System (DNS) per fornire la risoluzione dei nomi Internet agli indirizzi IP a condizione che non sia l’unica funzione di quell’istanza del software.</w:t>
      </w:r>
    </w:p>
    <w:p w:rsidR="00A92422" w:rsidRPr="00D87B79" w:rsidRDefault="00A92422" w:rsidP="00A92422">
      <w:pPr>
        <w:rPr>
          <w:rFonts w:cs="Tahoma"/>
        </w:rPr>
      </w:pPr>
    </w:p>
    <w:p w:rsidR="00A92422" w:rsidRPr="00D87B79" w:rsidRDefault="00A92422" w:rsidP="00A92422">
      <w:pPr>
        <w:spacing w:after="60"/>
        <w:ind w:left="720"/>
        <w:rPr>
          <w:rFonts w:cs="Tahoma"/>
        </w:rPr>
      </w:pPr>
      <w:r w:rsidRPr="00D87B79">
        <w:rPr>
          <w:rFonts w:cs="Tahoma"/>
          <w:b/>
          <w:lang w:val="it-IT"/>
        </w:rPr>
        <w:t>Utilizzo di Windows Server 2012 per High Performance Computing (HPC)</w:t>
      </w:r>
    </w:p>
    <w:p w:rsidR="00A92422" w:rsidRPr="00D87B79" w:rsidRDefault="00A92422" w:rsidP="00A92422">
      <w:pPr>
        <w:ind w:left="720"/>
        <w:rPr>
          <w:rFonts w:cs="Tahoma"/>
        </w:rPr>
      </w:pPr>
      <w:r w:rsidRPr="00D87B79">
        <w:rPr>
          <w:rFonts w:cs="Tahoma"/>
          <w:color w:val="000000"/>
          <w:lang w:val="it-IT"/>
        </w:rPr>
        <w:t>Quando Windows Server 2012 Standard o Datacenter viene utilizzato per High Performance Computing, non</w:t>
      </w:r>
      <w:r>
        <w:rPr>
          <w:rFonts w:cs="Tahoma"/>
          <w:color w:val="000000"/>
          <w:lang w:val="it-IT"/>
        </w:rPr>
        <w:t> </w:t>
      </w:r>
      <w:r w:rsidRPr="00D87B79">
        <w:rPr>
          <w:rFonts w:cs="Tahoma"/>
          <w:color w:val="000000"/>
          <w:lang w:val="it-IT"/>
        </w:rPr>
        <w:t>servono licenze CAL per accedere al software.</w:t>
      </w:r>
      <w:r w:rsidRPr="00D87B79">
        <w:rPr>
          <w:rFonts w:cs="Tahoma"/>
          <w:color w:val="000000"/>
        </w:rPr>
        <w:t xml:space="preserve"> </w:t>
      </w:r>
      <w:r w:rsidRPr="00D87B79">
        <w:rPr>
          <w:rFonts w:cs="Tahoma"/>
          <w:color w:val="000000"/>
          <w:lang w:val="it-IT"/>
        </w:rPr>
        <w:t>Un “Carico di Lavoro High Performance Computing (“HPC”)”</w:t>
      </w:r>
      <w:r w:rsidRPr="00D87B79">
        <w:rPr>
          <w:rFonts w:cs="Tahoma"/>
          <w:b/>
          <w:color w:val="000000"/>
          <w:lang w:val="it-IT"/>
        </w:rPr>
        <w:t xml:space="preserve"> </w:t>
      </w:r>
      <w:r w:rsidRPr="00D87B79">
        <w:rPr>
          <w:rFonts w:cs="Tahoma"/>
          <w:color w:val="000000"/>
          <w:lang w:val="it-IT"/>
        </w:rPr>
        <w:t xml:space="preserve">indica un carico di lavoro nel quale il software server </w:t>
      </w:r>
      <w:r w:rsidRPr="00863DAE">
        <w:rPr>
          <w:rFonts w:cs="Tahoma"/>
          <w:color w:val="000000"/>
          <w:lang w:val="it-IT"/>
        </w:rPr>
        <w:t>viene utilizzato</w:t>
      </w:r>
      <w:r w:rsidRPr="00D87B79">
        <w:rPr>
          <w:rFonts w:cs="Tahoma"/>
          <w:color w:val="000000"/>
          <w:lang w:val="it-IT"/>
        </w:rPr>
        <w:t xml:space="preserve"> per eseguire un Nodo del Cluster e per consentire, insieme ad altro software, la gestione dei sistemi, la gestione della protezione e</w:t>
      </w:r>
      <w:r>
        <w:rPr>
          <w:rFonts w:cs="Tahoma"/>
          <w:color w:val="000000"/>
          <w:lang w:val="it-IT"/>
        </w:rPr>
        <w:t> </w:t>
      </w:r>
      <w:r w:rsidRPr="00D87B79">
        <w:rPr>
          <w:rFonts w:cs="Tahoma"/>
          <w:color w:val="000000"/>
          <w:lang w:val="it-IT"/>
        </w:rPr>
        <w:t>dell’archiviazione o il miglioramento delle prestazioni in un nodo del cluster allo scopo di supportare le</w:t>
      </w:r>
      <w:r>
        <w:rPr>
          <w:rFonts w:cs="Tahoma"/>
          <w:color w:val="000000"/>
          <w:lang w:val="it-IT"/>
        </w:rPr>
        <w:t> </w:t>
      </w:r>
      <w:r w:rsidRPr="00D87B79">
        <w:rPr>
          <w:rFonts w:cs="Tahoma"/>
          <w:color w:val="000000"/>
          <w:lang w:val="it-IT"/>
        </w:rPr>
        <w:t>Applicazioni HPC con cluster.</w:t>
      </w:r>
      <w:r w:rsidRPr="00D87B79">
        <w:rPr>
          <w:rFonts w:cs="Tahoma"/>
        </w:rPr>
        <w:t xml:space="preserve"> </w:t>
      </w:r>
      <w:r w:rsidRPr="00D87B79">
        <w:rPr>
          <w:rFonts w:cs="Tahoma"/>
          <w:color w:val="000000"/>
          <w:lang w:val="it-IT"/>
        </w:rPr>
        <w:t>Ulteriori dettagli sono disponibili nei Diritti di Utilizzo del Prodotto.</w:t>
      </w:r>
    </w:p>
    <w:p w:rsidR="00A92422" w:rsidRDefault="00A92422" w:rsidP="00A92422">
      <w:pPr>
        <w:rPr>
          <w:rFonts w:cs="Tahoma"/>
          <w:szCs w:val="18"/>
          <w:lang w:eastAsia="x-none"/>
        </w:rPr>
      </w:pPr>
    </w:p>
    <w:p w:rsidR="00A92422" w:rsidRPr="003F2B0E" w:rsidRDefault="00A92422" w:rsidP="00A92422">
      <w:pPr>
        <w:rPr>
          <w:rFonts w:cs="Tahoma"/>
        </w:rPr>
      </w:pPr>
    </w:p>
    <w:p w:rsidR="00A92422" w:rsidRPr="00D87B79" w:rsidRDefault="00A92422" w:rsidP="00A92422">
      <w:pPr>
        <w:pStyle w:val="Heading3"/>
        <w:ind w:left="360" w:hanging="360"/>
        <w:rPr>
          <w:rFonts w:ascii="Tahoma" w:hAnsi="Tahoma" w:cs="Tahoma"/>
        </w:rPr>
      </w:pPr>
      <w:bookmarkStart w:id="1610" w:name="_114_Windows_Server"/>
      <w:bookmarkStart w:id="1611" w:name="_Toc336338373"/>
      <w:bookmarkStart w:id="1612" w:name="_107_Windows_Server"/>
      <w:bookmarkStart w:id="1613" w:name="_Toc342900417"/>
      <w:bookmarkStart w:id="1614" w:name="Srv_111WinSvr08R2Datacenter"/>
      <w:bookmarkStart w:id="1615" w:name="Srv_115WinSvr08R2Datacenter"/>
      <w:bookmarkEnd w:id="1610"/>
      <w:bookmarkEnd w:id="1611"/>
      <w:bookmarkEnd w:id="1612"/>
      <w:r w:rsidRPr="00D87B79">
        <w:rPr>
          <w:rFonts w:ascii="Tahoma" w:hAnsi="Tahoma" w:cs="Tahoma"/>
          <w:caps/>
          <w:color w:val="F66400"/>
          <w:sz w:val="22"/>
          <w:vertAlign w:val="superscript"/>
          <w:lang w:val="it-IT"/>
        </w:rPr>
        <w:t>107</w:t>
      </w:r>
      <w:r w:rsidRPr="00D87B79">
        <w:rPr>
          <w:rFonts w:ascii="Tahoma" w:hAnsi="Tahoma" w:cs="Tahoma"/>
          <w:color w:val="F66400"/>
          <w:sz w:val="22"/>
          <w:lang w:val="it-IT"/>
        </w:rPr>
        <w:t xml:space="preserve"> Windows Server 2008 R2 Datacenter</w:t>
      </w:r>
      <w:bookmarkEnd w:id="1613"/>
      <w:r w:rsidRPr="00D87B79">
        <w:rPr>
          <w:rFonts w:ascii="Tahoma" w:hAnsi="Tahoma" w:cs="Tahoma"/>
        </w:rPr>
        <w:t xml:space="preserve"> </w:t>
      </w:r>
    </w:p>
    <w:bookmarkEnd w:id="1614"/>
    <w:bookmarkEnd w:id="1615"/>
    <w:p w:rsidR="00A92422" w:rsidRPr="00D87B79" w:rsidRDefault="00A92422" w:rsidP="00A92422">
      <w:pPr>
        <w:ind w:left="900"/>
        <w:rPr>
          <w:rFonts w:cs="Tahoma"/>
        </w:rPr>
      </w:pPr>
    </w:p>
    <w:p w:rsidR="00A92422" w:rsidRPr="00D87B79" w:rsidRDefault="00A92422" w:rsidP="00A92422">
      <w:pPr>
        <w:spacing w:after="60"/>
        <w:ind w:left="720"/>
        <w:rPr>
          <w:rFonts w:cs="Tahoma"/>
        </w:rPr>
      </w:pPr>
      <w:r w:rsidRPr="00D87B79">
        <w:rPr>
          <w:rFonts w:cs="Tahoma"/>
          <w:b/>
          <w:color w:val="000000"/>
          <w:lang w:val="it-IT"/>
        </w:rPr>
        <w:t>Concessioni di licenza associate alla variazione del modello di licenza per Windows Server Datacenter</w:t>
      </w:r>
    </w:p>
    <w:p w:rsidR="00A92422" w:rsidRDefault="00A92422" w:rsidP="00A92422">
      <w:pPr>
        <w:spacing w:after="200"/>
        <w:ind w:left="720"/>
        <w:rPr>
          <w:rFonts w:cs="Tahoma"/>
        </w:rPr>
      </w:pPr>
      <w:r w:rsidRPr="00D87B79">
        <w:rPr>
          <w:rFonts w:cs="Tahoma"/>
          <w:color w:val="000000"/>
          <w:lang w:val="it-IT"/>
        </w:rPr>
        <w:t>Windows Server 2012 Datacenter sarà concesso in licenza ai sensi di un nuovo modello di licenza in base al</w:t>
      </w:r>
      <w:r>
        <w:rPr>
          <w:rFonts w:cs="Tahoma"/>
          <w:color w:val="000000"/>
          <w:lang w:val="it-IT"/>
        </w:rPr>
        <w:t> </w:t>
      </w:r>
      <w:r w:rsidRPr="00D87B79">
        <w:rPr>
          <w:rFonts w:cs="Tahoma"/>
          <w:color w:val="000000"/>
          <w:lang w:val="it-IT"/>
        </w:rPr>
        <w:t>quale ciascuna licenza può coprire fino a due processori fisici.</w:t>
      </w:r>
      <w:r w:rsidRPr="00D87B79">
        <w:rPr>
          <w:rFonts w:cs="Tahoma"/>
        </w:rPr>
        <w:t xml:space="preserve"> </w:t>
      </w:r>
      <w:r w:rsidRPr="00D87B79">
        <w:rPr>
          <w:rFonts w:cs="Tahoma"/>
          <w:color w:val="000000"/>
          <w:lang w:val="it-IT"/>
        </w:rPr>
        <w:t>Le società titolari di contratti multilicenza con copertura Software Assurance attiva per le licenze per Windows Server 2008 R2 Datacenter in data 1</w:t>
      </w:r>
      <w:r>
        <w:rPr>
          <w:rFonts w:cs="Tahoma"/>
          <w:color w:val="000000"/>
          <w:lang w:val="it-IT"/>
        </w:rPr>
        <w:t> </w:t>
      </w:r>
      <w:r w:rsidRPr="00D87B79">
        <w:rPr>
          <w:rFonts w:cs="Tahoma"/>
          <w:color w:val="000000"/>
          <w:lang w:val="it-IT"/>
        </w:rPr>
        <w:t xml:space="preserve">settembre 2012 o in occasione della prima disponibilità di Windows Server 2012 per il download dal sito Web Volume Licensing Service Center, a seconda di quale evento si verificherà per primo, (“Licenze Qualificanti”) saranno autorizzate a effettuare l’aggiornamento al software </w:t>
      </w:r>
      <w:r w:rsidRPr="00D87B79">
        <w:rPr>
          <w:rFonts w:cs="Tahoma"/>
          <w:lang w:val="it-IT"/>
        </w:rPr>
        <w:t xml:space="preserve">Windows Server 2012 </w:t>
      </w:r>
      <w:r w:rsidRPr="00D87B79">
        <w:rPr>
          <w:rFonts w:cs="Tahoma"/>
          <w:color w:val="000000"/>
          <w:lang w:val="it-IT"/>
        </w:rPr>
        <w:t>Datacenter</w:t>
      </w:r>
      <w:r w:rsidRPr="00D87B79">
        <w:rPr>
          <w:rFonts w:cs="Tahoma"/>
          <w:lang w:val="it-IT"/>
        </w:rPr>
        <w:t xml:space="preserve"> e a </w:t>
      </w:r>
      <w:r w:rsidRPr="00D87B79">
        <w:rPr>
          <w:rFonts w:cs="Tahoma"/>
          <w:color w:val="000000"/>
          <w:lang w:val="it-IT"/>
        </w:rPr>
        <w:t xml:space="preserve">utilizzarlo al posto di </w:t>
      </w:r>
      <w:r w:rsidRPr="00D87B79">
        <w:rPr>
          <w:rFonts w:cs="Tahoma"/>
          <w:lang w:val="it-IT"/>
        </w:rPr>
        <w:t xml:space="preserve">Windows Server 2008 R2 </w:t>
      </w:r>
      <w:r w:rsidRPr="00D87B79">
        <w:rPr>
          <w:rFonts w:cs="Tahoma"/>
          <w:color w:val="000000"/>
          <w:lang w:val="it-IT"/>
        </w:rPr>
        <w:t>Datacenter.</w:t>
      </w:r>
      <w:r w:rsidRPr="00D87B79">
        <w:rPr>
          <w:rFonts w:cs="Tahoma"/>
        </w:rPr>
        <w:t xml:space="preserve"> </w:t>
      </w:r>
      <w:r w:rsidRPr="00D87B79">
        <w:rPr>
          <w:rFonts w:cs="Tahoma"/>
          <w:lang w:val="it-IT"/>
        </w:rPr>
        <w:t>Per agevolare tale aggiornamento, per due Licenze Qualificanti in suo possesso, alla società verrà concessa una licenza per processore per Windows Server 2012 Datacenter in base alla disponibilità di Windows Server 2012.</w:t>
      </w:r>
      <w:r w:rsidRPr="00D87B79">
        <w:rPr>
          <w:rFonts w:cs="Tahoma"/>
        </w:rPr>
        <w:t xml:space="preserve"> </w:t>
      </w:r>
    </w:p>
    <w:p w:rsidR="00A92422" w:rsidRPr="00D87B79" w:rsidRDefault="00A92422" w:rsidP="00A92422">
      <w:pPr>
        <w:numPr>
          <w:ilvl w:val="0"/>
          <w:numId w:val="92"/>
        </w:numPr>
        <w:spacing w:afterLines="60" w:after="144"/>
        <w:ind w:left="1440" w:hanging="274"/>
        <w:rPr>
          <w:rFonts w:cs="Tahoma"/>
        </w:rPr>
      </w:pPr>
      <w:r w:rsidRPr="00D87B79">
        <w:rPr>
          <w:rFonts w:cs="Tahoma"/>
          <w:color w:val="000000"/>
          <w:lang w:val="it-IT"/>
        </w:rPr>
        <w:t>Qualora una società disponga di un numero dispari di Licenze Qualificanti, dovrà arrotondarle per</w:t>
      </w:r>
      <w:r>
        <w:rPr>
          <w:rFonts w:cs="Tahoma"/>
          <w:color w:val="000000"/>
          <w:lang w:val="it-IT"/>
        </w:rPr>
        <w:t> </w:t>
      </w:r>
      <w:r w:rsidRPr="00D87B79">
        <w:rPr>
          <w:rFonts w:cs="Tahoma"/>
          <w:color w:val="000000"/>
          <w:lang w:val="it-IT"/>
        </w:rPr>
        <w:t>difetto al numero pari più vicino per determinare la quantità concessa.</w:t>
      </w:r>
      <w:r w:rsidRPr="00D87B79">
        <w:rPr>
          <w:rFonts w:cs="Tahoma"/>
          <w:color w:val="000000"/>
        </w:rPr>
        <w:t xml:space="preserve"> </w:t>
      </w:r>
      <w:r w:rsidRPr="00D87B79">
        <w:rPr>
          <w:rFonts w:cs="Tahoma"/>
          <w:color w:val="000000"/>
          <w:lang w:val="it-IT"/>
        </w:rPr>
        <w:t>Ad esempio, una</w:t>
      </w:r>
      <w:r>
        <w:rPr>
          <w:rFonts w:cs="Tahoma"/>
          <w:color w:val="000000"/>
          <w:lang w:val="it-IT"/>
        </w:rPr>
        <w:t> </w:t>
      </w:r>
      <w:r w:rsidRPr="00D87B79">
        <w:rPr>
          <w:rFonts w:cs="Tahoma"/>
          <w:color w:val="000000"/>
          <w:lang w:val="it-IT"/>
        </w:rPr>
        <w:t>società</w:t>
      </w:r>
      <w:r>
        <w:rPr>
          <w:rFonts w:cs="Tahoma"/>
          <w:color w:val="000000"/>
          <w:lang w:val="it-IT"/>
        </w:rPr>
        <w:t> </w:t>
      </w:r>
      <w:r w:rsidRPr="00D87B79">
        <w:rPr>
          <w:rFonts w:cs="Tahoma"/>
          <w:color w:val="000000"/>
          <w:lang w:val="it-IT"/>
        </w:rPr>
        <w:t>titolare di tre Licenze Qualificanti riceverà in totale una licenza per Windows Server</w:t>
      </w:r>
      <w:r>
        <w:rPr>
          <w:rFonts w:cs="Tahoma"/>
          <w:color w:val="000000"/>
          <w:lang w:val="it-IT"/>
        </w:rPr>
        <w:t> </w:t>
      </w:r>
      <w:r w:rsidRPr="00D87B79">
        <w:rPr>
          <w:rFonts w:cs="Tahoma"/>
          <w:color w:val="000000"/>
          <w:lang w:val="it-IT"/>
        </w:rPr>
        <w:t>2012</w:t>
      </w:r>
      <w:r>
        <w:rPr>
          <w:rFonts w:cs="Tahoma"/>
          <w:color w:val="000000"/>
          <w:lang w:val="it-IT"/>
        </w:rPr>
        <w:t> </w:t>
      </w:r>
      <w:r w:rsidRPr="00D87B79">
        <w:rPr>
          <w:rFonts w:cs="Tahoma"/>
          <w:color w:val="000000"/>
          <w:lang w:val="it-IT"/>
        </w:rPr>
        <w:t>Datacenter.</w:t>
      </w:r>
      <w:r w:rsidRPr="00D87B79">
        <w:rPr>
          <w:rFonts w:cs="Tahoma"/>
          <w:color w:val="000000"/>
        </w:rPr>
        <w:t xml:space="preserve"> </w:t>
      </w:r>
    </w:p>
    <w:p w:rsidR="00A92422" w:rsidRPr="00A5175D" w:rsidRDefault="00A92422" w:rsidP="00A92422">
      <w:pPr>
        <w:numPr>
          <w:ilvl w:val="0"/>
          <w:numId w:val="92"/>
        </w:numPr>
        <w:tabs>
          <w:tab w:val="left" w:pos="990"/>
        </w:tabs>
        <w:spacing w:afterLines="60" w:after="144"/>
        <w:ind w:left="1440" w:hanging="274"/>
        <w:rPr>
          <w:rFonts w:cs="Tahoma"/>
        </w:rPr>
      </w:pPr>
      <w:r w:rsidRPr="00D87B79">
        <w:rPr>
          <w:rFonts w:eastAsia="Times New Roman" w:cs="Tahoma"/>
          <w:szCs w:val="18"/>
          <w:lang w:val="it-IT"/>
        </w:rPr>
        <w:t>Le licenze acquistate ai sensi della presente concessione includono la copertura Software Assurance.</w:t>
      </w:r>
      <w:r w:rsidRPr="00D87B79">
        <w:rPr>
          <w:rFonts w:cs="Tahoma"/>
        </w:rPr>
        <w:t xml:space="preserve"> </w:t>
      </w:r>
      <w:r w:rsidRPr="00D87B79">
        <w:rPr>
          <w:rFonts w:cs="Tahoma"/>
          <w:lang w:val="it-IT"/>
        </w:rPr>
        <w:t>Tale copertura cessa alla scadenza della corrispondente copertura per le Licenze</w:t>
      </w:r>
      <w:r>
        <w:rPr>
          <w:rFonts w:cs="Tahoma"/>
          <w:lang w:val="it-IT"/>
        </w:rPr>
        <w:t> </w:t>
      </w:r>
      <w:r w:rsidRPr="00D87B79">
        <w:rPr>
          <w:rFonts w:cs="Tahoma"/>
          <w:lang w:val="it-IT"/>
        </w:rPr>
        <w:t>Qualificanti.</w:t>
      </w:r>
    </w:p>
    <w:p w:rsidR="00A92422" w:rsidRPr="00D87B79" w:rsidRDefault="00A92422" w:rsidP="00A92422">
      <w:pPr>
        <w:numPr>
          <w:ilvl w:val="0"/>
          <w:numId w:val="92"/>
        </w:numPr>
        <w:tabs>
          <w:tab w:val="left" w:pos="990"/>
        </w:tabs>
        <w:spacing w:afterLines="60" w:after="144"/>
        <w:ind w:left="1440" w:hanging="274"/>
        <w:rPr>
          <w:rFonts w:cs="Tahoma"/>
        </w:rPr>
      </w:pPr>
      <w:r w:rsidRPr="00D87B79">
        <w:rPr>
          <w:rFonts w:cs="Tahoma"/>
          <w:lang w:val="it-IT"/>
        </w:rPr>
        <w:t>Nel caso in cui le società abbiano acquistato diritti perpetui di utilizzo del software ai sensi di Licenze Qualificanti, le licenze acquistate ai sensi della presente concessione saranno anch’esse perpetue; diversamente, le licenze acquistate ai sensi della presente concessione cesseranno alla</w:t>
      </w:r>
      <w:r>
        <w:rPr>
          <w:rFonts w:cs="Tahoma"/>
          <w:lang w:val="it-IT"/>
        </w:rPr>
        <w:t> </w:t>
      </w:r>
      <w:r w:rsidRPr="00D87B79">
        <w:rPr>
          <w:rFonts w:cs="Tahoma"/>
          <w:lang w:val="it-IT"/>
        </w:rPr>
        <w:t>scadenza delle Licenze Qualificanti sottostanti.</w:t>
      </w:r>
    </w:p>
    <w:p w:rsidR="00A92422" w:rsidRPr="00863DAE" w:rsidRDefault="00A92422" w:rsidP="00A92422">
      <w:pPr>
        <w:numPr>
          <w:ilvl w:val="0"/>
          <w:numId w:val="96"/>
        </w:numPr>
        <w:spacing w:afterLines="60" w:after="144"/>
        <w:ind w:left="1440" w:hanging="274"/>
        <w:rPr>
          <w:rFonts w:cs="Tahoma"/>
        </w:rPr>
      </w:pPr>
      <w:r w:rsidRPr="00D87B79">
        <w:rPr>
          <w:rFonts w:cs="Tahoma"/>
          <w:lang w:val="it-IT"/>
        </w:rPr>
        <w:t>Eseguendo l’aggiornamento a Windows Server 2012 Datacenter ai sensi della presente concessione, le Licenze Qualificanti in essere per Windows Server 2008 R2 Datacenter non</w:t>
      </w:r>
      <w:r>
        <w:rPr>
          <w:rFonts w:cs="Tahoma"/>
          <w:lang w:val="it-IT"/>
        </w:rPr>
        <w:t> </w:t>
      </w:r>
      <w:r w:rsidRPr="00D87B79">
        <w:rPr>
          <w:rFonts w:cs="Tahoma"/>
          <w:lang w:val="it-IT"/>
        </w:rPr>
        <w:t>saranno</w:t>
      </w:r>
      <w:r>
        <w:rPr>
          <w:rFonts w:cs="Tahoma"/>
          <w:lang w:val="it-IT"/>
        </w:rPr>
        <w:t> </w:t>
      </w:r>
      <w:r w:rsidRPr="00D87B79">
        <w:rPr>
          <w:rFonts w:cs="Tahoma"/>
          <w:lang w:val="it-IT"/>
        </w:rPr>
        <w:t>più valide.</w:t>
      </w:r>
    </w:p>
    <w:p w:rsidR="00A92422" w:rsidRPr="00D87B79" w:rsidRDefault="00A92422" w:rsidP="00A92422">
      <w:pPr>
        <w:numPr>
          <w:ilvl w:val="0"/>
          <w:numId w:val="96"/>
        </w:numPr>
        <w:spacing w:afterLines="60" w:after="144"/>
        <w:ind w:left="1440" w:hanging="274"/>
        <w:rPr>
          <w:rFonts w:cs="Tahoma"/>
        </w:rPr>
      </w:pPr>
      <w:r w:rsidRPr="00D87B79">
        <w:rPr>
          <w:rFonts w:cs="Tahoma"/>
          <w:color w:val="000000"/>
          <w:lang w:val="it-IT"/>
        </w:rPr>
        <w:t>Le licenze per Windows Server 2008 R2 Datacenter acquistate successivamente nello stesso periodo di validità dell’iscrizione nell’ambito di una procedura pianificata di true-up di una società Enterprise, Enterprise Subscription, Open Value Subscription o EES sono anch’esse Licenze Qualificanti per gli scopi previsti dalla suddetta concessione.</w:t>
      </w:r>
      <w:r w:rsidRPr="00D87B79">
        <w:rPr>
          <w:rFonts w:cs="Tahoma"/>
        </w:rPr>
        <w:t xml:space="preserve"> </w:t>
      </w:r>
    </w:p>
    <w:p w:rsidR="00A92422" w:rsidRPr="00D87B79" w:rsidRDefault="00A92422" w:rsidP="00A92422">
      <w:pPr>
        <w:numPr>
          <w:ilvl w:val="0"/>
          <w:numId w:val="96"/>
        </w:numPr>
        <w:spacing w:afterLines="60" w:after="144"/>
        <w:ind w:left="1440" w:hanging="274"/>
        <w:rPr>
          <w:rFonts w:cs="Tahoma"/>
        </w:rPr>
      </w:pPr>
      <w:r w:rsidRPr="00D87B79">
        <w:rPr>
          <w:rFonts w:cs="Tahoma"/>
          <w:lang w:val="it-IT"/>
        </w:rPr>
        <w:t>Le licenze per processore singolo per Windows Server Datacenter acquistate dopo il 1</w:t>
      </w:r>
      <w:r>
        <w:rPr>
          <w:rFonts w:cs="Tahoma"/>
          <w:lang w:val="it-IT"/>
        </w:rPr>
        <w:t> </w:t>
      </w:r>
      <w:r w:rsidRPr="00D87B79">
        <w:rPr>
          <w:rFonts w:cs="Tahoma"/>
          <w:lang w:val="it-IT"/>
        </w:rPr>
        <w:t>settembre</w:t>
      </w:r>
      <w:r>
        <w:rPr>
          <w:rFonts w:cs="Tahoma"/>
          <w:lang w:val="it-IT"/>
        </w:rPr>
        <w:t> </w:t>
      </w:r>
      <w:r w:rsidRPr="00D87B79">
        <w:rPr>
          <w:rFonts w:cs="Tahoma"/>
          <w:lang w:val="it-IT"/>
        </w:rPr>
        <w:t>2012 con copertura Software Assurance sono anch'esse Licenze Qualificanti per</w:t>
      </w:r>
      <w:r>
        <w:rPr>
          <w:rFonts w:cs="Tahoma"/>
          <w:lang w:val="it-IT"/>
        </w:rPr>
        <w:t> </w:t>
      </w:r>
      <w:r w:rsidRPr="00D87B79">
        <w:rPr>
          <w:rFonts w:cs="Tahoma"/>
          <w:lang w:val="it-IT"/>
        </w:rPr>
        <w:t>gli</w:t>
      </w:r>
      <w:r>
        <w:rPr>
          <w:rFonts w:cs="Tahoma"/>
          <w:lang w:val="it-IT"/>
        </w:rPr>
        <w:t> </w:t>
      </w:r>
      <w:r w:rsidRPr="00D87B79">
        <w:rPr>
          <w:rFonts w:cs="Tahoma"/>
          <w:lang w:val="it-IT"/>
        </w:rPr>
        <w:t>scopi previsti dalla suddetta concessione.</w:t>
      </w:r>
      <w:r w:rsidRPr="00D87B79">
        <w:rPr>
          <w:rFonts w:cs="Tahoma"/>
        </w:rPr>
        <w:t> </w:t>
      </w:r>
    </w:p>
    <w:p w:rsidR="00A92422" w:rsidRPr="00D87B79" w:rsidRDefault="00A92422" w:rsidP="00A92422">
      <w:pPr>
        <w:numPr>
          <w:ilvl w:val="0"/>
          <w:numId w:val="96"/>
        </w:numPr>
        <w:spacing w:afterLines="60" w:after="144"/>
        <w:ind w:left="1440" w:hanging="274"/>
        <w:rPr>
          <w:rFonts w:cs="Tahoma"/>
        </w:rPr>
      </w:pPr>
      <w:r w:rsidRPr="00D87B79">
        <w:rPr>
          <w:rFonts w:cs="Tahoma"/>
          <w:color w:val="000000"/>
          <w:lang w:val="it-IT"/>
        </w:rPr>
        <w:t>Nonostante la concessione di licenze per Windows Server 2012 Datacenter e di aggiornamenti per</w:t>
      </w:r>
      <w:r>
        <w:rPr>
          <w:rFonts w:cs="Tahoma"/>
          <w:color w:val="000000"/>
          <w:lang w:val="it-IT"/>
        </w:rPr>
        <w:t> </w:t>
      </w:r>
      <w:r w:rsidRPr="00D87B79">
        <w:rPr>
          <w:rFonts w:cs="Tahoma"/>
          <w:color w:val="000000"/>
          <w:lang w:val="it-IT"/>
        </w:rPr>
        <w:t>tale versione, le obbligazioni di pagamento degli importi scaduti e dovuti per le Licenze Qualificanti e la copertura rimangono pienamente vincolanti ed efficaci.</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color w:val="000000"/>
          <w:lang w:val="it-IT"/>
        </w:rPr>
        <w:t>Windows Server 2012 Datacenter: SKU della Licenza per 1 Processore; Windows Server 2012 sta passando a un modello di licenza Plus CAL per Processore, con ciascuna licenza per 2 processori. L'offerta n. P71-</w:t>
      </w:r>
      <w:r w:rsidRPr="00D87B79">
        <w:rPr>
          <w:rFonts w:cs="Tahoma"/>
          <w:color w:val="000000"/>
          <w:lang w:val="it-IT"/>
        </w:rPr>
        <w:lastRenderedPageBreak/>
        <w:t>01031 era stata inclusa erroneamente nel listino prezzi di settembre e deve essere utilizzata esclusivamente per i contratti SPLA. Tale offerta riguarda solo un processore singolo; le società che l'acquistano non saranno coperte dai diritti sull'utilizzo correnti. La presente SKU deve essere utilizzata solo da società titolari di contratti SPLA.</w:t>
      </w:r>
      <w:r w:rsidRPr="00D87B79">
        <w:rPr>
          <w:rFonts w:cs="Tahoma"/>
        </w:rPr>
        <w:t xml:space="preserve"> </w:t>
      </w:r>
      <w:r w:rsidRPr="00D87B79">
        <w:rPr>
          <w:rFonts w:cs="Tahoma"/>
          <w:lang w:val="it-IT"/>
        </w:rPr>
        <w:t>L’offerta corretta per tutti gli altri programmi che non prevedono contratti SPLA è la n. P71-07280.</w:t>
      </w:r>
      <w:r w:rsidRPr="00D87B79">
        <w:rPr>
          <w:rFonts w:cs="Tahoma"/>
        </w:rPr>
        <w:t xml:space="preserve"> </w:t>
      </w:r>
      <w:r w:rsidRPr="00D87B79">
        <w:rPr>
          <w:rFonts w:cs="Tahoma"/>
          <w:lang w:val="it-IT"/>
        </w:rPr>
        <w:t>Per le società che hanno già acquistato l’offerta n. P71-01031 è disponibile la concessione per</w:t>
      </w:r>
      <w:r>
        <w:rPr>
          <w:rFonts w:cs="Tahoma"/>
          <w:lang w:val="it-IT"/>
        </w:rPr>
        <w:t> </w:t>
      </w:r>
      <w:r w:rsidRPr="00D87B79">
        <w:rPr>
          <w:rFonts w:cs="Tahoma"/>
          <w:lang w:val="it-IT"/>
        </w:rPr>
        <w:t>la</w:t>
      </w:r>
      <w:r>
        <w:rPr>
          <w:rFonts w:cs="Tahoma"/>
          <w:lang w:val="it-IT"/>
        </w:rPr>
        <w:t> </w:t>
      </w:r>
      <w:r w:rsidRPr="00D87B79">
        <w:rPr>
          <w:rFonts w:cs="Tahoma"/>
          <w:lang w:val="it-IT"/>
        </w:rPr>
        <w:t>migrazione di cui sopra.</w:t>
      </w:r>
    </w:p>
    <w:p w:rsidR="00A92422" w:rsidRPr="00D87B79" w:rsidRDefault="00A92422" w:rsidP="00A92422">
      <w:pPr>
        <w:ind w:left="720"/>
        <w:rPr>
          <w:rFonts w:cs="Tahoma"/>
        </w:rPr>
      </w:pPr>
    </w:p>
    <w:p w:rsidR="00A92422" w:rsidRPr="00D87B79" w:rsidRDefault="00A92422" w:rsidP="00A92422">
      <w:pPr>
        <w:pStyle w:val="PURBody-Indented"/>
        <w:spacing w:after="240"/>
        <w:ind w:left="720"/>
        <w:rPr>
          <w:rFonts w:ascii="Tahoma" w:hAnsi="Tahoma" w:cs="Tahoma"/>
        </w:rPr>
      </w:pPr>
      <w:r w:rsidRPr="00D87B79">
        <w:rPr>
          <w:rFonts w:ascii="Tahoma" w:hAnsi="Tahoma" w:cs="Tahoma"/>
          <w:color w:val="000000"/>
          <w:sz w:val="18"/>
          <w:szCs w:val="18"/>
          <w:lang w:val="it-IT"/>
        </w:rPr>
        <w:t>Windows Server 2012 Datacenter:</w:t>
      </w:r>
      <w:r w:rsidRPr="00D87B79">
        <w:rPr>
          <w:rFonts w:ascii="Tahoma" w:hAnsi="Tahoma" w:cs="Tahoma"/>
          <w:color w:val="000000"/>
          <w:sz w:val="18"/>
          <w:szCs w:val="18"/>
        </w:rPr>
        <w:t xml:space="preserve"> </w:t>
      </w:r>
      <w:r w:rsidRPr="00D87B79">
        <w:rPr>
          <w:rFonts w:ascii="Tahoma" w:hAnsi="Tahoma" w:cs="Tahoma"/>
          <w:sz w:val="18"/>
          <w:lang w:val="it-IT"/>
        </w:rPr>
        <w:t>La società potrà eseguire un’istanza di Windows Server Datacenter, Enterprise, Standard o Essentials (versione identica o qualsiasi versione precedente) al posto di Windows Server 2012 Datacenter in qualunque OSE sul server con licenza.</w:t>
      </w:r>
    </w:p>
    <w:p w:rsidR="00A92422" w:rsidRPr="00842071" w:rsidRDefault="00A92422" w:rsidP="00A92422">
      <w:pPr>
        <w:pStyle w:val="ListParagraph"/>
        <w:ind w:left="0"/>
        <w:contextualSpacing w:val="0"/>
        <w:rPr>
          <w:rFonts w:ascii="Tahoma" w:hAnsi="Tahoma" w:cs="Tahoma"/>
          <w:sz w:val="18"/>
          <w:szCs w:val="18"/>
        </w:rPr>
      </w:pPr>
    </w:p>
    <w:p w:rsidR="00A92422" w:rsidRPr="00D87B79" w:rsidRDefault="00A92422" w:rsidP="00A92422">
      <w:pPr>
        <w:pStyle w:val="Heading3"/>
        <w:rPr>
          <w:rFonts w:ascii="Tahoma" w:hAnsi="Tahoma" w:cs="Tahoma"/>
        </w:rPr>
      </w:pPr>
      <w:bookmarkStart w:id="1616" w:name="_118_Windows_Server"/>
      <w:bookmarkStart w:id="1617" w:name="_Toc336338374"/>
      <w:bookmarkStart w:id="1618" w:name="_108_Windows_Server"/>
      <w:bookmarkStart w:id="1619" w:name="_Toc342900418"/>
      <w:bookmarkStart w:id="1620" w:name="Srv_102WindowsSvr08R2Std"/>
      <w:bookmarkStart w:id="1621" w:name="Srv_114WindowsSvr08R2Std"/>
      <w:bookmarkStart w:id="1622" w:name="Srv_118WindowsSvr08R2Std"/>
      <w:bookmarkEnd w:id="1616"/>
      <w:bookmarkEnd w:id="1617"/>
      <w:bookmarkEnd w:id="1618"/>
      <w:r w:rsidRPr="00D87B79">
        <w:rPr>
          <w:rStyle w:val="Heading3Char"/>
          <w:rFonts w:ascii="Tahoma" w:hAnsi="Tahoma" w:cs="Tahoma"/>
          <w:b/>
          <w:caps/>
          <w:color w:val="F66400"/>
          <w:sz w:val="22"/>
          <w:vertAlign w:val="superscript"/>
          <w:lang w:val="it-IT"/>
        </w:rPr>
        <w:t>108</w:t>
      </w:r>
      <w:r w:rsidRPr="00437E7F">
        <w:rPr>
          <w:rStyle w:val="Heading3Char"/>
          <w:rFonts w:ascii="Tahoma" w:hAnsi="Tahoma" w:cs="Tahoma"/>
          <w:b/>
          <w:caps/>
          <w:color w:val="F66400"/>
          <w:sz w:val="22"/>
          <w:lang w:val="it-IT"/>
        </w:rPr>
        <w:t xml:space="preserve"> </w:t>
      </w:r>
      <w:r w:rsidRPr="00D87B79">
        <w:rPr>
          <w:rStyle w:val="Heading3Char"/>
          <w:rFonts w:ascii="Tahoma" w:hAnsi="Tahoma" w:cs="Tahoma"/>
          <w:b/>
          <w:color w:val="F66400"/>
          <w:sz w:val="22"/>
          <w:lang w:val="it-IT"/>
        </w:rPr>
        <w:t>Windows Server 2008 R2 Standard</w:t>
      </w:r>
      <w:bookmarkEnd w:id="1619"/>
      <w:r w:rsidRPr="00D87B79">
        <w:rPr>
          <w:rFonts w:ascii="Tahoma" w:hAnsi="Tahoma" w:cs="Tahoma"/>
        </w:rPr>
        <w:t xml:space="preserve"> </w:t>
      </w:r>
    </w:p>
    <w:bookmarkEnd w:id="1620"/>
    <w:bookmarkEnd w:id="1621"/>
    <w:bookmarkEnd w:id="1622"/>
    <w:p w:rsidR="00A92422" w:rsidRPr="00D87B79" w:rsidRDefault="00A92422" w:rsidP="00A92422">
      <w:pPr>
        <w:tabs>
          <w:tab w:val="left" w:pos="360"/>
        </w:tabs>
        <w:ind w:left="360"/>
        <w:rPr>
          <w:rFonts w:cs="Tahoma"/>
        </w:rPr>
      </w:pPr>
    </w:p>
    <w:p w:rsidR="00A92422" w:rsidRPr="00D87B79" w:rsidRDefault="00A92422" w:rsidP="00A92422">
      <w:pPr>
        <w:spacing w:after="60"/>
        <w:ind w:left="720"/>
        <w:rPr>
          <w:rFonts w:cs="Tahoma"/>
        </w:rPr>
      </w:pPr>
      <w:bookmarkStart w:id="1623" w:name="Srv_99WindowsSvr08R2ItaniumSys"/>
      <w:bookmarkStart w:id="1624" w:name="Srv_100WindowsSvr08R2ItaniumSys"/>
      <w:bookmarkEnd w:id="1623"/>
      <w:bookmarkEnd w:id="1624"/>
      <w:r w:rsidRPr="00D87B79">
        <w:rPr>
          <w:rFonts w:cs="Tahoma"/>
          <w:b/>
          <w:color w:val="000000"/>
          <w:lang w:val="it-IT"/>
        </w:rPr>
        <w:t>Concessioni di licenza associate alla variazione del modello di licenza per Windows Server</w:t>
      </w:r>
      <w:r>
        <w:rPr>
          <w:rFonts w:cs="Tahoma"/>
          <w:b/>
          <w:color w:val="000000"/>
          <w:lang w:val="it-IT"/>
        </w:rPr>
        <w:t> </w:t>
      </w:r>
      <w:r w:rsidRPr="00D87B79">
        <w:rPr>
          <w:rFonts w:cs="Tahoma"/>
          <w:b/>
          <w:color w:val="000000"/>
          <w:lang w:val="it-IT"/>
        </w:rPr>
        <w:t>Standard</w:t>
      </w:r>
    </w:p>
    <w:p w:rsidR="00A92422" w:rsidRPr="00D87B79" w:rsidRDefault="00A92422" w:rsidP="00A92422">
      <w:pPr>
        <w:numPr>
          <w:ilvl w:val="0"/>
          <w:numId w:val="92"/>
        </w:numPr>
        <w:tabs>
          <w:tab w:val="left" w:pos="1260"/>
          <w:tab w:val="left" w:pos="1440"/>
        </w:tabs>
        <w:ind w:left="1440"/>
        <w:rPr>
          <w:rFonts w:cs="Tahoma"/>
        </w:rPr>
      </w:pPr>
      <w:r w:rsidRPr="00D87B79">
        <w:rPr>
          <w:rFonts w:cs="Tahoma"/>
          <w:color w:val="000000"/>
          <w:lang w:val="it-IT"/>
        </w:rPr>
        <w:t>Windows Server 2008 R2 Standard sarà l’ultima versione di Windows Server concessa in licenza ai</w:t>
      </w:r>
      <w:r>
        <w:rPr>
          <w:rFonts w:cs="Tahoma"/>
          <w:color w:val="000000"/>
          <w:lang w:val="it-IT"/>
        </w:rPr>
        <w:t> </w:t>
      </w:r>
      <w:r w:rsidRPr="00D87B79">
        <w:rPr>
          <w:rFonts w:cs="Tahoma"/>
          <w:color w:val="000000"/>
          <w:lang w:val="it-IT"/>
        </w:rPr>
        <w:t>sensi del modello di licenza Server/CAL.</w:t>
      </w:r>
      <w:r w:rsidRPr="00D87B79">
        <w:rPr>
          <w:rFonts w:cs="Tahoma"/>
          <w:color w:val="000000"/>
        </w:rPr>
        <w:t xml:space="preserve"> </w:t>
      </w:r>
      <w:r w:rsidRPr="00D87B79">
        <w:rPr>
          <w:rFonts w:cs="Tahoma"/>
          <w:color w:val="000000"/>
          <w:lang w:val="it-IT"/>
        </w:rPr>
        <w:t>Windows Server 2012 Standard sarà concesso in licenza ai sensi di un nuovo modello di licenza in base al quale ciascuna licenza può coprire fino a due processori fisici.</w:t>
      </w:r>
      <w:r w:rsidRPr="00D87B79">
        <w:rPr>
          <w:rFonts w:cs="Tahoma"/>
        </w:rPr>
        <w:t xml:space="preserve"> </w:t>
      </w:r>
      <w:r w:rsidRPr="00D87B79">
        <w:rPr>
          <w:rFonts w:cs="Tahoma"/>
          <w:color w:val="000000"/>
          <w:lang w:val="it-IT"/>
        </w:rPr>
        <w:t xml:space="preserve">Le società titolari di contratti multilicenza con copertura Software Assurance attiva per le licenze per Windows Server 2008 R2 Standard in data 1 settembre 2012 o in occasione della prima disponibilità di Windows Server 2012 per il download dal sito Web Volume Licensing Service Center, a seconda di quale evento si verificherà per primo, (“Licenze Qualificanti”) saranno autorizzate a effettuare l’aggiornamento al software </w:t>
      </w:r>
      <w:r w:rsidRPr="00D87B79">
        <w:rPr>
          <w:rFonts w:cs="Tahoma"/>
          <w:lang w:val="it-IT"/>
        </w:rPr>
        <w:t xml:space="preserve">Windows Server 2012 Standard e a </w:t>
      </w:r>
      <w:r w:rsidRPr="00D87B79">
        <w:rPr>
          <w:rFonts w:cs="Tahoma"/>
          <w:color w:val="000000"/>
          <w:lang w:val="it-IT"/>
        </w:rPr>
        <w:t xml:space="preserve">utilizzarlo al posto di </w:t>
      </w:r>
      <w:r w:rsidRPr="00D87B79">
        <w:rPr>
          <w:rFonts w:cs="Tahoma"/>
          <w:lang w:val="it-IT"/>
        </w:rPr>
        <w:t xml:space="preserve">Windows Server 2008 R2 </w:t>
      </w:r>
      <w:r w:rsidRPr="00D87B79">
        <w:rPr>
          <w:rFonts w:cs="Tahoma"/>
          <w:color w:val="000000"/>
          <w:lang w:val="it-IT"/>
        </w:rPr>
        <w:t>Standard.</w:t>
      </w:r>
      <w:r w:rsidRPr="00D87B79">
        <w:rPr>
          <w:rFonts w:cs="Tahoma"/>
        </w:rPr>
        <w:t xml:space="preserve"> </w:t>
      </w:r>
      <w:r w:rsidRPr="00D87B79">
        <w:rPr>
          <w:rFonts w:cs="Tahoma"/>
          <w:lang w:val="it-IT"/>
        </w:rPr>
        <w:t>Per agevolare tale aggiornamento, per ogni Licenza Qualificante in suo possesso, alla società verrà concesso quanto segue in base alla disponibilità di</w:t>
      </w:r>
      <w:r>
        <w:rPr>
          <w:rFonts w:cs="Tahoma"/>
          <w:lang w:val="it-IT"/>
        </w:rPr>
        <w:t> </w:t>
      </w:r>
      <w:r w:rsidRPr="00D87B79">
        <w:rPr>
          <w:rFonts w:cs="Tahoma"/>
          <w:lang w:val="it-IT"/>
        </w:rPr>
        <w:t>Windows Server 2012:</w:t>
      </w:r>
    </w:p>
    <w:p w:rsidR="00A92422" w:rsidRPr="00D87B79" w:rsidRDefault="00A92422" w:rsidP="00A92422">
      <w:pPr>
        <w:numPr>
          <w:ilvl w:val="0"/>
          <w:numId w:val="92"/>
        </w:numPr>
        <w:tabs>
          <w:tab w:val="left" w:pos="1260"/>
          <w:tab w:val="left" w:pos="1440"/>
        </w:tabs>
        <w:ind w:left="1440"/>
        <w:rPr>
          <w:rFonts w:cs="Tahoma"/>
        </w:rPr>
      </w:pPr>
      <w:r w:rsidRPr="00D87B79">
        <w:rPr>
          <w:rFonts w:cs="Tahoma"/>
          <w:lang w:val="it-IT"/>
        </w:rPr>
        <w:t>una licenza per Windows Server 2012 Standard o</w:t>
      </w:r>
    </w:p>
    <w:p w:rsidR="00A92422" w:rsidRPr="00D87B79" w:rsidRDefault="00A92422" w:rsidP="00A92422">
      <w:pPr>
        <w:numPr>
          <w:ilvl w:val="0"/>
          <w:numId w:val="92"/>
        </w:numPr>
        <w:tabs>
          <w:tab w:val="left" w:pos="1260"/>
          <w:tab w:val="left" w:pos="1440"/>
        </w:tabs>
        <w:ind w:left="1440"/>
        <w:rPr>
          <w:rFonts w:cs="Tahoma"/>
        </w:rPr>
      </w:pPr>
      <w:r w:rsidRPr="00D87B79">
        <w:rPr>
          <w:rFonts w:eastAsia="Times New Roman" w:cs="Tahoma"/>
          <w:szCs w:val="18"/>
          <w:lang w:val="it-IT"/>
        </w:rPr>
        <w:t>due licenze per Windows Server 2012 Standard, qualora il numero effettivo di processori fisici sul</w:t>
      </w:r>
      <w:r>
        <w:rPr>
          <w:rFonts w:eastAsia="Times New Roman" w:cs="Tahoma"/>
          <w:szCs w:val="18"/>
          <w:lang w:val="it-IT"/>
        </w:rPr>
        <w:t> </w:t>
      </w:r>
      <w:r w:rsidRPr="00D87B79">
        <w:rPr>
          <w:rFonts w:eastAsia="Times New Roman" w:cs="Tahoma"/>
          <w:szCs w:val="18"/>
          <w:lang w:val="it-IT"/>
        </w:rPr>
        <w:t>server al quale viene ceduta la Licenza Qualificante sia maggiore di due.</w:t>
      </w:r>
      <w:r w:rsidRPr="00D87B79">
        <w:rPr>
          <w:rFonts w:cs="Tahoma"/>
        </w:rPr>
        <w:t xml:space="preserve"> </w:t>
      </w:r>
      <w:r w:rsidRPr="00D87B79">
        <w:rPr>
          <w:rFonts w:cs="Tahoma"/>
          <w:lang w:val="it-IT"/>
        </w:rPr>
        <w:t>(In questi casi le società dovranno creare un record della configurazione dell’hardware fisico che supporta tale software prima della scadenza della copertura Software Assurance ai sensi del presente contratto, utilizzando lo strumento MAP di Microsoft o qualsiasi software equivalente.</w:t>
      </w:r>
      <w:r w:rsidRPr="00D87B79">
        <w:rPr>
          <w:rFonts w:cs="Tahoma"/>
        </w:rPr>
        <w:t xml:space="preserve"> </w:t>
      </w:r>
      <w:r w:rsidRPr="00D87B79">
        <w:rPr>
          <w:rFonts w:cs="Tahoma"/>
          <w:lang w:val="it-IT"/>
        </w:rPr>
        <w:t>La presente concessione</w:t>
      </w:r>
      <w:r>
        <w:rPr>
          <w:rFonts w:cs="Tahoma"/>
          <w:lang w:val="it-IT"/>
        </w:rPr>
        <w:t> </w:t>
      </w:r>
      <w:r w:rsidRPr="00D87B79">
        <w:rPr>
          <w:rFonts w:cs="Tahoma"/>
          <w:lang w:val="it-IT"/>
        </w:rPr>
        <w:t>è disponibile solo per una Licenza Qualificante per server).</w:t>
      </w:r>
    </w:p>
    <w:p w:rsidR="00A92422" w:rsidRPr="00D87B79" w:rsidRDefault="00A92422" w:rsidP="00A92422">
      <w:pPr>
        <w:numPr>
          <w:ilvl w:val="0"/>
          <w:numId w:val="92"/>
        </w:numPr>
        <w:tabs>
          <w:tab w:val="left" w:pos="1260"/>
          <w:tab w:val="left" w:pos="1440"/>
        </w:tabs>
        <w:ind w:left="1440"/>
        <w:rPr>
          <w:rFonts w:cs="Tahoma"/>
        </w:rPr>
      </w:pPr>
      <w:r w:rsidRPr="00D87B79">
        <w:rPr>
          <w:rFonts w:eastAsia="Times New Roman" w:cs="Tahoma"/>
          <w:szCs w:val="18"/>
          <w:lang w:val="it-IT"/>
        </w:rPr>
        <w:t>Le licenze acquistate ai sensi della presente concessione includono la copertura Software Assurance.</w:t>
      </w:r>
      <w:r w:rsidRPr="00D87B79">
        <w:rPr>
          <w:rFonts w:cs="Tahoma"/>
        </w:rPr>
        <w:t xml:space="preserve"> </w:t>
      </w:r>
      <w:r w:rsidRPr="00D87B79">
        <w:rPr>
          <w:rFonts w:cs="Tahoma"/>
          <w:lang w:val="it-IT"/>
        </w:rPr>
        <w:t>Tale copertura cessa alla scadenza della corrispondente copertura per le Licenze Qualificanti.</w:t>
      </w:r>
    </w:p>
    <w:p w:rsidR="00A92422" w:rsidRPr="00D87B79" w:rsidRDefault="00A92422" w:rsidP="00A92422">
      <w:pPr>
        <w:numPr>
          <w:ilvl w:val="0"/>
          <w:numId w:val="92"/>
        </w:numPr>
        <w:tabs>
          <w:tab w:val="left" w:pos="1260"/>
          <w:tab w:val="left" w:pos="1440"/>
        </w:tabs>
        <w:ind w:left="1440"/>
        <w:rPr>
          <w:rFonts w:cs="Tahoma"/>
        </w:rPr>
      </w:pPr>
      <w:r w:rsidRPr="00D87B79">
        <w:rPr>
          <w:rFonts w:cs="Tahoma"/>
          <w:lang w:val="it-IT"/>
        </w:rPr>
        <w:t>Nel caso in cui le società abbiano acquistato diritti perpetui di utilizzo del software ai sensi di</w:t>
      </w:r>
      <w:r>
        <w:rPr>
          <w:rFonts w:cs="Tahoma"/>
          <w:lang w:val="it-IT"/>
        </w:rPr>
        <w:t> </w:t>
      </w:r>
      <w:r w:rsidRPr="00D87B79">
        <w:rPr>
          <w:rFonts w:cs="Tahoma"/>
          <w:lang w:val="it-IT"/>
        </w:rPr>
        <w:t>Licenze Qualificanti, le licenze acquistate ai sensi della presente concessione saranno anch’esse perpetue; diversamente, le licenze acquistate ai sensi della presente concessione cesseranno alla scadenza delle Licenze Qualificanti sottostanti.</w:t>
      </w:r>
    </w:p>
    <w:p w:rsidR="00A92422" w:rsidRPr="00D87B79" w:rsidRDefault="00A92422" w:rsidP="00A92422">
      <w:pPr>
        <w:numPr>
          <w:ilvl w:val="0"/>
          <w:numId w:val="92"/>
        </w:numPr>
        <w:tabs>
          <w:tab w:val="left" w:pos="1260"/>
          <w:tab w:val="left" w:pos="1440"/>
        </w:tabs>
        <w:ind w:left="1440"/>
        <w:rPr>
          <w:rFonts w:cs="Tahoma"/>
        </w:rPr>
      </w:pPr>
      <w:r w:rsidRPr="00D87B79">
        <w:rPr>
          <w:rFonts w:cs="Tahoma"/>
          <w:lang w:val="it-IT"/>
        </w:rPr>
        <w:t>Eseguendo l’aggiornamento a Windows Server 2012 Standard ai sensi della presente concessione, le licenze in essere per Windows Server 2008 R2 Standard non saranno più valide.</w:t>
      </w:r>
    </w:p>
    <w:p w:rsidR="00A92422" w:rsidRPr="00D87B79" w:rsidRDefault="00A92422" w:rsidP="00A92422">
      <w:pPr>
        <w:numPr>
          <w:ilvl w:val="0"/>
          <w:numId w:val="96"/>
        </w:numPr>
        <w:tabs>
          <w:tab w:val="left" w:pos="1440"/>
        </w:tabs>
        <w:ind w:left="1440"/>
        <w:rPr>
          <w:rFonts w:cs="Tahoma"/>
        </w:rPr>
      </w:pPr>
      <w:r w:rsidRPr="00D87B79">
        <w:rPr>
          <w:rFonts w:cs="Tahoma"/>
          <w:color w:val="000000"/>
          <w:lang w:val="it-IT"/>
        </w:rPr>
        <w:t>Le licenze per Windows Server 2008 R2 Standard acquistate successivamente nello stesso periodo di validità dell’iscrizione nell’ambito di una procedura pianificata di true-up della società Enterprise, Enterprise Subscription, Open Value Subscription o EES sono anch’esse Licenze Qualificanti per gli scopi previsti dalla suddetta concessione di licenze.</w:t>
      </w:r>
    </w:p>
    <w:p w:rsidR="00A92422" w:rsidRPr="00D87B79" w:rsidRDefault="00A92422" w:rsidP="00A92422">
      <w:pPr>
        <w:numPr>
          <w:ilvl w:val="0"/>
          <w:numId w:val="96"/>
        </w:numPr>
        <w:tabs>
          <w:tab w:val="left" w:pos="1440"/>
        </w:tabs>
        <w:ind w:left="1440"/>
        <w:rPr>
          <w:rFonts w:cs="Tahoma"/>
        </w:rPr>
      </w:pPr>
      <w:r w:rsidRPr="00D87B79">
        <w:rPr>
          <w:rFonts w:cs="Tahoma"/>
          <w:color w:val="000000"/>
          <w:lang w:val="it-IT"/>
        </w:rPr>
        <w:t>Nonostante la concessione di licenze per Windows Server 2012 Standard e di aggiornamenti per</w:t>
      </w:r>
      <w:r>
        <w:rPr>
          <w:rFonts w:cs="Tahoma"/>
          <w:color w:val="000000"/>
          <w:lang w:val="it-IT"/>
        </w:rPr>
        <w:t> </w:t>
      </w:r>
      <w:r w:rsidRPr="00D87B79">
        <w:rPr>
          <w:rFonts w:cs="Tahoma"/>
          <w:color w:val="000000"/>
          <w:lang w:val="it-IT"/>
        </w:rPr>
        <w:t>tale versione, le obbligazioni di pagamento degli importi scaduti e dovuti per le Licenze Qualificanti e la copertura rimangono pienamente vincolanti ed efficaci.</w:t>
      </w:r>
    </w:p>
    <w:p w:rsidR="00A92422" w:rsidRPr="00D87B79" w:rsidRDefault="00A92422" w:rsidP="00A92422">
      <w:pPr>
        <w:tabs>
          <w:tab w:val="left" w:pos="1440"/>
        </w:tabs>
        <w:ind w:left="1440"/>
        <w:rPr>
          <w:rFonts w:cs="Tahoma"/>
        </w:rPr>
      </w:pPr>
    </w:p>
    <w:p w:rsidR="00A92422" w:rsidRPr="00D87B79" w:rsidRDefault="00A92422" w:rsidP="00A92422">
      <w:pPr>
        <w:pStyle w:val="PURBody-Indented"/>
        <w:spacing w:after="60"/>
        <w:ind w:left="720"/>
        <w:rPr>
          <w:rFonts w:ascii="Tahoma" w:hAnsi="Tahoma" w:cs="Tahoma"/>
        </w:rPr>
      </w:pPr>
      <w:r w:rsidRPr="00D87B79">
        <w:rPr>
          <w:rFonts w:ascii="Tahoma" w:hAnsi="Tahoma" w:cs="Tahoma"/>
          <w:b/>
          <w:color w:val="000000"/>
          <w:sz w:val="18"/>
          <w:lang w:val="it-IT"/>
        </w:rPr>
        <w:t>Windows Server 2012 Standard</w:t>
      </w:r>
    </w:p>
    <w:p w:rsidR="00A92422" w:rsidRPr="00D87B79" w:rsidRDefault="00A92422" w:rsidP="00A92422">
      <w:pPr>
        <w:pStyle w:val="PURBody-Indented"/>
        <w:spacing w:after="0"/>
        <w:ind w:left="720"/>
        <w:rPr>
          <w:rFonts w:ascii="Tahoma" w:hAnsi="Tahoma" w:cs="Tahoma"/>
        </w:rPr>
      </w:pPr>
      <w:r w:rsidRPr="00D87B79">
        <w:rPr>
          <w:rFonts w:ascii="Tahoma" w:hAnsi="Tahoma" w:cs="Tahoma"/>
          <w:sz w:val="18"/>
          <w:lang w:val="it-IT"/>
        </w:rPr>
        <w:t>Il licenziatario potrà eseguire un’istanza di Windows Server Enterprise, Standard o Essentials (versione identica o qualsiasi versione precedente) al posto di Windows Server 2012 Standard in qualunque OSE sul</w:t>
      </w:r>
      <w:r>
        <w:rPr>
          <w:rFonts w:ascii="Tahoma" w:hAnsi="Tahoma" w:cs="Tahoma"/>
          <w:sz w:val="18"/>
          <w:lang w:val="it-IT"/>
        </w:rPr>
        <w:t> </w:t>
      </w:r>
      <w:r w:rsidRPr="00D87B79">
        <w:rPr>
          <w:rFonts w:ascii="Tahoma" w:hAnsi="Tahoma" w:cs="Tahoma"/>
          <w:sz w:val="18"/>
          <w:lang w:val="it-IT"/>
        </w:rPr>
        <w:t>server con licenza.</w:t>
      </w:r>
    </w:p>
    <w:p w:rsidR="00A92422" w:rsidRPr="00137ECB" w:rsidRDefault="00A92422" w:rsidP="00A92422">
      <w:pPr>
        <w:pStyle w:val="ListParagraph"/>
        <w:ind w:left="0"/>
        <w:contextualSpacing w:val="0"/>
        <w:rPr>
          <w:rFonts w:ascii="Tahoma" w:hAnsi="Tahoma" w:cs="Tahoma"/>
          <w:sz w:val="18"/>
          <w:szCs w:val="18"/>
        </w:rPr>
      </w:pPr>
    </w:p>
    <w:p w:rsidR="00A92422" w:rsidRDefault="00A92422" w:rsidP="00A92422">
      <w:pPr>
        <w:rPr>
          <w:rFonts w:cs="Tahoma"/>
          <w:szCs w:val="18"/>
          <w:lang w:val="x-none" w:eastAsia="x-none"/>
        </w:rPr>
      </w:pPr>
      <w:r>
        <w:rPr>
          <w:rFonts w:cs="Tahoma"/>
          <w:szCs w:val="18"/>
        </w:rPr>
        <w:br w:type="page"/>
      </w:r>
    </w:p>
    <w:p w:rsidR="00A92422" w:rsidRPr="00137ECB" w:rsidRDefault="00A92422" w:rsidP="00A92422">
      <w:pPr>
        <w:pStyle w:val="ListParagraph"/>
        <w:ind w:left="0"/>
        <w:contextualSpacing w:val="0"/>
        <w:rPr>
          <w:rFonts w:ascii="Tahoma" w:hAnsi="Tahoma" w:cs="Tahoma"/>
          <w:sz w:val="18"/>
          <w:szCs w:val="18"/>
        </w:rPr>
      </w:pPr>
    </w:p>
    <w:p w:rsidR="00A92422" w:rsidRPr="00D87B79" w:rsidRDefault="00A92422" w:rsidP="00A92422">
      <w:pPr>
        <w:pStyle w:val="Heading3"/>
        <w:rPr>
          <w:rFonts w:ascii="Tahoma" w:hAnsi="Tahoma" w:cs="Tahoma"/>
        </w:rPr>
      </w:pPr>
      <w:bookmarkStart w:id="1625" w:name="_119_Windows_Web"/>
      <w:bookmarkStart w:id="1626" w:name="_Toc336338375"/>
      <w:bookmarkStart w:id="1627" w:name="Srv_111WinSmallBizSVR2011Addon"/>
      <w:bookmarkStart w:id="1628" w:name="Srv_116WinSmallBizSVR2011Addon"/>
      <w:bookmarkStart w:id="1629" w:name="Srv_120WinSmallBizSVR2011Addon"/>
      <w:bookmarkStart w:id="1630" w:name="_109_Windows_Web"/>
      <w:bookmarkStart w:id="1631" w:name="_Toc342900419"/>
      <w:bookmarkEnd w:id="1625"/>
      <w:bookmarkEnd w:id="1626"/>
      <w:bookmarkEnd w:id="1627"/>
      <w:bookmarkEnd w:id="1628"/>
      <w:bookmarkEnd w:id="1629"/>
      <w:bookmarkEnd w:id="1630"/>
      <w:r w:rsidRPr="00D87B79">
        <w:rPr>
          <w:rFonts w:ascii="Tahoma" w:hAnsi="Tahoma" w:cs="Tahoma"/>
          <w:caps/>
          <w:color w:val="EE6000"/>
          <w:sz w:val="22"/>
          <w:vertAlign w:val="superscript"/>
          <w:lang w:val="it-IT"/>
        </w:rPr>
        <w:t>109</w:t>
      </w:r>
      <w:r w:rsidRPr="00D87B79">
        <w:rPr>
          <w:rFonts w:ascii="Tahoma" w:hAnsi="Tahoma" w:cs="Tahoma"/>
          <w:color w:val="EE6000"/>
          <w:sz w:val="22"/>
          <w:lang w:val="it-IT"/>
        </w:rPr>
        <w:t xml:space="preserve"> </w:t>
      </w:r>
      <w:r w:rsidRPr="00D87B79">
        <w:rPr>
          <w:rFonts w:ascii="Tahoma" w:hAnsi="Tahoma" w:cs="Tahoma"/>
          <w:color w:val="F66400"/>
          <w:sz w:val="22"/>
          <w:lang w:val="it-IT"/>
        </w:rPr>
        <w:t>Windows Web Server</w:t>
      </w:r>
      <w:r w:rsidRPr="003A0F2F">
        <w:rPr>
          <w:rFonts w:ascii="Tahoma" w:hAnsi="Tahoma" w:cs="Tahoma"/>
          <w:color w:val="F66400"/>
          <w:sz w:val="22"/>
          <w:vertAlign w:val="superscript"/>
          <w:lang w:val="it-IT"/>
        </w:rPr>
        <w:t>®</w:t>
      </w:r>
      <w:r w:rsidRPr="00D87B79">
        <w:rPr>
          <w:rFonts w:ascii="Tahoma" w:hAnsi="Tahoma" w:cs="Tahoma"/>
          <w:color w:val="F66400"/>
          <w:sz w:val="22"/>
          <w:lang w:val="it-IT"/>
        </w:rPr>
        <w:t xml:space="preserve"> 2008 R2</w:t>
      </w:r>
      <w:bookmarkEnd w:id="1631"/>
    </w:p>
    <w:p w:rsidR="00A92422" w:rsidRPr="00D87B79" w:rsidRDefault="00A92422" w:rsidP="00A92422">
      <w:pPr>
        <w:rPr>
          <w:rFonts w:cs="Tahoma"/>
        </w:rPr>
      </w:pPr>
    </w:p>
    <w:p w:rsidR="00A92422" w:rsidRPr="00D87B79" w:rsidRDefault="00A92422" w:rsidP="00A92422">
      <w:pPr>
        <w:tabs>
          <w:tab w:val="left" w:pos="720"/>
        </w:tabs>
        <w:spacing w:after="60"/>
        <w:ind w:left="720"/>
        <w:rPr>
          <w:rFonts w:cs="Tahoma"/>
        </w:rPr>
      </w:pPr>
      <w:r w:rsidRPr="00D87B79">
        <w:rPr>
          <w:rFonts w:cs="Tahoma"/>
          <w:b/>
          <w:color w:val="000000"/>
          <w:lang w:val="it-IT"/>
        </w:rPr>
        <w:t>Concessioni di licenza associate alla fine del ciclo di vita di Windows Web Server</w:t>
      </w:r>
    </w:p>
    <w:p w:rsidR="00A92422" w:rsidRPr="00D87B79" w:rsidRDefault="00A92422" w:rsidP="00A92422">
      <w:pPr>
        <w:ind w:left="720"/>
        <w:rPr>
          <w:rFonts w:cs="Tahoma"/>
        </w:rPr>
      </w:pPr>
      <w:r w:rsidRPr="00D87B79">
        <w:rPr>
          <w:rFonts w:cs="Tahoma"/>
          <w:color w:val="000000"/>
          <w:lang w:val="it-IT"/>
        </w:rPr>
        <w:t>Windows Server 2008 R2 sarà l’ultima versione di Windows Web Server.</w:t>
      </w:r>
      <w:r w:rsidRPr="00D87B79">
        <w:rPr>
          <w:rFonts w:cs="Tahoma"/>
        </w:rPr>
        <w:t xml:space="preserve"> </w:t>
      </w:r>
      <w:r w:rsidRPr="00D87B79">
        <w:rPr>
          <w:rFonts w:cs="Tahoma"/>
          <w:color w:val="000000"/>
          <w:lang w:val="it-IT"/>
        </w:rPr>
        <w:t xml:space="preserve">Le società titolari di contratti multilicenza (Volume License) con copertura Software Assurance attiva per le licenze per Windows Web Server 2008 R2 in data 1 settembre 2012 o in occasione della prima disponibilità di Windows Server 2012 per il download dal sito Web Volume Licensing Service Center, a seconda di quale evento si verificherà per primo, (“Licenze Qualificanti”) saranno autorizzate a utilizzare il software </w:t>
      </w:r>
      <w:r w:rsidRPr="00D87B79">
        <w:rPr>
          <w:rFonts w:cs="Tahoma"/>
          <w:lang w:val="it-IT"/>
        </w:rPr>
        <w:t>Windows Server 2012 Standard.</w:t>
      </w:r>
      <w:r w:rsidRPr="00D87B79">
        <w:rPr>
          <w:rFonts w:cs="Tahoma"/>
        </w:rPr>
        <w:t xml:space="preserve"> </w:t>
      </w:r>
      <w:r w:rsidRPr="00D87B79">
        <w:rPr>
          <w:rFonts w:cs="Tahoma"/>
          <w:lang w:val="it-IT"/>
        </w:rPr>
        <w:t>Per agevolare tale utilizzo, per ogni due Licenze Qualificanti in suo possesso, alla società verrà concessa una licenza per processore per Windows Server 2012 Standard in base alla disponibilità di Windows Server 2012.</w:t>
      </w:r>
      <w:r w:rsidRPr="00D87B79">
        <w:rPr>
          <w:rFonts w:cs="Tahoma"/>
        </w:rPr>
        <w:t xml:space="preserve"> </w:t>
      </w:r>
    </w:p>
    <w:p w:rsidR="00A92422" w:rsidRPr="00D87B79" w:rsidRDefault="00A92422" w:rsidP="00A92422">
      <w:pPr>
        <w:tabs>
          <w:tab w:val="left" w:pos="720"/>
        </w:tabs>
        <w:ind w:left="720"/>
        <w:rPr>
          <w:rFonts w:cs="Tahoma"/>
        </w:rPr>
      </w:pPr>
    </w:p>
    <w:p w:rsidR="00A92422" w:rsidRPr="00D87B79" w:rsidRDefault="00A92422" w:rsidP="00A92422">
      <w:pPr>
        <w:numPr>
          <w:ilvl w:val="0"/>
          <w:numId w:val="96"/>
        </w:numPr>
        <w:tabs>
          <w:tab w:val="clear" w:pos="360"/>
          <w:tab w:val="num" w:pos="1440"/>
        </w:tabs>
        <w:spacing w:after="60"/>
        <w:ind w:left="1440"/>
        <w:rPr>
          <w:rFonts w:cs="Tahoma"/>
        </w:rPr>
      </w:pPr>
      <w:r w:rsidRPr="00D87B79">
        <w:rPr>
          <w:rFonts w:cs="Tahoma"/>
          <w:color w:val="000000"/>
          <w:lang w:val="it-IT"/>
        </w:rPr>
        <w:t>Qualora una società disponga di un numero dispari di licenze per Web Server, dovrà arrotondarle al</w:t>
      </w:r>
      <w:r>
        <w:rPr>
          <w:rFonts w:cs="Tahoma"/>
          <w:color w:val="000000"/>
          <w:lang w:val="it-IT"/>
        </w:rPr>
        <w:t> </w:t>
      </w:r>
      <w:r w:rsidRPr="00D87B79">
        <w:rPr>
          <w:rFonts w:cs="Tahoma"/>
          <w:color w:val="000000"/>
          <w:lang w:val="it-IT"/>
        </w:rPr>
        <w:t>successivo numero pari per determinare la quantità concessa.</w:t>
      </w:r>
      <w:r w:rsidRPr="00D87B79">
        <w:rPr>
          <w:rFonts w:cs="Tahoma"/>
        </w:rPr>
        <w:t xml:space="preserve"> </w:t>
      </w:r>
      <w:r w:rsidRPr="00D87B79">
        <w:rPr>
          <w:rFonts w:cs="Tahoma"/>
          <w:color w:val="000000"/>
          <w:lang w:val="it-IT"/>
        </w:rPr>
        <w:t>Ad esempio, una società titolare di</w:t>
      </w:r>
      <w:r>
        <w:rPr>
          <w:rFonts w:cs="Tahoma"/>
          <w:color w:val="000000"/>
          <w:lang w:val="it-IT"/>
        </w:rPr>
        <w:t> </w:t>
      </w:r>
      <w:r w:rsidRPr="00D87B79">
        <w:rPr>
          <w:rFonts w:cs="Tahoma"/>
          <w:color w:val="000000"/>
          <w:lang w:val="it-IT"/>
        </w:rPr>
        <w:t>tre licenze per Web Server riceverà in totale due licenze per Windows Server 2012 Standard.</w:t>
      </w:r>
    </w:p>
    <w:p w:rsidR="00A92422" w:rsidRPr="00D87B79" w:rsidRDefault="00A92422" w:rsidP="00A92422">
      <w:pPr>
        <w:numPr>
          <w:ilvl w:val="0"/>
          <w:numId w:val="96"/>
        </w:numPr>
        <w:tabs>
          <w:tab w:val="clear" w:pos="360"/>
          <w:tab w:val="num" w:pos="1440"/>
        </w:tabs>
        <w:spacing w:after="60"/>
        <w:ind w:left="1440"/>
        <w:rPr>
          <w:rFonts w:cs="Tahoma"/>
        </w:rPr>
      </w:pPr>
      <w:r w:rsidRPr="00D87B79">
        <w:rPr>
          <w:rFonts w:cs="Tahoma"/>
          <w:lang w:val="it-IT"/>
        </w:rPr>
        <w:t>Eseguendo l’aggiornamento a Windows Server 2012 Standard ai sensi della presente concessione, le licenze in essere per Windows Web Server 2008 R2</w:t>
      </w:r>
      <w:r w:rsidRPr="00D87B79">
        <w:rPr>
          <w:rFonts w:cs="Tahoma"/>
          <w:color w:val="000000"/>
          <w:lang w:val="it-IT"/>
        </w:rPr>
        <w:t xml:space="preserve"> </w:t>
      </w:r>
      <w:r w:rsidRPr="00D87B79">
        <w:rPr>
          <w:rFonts w:cs="Tahoma"/>
          <w:lang w:val="it-IT"/>
        </w:rPr>
        <w:t>rimangono valide.</w:t>
      </w:r>
    </w:p>
    <w:p w:rsidR="00A92422" w:rsidRPr="00D87B79" w:rsidRDefault="00A92422" w:rsidP="00A92422">
      <w:pPr>
        <w:pStyle w:val="ListParagraph"/>
        <w:numPr>
          <w:ilvl w:val="0"/>
          <w:numId w:val="96"/>
        </w:numPr>
        <w:tabs>
          <w:tab w:val="clear" w:pos="360"/>
          <w:tab w:val="num" w:pos="1440"/>
        </w:tabs>
        <w:spacing w:after="60"/>
        <w:ind w:left="1440"/>
        <w:contextualSpacing w:val="0"/>
        <w:rPr>
          <w:rFonts w:ascii="Tahoma" w:hAnsi="Tahoma" w:cs="Tahoma"/>
        </w:rPr>
      </w:pPr>
      <w:r w:rsidRPr="00D87B79">
        <w:rPr>
          <w:rFonts w:ascii="Tahoma" w:hAnsi="Tahoma" w:cs="Tahoma"/>
          <w:sz w:val="18"/>
          <w:szCs w:val="18"/>
          <w:lang w:val="it-IT"/>
        </w:rPr>
        <w:t>Le licenze acquistate ai sensi della presente concessione includono la copertura Software Assurance.</w:t>
      </w:r>
      <w:r w:rsidRPr="00D87B79">
        <w:rPr>
          <w:rFonts w:ascii="Tahoma" w:hAnsi="Tahoma" w:cs="Tahoma"/>
        </w:rPr>
        <w:t xml:space="preserve"> </w:t>
      </w:r>
      <w:r w:rsidRPr="00D87B79">
        <w:rPr>
          <w:rFonts w:ascii="Tahoma" w:hAnsi="Tahoma" w:cs="Tahoma"/>
          <w:sz w:val="18"/>
          <w:lang w:val="it-IT"/>
        </w:rPr>
        <w:t>Tale copertura cessa alla scadenza della corrispondente copertura per le Licenze Qualificanti.</w:t>
      </w:r>
    </w:p>
    <w:p w:rsidR="00A92422" w:rsidRPr="00437E7F" w:rsidRDefault="00A92422" w:rsidP="00A92422">
      <w:pPr>
        <w:pStyle w:val="ListParagraph"/>
        <w:numPr>
          <w:ilvl w:val="0"/>
          <w:numId w:val="96"/>
        </w:numPr>
        <w:tabs>
          <w:tab w:val="clear" w:pos="360"/>
          <w:tab w:val="num" w:pos="1440"/>
        </w:tabs>
        <w:spacing w:after="60"/>
        <w:ind w:left="1440"/>
        <w:contextualSpacing w:val="0"/>
        <w:rPr>
          <w:rFonts w:ascii="Tahoma" w:hAnsi="Tahoma" w:cs="Tahoma"/>
        </w:rPr>
      </w:pPr>
      <w:r w:rsidRPr="00D87B79">
        <w:rPr>
          <w:rFonts w:ascii="Tahoma" w:hAnsi="Tahoma" w:cs="Tahoma"/>
          <w:sz w:val="18"/>
          <w:lang w:val="it-IT"/>
        </w:rPr>
        <w:t>Nel caso in cui le società abbiano acquistato diritti perpetui per utilizzare software ai sensi di Licenze Qualificanti, le licenze acquistate ai sensi della presente concessione saranno anch’esse perpetue; diversamente, le licenze acquistate ai sensi della presente concessione cesseranno alla</w:t>
      </w:r>
      <w:r>
        <w:rPr>
          <w:rFonts w:ascii="Tahoma" w:hAnsi="Tahoma" w:cs="Tahoma"/>
          <w:sz w:val="18"/>
          <w:lang w:val="it-IT"/>
        </w:rPr>
        <w:t> </w:t>
      </w:r>
      <w:r w:rsidRPr="00D87B79">
        <w:rPr>
          <w:rFonts w:ascii="Tahoma" w:hAnsi="Tahoma" w:cs="Tahoma"/>
          <w:sz w:val="18"/>
          <w:lang w:val="it-IT"/>
        </w:rPr>
        <w:t>scadenza delle Licenze Qualificanti sottostanti.</w:t>
      </w:r>
    </w:p>
    <w:p w:rsidR="00A92422" w:rsidRPr="00D87B79" w:rsidRDefault="00A92422" w:rsidP="00A92422">
      <w:pPr>
        <w:numPr>
          <w:ilvl w:val="0"/>
          <w:numId w:val="96"/>
        </w:numPr>
        <w:tabs>
          <w:tab w:val="clear" w:pos="360"/>
          <w:tab w:val="num" w:pos="1440"/>
        </w:tabs>
        <w:spacing w:after="60"/>
        <w:ind w:left="1440"/>
        <w:rPr>
          <w:rFonts w:cs="Tahoma"/>
        </w:rPr>
      </w:pPr>
      <w:r w:rsidRPr="00D87B79">
        <w:rPr>
          <w:rFonts w:cs="Tahoma"/>
          <w:color w:val="000000"/>
          <w:lang w:val="it-IT"/>
        </w:rPr>
        <w:t>Le licenze per Windows Web Server 2008 R2 acquistate successivamente nello stesso periodo di</w:t>
      </w:r>
      <w:r>
        <w:rPr>
          <w:rFonts w:cs="Tahoma"/>
          <w:color w:val="000000"/>
          <w:lang w:val="it-IT"/>
        </w:rPr>
        <w:t> </w:t>
      </w:r>
      <w:r w:rsidRPr="00D87B79">
        <w:rPr>
          <w:rFonts w:cs="Tahoma"/>
          <w:color w:val="000000"/>
          <w:lang w:val="it-IT"/>
        </w:rPr>
        <w:t>validità dell’iscrizione nell’ambito di una procedura pianificata di true-up di una società Enterprise, Enterprise Subscription, Open Value Subscription o EES sono anch’esse Licenze Qualificanti per gli scopi previsti dalla suddetta concessione.</w:t>
      </w:r>
      <w:r w:rsidRPr="00D87B79">
        <w:rPr>
          <w:rFonts w:cs="Tahoma"/>
        </w:rPr>
        <w:t xml:space="preserve"> </w:t>
      </w:r>
    </w:p>
    <w:p w:rsidR="00A92422" w:rsidRPr="00D87B79" w:rsidRDefault="00A92422" w:rsidP="00A92422">
      <w:pPr>
        <w:numPr>
          <w:ilvl w:val="0"/>
          <w:numId w:val="96"/>
        </w:numPr>
        <w:tabs>
          <w:tab w:val="clear" w:pos="360"/>
          <w:tab w:val="num" w:pos="1440"/>
        </w:tabs>
        <w:ind w:left="1440"/>
        <w:rPr>
          <w:rFonts w:cs="Tahoma"/>
        </w:rPr>
      </w:pPr>
      <w:r w:rsidRPr="00D87B79">
        <w:rPr>
          <w:rFonts w:cs="Tahoma"/>
          <w:color w:val="000000"/>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p>
    <w:p w:rsidR="00A92422" w:rsidRPr="00D87B79" w:rsidRDefault="00A92422" w:rsidP="00A92422">
      <w:pPr>
        <w:ind w:left="1440"/>
        <w:rPr>
          <w:rFonts w:cs="Tahoma"/>
        </w:rPr>
      </w:pPr>
    </w:p>
    <w:p w:rsidR="00A92422" w:rsidRPr="00D87B79" w:rsidRDefault="00A92422" w:rsidP="00A92422">
      <w:pPr>
        <w:spacing w:after="60"/>
        <w:ind w:left="720"/>
        <w:rPr>
          <w:rFonts w:cs="Tahoma"/>
        </w:rPr>
      </w:pPr>
      <w:r w:rsidRPr="00D87B79">
        <w:rPr>
          <w:rFonts w:cs="Tahoma"/>
          <w:b/>
          <w:lang w:val="it-IT"/>
        </w:rPr>
        <w:t>Informazioni aggiuntive sull’utilizzo di Windows Server 2012 come Server Web</w:t>
      </w:r>
    </w:p>
    <w:p w:rsidR="00A92422" w:rsidRPr="00D87B79" w:rsidRDefault="00A92422" w:rsidP="00A92422">
      <w:pPr>
        <w:ind w:left="720"/>
        <w:rPr>
          <w:rFonts w:cs="Tahoma"/>
        </w:rPr>
      </w:pPr>
      <w:r w:rsidRPr="00D87B79">
        <w:rPr>
          <w:rFonts w:eastAsia="Times New Roman" w:cs="Tahoma"/>
          <w:szCs w:val="18"/>
          <w:lang w:val="it-IT"/>
        </w:rPr>
        <w:t>Quando Windows Server 2012 Standard o Datacenter viene utilizzato come Server Web, non servono licenze</w:t>
      </w:r>
      <w:r>
        <w:rPr>
          <w:rFonts w:eastAsia="Times New Roman" w:cs="Tahoma"/>
          <w:szCs w:val="18"/>
          <w:lang w:val="it-IT"/>
        </w:rPr>
        <w:t> </w:t>
      </w:r>
      <w:r w:rsidRPr="00D87B79">
        <w:rPr>
          <w:rFonts w:eastAsia="Times New Roman" w:cs="Tahoma"/>
          <w:szCs w:val="18"/>
          <w:lang w:val="it-IT"/>
        </w:rPr>
        <w:t>CAL per accedere al software.</w:t>
      </w:r>
      <w:r w:rsidRPr="00D87B79">
        <w:rPr>
          <w:rFonts w:cs="Tahoma"/>
        </w:rPr>
        <w:t xml:space="preserve"> </w:t>
      </w:r>
      <w:r w:rsidRPr="00D87B79">
        <w:rPr>
          <w:rFonts w:cs="Tahoma"/>
          <w:lang w:val="it-IT"/>
        </w:rPr>
        <w:t>Un “Carico di Lavoro Web” indica un carico di lavoro nel quale il</w:t>
      </w:r>
      <w:r>
        <w:rPr>
          <w:rFonts w:cs="Tahoma"/>
          <w:lang w:val="it-IT"/>
        </w:rPr>
        <w:t> </w:t>
      </w:r>
      <w:r w:rsidRPr="00D87B79">
        <w:rPr>
          <w:rFonts w:cs="Tahoma"/>
          <w:lang w:val="it-IT"/>
        </w:rPr>
        <w:t>software viene utilizzato come server Web front-end per lo sviluppo e la distribuzione di pagine Web accessibili su Internet, siti Web, applicazioni Web e servizi Web e nel quale il servizio di posta POP3 e</w:t>
      </w:r>
      <w:r>
        <w:rPr>
          <w:rFonts w:cs="Tahoma"/>
          <w:lang w:val="it-IT"/>
        </w:rPr>
        <w:t> </w:t>
      </w:r>
      <w:r w:rsidRPr="00D87B79">
        <w:rPr>
          <w:rFonts w:cs="Tahoma"/>
          <w:lang w:val="it-IT"/>
        </w:rPr>
        <w:t>l’accesso a contenuti, informazioni e applicazioni servite dal software non sono limitati ai dipendenti.</w:t>
      </w:r>
      <w:r w:rsidRPr="00D87B79">
        <w:rPr>
          <w:rFonts w:cs="Tahoma"/>
        </w:rPr>
        <w:t xml:space="preserve"> </w:t>
      </w:r>
      <w:r w:rsidRPr="00D87B79">
        <w:rPr>
          <w:rFonts w:cs="Tahoma"/>
          <w:lang w:val="it-IT"/>
        </w:rPr>
        <w:t>Ulteriori</w:t>
      </w:r>
      <w:r>
        <w:rPr>
          <w:rFonts w:cs="Tahoma"/>
          <w:lang w:val="it-IT"/>
        </w:rPr>
        <w:t> </w:t>
      </w:r>
      <w:r w:rsidRPr="00D87B79">
        <w:rPr>
          <w:rFonts w:cs="Tahoma"/>
          <w:lang w:val="it-IT"/>
        </w:rPr>
        <w:t>dettagli sono disponibili nei Diritti di Utilizzo del Prodotto.</w:t>
      </w:r>
      <w:r w:rsidRPr="00D87B79">
        <w:rPr>
          <w:rFonts w:cs="Tahoma"/>
        </w:rPr>
        <w:t xml:space="preserve"> </w:t>
      </w:r>
    </w:p>
    <w:p w:rsidR="00A92422" w:rsidRPr="00D87B79" w:rsidRDefault="00A92422" w:rsidP="00A92422">
      <w:pPr>
        <w:rPr>
          <w:rFonts w:cs="Tahoma"/>
        </w:rPr>
      </w:pPr>
    </w:p>
    <w:p w:rsidR="00A92422" w:rsidRPr="00D87B79" w:rsidRDefault="00A92422" w:rsidP="00A92422">
      <w:pPr>
        <w:pStyle w:val="Heading2"/>
        <w:ind w:hanging="720"/>
        <w:rPr>
          <w:rFonts w:ascii="Tahoma" w:hAnsi="Tahoma" w:cs="Tahoma"/>
        </w:rPr>
      </w:pPr>
      <w:bookmarkStart w:id="1632" w:name="_Toc336338376"/>
      <w:bookmarkStart w:id="1633" w:name="_Toc342900420"/>
      <w:bookmarkEnd w:id="1632"/>
      <w:r w:rsidRPr="00D87B79">
        <w:rPr>
          <w:rFonts w:ascii="Tahoma" w:hAnsi="Tahoma" w:cs="Tahoma"/>
          <w:caps/>
          <w:color w:val="F8701C"/>
          <w:sz w:val="22"/>
          <w:vertAlign w:val="superscript"/>
          <w:lang w:val="it-IT"/>
        </w:rPr>
        <w:t>110</w:t>
      </w:r>
      <w:r w:rsidRPr="00D87B79">
        <w:rPr>
          <w:rFonts w:ascii="Tahoma" w:hAnsi="Tahoma" w:cs="Tahoma"/>
          <w:color w:val="F8701C"/>
          <w:sz w:val="22"/>
          <w:lang w:val="it-IT"/>
        </w:rPr>
        <w:t xml:space="preserve"> Windows Small Business Server (SBS) 2008 Premium</w:t>
      </w:r>
      <w:bookmarkEnd w:id="1633"/>
    </w:p>
    <w:p w:rsidR="00A92422" w:rsidRPr="00D87B79" w:rsidRDefault="00A92422" w:rsidP="00A92422">
      <w:pPr>
        <w:ind w:left="900"/>
        <w:rPr>
          <w:rFonts w:cs="Tahoma"/>
        </w:rPr>
      </w:pPr>
    </w:p>
    <w:p w:rsidR="00A92422" w:rsidRPr="00D87B79" w:rsidRDefault="00A92422" w:rsidP="00A92422">
      <w:pPr>
        <w:ind w:left="720"/>
        <w:rPr>
          <w:rFonts w:cs="Tahoma"/>
        </w:rPr>
      </w:pPr>
      <w:r w:rsidRPr="00D87B79">
        <w:rPr>
          <w:rFonts w:cs="Tahoma"/>
          <w:lang w:val="it-IT"/>
        </w:rPr>
        <w:t xml:space="preserve">Le società con copertura Software Assurance attiva per licenze di SBS 2008 Premium in data 1 gennaio 2011, sono idonee a effettuare l’aggiornamento a e utilizzare i software SBS 2011 Standard e Premium </w:t>
      </w:r>
      <w:r>
        <w:rPr>
          <w:rFonts w:cs="Tahoma"/>
          <w:lang w:val="it-IT"/>
        </w:rPr>
        <w:br/>
      </w:r>
      <w:r w:rsidRPr="00D87B79">
        <w:rPr>
          <w:rFonts w:cs="Tahoma"/>
          <w:lang w:val="it-IT"/>
        </w:rPr>
        <w:t>Add-on per Windows SBS 2011 (o per una qualsiasi versione successiva resa disponibile durante il periodo di</w:t>
      </w:r>
      <w:r>
        <w:rPr>
          <w:rFonts w:cs="Tahoma"/>
          <w:lang w:val="it-IT"/>
        </w:rPr>
        <w:t> </w:t>
      </w:r>
      <w:r w:rsidRPr="00D87B79">
        <w:rPr>
          <w:rFonts w:cs="Tahoma"/>
          <w:lang w:val="it-IT"/>
        </w:rPr>
        <w:t>validità della copertura Software Assurance) al posto del software SBS</w:t>
      </w:r>
      <w:r>
        <w:rPr>
          <w:rFonts w:cs="Tahoma"/>
          <w:lang w:val="it-IT"/>
        </w:rPr>
        <w:t xml:space="preserve"> </w:t>
      </w:r>
      <w:r w:rsidRPr="00D87B79">
        <w:rPr>
          <w:rFonts w:cs="Tahoma"/>
          <w:lang w:val="it-IT"/>
        </w:rPr>
        <w:t>2008 Premium. Per ogni licenza qualificata posseduta al 1 gennaio 2011, le società saranno considerate titolari di una licenza SBS 2011 Standard e di una licenza per Add-on Premium per SBS 2011 con copertura Software Assurance attiva.</w:t>
      </w:r>
      <w:r w:rsidRPr="00D87B79">
        <w:rPr>
          <w:rFonts w:cs="Tahoma"/>
        </w:rPr>
        <w:t xml:space="preserve"> </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lang w:val="it-IT"/>
        </w:rPr>
        <w:t>Le società con copertura Software Assurance attiva per le CAL Suite per SBS 2008 per Utenti e Dispositivi Premium in data 1 gennaio 2011 sono idonee ad accedere a SBS 2011 Standard e Premium Add-on per Windows SBS 2011 (o per una qualsiasi versione successiva resa disponibile durante il periodo di validità della copertura Software Assurance). Per ogni licenza qualificante CAL Suite per SBS 2008 per Utenti e Dispositivi Premium posseduta al 1 gennaio 2011, le società saranno considerate titolari di una licenza CAL</w:t>
      </w:r>
      <w:r>
        <w:rPr>
          <w:rFonts w:cs="Tahoma"/>
          <w:lang w:val="it-IT"/>
        </w:rPr>
        <w:t> </w:t>
      </w:r>
      <w:r w:rsidRPr="00D87B79">
        <w:rPr>
          <w:rFonts w:cs="Tahoma"/>
          <w:lang w:val="it-IT"/>
        </w:rPr>
        <w:t>Suite per SBS 2011 e di una licenza per Premium Add-on CAL Suite per SBS 2011 con copertura Software Assurance attiva.</w:t>
      </w:r>
      <w:r w:rsidRPr="00D87B79">
        <w:rPr>
          <w:rFonts w:cs="Tahoma"/>
        </w:rPr>
        <w:t xml:space="preserve"> </w:t>
      </w:r>
    </w:p>
    <w:p w:rsidR="00A92422" w:rsidRPr="00D87B79" w:rsidRDefault="00A92422" w:rsidP="00A92422">
      <w:pPr>
        <w:ind w:left="720"/>
        <w:rPr>
          <w:rFonts w:cs="Tahoma"/>
        </w:rPr>
      </w:pPr>
    </w:p>
    <w:p w:rsidR="00A92422" w:rsidRDefault="00A92422" w:rsidP="00A92422">
      <w:pPr>
        <w:ind w:left="720"/>
        <w:rPr>
          <w:rFonts w:cs="Tahoma"/>
          <w:lang w:val="it-IT"/>
        </w:rPr>
      </w:pPr>
      <w:r w:rsidRPr="00D87B79">
        <w:rPr>
          <w:rFonts w:cs="Tahoma"/>
          <w:lang w:val="it-IT"/>
        </w:rPr>
        <w:t>Il diritto di utilizzo del software ai sensi della presente offerta scadrà alla scadenza del diritto di utilizzo del</w:t>
      </w:r>
      <w:r>
        <w:rPr>
          <w:rFonts w:cs="Tahoma"/>
          <w:lang w:val="it-IT"/>
        </w:rPr>
        <w:t> </w:t>
      </w:r>
      <w:r w:rsidRPr="00D87B79">
        <w:rPr>
          <w:rFonts w:cs="Tahoma"/>
          <w:lang w:val="it-IT"/>
        </w:rPr>
        <w:t>software ai sensi della Licenza Qualificante. L’utilizzo del software da parte della società è soggetto alle condizioni del contratto multilicenza (Volume License) e ai diritti di utilizzo del prodotto per il software SBS 2011 Standard e Premium Add-on per SBS 2011 e alle presenti condizioni. La presente nota, relativa alle condizioni del prodotto, unitamente alla prova delle licenze qualificanti attestano i diritti concessi ai sensi della presente offerta. Allo scadere della copertura della licenza qualificante, la società avrà diritto di</w:t>
      </w:r>
      <w:r>
        <w:rPr>
          <w:rFonts w:cs="Tahoma"/>
          <w:lang w:val="it-IT"/>
        </w:rPr>
        <w:t> </w:t>
      </w:r>
      <w:r w:rsidRPr="00D87B79">
        <w:rPr>
          <w:rFonts w:cs="Tahoma"/>
          <w:lang w:val="it-IT"/>
        </w:rPr>
        <w:t>rinnovare Software Assurance per le licenze degli Add-on SBS Premium e per le Suite CAL.</w:t>
      </w:r>
    </w:p>
    <w:p w:rsidR="00A92422" w:rsidRPr="003F2B0E" w:rsidRDefault="00A92422" w:rsidP="00A92422">
      <w:pPr>
        <w:ind w:left="720"/>
        <w:rPr>
          <w:rFonts w:cs="Tahoma"/>
          <w:lang w:val="it-IT"/>
        </w:rPr>
      </w:pPr>
    </w:p>
    <w:p w:rsidR="00A92422" w:rsidRPr="00D87B79" w:rsidRDefault="00A92422" w:rsidP="00A92422">
      <w:pPr>
        <w:ind w:left="900"/>
        <w:rPr>
          <w:rFonts w:cs="Tahoma"/>
        </w:rPr>
      </w:pPr>
    </w:p>
    <w:p w:rsidR="00A92422" w:rsidRPr="00D87B79" w:rsidRDefault="00A92422" w:rsidP="00A92422">
      <w:pPr>
        <w:pStyle w:val="Heading3"/>
        <w:rPr>
          <w:rFonts w:ascii="Tahoma" w:hAnsi="Tahoma" w:cs="Tahoma"/>
        </w:rPr>
      </w:pPr>
      <w:bookmarkStart w:id="1634" w:name="_119_Windows_Small"/>
      <w:bookmarkStart w:id="1635" w:name="_Toc336338377"/>
      <w:bookmarkStart w:id="1636" w:name="_111_Windows_Small"/>
      <w:bookmarkStart w:id="1637" w:name="_Toc342900421"/>
      <w:bookmarkStart w:id="1638" w:name="Srv_117WinSmallBizSVR2011Addon"/>
      <w:bookmarkStart w:id="1639" w:name="Srv_121WinSmallBizSVR2011Addon"/>
      <w:bookmarkEnd w:id="1634"/>
      <w:bookmarkEnd w:id="1635"/>
      <w:bookmarkEnd w:id="1636"/>
      <w:r w:rsidRPr="00D87B79">
        <w:rPr>
          <w:rFonts w:ascii="Tahoma" w:hAnsi="Tahoma" w:cs="Tahoma"/>
          <w:caps/>
          <w:color w:val="FF6D09"/>
          <w:sz w:val="22"/>
          <w:vertAlign w:val="superscript"/>
          <w:lang w:val="it-IT"/>
        </w:rPr>
        <w:t>111</w:t>
      </w:r>
      <w:r w:rsidRPr="00D87B79">
        <w:rPr>
          <w:rFonts w:ascii="Tahoma" w:hAnsi="Tahoma" w:cs="Tahoma"/>
          <w:color w:val="FF6D09"/>
          <w:sz w:val="22"/>
          <w:lang w:val="it-IT"/>
        </w:rPr>
        <w:t xml:space="preserve"> Windows Small Business Server (SBS) 2011 Standard</w:t>
      </w:r>
      <w:bookmarkEnd w:id="1637"/>
    </w:p>
    <w:bookmarkEnd w:id="1638"/>
    <w:bookmarkEnd w:id="1639"/>
    <w:p w:rsidR="00A92422" w:rsidRPr="00D87B79" w:rsidRDefault="00A92422" w:rsidP="00A92422">
      <w:pPr>
        <w:ind w:left="900"/>
        <w:rPr>
          <w:rFonts w:cs="Tahoma"/>
        </w:rPr>
      </w:pPr>
    </w:p>
    <w:p w:rsidR="00A92422" w:rsidRPr="00D87B79" w:rsidRDefault="00A92422" w:rsidP="00A92422">
      <w:pPr>
        <w:spacing w:after="60"/>
        <w:ind w:left="720"/>
        <w:rPr>
          <w:rFonts w:cs="Tahoma"/>
        </w:rPr>
      </w:pPr>
      <w:r w:rsidRPr="00D87B79">
        <w:rPr>
          <w:rFonts w:cs="Tahoma"/>
          <w:b/>
          <w:color w:val="000000"/>
          <w:lang w:val="it-IT"/>
        </w:rPr>
        <w:t>Concessioni di licenza associate alla fine del ciclo di vita di SBS 2011 Standard</w:t>
      </w:r>
    </w:p>
    <w:p w:rsidR="00A92422" w:rsidRPr="00D87B79" w:rsidRDefault="00A92422" w:rsidP="00A92422">
      <w:pPr>
        <w:ind w:left="720"/>
        <w:rPr>
          <w:rFonts w:cs="Tahoma"/>
        </w:rPr>
      </w:pPr>
      <w:r w:rsidRPr="00D87B79">
        <w:rPr>
          <w:rFonts w:cs="Tahoma"/>
          <w:color w:val="000000"/>
          <w:lang w:val="it-IT"/>
        </w:rPr>
        <w:t>SBS 2011 Standard sarà l’ultima versione di SBS Standard.</w:t>
      </w:r>
      <w:r w:rsidRPr="00D87B79">
        <w:rPr>
          <w:rFonts w:cs="Tahoma"/>
        </w:rPr>
        <w:t xml:space="preserve"> </w:t>
      </w:r>
      <w:r w:rsidRPr="00D87B79">
        <w:rPr>
          <w:rFonts w:cs="Tahoma"/>
          <w:color w:val="000000"/>
          <w:lang w:val="it-IT"/>
        </w:rPr>
        <w:t>Alle società titolari di contratti multilicenza con</w:t>
      </w:r>
      <w:r>
        <w:rPr>
          <w:rFonts w:cs="Tahoma"/>
          <w:color w:val="000000"/>
          <w:lang w:val="it-IT"/>
        </w:rPr>
        <w:t> </w:t>
      </w:r>
      <w:r w:rsidRPr="00D87B79">
        <w:rPr>
          <w:rFonts w:cs="Tahoma"/>
          <w:color w:val="000000"/>
          <w:lang w:val="it-IT"/>
        </w:rPr>
        <w:t xml:space="preserve">copertura Software Assurance attiva per le licenze SBS 2011 Standard (“Licenze Qualificanti”) sarà consentito effettuare l’aggiornamento a </w:t>
      </w:r>
      <w:r w:rsidRPr="00D87B79">
        <w:rPr>
          <w:rFonts w:cs="Tahoma"/>
          <w:lang w:val="it-IT"/>
        </w:rPr>
        <w:t xml:space="preserve">Windows Server Standard ed Exchange Server Standard e a utilizzare tali prodotti software al posto di SBS 2011. </w:t>
      </w:r>
      <w:r w:rsidRPr="00D87B79">
        <w:rPr>
          <w:rFonts w:cs="Tahoma"/>
          <w:color w:val="000000"/>
          <w:lang w:val="it-IT"/>
        </w:rPr>
        <w:t>Per agevolare tale utilizzo, per ogni Licenza Qualificante in suo possesso, alla società verrà concessa una licenza per Windows Server Standard e una per Exchange Server 2010 Standard, come illustrato nella tabella che segue.</w:t>
      </w:r>
      <w:r w:rsidRPr="00D87B79">
        <w:rPr>
          <w:rFonts w:cs="Tahoma"/>
        </w:rPr>
        <w:t xml:space="preserve"> </w:t>
      </w:r>
    </w:p>
    <w:p w:rsidR="00A92422" w:rsidRPr="00D87B79" w:rsidRDefault="00A92422" w:rsidP="00A92422">
      <w:pPr>
        <w:ind w:left="72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A92422" w:rsidRPr="00D87B79" w:rsidTr="00EA30FC">
        <w:tc>
          <w:tcPr>
            <w:tcW w:w="3960" w:type="dxa"/>
            <w:tcBorders>
              <w:top w:val="single" w:sz="4" w:space="0" w:color="auto"/>
              <w:left w:val="single" w:sz="4" w:space="0" w:color="auto"/>
              <w:bottom w:val="single" w:sz="4" w:space="0" w:color="auto"/>
              <w:right w:val="single" w:sz="4" w:space="0" w:color="auto"/>
            </w:tcBorders>
            <w:shd w:val="clear" w:color="auto" w:fill="F4B083"/>
          </w:tcPr>
          <w:p w:rsidR="00A92422" w:rsidRPr="00D87B79" w:rsidRDefault="00A92422" w:rsidP="00EA30FC">
            <w:pPr>
              <w:spacing w:after="200" w:line="276" w:lineRule="auto"/>
              <w:rPr>
                <w:rFonts w:eastAsia="Times New Roman" w:cs="Tahoma"/>
                <w:szCs w:val="18"/>
              </w:rPr>
            </w:pPr>
            <w:r w:rsidRPr="00D87B79">
              <w:rPr>
                <w:rFonts w:cs="Tahoma"/>
                <w:b/>
                <w:color w:val="000000"/>
                <w:lang w:val="it-IT"/>
              </w:rPr>
              <w:t>Licenze Qualificanti</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rsidR="00A92422" w:rsidRPr="00D87B79" w:rsidRDefault="00A92422" w:rsidP="00EA30FC">
            <w:pPr>
              <w:spacing w:after="200" w:line="276" w:lineRule="auto"/>
              <w:rPr>
                <w:rFonts w:eastAsia="Times New Roman" w:cs="Tahoma"/>
                <w:szCs w:val="18"/>
              </w:rPr>
            </w:pPr>
            <w:r w:rsidRPr="00D87B79">
              <w:rPr>
                <w:rFonts w:cs="Tahoma"/>
                <w:b/>
                <w:color w:val="000000"/>
                <w:lang w:val="it-IT"/>
              </w:rPr>
              <w:t>Concessione di Licenza</w:t>
            </w:r>
          </w:p>
        </w:tc>
      </w:tr>
      <w:tr w:rsidR="00A92422" w:rsidRPr="00D87B79" w:rsidTr="00EA30FC">
        <w:tc>
          <w:tcPr>
            <w:tcW w:w="3960" w:type="dxa"/>
            <w:tcBorders>
              <w:top w:val="single" w:sz="4" w:space="0" w:color="auto"/>
              <w:left w:val="single" w:sz="4" w:space="0" w:color="auto"/>
              <w:bottom w:val="single" w:sz="4" w:space="0" w:color="auto"/>
              <w:right w:val="single" w:sz="4" w:space="0" w:color="auto"/>
            </w:tcBorders>
          </w:tcPr>
          <w:p w:rsidR="00A92422" w:rsidRPr="00D87B79" w:rsidRDefault="00A92422" w:rsidP="00EA30FC">
            <w:pPr>
              <w:spacing w:line="276" w:lineRule="auto"/>
              <w:rPr>
                <w:rFonts w:eastAsia="Times New Roman" w:cs="Tahoma"/>
                <w:szCs w:val="18"/>
              </w:rPr>
            </w:pPr>
            <w:r w:rsidRPr="00D87B79">
              <w:rPr>
                <w:rFonts w:eastAsia="Times New Roman" w:cs="Tahoma"/>
                <w:szCs w:val="18"/>
                <w:lang w:val="it-IT"/>
              </w:rPr>
              <w:t>SBS 2011 Standard con copertura Software Assurance fino al 31 luglio 2012</w:t>
            </w:r>
          </w:p>
        </w:tc>
        <w:tc>
          <w:tcPr>
            <w:tcW w:w="4788" w:type="dxa"/>
            <w:tcBorders>
              <w:top w:val="single" w:sz="4" w:space="0" w:color="auto"/>
              <w:left w:val="single" w:sz="4" w:space="0" w:color="auto"/>
              <w:bottom w:val="single" w:sz="4" w:space="0" w:color="auto"/>
              <w:right w:val="single" w:sz="4" w:space="0" w:color="auto"/>
            </w:tcBorders>
          </w:tcPr>
          <w:p w:rsidR="00A92422" w:rsidRPr="00D87B79" w:rsidRDefault="00A92422" w:rsidP="00EA30FC">
            <w:pPr>
              <w:spacing w:line="276" w:lineRule="auto"/>
              <w:rPr>
                <w:rFonts w:cs="Tahoma"/>
              </w:rPr>
            </w:pPr>
            <w:r w:rsidRPr="00D87B79">
              <w:rPr>
                <w:rFonts w:cs="Tahoma"/>
                <w:lang w:val="it-IT"/>
              </w:rPr>
              <w:t>R2 per Windows Server 2008</w:t>
            </w:r>
          </w:p>
          <w:p w:rsidR="00A92422" w:rsidRPr="00D87B79" w:rsidRDefault="00A92422" w:rsidP="00EA30FC">
            <w:pPr>
              <w:spacing w:line="276" w:lineRule="auto"/>
              <w:rPr>
                <w:rFonts w:eastAsia="Times New Roman" w:cs="Tahoma"/>
                <w:szCs w:val="18"/>
              </w:rPr>
            </w:pPr>
            <w:r w:rsidRPr="00D87B79">
              <w:rPr>
                <w:rFonts w:eastAsia="Times New Roman" w:cs="Tahoma"/>
                <w:szCs w:val="18"/>
                <w:lang w:val="it-IT"/>
              </w:rPr>
              <w:t>Exchange Server 2010 Standard</w:t>
            </w:r>
          </w:p>
        </w:tc>
      </w:tr>
      <w:tr w:rsidR="00A92422" w:rsidRPr="00D87B79" w:rsidTr="00EA30FC">
        <w:tc>
          <w:tcPr>
            <w:tcW w:w="3960" w:type="dxa"/>
            <w:tcBorders>
              <w:top w:val="single" w:sz="4" w:space="0" w:color="auto"/>
              <w:left w:val="single" w:sz="4" w:space="0" w:color="auto"/>
              <w:bottom w:val="single" w:sz="4" w:space="0" w:color="auto"/>
              <w:right w:val="single" w:sz="4" w:space="0" w:color="auto"/>
            </w:tcBorders>
          </w:tcPr>
          <w:p w:rsidR="00A92422" w:rsidRPr="00D87B79" w:rsidRDefault="00A92422" w:rsidP="00EA30FC">
            <w:pPr>
              <w:spacing w:line="276" w:lineRule="auto"/>
              <w:rPr>
                <w:rFonts w:eastAsia="Times New Roman" w:cs="Tahoma"/>
                <w:szCs w:val="18"/>
              </w:rPr>
            </w:pPr>
            <w:r w:rsidRPr="00D87B79">
              <w:rPr>
                <w:rFonts w:eastAsia="Times New Roman" w:cs="Tahoma"/>
                <w:szCs w:val="18"/>
                <w:lang w:val="it-IT"/>
              </w:rPr>
              <w:t>SBS 2011 Standard con copertura Software Assurance in data 1 agosto 2012 o successiva</w:t>
            </w:r>
          </w:p>
        </w:tc>
        <w:tc>
          <w:tcPr>
            <w:tcW w:w="4788" w:type="dxa"/>
            <w:tcBorders>
              <w:top w:val="single" w:sz="4" w:space="0" w:color="auto"/>
              <w:left w:val="single" w:sz="4" w:space="0" w:color="auto"/>
              <w:bottom w:val="single" w:sz="4" w:space="0" w:color="auto"/>
              <w:right w:val="single" w:sz="4" w:space="0" w:color="auto"/>
            </w:tcBorders>
          </w:tcPr>
          <w:p w:rsidR="00A92422" w:rsidRPr="00D87B79" w:rsidRDefault="00A92422" w:rsidP="00EA30FC">
            <w:pPr>
              <w:spacing w:line="276" w:lineRule="auto"/>
              <w:rPr>
                <w:rFonts w:cs="Tahoma"/>
              </w:rPr>
            </w:pPr>
            <w:r w:rsidRPr="00D87B79">
              <w:rPr>
                <w:rFonts w:cs="Tahoma"/>
                <w:lang w:val="it-IT"/>
              </w:rPr>
              <w:t>Windows Server 2012 con Software Assurance</w:t>
            </w:r>
          </w:p>
          <w:p w:rsidR="00A92422" w:rsidRPr="00D87B79" w:rsidRDefault="00A92422" w:rsidP="00EA30FC">
            <w:pPr>
              <w:spacing w:line="276" w:lineRule="auto"/>
              <w:rPr>
                <w:rFonts w:eastAsia="Times New Roman" w:cs="Tahoma"/>
                <w:szCs w:val="18"/>
              </w:rPr>
            </w:pPr>
            <w:r w:rsidRPr="00D87B79">
              <w:rPr>
                <w:rFonts w:eastAsia="Times New Roman" w:cs="Tahoma"/>
                <w:szCs w:val="18"/>
                <w:lang w:val="it-IT"/>
              </w:rPr>
              <w:t>Exchange Server 2010 Standard con Software Assurance</w:t>
            </w:r>
          </w:p>
        </w:tc>
      </w:tr>
    </w:tbl>
    <w:p w:rsidR="00A92422" w:rsidRDefault="00A92422" w:rsidP="00A92422">
      <w:pPr>
        <w:ind w:left="720"/>
        <w:rPr>
          <w:rFonts w:eastAsia="Times New Roman" w:cs="Tahoma"/>
          <w:szCs w:val="18"/>
          <w:lang w:val="it-IT"/>
        </w:rPr>
      </w:pPr>
    </w:p>
    <w:p w:rsidR="00A92422" w:rsidRPr="00D87B79" w:rsidRDefault="00A92422" w:rsidP="00A92422">
      <w:pPr>
        <w:ind w:left="720"/>
        <w:rPr>
          <w:rFonts w:cs="Tahoma"/>
        </w:rPr>
      </w:pPr>
      <w:r w:rsidRPr="00D87B79">
        <w:rPr>
          <w:rFonts w:eastAsia="Times New Roman" w:cs="Tahoma"/>
          <w:szCs w:val="18"/>
          <w:lang w:val="it-IT"/>
        </w:rPr>
        <w:t>La copertura Software Assurance inclusa nella suddetta concessione scade alla scadenza della corrispondente copertura per le Licenze Qualificanti.</w:t>
      </w:r>
      <w:r w:rsidRPr="00D87B79">
        <w:rPr>
          <w:rFonts w:cs="Tahoma"/>
        </w:rPr>
        <w:t xml:space="preserve"> </w:t>
      </w:r>
      <w:r w:rsidRPr="00D87B79">
        <w:rPr>
          <w:rFonts w:cs="Tahoma"/>
          <w:lang w:val="it-IT"/>
        </w:rPr>
        <w:t>In via eccezionale, le società con copertura Software Assurance attiva per le Licenze Qualificanti in scadenza nel mese di agosto 2012 hanno la possibilità fino al</w:t>
      </w:r>
      <w:r>
        <w:rPr>
          <w:rFonts w:cs="Tahoma"/>
          <w:lang w:val="it-IT"/>
        </w:rPr>
        <w:t> </w:t>
      </w:r>
      <w:r w:rsidRPr="00D87B79">
        <w:rPr>
          <w:rFonts w:cs="Tahoma"/>
          <w:lang w:val="it-IT"/>
        </w:rPr>
        <w:t>31 dicembre 2012 di rinnovare la copertura per le licenze per Windows Server ed Exchange Server ricevute in concessione ai sensi della presente offerta.</w:t>
      </w:r>
      <w:r w:rsidRPr="00D87B79">
        <w:rPr>
          <w:rFonts w:cs="Tahoma"/>
        </w:rPr>
        <w:t xml:space="preserve"> </w:t>
      </w:r>
      <w:r w:rsidRPr="00D87B79">
        <w:rPr>
          <w:rFonts w:cs="Tahoma"/>
          <w:lang w:val="it-IT"/>
        </w:rPr>
        <w:t>Le società con copertura Software Assurance attiva per le Licenze Qualificanti in scadenza nel mese di luglio 2012 hanno la possibilità fino al 31 dicembre 2012 di acquistare la copertura per le licenze per Windows Server ed Exchange Server ricevute in concessione ai</w:t>
      </w:r>
      <w:r>
        <w:rPr>
          <w:rFonts w:cs="Tahoma"/>
          <w:lang w:val="it-IT"/>
        </w:rPr>
        <w:t> </w:t>
      </w:r>
      <w:r w:rsidRPr="00D87B79">
        <w:rPr>
          <w:rFonts w:cs="Tahoma"/>
          <w:lang w:val="it-IT"/>
        </w:rPr>
        <w:t>sensi della presente offerta.</w:t>
      </w:r>
    </w:p>
    <w:p w:rsidR="00A92422" w:rsidRPr="00FD2F4B" w:rsidRDefault="00A92422" w:rsidP="00A92422">
      <w:pPr>
        <w:pStyle w:val="ListParagraph"/>
        <w:contextualSpacing w:val="0"/>
        <w:rPr>
          <w:rFonts w:ascii="Tahoma" w:hAnsi="Tahoma" w:cs="Tahoma"/>
          <w:sz w:val="18"/>
          <w:szCs w:val="18"/>
        </w:rPr>
      </w:pPr>
    </w:p>
    <w:p w:rsidR="00A92422" w:rsidRPr="00D87B79" w:rsidRDefault="00A92422" w:rsidP="00A92422">
      <w:pPr>
        <w:pStyle w:val="ListParagraph"/>
        <w:contextualSpacing w:val="0"/>
        <w:rPr>
          <w:rFonts w:ascii="Tahoma" w:hAnsi="Tahoma" w:cs="Tahoma"/>
        </w:rPr>
      </w:pPr>
      <w:r w:rsidRPr="00D87B79">
        <w:rPr>
          <w:rFonts w:ascii="Tahoma" w:hAnsi="Tahoma" w:cs="Tahoma"/>
          <w:sz w:val="18"/>
          <w:lang w:val="it-IT"/>
        </w:rPr>
        <w:t>Nel caso in cui le società abbiano acquistato diritti perpetui per utilizzare software ai sensi di Licenze Qualificanti, le licenze acquistate ai sensi della presente concessione saranno anch’esse perpetue; diversamente, le licenze acquistate ai sensi della presente concessione cesseranno alla scadenza delle Licenze Qualificanti sottostanti.</w:t>
      </w:r>
    </w:p>
    <w:p w:rsidR="00A92422" w:rsidRPr="00FD2F4B" w:rsidRDefault="00A92422" w:rsidP="00A92422">
      <w:pPr>
        <w:pStyle w:val="ListParagraph"/>
        <w:contextualSpacing w:val="0"/>
        <w:rPr>
          <w:rFonts w:ascii="Tahoma" w:hAnsi="Tahoma" w:cs="Tahoma"/>
          <w:sz w:val="18"/>
          <w:szCs w:val="18"/>
        </w:rPr>
      </w:pPr>
    </w:p>
    <w:p w:rsidR="00A92422" w:rsidRPr="00FD2F4B" w:rsidRDefault="00A92422" w:rsidP="00A92422">
      <w:pPr>
        <w:pStyle w:val="ListParagraph"/>
        <w:contextualSpacing w:val="0"/>
        <w:rPr>
          <w:rFonts w:ascii="Tahoma" w:hAnsi="Tahoma" w:cs="Tahoma"/>
          <w:sz w:val="18"/>
          <w:szCs w:val="18"/>
        </w:rPr>
      </w:pPr>
      <w:r w:rsidRPr="00FD2F4B">
        <w:rPr>
          <w:rFonts w:ascii="Tahoma" w:hAnsi="Tahoma" w:cs="Tahoma"/>
          <w:sz w:val="18"/>
          <w:szCs w:val="18"/>
          <w:lang w:val="it-IT"/>
        </w:rPr>
        <w:t>Per ogni Licenza Qualificante acquistata ai sensi del contratto Open Value Subscription, una società potrà eseguire il buy-out di una licenza per SBS 2011 Standard come indicato o di:</w:t>
      </w:r>
    </w:p>
    <w:p w:rsidR="00A92422" w:rsidRPr="00FD2F4B" w:rsidRDefault="00A92422" w:rsidP="00A92422">
      <w:pPr>
        <w:pStyle w:val="ListParagraph"/>
        <w:contextualSpacing w:val="0"/>
        <w:rPr>
          <w:rFonts w:ascii="Tahoma" w:hAnsi="Tahoma" w:cs="Tahoma"/>
          <w:sz w:val="18"/>
          <w:szCs w:val="18"/>
        </w:rPr>
      </w:pPr>
    </w:p>
    <w:p w:rsidR="00A92422" w:rsidRPr="00FD2F4B" w:rsidRDefault="00A92422" w:rsidP="00A92422">
      <w:pPr>
        <w:pStyle w:val="ListParagraph"/>
        <w:numPr>
          <w:ilvl w:val="1"/>
          <w:numId w:val="116"/>
        </w:numPr>
        <w:tabs>
          <w:tab w:val="clear" w:pos="1440"/>
        </w:tabs>
        <w:contextualSpacing w:val="0"/>
        <w:rPr>
          <w:rFonts w:ascii="Tahoma" w:hAnsi="Tahoma" w:cs="Tahoma"/>
          <w:sz w:val="18"/>
          <w:szCs w:val="18"/>
        </w:rPr>
      </w:pPr>
      <w:r w:rsidRPr="00FD2F4B">
        <w:rPr>
          <w:rFonts w:ascii="Tahoma" w:hAnsi="Tahoma" w:cs="Tahoma"/>
          <w:sz w:val="18"/>
          <w:szCs w:val="18"/>
          <w:lang w:val="it-IT"/>
        </w:rPr>
        <w:t>Una licenza per Windows Server 2012 Standard e una per Exchange Server 2010 Standard per i contratti in scadenza in data 1 agosto 2012 o successiva oppure</w:t>
      </w:r>
    </w:p>
    <w:p w:rsidR="00A92422" w:rsidRPr="00FD2F4B" w:rsidRDefault="00A92422" w:rsidP="00A92422">
      <w:pPr>
        <w:pStyle w:val="ListParagraph"/>
        <w:numPr>
          <w:ilvl w:val="1"/>
          <w:numId w:val="116"/>
        </w:numPr>
        <w:tabs>
          <w:tab w:val="clear" w:pos="1440"/>
        </w:tabs>
        <w:contextualSpacing w:val="0"/>
        <w:rPr>
          <w:rFonts w:ascii="Tahoma" w:hAnsi="Tahoma" w:cs="Tahoma"/>
          <w:sz w:val="18"/>
          <w:szCs w:val="18"/>
        </w:rPr>
      </w:pPr>
      <w:r w:rsidRPr="00FD2F4B">
        <w:rPr>
          <w:rFonts w:ascii="Tahoma" w:hAnsi="Tahoma" w:cs="Tahoma"/>
          <w:sz w:val="18"/>
          <w:szCs w:val="18"/>
          <w:lang w:val="it-IT"/>
        </w:rPr>
        <w:t>Una licenza per Windows Server 2008 R2 Standard e una per Exchange Server 2010 Standard per i contratti in scadenza in data 1 luglio 2012.</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lang w:val="it-IT"/>
        </w:rPr>
        <w:t>Eseguendo l’aggiornamento a Windows Server Standard ed Exchange Server 2010 Standard ai sensi della presente concessione, le Licenze Qualificanti in essere per SBS Standard non saranno più valide.</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color w:val="000000"/>
          <w:lang w:val="it-IT"/>
        </w:rPr>
        <w:t>Le licenze per SBS 2011 Standard acquistate successivamente nello stesso periodo di validità dell’iscrizione nell’ambito di una procedura pianificata di true-up di una società Open Value Subscription o EES sono anch’esse Licenze Qualificanti per gli scopi previsti dalla suddetta concessione.</w:t>
      </w:r>
    </w:p>
    <w:p w:rsidR="00A92422" w:rsidRPr="00D87B79" w:rsidRDefault="00A92422" w:rsidP="00A92422">
      <w:pPr>
        <w:rPr>
          <w:rFonts w:cs="Tahoma"/>
        </w:rPr>
      </w:pPr>
      <w:bookmarkStart w:id="1640" w:name="_100_SBS_2008"/>
      <w:bookmarkStart w:id="1641" w:name="_101_SBS_2008"/>
      <w:bookmarkStart w:id="1642" w:name="_105_SBS_2008"/>
      <w:bookmarkStart w:id="1643" w:name="_125_Windows_Web"/>
      <w:bookmarkEnd w:id="1640"/>
      <w:bookmarkEnd w:id="1641"/>
      <w:bookmarkEnd w:id="1642"/>
      <w:bookmarkEnd w:id="1643"/>
    </w:p>
    <w:p w:rsidR="00A92422" w:rsidRPr="00D87B79" w:rsidRDefault="00A92422" w:rsidP="00A92422">
      <w:pPr>
        <w:rPr>
          <w:rFonts w:cs="Tahoma"/>
        </w:rPr>
      </w:pPr>
    </w:p>
    <w:p w:rsidR="00A92422" w:rsidRPr="00D87B79" w:rsidRDefault="00A92422" w:rsidP="00A92422">
      <w:pPr>
        <w:pStyle w:val="Heading2"/>
        <w:ind w:left="0"/>
        <w:rPr>
          <w:rFonts w:ascii="Tahoma" w:hAnsi="Tahoma" w:cs="Tahoma"/>
        </w:rPr>
      </w:pPr>
      <w:bookmarkStart w:id="1644" w:name="_122_Windows_Small"/>
      <w:bookmarkStart w:id="1645" w:name="_120_Windows_Small"/>
      <w:bookmarkStart w:id="1646" w:name="_110_Windows_Small"/>
      <w:bookmarkStart w:id="1647" w:name="_Toc336338378"/>
      <w:bookmarkStart w:id="1648" w:name="_112_CAL_Suite"/>
      <w:bookmarkStart w:id="1649" w:name="_Toc342900422"/>
      <w:bookmarkEnd w:id="1644"/>
      <w:bookmarkEnd w:id="1645"/>
      <w:bookmarkEnd w:id="1646"/>
      <w:bookmarkEnd w:id="1647"/>
      <w:bookmarkEnd w:id="1648"/>
      <w:r w:rsidRPr="00D87B79">
        <w:rPr>
          <w:rFonts w:ascii="Tahoma" w:hAnsi="Tahoma" w:cs="Tahoma"/>
          <w:caps/>
          <w:color w:val="EE6000"/>
          <w:sz w:val="22"/>
          <w:vertAlign w:val="superscript"/>
          <w:lang w:val="it-IT"/>
        </w:rPr>
        <w:lastRenderedPageBreak/>
        <w:t>112</w:t>
      </w:r>
      <w:r w:rsidRPr="00D87B79">
        <w:rPr>
          <w:rFonts w:ascii="Tahoma" w:hAnsi="Tahoma" w:cs="Tahoma"/>
          <w:color w:val="EE6000"/>
          <w:sz w:val="22"/>
          <w:lang w:val="it-IT"/>
        </w:rPr>
        <w:t xml:space="preserve"> </w:t>
      </w:r>
      <w:r w:rsidRPr="00D87B79">
        <w:rPr>
          <w:rFonts w:ascii="Tahoma" w:hAnsi="Tahoma" w:cs="Tahoma"/>
          <w:color w:val="F8701C"/>
          <w:sz w:val="22"/>
          <w:lang w:val="it-IT"/>
        </w:rPr>
        <w:t>CAL Suite per Windows Small Business Server (SBS) 2011</w:t>
      </w:r>
      <w:bookmarkEnd w:id="1649"/>
    </w:p>
    <w:p w:rsidR="00A92422" w:rsidRPr="00D87B79" w:rsidRDefault="00A92422" w:rsidP="00A92422">
      <w:pPr>
        <w:ind w:left="900"/>
        <w:rPr>
          <w:rFonts w:cs="Tahoma"/>
        </w:rPr>
      </w:pPr>
    </w:p>
    <w:p w:rsidR="00A92422" w:rsidRPr="00D87B79" w:rsidRDefault="00A92422" w:rsidP="00A92422">
      <w:pPr>
        <w:spacing w:after="60"/>
        <w:ind w:left="720"/>
        <w:rPr>
          <w:rFonts w:cs="Tahoma"/>
        </w:rPr>
      </w:pPr>
      <w:r w:rsidRPr="00D87B79">
        <w:rPr>
          <w:rFonts w:cs="Tahoma"/>
          <w:b/>
          <w:color w:val="000000"/>
          <w:lang w:val="it-IT"/>
        </w:rPr>
        <w:t>Concessioni di licenza associate alla fine del ciclo di vita della CAL Suite per SBS 2011</w:t>
      </w:r>
    </w:p>
    <w:p w:rsidR="00A92422" w:rsidRPr="00D87B79" w:rsidRDefault="00A92422" w:rsidP="00A92422">
      <w:pPr>
        <w:ind w:left="720"/>
        <w:rPr>
          <w:rFonts w:cs="Tahoma"/>
        </w:rPr>
      </w:pPr>
      <w:r w:rsidRPr="00D87B79">
        <w:rPr>
          <w:rFonts w:cs="Tahoma"/>
          <w:color w:val="000000"/>
          <w:lang w:val="it-IT"/>
        </w:rPr>
        <w:t>Le società con copertura Software Assurance attiva per CAL Suite per SBS 2011 (“Licenze Qualificanti”) sono</w:t>
      </w:r>
      <w:r>
        <w:rPr>
          <w:rFonts w:cs="Tahoma"/>
          <w:color w:val="000000"/>
          <w:lang w:val="it-IT"/>
        </w:rPr>
        <w:t> </w:t>
      </w:r>
      <w:r w:rsidRPr="00D87B79">
        <w:rPr>
          <w:rFonts w:cs="Tahoma"/>
          <w:color w:val="000000"/>
          <w:lang w:val="it-IT"/>
        </w:rPr>
        <w:t xml:space="preserve">idonee ad accedere al software </w:t>
      </w:r>
      <w:r w:rsidRPr="00D87B79">
        <w:rPr>
          <w:rFonts w:cs="Tahoma"/>
          <w:lang w:val="it-IT"/>
        </w:rPr>
        <w:t xml:space="preserve">Windows Server Standard ed Exchange Server 2010. </w:t>
      </w:r>
      <w:r w:rsidRPr="00D87B79">
        <w:rPr>
          <w:rFonts w:cs="Tahoma"/>
          <w:color w:val="000000"/>
          <w:lang w:val="it-IT"/>
        </w:rPr>
        <w:t>Per agevolare tale utilizzo, per ogni licenza CAL Qualificante in suo possesso, alla società verrà concessa una licenza CAL per Windows Server Standard e una per Exchange Server 2010, come illustrato nella tabella che segue.</w:t>
      </w:r>
      <w:r w:rsidRPr="00D87B79">
        <w:rPr>
          <w:rFonts w:cs="Tahoma"/>
        </w:rPr>
        <w:t xml:space="preserve"> </w:t>
      </w:r>
    </w:p>
    <w:p w:rsidR="00A92422" w:rsidRDefault="00A92422" w:rsidP="00A92422">
      <w:pPr>
        <w:ind w:left="720"/>
        <w:rPr>
          <w:rFonts w:cs="Tahoma"/>
        </w:rPr>
      </w:pPr>
    </w:p>
    <w:p w:rsidR="00A92422" w:rsidRDefault="00A92422" w:rsidP="00A92422">
      <w:pPr>
        <w:ind w:left="720"/>
        <w:rPr>
          <w:rFonts w:cs="Tahoma"/>
        </w:rPr>
      </w:pPr>
    </w:p>
    <w:p w:rsidR="00A92422" w:rsidRPr="00D87B79" w:rsidRDefault="00A92422" w:rsidP="00A92422">
      <w:pPr>
        <w:ind w:left="72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A92422" w:rsidRPr="00D87B79" w:rsidTr="00EA30FC">
        <w:tc>
          <w:tcPr>
            <w:tcW w:w="3960" w:type="dxa"/>
            <w:tcBorders>
              <w:top w:val="single" w:sz="4" w:space="0" w:color="auto"/>
              <w:left w:val="single" w:sz="4" w:space="0" w:color="auto"/>
              <w:bottom w:val="single" w:sz="4" w:space="0" w:color="auto"/>
              <w:right w:val="single" w:sz="4" w:space="0" w:color="auto"/>
            </w:tcBorders>
            <w:shd w:val="clear" w:color="auto" w:fill="F4B083"/>
          </w:tcPr>
          <w:p w:rsidR="00A92422" w:rsidRPr="00D87B79" w:rsidRDefault="00A92422" w:rsidP="00EA30FC">
            <w:pPr>
              <w:spacing w:after="200" w:line="276" w:lineRule="auto"/>
              <w:rPr>
                <w:rFonts w:eastAsia="Times New Roman" w:cs="Tahoma"/>
                <w:szCs w:val="18"/>
              </w:rPr>
            </w:pPr>
            <w:r w:rsidRPr="00D87B79">
              <w:rPr>
                <w:rFonts w:cs="Tahoma"/>
                <w:b/>
                <w:color w:val="000000"/>
                <w:lang w:val="it-IT"/>
              </w:rPr>
              <w:t>Licenze Qualificanti</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rsidR="00A92422" w:rsidRPr="00D87B79" w:rsidRDefault="00A92422" w:rsidP="00EA30FC">
            <w:pPr>
              <w:spacing w:after="200" w:line="276" w:lineRule="auto"/>
              <w:rPr>
                <w:rFonts w:eastAsia="Times New Roman" w:cs="Tahoma"/>
                <w:szCs w:val="18"/>
              </w:rPr>
            </w:pPr>
            <w:r w:rsidRPr="00D87B79">
              <w:rPr>
                <w:rFonts w:cs="Tahoma"/>
                <w:b/>
                <w:color w:val="000000"/>
                <w:lang w:val="it-IT"/>
              </w:rPr>
              <w:t>Concessione di Licenza</w:t>
            </w:r>
          </w:p>
        </w:tc>
      </w:tr>
      <w:tr w:rsidR="00A92422" w:rsidRPr="00D87B79" w:rsidTr="00EA30FC">
        <w:tc>
          <w:tcPr>
            <w:tcW w:w="3960" w:type="dxa"/>
            <w:tcBorders>
              <w:top w:val="single" w:sz="4" w:space="0" w:color="auto"/>
              <w:left w:val="single" w:sz="4" w:space="0" w:color="auto"/>
              <w:bottom w:val="single" w:sz="4" w:space="0" w:color="auto"/>
              <w:right w:val="single" w:sz="4" w:space="0" w:color="auto"/>
            </w:tcBorders>
          </w:tcPr>
          <w:p w:rsidR="00A92422" w:rsidRPr="00D87B79" w:rsidRDefault="00A92422" w:rsidP="00EA30FC">
            <w:pPr>
              <w:spacing w:after="200" w:line="276" w:lineRule="auto"/>
              <w:rPr>
                <w:rFonts w:eastAsia="Times New Roman" w:cs="Tahoma"/>
                <w:szCs w:val="18"/>
              </w:rPr>
            </w:pPr>
            <w:r w:rsidRPr="00D87B79">
              <w:rPr>
                <w:rFonts w:cs="Tahoma"/>
                <w:lang w:val="it-IT"/>
              </w:rPr>
              <w:t>CAL Suite per SBS 2011 con copertura Software Assurance fino al 31 luglio 2012</w:t>
            </w:r>
          </w:p>
        </w:tc>
        <w:tc>
          <w:tcPr>
            <w:tcW w:w="4788" w:type="dxa"/>
            <w:tcBorders>
              <w:top w:val="single" w:sz="4" w:space="0" w:color="auto"/>
              <w:left w:val="single" w:sz="4" w:space="0" w:color="auto"/>
              <w:bottom w:val="single" w:sz="4" w:space="0" w:color="auto"/>
              <w:right w:val="single" w:sz="4" w:space="0" w:color="auto"/>
            </w:tcBorders>
          </w:tcPr>
          <w:p w:rsidR="00A92422" w:rsidRPr="00D87B79" w:rsidRDefault="00A92422" w:rsidP="00EA30FC">
            <w:pPr>
              <w:spacing w:after="200" w:line="276" w:lineRule="auto"/>
              <w:rPr>
                <w:rFonts w:cs="Tahoma"/>
              </w:rPr>
            </w:pPr>
            <w:r w:rsidRPr="00D87B79">
              <w:rPr>
                <w:rFonts w:cs="Tahoma"/>
                <w:lang w:val="it-IT"/>
              </w:rPr>
              <w:t>CAL per Windows Server 2008 R2</w:t>
            </w:r>
          </w:p>
          <w:p w:rsidR="00A92422" w:rsidRPr="00D87B79" w:rsidRDefault="00A92422" w:rsidP="00EA30FC">
            <w:pPr>
              <w:spacing w:after="200" w:line="276" w:lineRule="auto"/>
              <w:rPr>
                <w:rFonts w:eastAsia="Times New Roman" w:cs="Tahoma"/>
                <w:szCs w:val="18"/>
              </w:rPr>
            </w:pPr>
            <w:r w:rsidRPr="00D87B79">
              <w:rPr>
                <w:rFonts w:eastAsia="Times New Roman" w:cs="Tahoma"/>
                <w:szCs w:val="18"/>
                <w:lang w:val="it-IT"/>
              </w:rPr>
              <w:t>CAL per Exchange Server 2010</w:t>
            </w:r>
          </w:p>
        </w:tc>
      </w:tr>
      <w:tr w:rsidR="00A92422" w:rsidRPr="00D87B79" w:rsidTr="00EA30FC">
        <w:tc>
          <w:tcPr>
            <w:tcW w:w="3960" w:type="dxa"/>
            <w:tcBorders>
              <w:top w:val="single" w:sz="4" w:space="0" w:color="auto"/>
              <w:left w:val="single" w:sz="4" w:space="0" w:color="auto"/>
              <w:bottom w:val="single" w:sz="4" w:space="0" w:color="auto"/>
              <w:right w:val="single" w:sz="4" w:space="0" w:color="auto"/>
            </w:tcBorders>
          </w:tcPr>
          <w:p w:rsidR="00A92422" w:rsidRPr="00D87B79" w:rsidRDefault="00A92422" w:rsidP="00EA30FC">
            <w:pPr>
              <w:spacing w:after="200" w:line="276" w:lineRule="auto"/>
              <w:rPr>
                <w:rFonts w:eastAsia="Times New Roman" w:cs="Tahoma"/>
                <w:szCs w:val="18"/>
              </w:rPr>
            </w:pPr>
            <w:r w:rsidRPr="00D87B79">
              <w:rPr>
                <w:rFonts w:cs="Tahoma"/>
                <w:lang w:val="it-IT"/>
              </w:rPr>
              <w:t>CAL Suite per SBS 2011 con copertura Software Assurance in data 1 agosto 2012 o</w:t>
            </w:r>
            <w:r>
              <w:rPr>
                <w:rFonts w:cs="Tahoma"/>
                <w:lang w:val="it-IT"/>
              </w:rPr>
              <w:t> </w:t>
            </w:r>
            <w:r w:rsidRPr="00D87B79">
              <w:rPr>
                <w:rFonts w:cs="Tahoma"/>
                <w:lang w:val="it-IT"/>
              </w:rPr>
              <w:t>successiva</w:t>
            </w:r>
          </w:p>
        </w:tc>
        <w:tc>
          <w:tcPr>
            <w:tcW w:w="4788" w:type="dxa"/>
            <w:tcBorders>
              <w:top w:val="single" w:sz="4" w:space="0" w:color="auto"/>
              <w:left w:val="single" w:sz="4" w:space="0" w:color="auto"/>
              <w:bottom w:val="single" w:sz="4" w:space="0" w:color="auto"/>
              <w:right w:val="single" w:sz="4" w:space="0" w:color="auto"/>
            </w:tcBorders>
          </w:tcPr>
          <w:p w:rsidR="00A92422" w:rsidRPr="00D87B79" w:rsidRDefault="00A92422" w:rsidP="00EA30FC">
            <w:pPr>
              <w:spacing w:after="200" w:line="276" w:lineRule="auto"/>
              <w:rPr>
                <w:rFonts w:cs="Tahoma"/>
              </w:rPr>
            </w:pPr>
            <w:r w:rsidRPr="00D87B79">
              <w:rPr>
                <w:rFonts w:cs="Tahoma"/>
                <w:lang w:val="it-IT"/>
              </w:rPr>
              <w:t>CAL per Windows Server 2012 con Software Assurance</w:t>
            </w:r>
          </w:p>
          <w:p w:rsidR="00A92422" w:rsidRPr="00D87B79" w:rsidRDefault="00A92422" w:rsidP="00EA30FC">
            <w:pPr>
              <w:spacing w:after="200" w:line="276" w:lineRule="auto"/>
              <w:rPr>
                <w:rFonts w:eastAsia="Times New Roman" w:cs="Tahoma"/>
                <w:szCs w:val="18"/>
              </w:rPr>
            </w:pPr>
            <w:r w:rsidRPr="00D87B79">
              <w:rPr>
                <w:rFonts w:eastAsia="Times New Roman" w:cs="Tahoma"/>
                <w:szCs w:val="18"/>
                <w:lang w:val="it-IT"/>
              </w:rPr>
              <w:t>CAL per Exchange Server 2010 con Software Assurance</w:t>
            </w:r>
          </w:p>
        </w:tc>
      </w:tr>
    </w:tbl>
    <w:p w:rsidR="00A92422" w:rsidRPr="0008486B" w:rsidRDefault="00A92422" w:rsidP="00A92422">
      <w:pPr>
        <w:pStyle w:val="ListParagraph"/>
        <w:contextualSpacing w:val="0"/>
        <w:rPr>
          <w:rFonts w:ascii="Tahoma" w:hAnsi="Tahoma" w:cs="Tahoma"/>
          <w:sz w:val="18"/>
          <w:szCs w:val="18"/>
        </w:rPr>
      </w:pPr>
    </w:p>
    <w:p w:rsidR="00A92422" w:rsidRPr="00D87B79" w:rsidRDefault="00A92422" w:rsidP="00A92422">
      <w:pPr>
        <w:pStyle w:val="ListParagraph"/>
        <w:contextualSpacing w:val="0"/>
        <w:rPr>
          <w:rFonts w:ascii="Tahoma" w:hAnsi="Tahoma" w:cs="Tahoma"/>
        </w:rPr>
      </w:pPr>
      <w:r w:rsidRPr="00D87B79">
        <w:rPr>
          <w:rFonts w:ascii="Tahoma" w:hAnsi="Tahoma" w:cs="Tahoma"/>
          <w:sz w:val="18"/>
          <w:szCs w:val="18"/>
          <w:lang w:val="it-IT"/>
        </w:rPr>
        <w:t>La copertura Software Assurance inclusa nella suddetta concessione scade alla scadenza della corrispondente copertura per le CAL Qualificanti.</w:t>
      </w:r>
      <w:r w:rsidRPr="00D87B79">
        <w:rPr>
          <w:rFonts w:ascii="Tahoma" w:hAnsi="Tahoma" w:cs="Tahoma"/>
        </w:rPr>
        <w:t xml:space="preserve"> </w:t>
      </w:r>
      <w:r w:rsidRPr="00D87B79">
        <w:rPr>
          <w:rFonts w:ascii="Tahoma" w:hAnsi="Tahoma" w:cs="Tahoma"/>
          <w:sz w:val="18"/>
          <w:lang w:val="it-IT"/>
        </w:rPr>
        <w:t>In via eccezionale, le società con copertura Software Assurance attiva per le CAL Qualificanti in scadenza nel mese di agosto 2012 hanno la possibilità fino al</w:t>
      </w:r>
      <w:r>
        <w:rPr>
          <w:rFonts w:ascii="Tahoma" w:hAnsi="Tahoma" w:cs="Tahoma"/>
          <w:sz w:val="18"/>
          <w:lang w:val="it-IT"/>
        </w:rPr>
        <w:t> </w:t>
      </w:r>
      <w:r w:rsidRPr="00D87B79">
        <w:rPr>
          <w:rFonts w:ascii="Tahoma" w:hAnsi="Tahoma" w:cs="Tahoma"/>
          <w:sz w:val="18"/>
          <w:lang w:val="it-IT"/>
        </w:rPr>
        <w:t>31</w:t>
      </w:r>
      <w:r>
        <w:rPr>
          <w:rFonts w:ascii="Tahoma" w:hAnsi="Tahoma" w:cs="Tahoma"/>
          <w:sz w:val="18"/>
          <w:lang w:val="it-IT"/>
        </w:rPr>
        <w:t> </w:t>
      </w:r>
      <w:r w:rsidRPr="00D87B79">
        <w:rPr>
          <w:rFonts w:ascii="Tahoma" w:hAnsi="Tahoma" w:cs="Tahoma"/>
          <w:sz w:val="18"/>
          <w:lang w:val="it-IT"/>
        </w:rPr>
        <w:t>dicembre 2012 di rinnovare la copertura per le CAL ricevute in concessione ai sensi della presente offerta.</w:t>
      </w:r>
      <w:r w:rsidRPr="00D87B79">
        <w:rPr>
          <w:rFonts w:ascii="Tahoma" w:hAnsi="Tahoma" w:cs="Tahoma"/>
        </w:rPr>
        <w:t xml:space="preserve"> </w:t>
      </w:r>
      <w:r w:rsidRPr="00D87B79">
        <w:rPr>
          <w:rFonts w:ascii="Tahoma" w:hAnsi="Tahoma" w:cs="Tahoma"/>
          <w:sz w:val="18"/>
          <w:lang w:val="it-IT"/>
        </w:rPr>
        <w:t>Le società con copertura Software Assurance attiva per le CAL Qualificanti in scadenza nel mese di</w:t>
      </w:r>
      <w:r>
        <w:rPr>
          <w:rFonts w:ascii="Tahoma" w:hAnsi="Tahoma" w:cs="Tahoma"/>
          <w:sz w:val="18"/>
          <w:lang w:val="it-IT"/>
        </w:rPr>
        <w:t> </w:t>
      </w:r>
      <w:r w:rsidRPr="00D87B79">
        <w:rPr>
          <w:rFonts w:ascii="Tahoma" w:hAnsi="Tahoma" w:cs="Tahoma"/>
          <w:sz w:val="18"/>
          <w:lang w:val="it-IT"/>
        </w:rPr>
        <w:t>luglio 2012 hanno la possibilità fino al 31 dicembre 2012 di acquistare la copertura per le CAL ricevute in</w:t>
      </w:r>
      <w:r>
        <w:rPr>
          <w:rFonts w:ascii="Tahoma" w:hAnsi="Tahoma" w:cs="Tahoma"/>
          <w:sz w:val="18"/>
          <w:lang w:val="it-IT"/>
        </w:rPr>
        <w:t> </w:t>
      </w:r>
      <w:r w:rsidRPr="00D87B79">
        <w:rPr>
          <w:rFonts w:ascii="Tahoma" w:hAnsi="Tahoma" w:cs="Tahoma"/>
          <w:sz w:val="18"/>
          <w:lang w:val="it-IT"/>
        </w:rPr>
        <w:t>concessione ai sensi della presente offerta.</w:t>
      </w:r>
    </w:p>
    <w:p w:rsidR="00A92422" w:rsidRPr="0008486B" w:rsidRDefault="00A92422" w:rsidP="00A92422">
      <w:pPr>
        <w:pStyle w:val="ListParagraph"/>
        <w:contextualSpacing w:val="0"/>
        <w:rPr>
          <w:rFonts w:ascii="Tahoma" w:hAnsi="Tahoma" w:cs="Tahoma"/>
          <w:sz w:val="18"/>
          <w:szCs w:val="18"/>
        </w:rPr>
      </w:pPr>
    </w:p>
    <w:p w:rsidR="00A92422" w:rsidRPr="00D87B79" w:rsidRDefault="00A92422" w:rsidP="00A92422">
      <w:pPr>
        <w:pStyle w:val="ListParagraph"/>
        <w:contextualSpacing w:val="0"/>
        <w:rPr>
          <w:rFonts w:ascii="Tahoma" w:hAnsi="Tahoma" w:cs="Tahoma"/>
        </w:rPr>
      </w:pPr>
      <w:r w:rsidRPr="00D87B79">
        <w:rPr>
          <w:rFonts w:ascii="Tahoma" w:hAnsi="Tahoma" w:cs="Tahoma"/>
          <w:sz w:val="18"/>
          <w:lang w:val="it-IT"/>
        </w:rPr>
        <w:t>Nel caso in cui le società abbiano acquistato diritti perpetui previsti dalle CAL qualificanti, le CAL acquistate ai sensi della presente concessione saranno anch’esse perpetue; diversamente, le CAL acquistate ai sensi della presente concessione cesseranno alla scadenza delle CAL Qualificanti sottostanti.</w:t>
      </w:r>
    </w:p>
    <w:p w:rsidR="00A92422" w:rsidRPr="0063568C" w:rsidRDefault="00A92422" w:rsidP="00A92422">
      <w:pPr>
        <w:pStyle w:val="ListParagraph"/>
        <w:contextualSpacing w:val="0"/>
        <w:rPr>
          <w:rFonts w:ascii="Tahoma" w:hAnsi="Tahoma" w:cs="Tahoma"/>
          <w:sz w:val="18"/>
          <w:szCs w:val="18"/>
        </w:rPr>
      </w:pPr>
    </w:p>
    <w:p w:rsidR="00A92422" w:rsidRPr="00D87B79" w:rsidRDefault="00A92422" w:rsidP="00A92422">
      <w:pPr>
        <w:pStyle w:val="ListParagraph"/>
        <w:contextualSpacing w:val="0"/>
        <w:rPr>
          <w:rFonts w:ascii="Tahoma" w:hAnsi="Tahoma" w:cs="Tahoma"/>
        </w:rPr>
      </w:pPr>
      <w:r w:rsidRPr="00D87B79">
        <w:rPr>
          <w:rFonts w:ascii="Tahoma" w:hAnsi="Tahoma" w:cs="Tahoma"/>
          <w:sz w:val="18"/>
          <w:lang w:val="it-IT"/>
        </w:rPr>
        <w:t>Per ogni CAL Qualificante acquistata ai sensi del contratto Open Value Subscription, una società potrà eseguire il buy-out di una CAL Suite per SBS 2011 come indicato o di:</w:t>
      </w:r>
    </w:p>
    <w:p w:rsidR="00A92422" w:rsidRPr="0063568C" w:rsidRDefault="00A92422" w:rsidP="00A92422">
      <w:pPr>
        <w:pStyle w:val="ListParagraph"/>
        <w:contextualSpacing w:val="0"/>
        <w:rPr>
          <w:rFonts w:ascii="Tahoma" w:hAnsi="Tahoma" w:cs="Tahoma"/>
          <w:sz w:val="18"/>
          <w:szCs w:val="18"/>
        </w:rPr>
      </w:pPr>
    </w:p>
    <w:p w:rsidR="00A92422" w:rsidRPr="00D87B79" w:rsidRDefault="00A92422" w:rsidP="00A92422">
      <w:pPr>
        <w:pStyle w:val="ListParagraph"/>
        <w:numPr>
          <w:ilvl w:val="1"/>
          <w:numId w:val="116"/>
        </w:numPr>
        <w:tabs>
          <w:tab w:val="clear" w:pos="1440"/>
        </w:tabs>
        <w:spacing w:after="60"/>
        <w:ind w:left="1800"/>
        <w:contextualSpacing w:val="0"/>
        <w:rPr>
          <w:rFonts w:ascii="Tahoma" w:hAnsi="Tahoma" w:cs="Tahoma"/>
        </w:rPr>
      </w:pPr>
      <w:r w:rsidRPr="00D87B79">
        <w:rPr>
          <w:rFonts w:ascii="Tahoma" w:hAnsi="Tahoma" w:cs="Tahoma"/>
          <w:sz w:val="18"/>
          <w:lang w:val="it-IT"/>
        </w:rPr>
        <w:t>Una CAL per Windows Server 2012 e una per Exchange Server 2010 Standard per i contratti in</w:t>
      </w:r>
      <w:r>
        <w:rPr>
          <w:rFonts w:ascii="Tahoma" w:hAnsi="Tahoma" w:cs="Tahoma"/>
          <w:sz w:val="18"/>
          <w:lang w:val="it-IT"/>
        </w:rPr>
        <w:t> </w:t>
      </w:r>
      <w:r w:rsidRPr="00D87B79">
        <w:rPr>
          <w:rFonts w:ascii="Tahoma" w:hAnsi="Tahoma" w:cs="Tahoma"/>
          <w:sz w:val="18"/>
          <w:lang w:val="it-IT"/>
        </w:rPr>
        <w:t>scadenza in data 1 agosto 2012 o successiva e</w:t>
      </w:r>
    </w:p>
    <w:p w:rsidR="00A92422" w:rsidRPr="00D87B79" w:rsidRDefault="00A92422" w:rsidP="00A92422">
      <w:pPr>
        <w:pStyle w:val="ListParagraph"/>
        <w:numPr>
          <w:ilvl w:val="1"/>
          <w:numId w:val="116"/>
        </w:numPr>
        <w:tabs>
          <w:tab w:val="clear" w:pos="1440"/>
        </w:tabs>
        <w:spacing w:after="60"/>
        <w:ind w:left="1800"/>
        <w:contextualSpacing w:val="0"/>
        <w:rPr>
          <w:rFonts w:ascii="Tahoma" w:hAnsi="Tahoma" w:cs="Tahoma"/>
        </w:rPr>
      </w:pPr>
      <w:r w:rsidRPr="00D87B79">
        <w:rPr>
          <w:rFonts w:ascii="Tahoma" w:hAnsi="Tahoma" w:cs="Tahoma"/>
          <w:sz w:val="18"/>
          <w:lang w:val="it-IT"/>
        </w:rPr>
        <w:t>Una CAL per Windows Server 2008 e una per Exchange Server 2010 Standard per i contratti in</w:t>
      </w:r>
      <w:r>
        <w:rPr>
          <w:rFonts w:ascii="Tahoma" w:hAnsi="Tahoma" w:cs="Tahoma"/>
          <w:sz w:val="18"/>
          <w:lang w:val="it-IT"/>
        </w:rPr>
        <w:t> </w:t>
      </w:r>
      <w:r w:rsidRPr="00D87B79">
        <w:rPr>
          <w:rFonts w:ascii="Tahoma" w:hAnsi="Tahoma" w:cs="Tahoma"/>
          <w:sz w:val="18"/>
          <w:lang w:val="it-IT"/>
        </w:rPr>
        <w:t>scadenza in data 1 luglio 2012.</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lang w:val="it-IT"/>
        </w:rPr>
        <w:t>Utilizzando la CAL per Windows Server e la CAL per Exchange Server 2010 Standard ai sensi della presente</w:t>
      </w:r>
      <w:r>
        <w:rPr>
          <w:rFonts w:cs="Tahoma"/>
          <w:lang w:val="it-IT"/>
        </w:rPr>
        <w:t> </w:t>
      </w:r>
      <w:r w:rsidRPr="00D87B79">
        <w:rPr>
          <w:rFonts w:cs="Tahoma"/>
          <w:lang w:val="it-IT"/>
        </w:rPr>
        <w:t>concessione, le CAL Qualificanti delle società per la CAL Suite in essere per SBS 2011 non saranno</w:t>
      </w:r>
      <w:r>
        <w:rPr>
          <w:rFonts w:cs="Tahoma"/>
          <w:lang w:val="it-IT"/>
        </w:rPr>
        <w:t> </w:t>
      </w:r>
      <w:r w:rsidRPr="00D87B79">
        <w:rPr>
          <w:rFonts w:cs="Tahoma"/>
          <w:lang w:val="it-IT"/>
        </w:rPr>
        <w:t>più valide.</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color w:val="000000"/>
          <w:lang w:val="it-IT"/>
        </w:rPr>
        <w:t>La CAL Suite per SBS 2011 acquistata successivamente nello stesso periodo di validità dell’iscrizione nell’ambito di una procedura pianificata di true-up di una società Open Value Subscription o EES sono anch’esse CAL Qualificanti per gli scopi previsti dalla suddetta concessione.</w:t>
      </w:r>
      <w:r w:rsidRPr="00D87B79">
        <w:rPr>
          <w:rFonts w:cs="Tahoma"/>
        </w:rPr>
        <w:t xml:space="preserve"> </w:t>
      </w:r>
    </w:p>
    <w:p w:rsidR="00A92422" w:rsidRPr="00D87B79" w:rsidRDefault="00A92422" w:rsidP="00A92422">
      <w:pPr>
        <w:ind w:left="900"/>
        <w:rPr>
          <w:rFonts w:cs="Tahoma"/>
        </w:rPr>
      </w:pPr>
    </w:p>
    <w:p w:rsidR="00A92422" w:rsidRPr="00D87B79" w:rsidRDefault="00A92422" w:rsidP="00A92422">
      <w:pPr>
        <w:ind w:left="900"/>
        <w:rPr>
          <w:rFonts w:cs="Tahoma"/>
        </w:rPr>
      </w:pPr>
    </w:p>
    <w:p w:rsidR="00A92422" w:rsidRPr="00D87B79" w:rsidRDefault="00A92422" w:rsidP="00A92422">
      <w:pPr>
        <w:pStyle w:val="Heading2"/>
        <w:ind w:hanging="720"/>
        <w:rPr>
          <w:rFonts w:ascii="Tahoma" w:hAnsi="Tahoma" w:cs="Tahoma"/>
        </w:rPr>
      </w:pPr>
      <w:bookmarkStart w:id="1650" w:name="Srv_122WinSmallBizSVR2011Addon"/>
      <w:bookmarkStart w:id="1651" w:name="_Toc336338379"/>
      <w:bookmarkStart w:id="1652" w:name="_113_Premium_Add-on"/>
      <w:bookmarkStart w:id="1653" w:name="_Toc342900423"/>
      <w:bookmarkStart w:id="1654" w:name="Srv_112WinSmallBizSVR2011Addon"/>
      <w:bookmarkStart w:id="1655" w:name="Srv_118WinSmallBizSVR2011Addon"/>
      <w:bookmarkEnd w:id="1650"/>
      <w:bookmarkEnd w:id="1651"/>
      <w:bookmarkEnd w:id="1652"/>
      <w:r w:rsidRPr="00D87B79">
        <w:rPr>
          <w:rFonts w:ascii="Tahoma" w:hAnsi="Tahoma" w:cs="Tahoma"/>
          <w:caps/>
          <w:color w:val="EE6000"/>
          <w:sz w:val="22"/>
          <w:vertAlign w:val="superscript"/>
          <w:lang w:val="it-IT"/>
        </w:rPr>
        <w:t>113</w:t>
      </w:r>
      <w:r w:rsidRPr="00D87B79">
        <w:rPr>
          <w:rFonts w:ascii="Tahoma" w:hAnsi="Tahoma" w:cs="Tahoma"/>
          <w:color w:val="EE6000"/>
          <w:sz w:val="22"/>
          <w:lang w:val="it-IT"/>
        </w:rPr>
        <w:t xml:space="preserve"> Premium Add-on per Windows Small Business Server (SBS) 2011</w:t>
      </w:r>
      <w:bookmarkEnd w:id="1653"/>
    </w:p>
    <w:bookmarkEnd w:id="1654"/>
    <w:bookmarkEnd w:id="1655"/>
    <w:p w:rsidR="00A92422" w:rsidRPr="00D87B79" w:rsidRDefault="00A92422" w:rsidP="00A92422">
      <w:pPr>
        <w:ind w:left="900"/>
        <w:rPr>
          <w:rFonts w:cs="Tahoma"/>
        </w:rPr>
      </w:pPr>
    </w:p>
    <w:p w:rsidR="00A92422" w:rsidRPr="00D87B79" w:rsidRDefault="00A92422" w:rsidP="00A92422">
      <w:pPr>
        <w:spacing w:after="60"/>
        <w:ind w:left="720"/>
        <w:rPr>
          <w:rFonts w:cs="Tahoma"/>
        </w:rPr>
      </w:pPr>
      <w:r w:rsidRPr="00D87B79">
        <w:rPr>
          <w:rFonts w:cs="Tahoma"/>
          <w:b/>
          <w:color w:val="000000"/>
          <w:lang w:val="it-IT"/>
        </w:rPr>
        <w:t>Concessioni di licenza associate alla fine del ciclo di vita di SBS 2011 Premium Add-on</w:t>
      </w:r>
    </w:p>
    <w:p w:rsidR="00A92422" w:rsidRPr="00D87B79" w:rsidRDefault="00A92422" w:rsidP="00A92422">
      <w:pPr>
        <w:ind w:left="720"/>
        <w:rPr>
          <w:rFonts w:cs="Tahoma"/>
        </w:rPr>
      </w:pPr>
      <w:r w:rsidRPr="00D87B79">
        <w:rPr>
          <w:rFonts w:cs="Tahoma"/>
          <w:color w:val="000000"/>
          <w:lang w:val="it-IT"/>
        </w:rPr>
        <w:t>SBS 2011 Premium Add-on sarà l’ultima versione di SBS Premium Add-on.</w:t>
      </w:r>
      <w:r w:rsidRPr="00D87B79">
        <w:rPr>
          <w:rFonts w:cs="Tahoma"/>
        </w:rPr>
        <w:t xml:space="preserve"> </w:t>
      </w:r>
      <w:r w:rsidRPr="00D87B79">
        <w:rPr>
          <w:rFonts w:cs="Tahoma"/>
          <w:color w:val="000000"/>
          <w:lang w:val="it-IT"/>
        </w:rPr>
        <w:t xml:space="preserve">Alle società titolari di contratti multilicenza con copertura Software Assurance per le licenze SBS 2011 Premium Add-on (“Licenze Qualificanti”) sarà consentito effettuare l’aggiornamento ai prodotti </w:t>
      </w:r>
      <w:r w:rsidRPr="00D87B79">
        <w:rPr>
          <w:rFonts w:cs="Tahoma"/>
          <w:lang w:val="it-IT"/>
        </w:rPr>
        <w:t>software Windows Server Standard e</w:t>
      </w:r>
      <w:r>
        <w:rPr>
          <w:rFonts w:cs="Tahoma"/>
          <w:lang w:val="it-IT"/>
        </w:rPr>
        <w:t> </w:t>
      </w:r>
      <w:r w:rsidRPr="00D87B79">
        <w:rPr>
          <w:rFonts w:cs="Tahoma"/>
          <w:lang w:val="it-IT"/>
        </w:rPr>
        <w:t>SQL Server 2012 Standard e utilizzarli al posto di SBS 2011 Premium.</w:t>
      </w:r>
      <w:r w:rsidRPr="00D87B79">
        <w:rPr>
          <w:rFonts w:cs="Tahoma"/>
        </w:rPr>
        <w:t xml:space="preserve"> </w:t>
      </w:r>
      <w:r w:rsidRPr="00D87B79">
        <w:rPr>
          <w:rFonts w:cs="Tahoma"/>
          <w:lang w:val="it-IT"/>
        </w:rPr>
        <w:t xml:space="preserve">Per agevolare tale utilizzo, per </w:t>
      </w:r>
      <w:r w:rsidRPr="00D87B79">
        <w:rPr>
          <w:rFonts w:cs="Tahoma"/>
          <w:lang w:val="it-IT"/>
        </w:rPr>
        <w:lastRenderedPageBreak/>
        <w:t>ogni</w:t>
      </w:r>
      <w:r>
        <w:rPr>
          <w:rFonts w:cs="Tahoma"/>
          <w:lang w:val="it-IT"/>
        </w:rPr>
        <w:t> </w:t>
      </w:r>
      <w:r w:rsidRPr="00D87B79">
        <w:rPr>
          <w:rFonts w:cs="Tahoma"/>
          <w:lang w:val="it-IT"/>
        </w:rPr>
        <w:t>CAL Qualificante in suo possesso, alla società verrà concessa una licenza per Windows Server e una per</w:t>
      </w:r>
      <w:r>
        <w:rPr>
          <w:rFonts w:cs="Tahoma"/>
          <w:lang w:val="it-IT"/>
        </w:rPr>
        <w:t> </w:t>
      </w:r>
      <w:r w:rsidRPr="00D87B79">
        <w:rPr>
          <w:rFonts w:cs="Tahoma"/>
          <w:lang w:val="it-IT"/>
        </w:rPr>
        <w:t>SQL Server 2012 (secondo il modello Server/CAL), come illustrato nella tabella che segue.</w:t>
      </w:r>
      <w:r w:rsidRPr="00D87B79">
        <w:rPr>
          <w:rFonts w:cs="Tahoma"/>
        </w:rPr>
        <w:t xml:space="preserve"> </w:t>
      </w:r>
    </w:p>
    <w:p w:rsidR="00A92422" w:rsidRPr="00D87B79" w:rsidRDefault="00A92422" w:rsidP="00A92422">
      <w:pPr>
        <w:ind w:left="72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A92422" w:rsidRPr="00D87B79" w:rsidTr="00EA30FC">
        <w:trPr>
          <w:tblHeader/>
        </w:trPr>
        <w:tc>
          <w:tcPr>
            <w:tcW w:w="3960" w:type="dxa"/>
            <w:tcBorders>
              <w:top w:val="single" w:sz="4" w:space="0" w:color="auto"/>
              <w:left w:val="single" w:sz="4" w:space="0" w:color="auto"/>
              <w:bottom w:val="single" w:sz="4" w:space="0" w:color="auto"/>
              <w:right w:val="single" w:sz="4" w:space="0" w:color="auto"/>
            </w:tcBorders>
            <w:shd w:val="clear" w:color="auto" w:fill="F4B083"/>
          </w:tcPr>
          <w:p w:rsidR="00A92422" w:rsidRPr="00D87B79" w:rsidRDefault="00A92422" w:rsidP="00EA30FC">
            <w:pPr>
              <w:spacing w:after="200" w:line="276" w:lineRule="auto"/>
              <w:rPr>
                <w:rFonts w:eastAsia="Times New Roman" w:cs="Tahoma"/>
                <w:szCs w:val="18"/>
              </w:rPr>
            </w:pPr>
            <w:r w:rsidRPr="00D87B79">
              <w:rPr>
                <w:rFonts w:cs="Tahoma"/>
                <w:b/>
                <w:color w:val="000000"/>
                <w:lang w:val="it-IT"/>
              </w:rPr>
              <w:t>Licenze Qualificanti</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rsidR="00A92422" w:rsidRPr="00D87B79" w:rsidRDefault="00A92422" w:rsidP="00EA30FC">
            <w:pPr>
              <w:spacing w:after="200" w:line="276" w:lineRule="auto"/>
              <w:rPr>
                <w:rFonts w:eastAsia="Times New Roman" w:cs="Tahoma"/>
                <w:szCs w:val="18"/>
              </w:rPr>
            </w:pPr>
            <w:r w:rsidRPr="00D87B79">
              <w:rPr>
                <w:rFonts w:cs="Tahoma"/>
                <w:b/>
                <w:color w:val="000000"/>
                <w:lang w:val="it-IT"/>
              </w:rPr>
              <w:t>Concessione di Licenza</w:t>
            </w:r>
          </w:p>
        </w:tc>
      </w:tr>
      <w:tr w:rsidR="00A92422" w:rsidRPr="00D87B79" w:rsidTr="00EA30FC">
        <w:tc>
          <w:tcPr>
            <w:tcW w:w="3960" w:type="dxa"/>
            <w:tcBorders>
              <w:top w:val="single" w:sz="4" w:space="0" w:color="auto"/>
              <w:left w:val="single" w:sz="4" w:space="0" w:color="auto"/>
              <w:bottom w:val="single" w:sz="4" w:space="0" w:color="auto"/>
              <w:right w:val="single" w:sz="4" w:space="0" w:color="auto"/>
            </w:tcBorders>
          </w:tcPr>
          <w:p w:rsidR="00A92422" w:rsidRPr="00D87B79" w:rsidRDefault="00A92422" w:rsidP="00EA30FC">
            <w:pPr>
              <w:spacing w:after="200" w:line="276" w:lineRule="auto"/>
              <w:rPr>
                <w:rFonts w:eastAsia="Times New Roman" w:cs="Tahoma"/>
                <w:szCs w:val="18"/>
              </w:rPr>
            </w:pPr>
            <w:r w:rsidRPr="00D87B79">
              <w:rPr>
                <w:rFonts w:eastAsia="Times New Roman" w:cs="Tahoma"/>
                <w:szCs w:val="18"/>
                <w:lang w:val="it-IT"/>
              </w:rPr>
              <w:t>SBS 2011 Premium Add-on con copertura Software Assurance fino al 31 luglio 2012</w:t>
            </w:r>
          </w:p>
        </w:tc>
        <w:tc>
          <w:tcPr>
            <w:tcW w:w="4788" w:type="dxa"/>
            <w:tcBorders>
              <w:top w:val="single" w:sz="4" w:space="0" w:color="auto"/>
              <w:left w:val="single" w:sz="4" w:space="0" w:color="auto"/>
              <w:bottom w:val="single" w:sz="4" w:space="0" w:color="auto"/>
              <w:right w:val="single" w:sz="4" w:space="0" w:color="auto"/>
            </w:tcBorders>
          </w:tcPr>
          <w:p w:rsidR="00A92422" w:rsidRPr="00D87B79" w:rsidRDefault="00A92422" w:rsidP="00EA30FC">
            <w:pPr>
              <w:spacing w:after="200" w:line="276" w:lineRule="auto"/>
              <w:rPr>
                <w:rFonts w:cs="Tahoma"/>
              </w:rPr>
            </w:pPr>
            <w:r w:rsidRPr="00D87B79">
              <w:rPr>
                <w:rFonts w:cs="Tahoma"/>
                <w:lang w:val="it-IT"/>
              </w:rPr>
              <w:t>R2 per Windows Server 2008</w:t>
            </w:r>
            <w:r w:rsidRPr="00D87B79">
              <w:rPr>
                <w:rFonts w:cs="Tahoma"/>
              </w:rPr>
              <w:t xml:space="preserve"> </w:t>
            </w:r>
          </w:p>
          <w:p w:rsidR="00A92422" w:rsidRPr="00D87B79" w:rsidRDefault="00A92422" w:rsidP="00EA30FC">
            <w:pPr>
              <w:spacing w:after="200" w:line="276" w:lineRule="auto"/>
              <w:rPr>
                <w:rFonts w:eastAsia="Times New Roman" w:cs="Tahoma"/>
                <w:szCs w:val="18"/>
              </w:rPr>
            </w:pPr>
            <w:r w:rsidRPr="00D87B79">
              <w:rPr>
                <w:rFonts w:eastAsia="Times New Roman" w:cs="Tahoma"/>
                <w:szCs w:val="18"/>
                <w:lang w:val="it-IT"/>
              </w:rPr>
              <w:t>SQL Server 2012</w:t>
            </w:r>
            <w:r w:rsidRPr="00D87B79">
              <w:rPr>
                <w:rFonts w:eastAsia="Times New Roman" w:cs="Tahoma"/>
                <w:szCs w:val="18"/>
              </w:rPr>
              <w:t xml:space="preserve"> </w:t>
            </w:r>
          </w:p>
        </w:tc>
      </w:tr>
      <w:tr w:rsidR="00A92422" w:rsidRPr="00D87B79" w:rsidTr="00EA30FC">
        <w:trPr>
          <w:cantSplit/>
        </w:trPr>
        <w:tc>
          <w:tcPr>
            <w:tcW w:w="3960" w:type="dxa"/>
            <w:tcBorders>
              <w:top w:val="single" w:sz="4" w:space="0" w:color="auto"/>
              <w:left w:val="single" w:sz="4" w:space="0" w:color="auto"/>
              <w:bottom w:val="single" w:sz="4" w:space="0" w:color="auto"/>
              <w:right w:val="single" w:sz="4" w:space="0" w:color="auto"/>
            </w:tcBorders>
          </w:tcPr>
          <w:p w:rsidR="00A92422" w:rsidRPr="00D87B79" w:rsidRDefault="00A92422" w:rsidP="00EA30FC">
            <w:pPr>
              <w:spacing w:after="200" w:line="276" w:lineRule="auto"/>
              <w:rPr>
                <w:rFonts w:eastAsia="Times New Roman" w:cs="Tahoma"/>
                <w:szCs w:val="18"/>
              </w:rPr>
            </w:pPr>
            <w:r w:rsidRPr="00D87B79">
              <w:rPr>
                <w:rFonts w:eastAsia="Times New Roman" w:cs="Tahoma"/>
                <w:szCs w:val="18"/>
                <w:lang w:val="it-IT"/>
              </w:rPr>
              <w:t>SBS 2011 Premium Add-on con copertura Software Assurance in data 1 agosto 2012 o</w:t>
            </w:r>
            <w:r>
              <w:rPr>
                <w:rFonts w:eastAsia="Times New Roman" w:cs="Tahoma"/>
                <w:szCs w:val="18"/>
                <w:lang w:val="it-IT"/>
              </w:rPr>
              <w:t> </w:t>
            </w:r>
            <w:r w:rsidRPr="00D87B79">
              <w:rPr>
                <w:rFonts w:eastAsia="Times New Roman" w:cs="Tahoma"/>
                <w:szCs w:val="18"/>
                <w:lang w:val="it-IT"/>
              </w:rPr>
              <w:t>successiva</w:t>
            </w:r>
          </w:p>
        </w:tc>
        <w:tc>
          <w:tcPr>
            <w:tcW w:w="4788" w:type="dxa"/>
            <w:tcBorders>
              <w:top w:val="single" w:sz="4" w:space="0" w:color="auto"/>
              <w:left w:val="single" w:sz="4" w:space="0" w:color="auto"/>
              <w:bottom w:val="single" w:sz="4" w:space="0" w:color="auto"/>
              <w:right w:val="single" w:sz="4" w:space="0" w:color="auto"/>
            </w:tcBorders>
          </w:tcPr>
          <w:p w:rsidR="00A92422" w:rsidRPr="00D87B79" w:rsidRDefault="00A92422" w:rsidP="00EA30FC">
            <w:pPr>
              <w:spacing w:after="200" w:line="276" w:lineRule="auto"/>
              <w:rPr>
                <w:rFonts w:cs="Tahoma"/>
              </w:rPr>
            </w:pPr>
            <w:r w:rsidRPr="00D87B79">
              <w:rPr>
                <w:rFonts w:cs="Tahoma"/>
                <w:lang w:val="it-IT"/>
              </w:rPr>
              <w:t>Windows Server 2012 con Software Assurance</w:t>
            </w:r>
          </w:p>
          <w:p w:rsidR="00A92422" w:rsidRPr="00D87B79" w:rsidRDefault="00A92422" w:rsidP="00EA30FC">
            <w:pPr>
              <w:spacing w:after="200" w:line="276" w:lineRule="auto"/>
              <w:rPr>
                <w:rFonts w:eastAsia="Times New Roman" w:cs="Tahoma"/>
                <w:szCs w:val="18"/>
              </w:rPr>
            </w:pPr>
            <w:r w:rsidRPr="00D87B79">
              <w:rPr>
                <w:rFonts w:eastAsia="Times New Roman" w:cs="Tahoma"/>
                <w:szCs w:val="18"/>
                <w:lang w:val="it-IT"/>
              </w:rPr>
              <w:t>SQL Server 2012 con Software Assurance</w:t>
            </w:r>
          </w:p>
        </w:tc>
      </w:tr>
    </w:tbl>
    <w:p w:rsidR="00A92422" w:rsidRDefault="00A92422" w:rsidP="00A92422">
      <w:pPr>
        <w:pStyle w:val="ListParagraph"/>
        <w:spacing w:after="100" w:afterAutospacing="1"/>
        <w:rPr>
          <w:rFonts w:ascii="Tahoma" w:hAnsi="Tahoma" w:cs="Tahoma"/>
          <w:sz w:val="18"/>
          <w:szCs w:val="18"/>
        </w:rPr>
      </w:pPr>
    </w:p>
    <w:p w:rsidR="00A92422" w:rsidRPr="002309E6" w:rsidRDefault="00A92422" w:rsidP="00A92422">
      <w:pPr>
        <w:pStyle w:val="ListParagraph"/>
        <w:contextualSpacing w:val="0"/>
        <w:rPr>
          <w:rFonts w:ascii="Tahoma" w:hAnsi="Tahoma" w:cs="Tahoma"/>
          <w:sz w:val="18"/>
          <w:szCs w:val="18"/>
        </w:rPr>
      </w:pPr>
      <w:r w:rsidRPr="002309E6">
        <w:rPr>
          <w:rFonts w:ascii="Tahoma" w:hAnsi="Tahoma" w:cs="Tahoma"/>
          <w:sz w:val="18"/>
          <w:szCs w:val="18"/>
          <w:lang w:val="it-IT"/>
        </w:rPr>
        <w:t>La copertura Software Assurance inclusa nella suddetta concessione scade alla scadenza della corrispondente copertura per le Licenze Qualificanti.</w:t>
      </w:r>
      <w:r w:rsidRPr="002309E6">
        <w:rPr>
          <w:rFonts w:ascii="Tahoma" w:hAnsi="Tahoma" w:cs="Tahoma"/>
          <w:sz w:val="18"/>
          <w:szCs w:val="18"/>
        </w:rPr>
        <w:t xml:space="preserve"> </w:t>
      </w:r>
      <w:r w:rsidRPr="002309E6">
        <w:rPr>
          <w:rFonts w:ascii="Tahoma" w:hAnsi="Tahoma" w:cs="Tahoma"/>
          <w:sz w:val="18"/>
          <w:szCs w:val="18"/>
          <w:lang w:val="it-IT"/>
        </w:rPr>
        <w:t>In via eccezionale, le società con copertura Software Assurance attiva per le Licenze Qualificanti in scadenza nel mese di agosto 2012 hanno la possibilità fino al 31 dicembre 2012 di rinnovare la copertura per le licenze ottenute ai sensi della presente offerta.</w:t>
      </w:r>
    </w:p>
    <w:p w:rsidR="00A92422" w:rsidRPr="002309E6" w:rsidRDefault="00A92422" w:rsidP="00A92422">
      <w:pPr>
        <w:pStyle w:val="ListParagraph"/>
        <w:contextualSpacing w:val="0"/>
        <w:rPr>
          <w:rFonts w:ascii="Tahoma" w:hAnsi="Tahoma" w:cs="Tahoma"/>
          <w:sz w:val="18"/>
          <w:szCs w:val="18"/>
        </w:rPr>
      </w:pPr>
    </w:p>
    <w:p w:rsidR="00A92422" w:rsidRPr="00D87B79" w:rsidRDefault="00A92422" w:rsidP="00A92422">
      <w:pPr>
        <w:spacing w:line="276" w:lineRule="auto"/>
        <w:ind w:left="720"/>
        <w:rPr>
          <w:rFonts w:cs="Tahoma"/>
        </w:rPr>
      </w:pPr>
      <w:r w:rsidRPr="00D87B79">
        <w:rPr>
          <w:rFonts w:cs="Tahoma"/>
          <w:lang w:val="it-IT"/>
        </w:rPr>
        <w:t>Le società con copertura Software Assurance attiva per le Licenze Qualificanti in scadenza nel mese di</w:t>
      </w:r>
      <w:r>
        <w:rPr>
          <w:rFonts w:cs="Tahoma"/>
          <w:lang w:val="it-IT"/>
        </w:rPr>
        <w:t> </w:t>
      </w:r>
      <w:r w:rsidRPr="00D87B79">
        <w:rPr>
          <w:rFonts w:cs="Tahoma"/>
          <w:lang w:val="it-IT"/>
        </w:rPr>
        <w:t>luglio</w:t>
      </w:r>
      <w:r>
        <w:rPr>
          <w:rFonts w:cs="Tahoma"/>
          <w:lang w:val="it-IT"/>
        </w:rPr>
        <w:t> </w:t>
      </w:r>
      <w:r w:rsidRPr="00D87B79">
        <w:rPr>
          <w:rFonts w:cs="Tahoma"/>
          <w:lang w:val="it-IT"/>
        </w:rPr>
        <w:t>2012 hanno la possibilità fino al 31 dicembre 2012 di acquistare la copertura per le licenze ricevute</w:t>
      </w:r>
      <w:r>
        <w:rPr>
          <w:rFonts w:cs="Tahoma"/>
          <w:lang w:val="it-IT"/>
        </w:rPr>
        <w:t> </w:t>
      </w:r>
      <w:r w:rsidRPr="00D87B79">
        <w:rPr>
          <w:rFonts w:cs="Tahoma"/>
          <w:lang w:val="it-IT"/>
        </w:rPr>
        <w:t>in concessione ai sensi della presente offerta.</w:t>
      </w:r>
    </w:p>
    <w:p w:rsidR="00A92422" w:rsidRPr="00D87B79" w:rsidRDefault="00A92422" w:rsidP="00A92422">
      <w:pPr>
        <w:spacing w:line="276" w:lineRule="auto"/>
        <w:ind w:left="720"/>
        <w:rPr>
          <w:rFonts w:cs="Tahoma"/>
        </w:rPr>
      </w:pPr>
    </w:p>
    <w:p w:rsidR="00A92422" w:rsidRPr="002309E6" w:rsidRDefault="00A92422" w:rsidP="00A92422">
      <w:pPr>
        <w:pStyle w:val="ListParagraph"/>
        <w:contextualSpacing w:val="0"/>
        <w:rPr>
          <w:rFonts w:ascii="Tahoma" w:hAnsi="Tahoma" w:cs="Tahoma"/>
          <w:sz w:val="18"/>
          <w:szCs w:val="18"/>
        </w:rPr>
      </w:pPr>
      <w:r w:rsidRPr="002309E6">
        <w:rPr>
          <w:rFonts w:ascii="Tahoma" w:hAnsi="Tahoma" w:cs="Tahoma"/>
          <w:sz w:val="18"/>
          <w:szCs w:val="18"/>
          <w:lang w:val="it-IT"/>
        </w:rPr>
        <w:t>Nel caso in cui le società abbiano acquistato diritti perpetui per utilizzare software ai sensi di Licenze Qualificanti, le licenze acquistate ai sensi della presente concessione saranno anch’esse perpetue; diversamente, le licenze acquistate ai sensi della presente concessione cesseranno alla scadenza delle Licenze Qualificanti sottostanti.</w:t>
      </w:r>
    </w:p>
    <w:p w:rsidR="00A92422" w:rsidRPr="002309E6" w:rsidRDefault="00A92422" w:rsidP="00A92422">
      <w:pPr>
        <w:pStyle w:val="ListParagraph"/>
        <w:contextualSpacing w:val="0"/>
        <w:rPr>
          <w:rFonts w:ascii="Tahoma" w:hAnsi="Tahoma" w:cs="Tahoma"/>
          <w:sz w:val="18"/>
          <w:szCs w:val="18"/>
        </w:rPr>
      </w:pPr>
    </w:p>
    <w:p w:rsidR="00A92422" w:rsidRPr="002309E6" w:rsidRDefault="00A92422" w:rsidP="00A92422">
      <w:pPr>
        <w:pStyle w:val="ListParagraph"/>
        <w:contextualSpacing w:val="0"/>
        <w:rPr>
          <w:rFonts w:ascii="Tahoma" w:hAnsi="Tahoma" w:cs="Tahoma"/>
          <w:sz w:val="18"/>
          <w:szCs w:val="18"/>
        </w:rPr>
      </w:pPr>
      <w:r w:rsidRPr="002309E6">
        <w:rPr>
          <w:rFonts w:ascii="Tahoma" w:hAnsi="Tahoma" w:cs="Tahoma"/>
          <w:sz w:val="18"/>
          <w:szCs w:val="18"/>
          <w:lang w:val="it-IT"/>
        </w:rPr>
        <w:t>Per ogni Licenza Qualificante acquistata ai sensi del contratto Open Value Subscription, una società potrà eseguire il buy-out di una licenza per SBS 2011 Premium Add-on come indicato o di:</w:t>
      </w:r>
    </w:p>
    <w:p w:rsidR="00A92422" w:rsidRPr="002309E6" w:rsidRDefault="00A92422" w:rsidP="00A92422">
      <w:pPr>
        <w:pStyle w:val="ListParagraph"/>
        <w:contextualSpacing w:val="0"/>
        <w:rPr>
          <w:rFonts w:ascii="Tahoma" w:hAnsi="Tahoma" w:cs="Tahoma"/>
          <w:sz w:val="18"/>
          <w:szCs w:val="18"/>
        </w:rPr>
      </w:pPr>
    </w:p>
    <w:p w:rsidR="00A92422" w:rsidRPr="002309E6" w:rsidRDefault="00A92422" w:rsidP="00A92422">
      <w:pPr>
        <w:pStyle w:val="ListParagraph"/>
        <w:numPr>
          <w:ilvl w:val="1"/>
          <w:numId w:val="116"/>
        </w:numPr>
        <w:tabs>
          <w:tab w:val="clear" w:pos="1440"/>
        </w:tabs>
        <w:spacing w:after="60"/>
        <w:contextualSpacing w:val="0"/>
        <w:rPr>
          <w:rFonts w:ascii="Tahoma" w:hAnsi="Tahoma" w:cs="Tahoma"/>
          <w:sz w:val="18"/>
          <w:szCs w:val="18"/>
        </w:rPr>
      </w:pPr>
      <w:r w:rsidRPr="002309E6">
        <w:rPr>
          <w:rFonts w:ascii="Tahoma" w:hAnsi="Tahoma" w:cs="Tahoma"/>
          <w:sz w:val="18"/>
          <w:szCs w:val="18"/>
          <w:lang w:val="it-IT"/>
        </w:rPr>
        <w:t>Una licenza per Windows Server 2012 Standard e una per SQL Server 2012 Standard (ricevute in licenza secondo il modello Server/CAL) per i contratti in scadenza in data 1 agosto 2012 o successiva oppure</w:t>
      </w:r>
    </w:p>
    <w:p w:rsidR="00A92422" w:rsidRPr="002309E6" w:rsidRDefault="00A92422" w:rsidP="00A92422">
      <w:pPr>
        <w:pStyle w:val="ListParagraph"/>
        <w:numPr>
          <w:ilvl w:val="1"/>
          <w:numId w:val="116"/>
        </w:numPr>
        <w:tabs>
          <w:tab w:val="clear" w:pos="1440"/>
        </w:tabs>
        <w:spacing w:after="60"/>
        <w:contextualSpacing w:val="0"/>
        <w:rPr>
          <w:rFonts w:ascii="Tahoma" w:hAnsi="Tahoma" w:cs="Tahoma"/>
          <w:sz w:val="18"/>
          <w:szCs w:val="18"/>
        </w:rPr>
      </w:pPr>
      <w:r w:rsidRPr="002309E6">
        <w:rPr>
          <w:rFonts w:ascii="Tahoma" w:hAnsi="Tahoma" w:cs="Tahoma"/>
          <w:sz w:val="18"/>
          <w:szCs w:val="18"/>
          <w:lang w:val="it-IT"/>
        </w:rPr>
        <w:t>Una licenza per Windows Server 2008 R2 Standard e una per SQL Server 2012 Standard (ricevute in licenza secondo il modello Server/CAL) per i contratti in scadenza in data 1 luglio 2012.</w:t>
      </w:r>
    </w:p>
    <w:p w:rsidR="00A92422" w:rsidRDefault="00A92422" w:rsidP="00A92422">
      <w:pPr>
        <w:spacing w:line="276" w:lineRule="auto"/>
        <w:ind w:left="720"/>
        <w:rPr>
          <w:rFonts w:cs="Tahoma"/>
        </w:rPr>
      </w:pPr>
    </w:p>
    <w:p w:rsidR="00A92422" w:rsidRPr="00D87B79" w:rsidRDefault="00A92422" w:rsidP="00A92422">
      <w:pPr>
        <w:spacing w:line="276" w:lineRule="auto"/>
        <w:ind w:left="720"/>
        <w:rPr>
          <w:rFonts w:cs="Tahoma"/>
        </w:rPr>
      </w:pPr>
      <w:r w:rsidRPr="00D87B79">
        <w:rPr>
          <w:rFonts w:cs="Tahoma"/>
          <w:lang w:val="it-IT"/>
        </w:rPr>
        <w:t>Eseguendo l’aggiornamento a Windows Server Standard e a SQL Server 2012 Standard ai sensi della presente concessione, le Licenze Qualificanti in essere per SBS Premium Add-on non saranno più valide.</w:t>
      </w:r>
    </w:p>
    <w:p w:rsidR="00A92422" w:rsidRPr="00D87B79" w:rsidRDefault="00A92422" w:rsidP="00A92422">
      <w:pPr>
        <w:spacing w:line="276" w:lineRule="auto"/>
        <w:ind w:left="720"/>
        <w:rPr>
          <w:rFonts w:cs="Tahoma"/>
        </w:rPr>
      </w:pPr>
    </w:p>
    <w:p w:rsidR="00A92422" w:rsidRPr="00D87B79" w:rsidRDefault="00A92422" w:rsidP="00A92422">
      <w:pPr>
        <w:spacing w:line="276" w:lineRule="auto"/>
        <w:ind w:left="720"/>
        <w:rPr>
          <w:rFonts w:cs="Tahoma"/>
        </w:rPr>
      </w:pPr>
      <w:r w:rsidRPr="00D87B79">
        <w:rPr>
          <w:rFonts w:cs="Tahoma"/>
          <w:lang w:val="it-IT"/>
        </w:rPr>
        <w:t>Le licenze per SBS 2011 Premium Add-on acquistate successivamente nello stesso periodo di validità dell’iscrizione nell’ambito di una procedura pianificata di true-up di una società Open Value Subscription o</w:t>
      </w:r>
      <w:r>
        <w:rPr>
          <w:rFonts w:cs="Tahoma"/>
          <w:lang w:val="it-IT"/>
        </w:rPr>
        <w:t> </w:t>
      </w:r>
      <w:r w:rsidRPr="00D87B79">
        <w:rPr>
          <w:rFonts w:cs="Tahoma"/>
          <w:lang w:val="it-IT"/>
        </w:rPr>
        <w:t>EES sono anch’esse Licenze Qualificanti per gli scopi previsti dalla suddetta concessione.</w:t>
      </w:r>
    </w:p>
    <w:p w:rsidR="00A92422" w:rsidRPr="00D87B79" w:rsidRDefault="00A92422" w:rsidP="00A92422">
      <w:pPr>
        <w:rPr>
          <w:rFonts w:cs="Tahoma"/>
        </w:rPr>
      </w:pPr>
    </w:p>
    <w:p w:rsidR="00A92422" w:rsidRDefault="00A92422" w:rsidP="00A92422">
      <w:pPr>
        <w:rPr>
          <w:rFonts w:cs="Tahoma"/>
        </w:rPr>
      </w:pPr>
    </w:p>
    <w:p w:rsidR="00A92422" w:rsidRPr="00D87B79" w:rsidRDefault="00A92422" w:rsidP="00A92422">
      <w:pPr>
        <w:pStyle w:val="Heading2"/>
        <w:ind w:left="0"/>
        <w:rPr>
          <w:rFonts w:ascii="Tahoma" w:hAnsi="Tahoma" w:cs="Tahoma"/>
        </w:rPr>
      </w:pPr>
      <w:bookmarkStart w:id="1656" w:name="_124_Windows_Small"/>
      <w:bookmarkStart w:id="1657" w:name="_Toc336338380"/>
      <w:bookmarkStart w:id="1658" w:name="_114_Premium_Add-on"/>
      <w:bookmarkStart w:id="1659" w:name="_Toc342900424"/>
      <w:bookmarkEnd w:id="1656"/>
      <w:bookmarkEnd w:id="1657"/>
      <w:bookmarkEnd w:id="1658"/>
      <w:r w:rsidRPr="00D87B79">
        <w:rPr>
          <w:rFonts w:ascii="Tahoma" w:hAnsi="Tahoma" w:cs="Tahoma"/>
          <w:caps/>
          <w:color w:val="EE6000"/>
          <w:sz w:val="22"/>
          <w:vertAlign w:val="superscript"/>
          <w:lang w:val="it-IT"/>
        </w:rPr>
        <w:t>114</w:t>
      </w:r>
      <w:r w:rsidRPr="00D87B79">
        <w:rPr>
          <w:rFonts w:ascii="Tahoma" w:hAnsi="Tahoma" w:cs="Tahoma"/>
          <w:color w:val="EE6000"/>
          <w:sz w:val="22"/>
          <w:lang w:val="it-IT"/>
        </w:rPr>
        <w:t xml:space="preserve"> </w:t>
      </w:r>
      <w:r w:rsidRPr="00D87B79">
        <w:rPr>
          <w:rFonts w:ascii="Tahoma" w:hAnsi="Tahoma" w:cs="Tahoma"/>
          <w:color w:val="F8701C"/>
          <w:sz w:val="22"/>
          <w:lang w:val="it-IT"/>
        </w:rPr>
        <w:t>Premium Add-on CAL Suite per Windows Small Business Server (SBS) 2011</w:t>
      </w:r>
      <w:bookmarkEnd w:id="1659"/>
    </w:p>
    <w:p w:rsidR="00A92422" w:rsidRPr="00D87B79" w:rsidRDefault="00A92422" w:rsidP="00A92422">
      <w:pPr>
        <w:ind w:left="720"/>
        <w:rPr>
          <w:rFonts w:cs="Tahoma"/>
        </w:rPr>
      </w:pPr>
    </w:p>
    <w:p w:rsidR="00A92422" w:rsidRPr="00D87B79" w:rsidRDefault="00A92422" w:rsidP="00A92422">
      <w:pPr>
        <w:spacing w:after="60"/>
        <w:ind w:left="720"/>
        <w:rPr>
          <w:rFonts w:cs="Tahoma"/>
        </w:rPr>
      </w:pPr>
      <w:r w:rsidRPr="00D87B79">
        <w:rPr>
          <w:rFonts w:cs="Tahoma"/>
          <w:b/>
          <w:color w:val="000000"/>
          <w:lang w:val="it-IT"/>
        </w:rPr>
        <w:t>Concessioni di licenza associate alla fine del ciclo di vita della Premium Add-on CAL Suite per</w:t>
      </w:r>
      <w:r>
        <w:rPr>
          <w:rFonts w:cs="Tahoma"/>
          <w:b/>
          <w:color w:val="000000"/>
          <w:lang w:val="it-IT"/>
        </w:rPr>
        <w:t> </w:t>
      </w:r>
      <w:r w:rsidRPr="00D87B79">
        <w:rPr>
          <w:rFonts w:cs="Tahoma"/>
          <w:b/>
          <w:color w:val="000000"/>
          <w:lang w:val="it-IT"/>
        </w:rPr>
        <w:t>SBS 2011</w:t>
      </w:r>
    </w:p>
    <w:p w:rsidR="00A92422" w:rsidRPr="00D2008B" w:rsidRDefault="00A92422" w:rsidP="00A92422">
      <w:pPr>
        <w:ind w:left="720"/>
        <w:rPr>
          <w:rFonts w:cs="Tahoma"/>
        </w:rPr>
      </w:pPr>
      <w:r w:rsidRPr="00D2008B">
        <w:rPr>
          <w:rFonts w:cs="Tahoma"/>
          <w:color w:val="000000"/>
          <w:lang w:val="it-IT"/>
        </w:rPr>
        <w:t xml:space="preserve">Le società con copertura Software Assurance attiva per la Premium Add-on CAL Suite per SBS 2011 (“Licenze CAL Qualificanti”) sono idonee ad accedere al software </w:t>
      </w:r>
      <w:r w:rsidRPr="00D2008B">
        <w:rPr>
          <w:rFonts w:cs="Tahoma"/>
          <w:lang w:val="it-IT"/>
        </w:rPr>
        <w:t xml:space="preserve">Windows Server Standard e SQL Server 2012 Standard. </w:t>
      </w:r>
      <w:r w:rsidRPr="00D2008B">
        <w:rPr>
          <w:rFonts w:cs="Tahoma"/>
          <w:color w:val="000000"/>
          <w:lang w:val="it-IT"/>
        </w:rPr>
        <w:t>Per ogni Premium Add-on CAL Suite per SBS 2011 qualificante in suo possesso in data 1 agosto 2012, alla società verrà concessa una licenza CAL per Windows Server 2012 e una licenza CAL per SQL Server 2012 con copertura Software Assurance.</w:t>
      </w:r>
      <w:r w:rsidRPr="00D2008B">
        <w:rPr>
          <w:rFonts w:cs="Tahoma"/>
        </w:rPr>
        <w:t xml:space="preserve"> </w:t>
      </w:r>
      <w:r w:rsidRPr="00D2008B">
        <w:rPr>
          <w:rFonts w:cs="Tahoma"/>
          <w:lang w:val="it-IT"/>
        </w:rPr>
        <w:t xml:space="preserve">Per agevolare tale utilizzo, per ogni CAL Qualificante </w:t>
      </w:r>
      <w:r w:rsidRPr="00D2008B">
        <w:rPr>
          <w:rFonts w:cs="Tahoma"/>
          <w:lang w:val="it-IT"/>
        </w:rPr>
        <w:lastRenderedPageBreak/>
        <w:t>in suo possesso, alla società verrà concessa una CAL per Windows Server e una CAL per Server SQL 2012 (secondo il modello Server/CAL), come illustrato nella tabella che segue.</w:t>
      </w:r>
      <w:r w:rsidRPr="00D2008B">
        <w:rPr>
          <w:rFonts w:cs="Tahoma"/>
        </w:rPr>
        <w:t xml:space="preserve"> </w:t>
      </w:r>
    </w:p>
    <w:p w:rsidR="00A92422" w:rsidRDefault="00A92422" w:rsidP="00A92422">
      <w:pPr>
        <w:rPr>
          <w:rFonts w:cs="Tahoma"/>
          <w:spacing w:val="-2"/>
        </w:rPr>
      </w:pPr>
    </w:p>
    <w:p w:rsidR="00A92422" w:rsidRPr="000010FE" w:rsidRDefault="00A92422" w:rsidP="00A92422">
      <w:pPr>
        <w:ind w:left="720"/>
        <w:rPr>
          <w:rFonts w:cs="Tahoma"/>
          <w:spacing w:val="-2"/>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A92422" w:rsidRPr="00D87B79" w:rsidTr="00EA30FC">
        <w:tc>
          <w:tcPr>
            <w:tcW w:w="3960" w:type="dxa"/>
            <w:tcBorders>
              <w:top w:val="single" w:sz="4" w:space="0" w:color="auto"/>
              <w:left w:val="single" w:sz="4" w:space="0" w:color="auto"/>
              <w:bottom w:val="single" w:sz="4" w:space="0" w:color="auto"/>
              <w:right w:val="single" w:sz="4" w:space="0" w:color="auto"/>
            </w:tcBorders>
            <w:shd w:val="clear" w:color="auto" w:fill="F4B083"/>
          </w:tcPr>
          <w:p w:rsidR="00A92422" w:rsidRPr="00D87B79" w:rsidRDefault="00A92422" w:rsidP="00EA30FC">
            <w:pPr>
              <w:spacing w:after="200" w:line="276" w:lineRule="auto"/>
              <w:rPr>
                <w:rFonts w:eastAsia="Times New Roman" w:cs="Tahoma"/>
                <w:szCs w:val="18"/>
              </w:rPr>
            </w:pPr>
            <w:r w:rsidRPr="00D87B79">
              <w:rPr>
                <w:rFonts w:cs="Tahoma"/>
                <w:b/>
                <w:color w:val="000000"/>
                <w:lang w:val="it-IT"/>
              </w:rPr>
              <w:t>Licenze Qualificanti</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rsidR="00A92422" w:rsidRPr="00D87B79" w:rsidRDefault="00A92422" w:rsidP="00EA30FC">
            <w:pPr>
              <w:spacing w:after="200" w:line="276" w:lineRule="auto"/>
              <w:rPr>
                <w:rFonts w:eastAsia="Times New Roman" w:cs="Tahoma"/>
                <w:szCs w:val="18"/>
              </w:rPr>
            </w:pPr>
            <w:r w:rsidRPr="00D87B79">
              <w:rPr>
                <w:rFonts w:cs="Tahoma"/>
                <w:b/>
                <w:color w:val="000000"/>
                <w:lang w:val="it-IT"/>
              </w:rPr>
              <w:t>Concessione di Licenza</w:t>
            </w:r>
          </w:p>
        </w:tc>
      </w:tr>
      <w:tr w:rsidR="00A92422" w:rsidRPr="00D87B79" w:rsidTr="00EA30FC">
        <w:tc>
          <w:tcPr>
            <w:tcW w:w="3960" w:type="dxa"/>
            <w:tcBorders>
              <w:top w:val="single" w:sz="4" w:space="0" w:color="auto"/>
              <w:left w:val="single" w:sz="4" w:space="0" w:color="auto"/>
              <w:bottom w:val="single" w:sz="4" w:space="0" w:color="auto"/>
              <w:right w:val="single" w:sz="4" w:space="0" w:color="auto"/>
            </w:tcBorders>
          </w:tcPr>
          <w:p w:rsidR="00A92422" w:rsidRPr="00D87B79" w:rsidRDefault="00A92422" w:rsidP="00EA30FC">
            <w:pPr>
              <w:spacing w:after="200" w:line="276" w:lineRule="auto"/>
              <w:rPr>
                <w:rFonts w:eastAsia="Times New Roman" w:cs="Tahoma"/>
                <w:szCs w:val="18"/>
              </w:rPr>
            </w:pPr>
            <w:r w:rsidRPr="00D87B79">
              <w:rPr>
                <w:rFonts w:eastAsia="Times New Roman" w:cs="Tahoma"/>
                <w:szCs w:val="18"/>
                <w:lang w:val="it-IT"/>
              </w:rPr>
              <w:t>CAL Suite per SBS 2011 Premium Add-on con</w:t>
            </w:r>
            <w:r>
              <w:rPr>
                <w:rFonts w:eastAsia="Times New Roman" w:cs="Tahoma"/>
                <w:szCs w:val="18"/>
                <w:lang w:val="it-IT"/>
              </w:rPr>
              <w:t> </w:t>
            </w:r>
            <w:r w:rsidRPr="00D87B79">
              <w:rPr>
                <w:rFonts w:eastAsia="Times New Roman" w:cs="Tahoma"/>
                <w:szCs w:val="18"/>
                <w:lang w:val="it-IT"/>
              </w:rPr>
              <w:t>copertura Software Assurance fino al</w:t>
            </w:r>
            <w:r>
              <w:rPr>
                <w:rFonts w:eastAsia="Times New Roman" w:cs="Tahoma"/>
                <w:szCs w:val="18"/>
                <w:lang w:val="it-IT"/>
              </w:rPr>
              <w:t> </w:t>
            </w:r>
            <w:r w:rsidRPr="00D87B79">
              <w:rPr>
                <w:rFonts w:eastAsia="Times New Roman" w:cs="Tahoma"/>
                <w:szCs w:val="18"/>
                <w:lang w:val="it-IT"/>
              </w:rPr>
              <w:t>31</w:t>
            </w:r>
            <w:r>
              <w:rPr>
                <w:rFonts w:eastAsia="Times New Roman" w:cs="Tahoma"/>
                <w:szCs w:val="18"/>
                <w:lang w:val="it-IT"/>
              </w:rPr>
              <w:t> </w:t>
            </w:r>
            <w:r w:rsidRPr="00D87B79">
              <w:rPr>
                <w:rFonts w:eastAsia="Times New Roman" w:cs="Tahoma"/>
                <w:szCs w:val="18"/>
                <w:lang w:val="it-IT"/>
              </w:rPr>
              <w:t>luglio 2012</w:t>
            </w:r>
          </w:p>
        </w:tc>
        <w:tc>
          <w:tcPr>
            <w:tcW w:w="4788" w:type="dxa"/>
            <w:tcBorders>
              <w:top w:val="single" w:sz="4" w:space="0" w:color="auto"/>
              <w:left w:val="single" w:sz="4" w:space="0" w:color="auto"/>
              <w:bottom w:val="single" w:sz="4" w:space="0" w:color="auto"/>
              <w:right w:val="single" w:sz="4" w:space="0" w:color="auto"/>
            </w:tcBorders>
          </w:tcPr>
          <w:p w:rsidR="00A92422" w:rsidRPr="00D87B79" w:rsidRDefault="00A92422" w:rsidP="00EA30FC">
            <w:pPr>
              <w:spacing w:after="200" w:line="276" w:lineRule="auto"/>
              <w:rPr>
                <w:rFonts w:cs="Tahoma"/>
              </w:rPr>
            </w:pPr>
            <w:r w:rsidRPr="00D87B79">
              <w:rPr>
                <w:rFonts w:cs="Tahoma"/>
                <w:lang w:val="it-IT"/>
              </w:rPr>
              <w:t>CAL per Windows Server 2008 R2</w:t>
            </w:r>
          </w:p>
          <w:p w:rsidR="00A92422" w:rsidRPr="00D87B79" w:rsidRDefault="00A92422" w:rsidP="00EA30FC">
            <w:pPr>
              <w:spacing w:after="200" w:line="276" w:lineRule="auto"/>
              <w:rPr>
                <w:rFonts w:eastAsia="Times New Roman" w:cs="Tahoma"/>
                <w:szCs w:val="18"/>
              </w:rPr>
            </w:pPr>
            <w:r w:rsidRPr="00D87B79">
              <w:rPr>
                <w:rFonts w:eastAsia="Times New Roman" w:cs="Tahoma"/>
                <w:szCs w:val="18"/>
                <w:lang w:val="it-IT"/>
              </w:rPr>
              <w:t>CAL per SQL Server 2012</w:t>
            </w:r>
          </w:p>
        </w:tc>
      </w:tr>
      <w:tr w:rsidR="00A92422" w:rsidRPr="00D87B79" w:rsidTr="00EA30FC">
        <w:tc>
          <w:tcPr>
            <w:tcW w:w="3960" w:type="dxa"/>
            <w:tcBorders>
              <w:top w:val="single" w:sz="4" w:space="0" w:color="auto"/>
              <w:left w:val="single" w:sz="4" w:space="0" w:color="auto"/>
              <w:bottom w:val="single" w:sz="4" w:space="0" w:color="auto"/>
              <w:right w:val="single" w:sz="4" w:space="0" w:color="auto"/>
            </w:tcBorders>
          </w:tcPr>
          <w:p w:rsidR="00A92422" w:rsidRPr="00D87B79" w:rsidRDefault="00A92422" w:rsidP="00EA30FC">
            <w:pPr>
              <w:spacing w:after="200" w:line="276" w:lineRule="auto"/>
              <w:rPr>
                <w:rFonts w:eastAsia="Times New Roman" w:cs="Tahoma"/>
                <w:szCs w:val="18"/>
              </w:rPr>
            </w:pPr>
            <w:r w:rsidRPr="00D87B79">
              <w:rPr>
                <w:rFonts w:eastAsia="Times New Roman" w:cs="Tahoma"/>
                <w:szCs w:val="18"/>
                <w:lang w:val="it-IT"/>
              </w:rPr>
              <w:t>CAL Suite per SBS 2011 Premium Add-on con</w:t>
            </w:r>
            <w:r>
              <w:rPr>
                <w:rFonts w:eastAsia="Times New Roman" w:cs="Tahoma"/>
                <w:szCs w:val="18"/>
                <w:lang w:val="it-IT"/>
              </w:rPr>
              <w:t> </w:t>
            </w:r>
            <w:r w:rsidRPr="00D87B79">
              <w:rPr>
                <w:rFonts w:eastAsia="Times New Roman" w:cs="Tahoma"/>
                <w:szCs w:val="18"/>
                <w:lang w:val="it-IT"/>
              </w:rPr>
              <w:t>copertura Software Assurance in data 1</w:t>
            </w:r>
            <w:r>
              <w:rPr>
                <w:rFonts w:eastAsia="Times New Roman" w:cs="Tahoma"/>
                <w:szCs w:val="18"/>
                <w:lang w:val="it-IT"/>
              </w:rPr>
              <w:t> </w:t>
            </w:r>
            <w:r w:rsidRPr="00D87B79">
              <w:rPr>
                <w:rFonts w:eastAsia="Times New Roman" w:cs="Tahoma"/>
                <w:szCs w:val="18"/>
                <w:lang w:val="it-IT"/>
              </w:rPr>
              <w:t>agosto 2012 o successiva</w:t>
            </w:r>
          </w:p>
        </w:tc>
        <w:tc>
          <w:tcPr>
            <w:tcW w:w="4788" w:type="dxa"/>
            <w:tcBorders>
              <w:top w:val="single" w:sz="4" w:space="0" w:color="auto"/>
              <w:left w:val="single" w:sz="4" w:space="0" w:color="auto"/>
              <w:bottom w:val="single" w:sz="4" w:space="0" w:color="auto"/>
              <w:right w:val="single" w:sz="4" w:space="0" w:color="auto"/>
            </w:tcBorders>
          </w:tcPr>
          <w:p w:rsidR="00A92422" w:rsidRPr="00D87B79" w:rsidRDefault="00A92422" w:rsidP="00EA30FC">
            <w:pPr>
              <w:spacing w:after="200" w:line="276" w:lineRule="auto"/>
              <w:rPr>
                <w:rFonts w:cs="Tahoma"/>
              </w:rPr>
            </w:pPr>
            <w:r w:rsidRPr="00D87B79">
              <w:rPr>
                <w:rFonts w:cs="Tahoma"/>
                <w:lang w:val="it-IT"/>
              </w:rPr>
              <w:t>CAL per Windows Server 2012 con Software Assurance</w:t>
            </w:r>
          </w:p>
          <w:p w:rsidR="00A92422" w:rsidRPr="00D87B79" w:rsidRDefault="00A92422" w:rsidP="00EA30FC">
            <w:pPr>
              <w:spacing w:after="200" w:line="276" w:lineRule="auto"/>
              <w:rPr>
                <w:rFonts w:eastAsia="Times New Roman" w:cs="Tahoma"/>
                <w:szCs w:val="18"/>
              </w:rPr>
            </w:pPr>
            <w:r w:rsidRPr="00D87B79">
              <w:rPr>
                <w:rFonts w:eastAsia="Times New Roman" w:cs="Tahoma"/>
                <w:szCs w:val="18"/>
                <w:lang w:val="it-IT"/>
              </w:rPr>
              <w:t>CAL per SQL Server 2012 con Software Assurance</w:t>
            </w:r>
          </w:p>
        </w:tc>
      </w:tr>
    </w:tbl>
    <w:p w:rsidR="00A92422" w:rsidRPr="00D87B79" w:rsidRDefault="00A92422" w:rsidP="00A92422">
      <w:pPr>
        <w:rPr>
          <w:rFonts w:cs="Tahoma"/>
        </w:rPr>
      </w:pPr>
    </w:p>
    <w:p w:rsidR="00A92422" w:rsidRPr="000010FE" w:rsidRDefault="00A92422" w:rsidP="00A92422">
      <w:pPr>
        <w:pStyle w:val="ListParagraph"/>
        <w:contextualSpacing w:val="0"/>
        <w:rPr>
          <w:rFonts w:ascii="Tahoma" w:hAnsi="Tahoma" w:cs="Tahoma"/>
          <w:spacing w:val="-2"/>
          <w:sz w:val="18"/>
          <w:szCs w:val="22"/>
        </w:rPr>
      </w:pPr>
      <w:r w:rsidRPr="000010FE">
        <w:rPr>
          <w:rFonts w:ascii="Tahoma" w:hAnsi="Tahoma" w:cs="Tahoma"/>
          <w:spacing w:val="-2"/>
          <w:sz w:val="18"/>
          <w:szCs w:val="22"/>
          <w:lang w:val="it-IT"/>
        </w:rPr>
        <w:t>La copertura Software Assurance inclusa nella suddetta concessione scade alla scadenza della corrispondente copertura per le CAL Qualificanti.</w:t>
      </w:r>
      <w:r w:rsidRPr="000010FE">
        <w:rPr>
          <w:rFonts w:ascii="Tahoma" w:hAnsi="Tahoma" w:cs="Tahoma"/>
          <w:spacing w:val="-2"/>
          <w:sz w:val="18"/>
          <w:szCs w:val="22"/>
        </w:rPr>
        <w:t xml:space="preserve"> </w:t>
      </w:r>
      <w:r w:rsidRPr="000010FE">
        <w:rPr>
          <w:rFonts w:ascii="Tahoma" w:hAnsi="Tahoma" w:cs="Tahoma"/>
          <w:spacing w:val="-2"/>
          <w:sz w:val="18"/>
          <w:szCs w:val="22"/>
          <w:lang w:val="it-IT"/>
        </w:rPr>
        <w:t>In via eccezionale, le società con copertura Software Assurance attiva per le CAL Qualificanti in scadenza nel mese di agosto 2012 hanno la possibilità fino al 31 dicembre 2012 di rinnovare la copertura per le CAL ricevute in concessione ai sensi della presente offerta.</w:t>
      </w:r>
      <w:r w:rsidRPr="000010FE">
        <w:rPr>
          <w:rFonts w:ascii="Tahoma" w:hAnsi="Tahoma" w:cs="Tahoma"/>
          <w:spacing w:val="-2"/>
          <w:sz w:val="18"/>
          <w:szCs w:val="22"/>
        </w:rPr>
        <w:t xml:space="preserve"> </w:t>
      </w:r>
      <w:r w:rsidRPr="000010FE">
        <w:rPr>
          <w:rFonts w:ascii="Tahoma" w:hAnsi="Tahoma" w:cs="Tahoma"/>
          <w:spacing w:val="-2"/>
          <w:sz w:val="18"/>
          <w:szCs w:val="22"/>
          <w:lang w:val="it-IT"/>
        </w:rPr>
        <w:t>Le società con copertura Software Assurance attiva per le CAL Qualificanti in scadenza nel mese di luglio 2012 hanno la possibilità fino al 31 dicembre 2012 di acquistare la copertura per le CAL ricevute in concessione ai sensi della presente offerta.</w:t>
      </w:r>
    </w:p>
    <w:p w:rsidR="00A92422" w:rsidRPr="000010FE" w:rsidRDefault="00A92422" w:rsidP="00A92422">
      <w:pPr>
        <w:pStyle w:val="ListParagraph"/>
        <w:contextualSpacing w:val="0"/>
        <w:rPr>
          <w:rFonts w:ascii="Tahoma" w:hAnsi="Tahoma" w:cs="Tahoma"/>
          <w:sz w:val="18"/>
          <w:szCs w:val="18"/>
        </w:rPr>
      </w:pPr>
    </w:p>
    <w:p w:rsidR="00A92422" w:rsidRPr="000010FE" w:rsidRDefault="00A92422" w:rsidP="00A92422">
      <w:pPr>
        <w:pStyle w:val="ListParagraph"/>
        <w:contextualSpacing w:val="0"/>
        <w:rPr>
          <w:rFonts w:ascii="Tahoma" w:hAnsi="Tahoma" w:cs="Tahoma"/>
          <w:spacing w:val="-2"/>
          <w:sz w:val="18"/>
          <w:szCs w:val="22"/>
        </w:rPr>
      </w:pPr>
      <w:r w:rsidRPr="000010FE">
        <w:rPr>
          <w:rFonts w:ascii="Tahoma" w:hAnsi="Tahoma" w:cs="Tahoma"/>
          <w:spacing w:val="-2"/>
          <w:sz w:val="18"/>
          <w:szCs w:val="22"/>
          <w:lang w:val="it-IT"/>
        </w:rPr>
        <w:t>Nel caso in cui le società abbiano acquistato diritti perpetui previsti dalle CAL qualificanti, le CAL acquistate ai</w:t>
      </w:r>
      <w:r>
        <w:rPr>
          <w:rFonts w:ascii="Tahoma" w:hAnsi="Tahoma" w:cs="Tahoma"/>
          <w:spacing w:val="-2"/>
          <w:sz w:val="18"/>
          <w:szCs w:val="22"/>
          <w:lang w:val="it-IT"/>
        </w:rPr>
        <w:t> </w:t>
      </w:r>
      <w:r w:rsidRPr="000010FE">
        <w:rPr>
          <w:rFonts w:ascii="Tahoma" w:hAnsi="Tahoma" w:cs="Tahoma"/>
          <w:spacing w:val="-2"/>
          <w:sz w:val="18"/>
          <w:szCs w:val="22"/>
          <w:lang w:val="it-IT"/>
        </w:rPr>
        <w:t>sensi della presente concessione saranno anch’esse perpetue; diversamente, le CAL acquistate ai sensi della</w:t>
      </w:r>
      <w:r>
        <w:rPr>
          <w:rFonts w:ascii="Tahoma" w:hAnsi="Tahoma" w:cs="Tahoma"/>
          <w:spacing w:val="-2"/>
          <w:sz w:val="18"/>
          <w:szCs w:val="22"/>
          <w:lang w:val="it-IT"/>
        </w:rPr>
        <w:t> </w:t>
      </w:r>
      <w:r w:rsidRPr="000010FE">
        <w:rPr>
          <w:rFonts w:ascii="Tahoma" w:hAnsi="Tahoma" w:cs="Tahoma"/>
          <w:spacing w:val="-2"/>
          <w:sz w:val="18"/>
          <w:szCs w:val="22"/>
          <w:lang w:val="it-IT"/>
        </w:rPr>
        <w:t>presente concessione cesseranno alla scadenza delle CAL Qualificanti sottostanti.</w:t>
      </w:r>
    </w:p>
    <w:p w:rsidR="00A92422" w:rsidRPr="00A55BDF" w:rsidRDefault="00A92422" w:rsidP="00A92422">
      <w:pPr>
        <w:pStyle w:val="ListParagraph"/>
        <w:contextualSpacing w:val="0"/>
        <w:rPr>
          <w:rFonts w:ascii="Tahoma" w:hAnsi="Tahoma" w:cs="Tahoma"/>
          <w:sz w:val="18"/>
          <w:szCs w:val="18"/>
        </w:rPr>
      </w:pPr>
    </w:p>
    <w:p w:rsidR="00A92422" w:rsidRPr="000010FE" w:rsidRDefault="00A92422" w:rsidP="00A92422">
      <w:pPr>
        <w:pStyle w:val="ListParagraph"/>
        <w:contextualSpacing w:val="0"/>
        <w:rPr>
          <w:rFonts w:ascii="Tahoma" w:hAnsi="Tahoma" w:cs="Tahoma"/>
          <w:spacing w:val="-2"/>
          <w:sz w:val="18"/>
          <w:szCs w:val="22"/>
        </w:rPr>
      </w:pPr>
      <w:r w:rsidRPr="000010FE">
        <w:rPr>
          <w:rFonts w:ascii="Tahoma" w:hAnsi="Tahoma" w:cs="Tahoma"/>
          <w:spacing w:val="-2"/>
          <w:sz w:val="18"/>
          <w:szCs w:val="22"/>
          <w:lang w:val="it-IT"/>
        </w:rPr>
        <w:t>Per ogni CAL Qualificante acquistata ai sensi del contratto Open Value Subscription, una società potrà eseguire il buy-out di una CAL Suite per SBS 2011 Premium Add-on come indicato o di:</w:t>
      </w:r>
    </w:p>
    <w:p w:rsidR="00A92422" w:rsidRPr="000010FE" w:rsidRDefault="00A92422" w:rsidP="00A92422">
      <w:pPr>
        <w:pStyle w:val="ListParagraph"/>
        <w:contextualSpacing w:val="0"/>
        <w:rPr>
          <w:rFonts w:ascii="Tahoma" w:hAnsi="Tahoma" w:cs="Tahoma"/>
          <w:sz w:val="18"/>
          <w:szCs w:val="18"/>
        </w:rPr>
      </w:pPr>
    </w:p>
    <w:p w:rsidR="00A92422" w:rsidRPr="000010FE" w:rsidRDefault="00A92422" w:rsidP="00A92422">
      <w:pPr>
        <w:pStyle w:val="ListParagraph"/>
        <w:numPr>
          <w:ilvl w:val="1"/>
          <w:numId w:val="116"/>
        </w:numPr>
        <w:tabs>
          <w:tab w:val="clear" w:pos="1440"/>
        </w:tabs>
        <w:spacing w:after="60"/>
        <w:ind w:hanging="274"/>
        <w:contextualSpacing w:val="0"/>
        <w:rPr>
          <w:rFonts w:ascii="Tahoma" w:hAnsi="Tahoma" w:cs="Tahoma"/>
          <w:sz w:val="18"/>
          <w:szCs w:val="18"/>
        </w:rPr>
      </w:pPr>
      <w:r w:rsidRPr="000010FE">
        <w:rPr>
          <w:rFonts w:ascii="Tahoma" w:hAnsi="Tahoma" w:cs="Tahoma"/>
          <w:sz w:val="18"/>
          <w:szCs w:val="18"/>
          <w:lang w:val="it-IT"/>
        </w:rPr>
        <w:t>Una CAL per Windows Server 2012 e una per SQL Server 2012 per i contratti in scadenza in data 1 agosto 2012 o successiva oppure</w:t>
      </w:r>
    </w:p>
    <w:p w:rsidR="00A92422" w:rsidRPr="000010FE" w:rsidRDefault="00A92422" w:rsidP="00A92422">
      <w:pPr>
        <w:pStyle w:val="ListParagraph"/>
        <w:numPr>
          <w:ilvl w:val="1"/>
          <w:numId w:val="116"/>
        </w:numPr>
        <w:tabs>
          <w:tab w:val="clear" w:pos="1440"/>
        </w:tabs>
        <w:spacing w:after="60"/>
        <w:ind w:hanging="274"/>
        <w:contextualSpacing w:val="0"/>
        <w:rPr>
          <w:rFonts w:ascii="Tahoma" w:hAnsi="Tahoma" w:cs="Tahoma"/>
          <w:sz w:val="18"/>
          <w:szCs w:val="18"/>
        </w:rPr>
      </w:pPr>
      <w:r w:rsidRPr="000010FE">
        <w:rPr>
          <w:rFonts w:ascii="Tahoma" w:hAnsi="Tahoma" w:cs="Tahoma"/>
          <w:sz w:val="18"/>
          <w:szCs w:val="18"/>
          <w:lang w:val="it-IT"/>
        </w:rPr>
        <w:t>Una CAL per Windows Server 2008 e una per SQL Server 2012 per i contratti in scadenza in data 1 luglio 2012.</w:t>
      </w:r>
    </w:p>
    <w:p w:rsidR="00A92422" w:rsidRPr="000010FE" w:rsidRDefault="00A92422" w:rsidP="00A92422">
      <w:pPr>
        <w:pStyle w:val="ListParagraph"/>
        <w:ind w:left="1800"/>
        <w:contextualSpacing w:val="0"/>
        <w:rPr>
          <w:rFonts w:ascii="Tahoma" w:hAnsi="Tahoma" w:cs="Tahoma"/>
          <w:sz w:val="18"/>
          <w:szCs w:val="18"/>
        </w:rPr>
      </w:pPr>
    </w:p>
    <w:p w:rsidR="00A92422" w:rsidRPr="000010FE" w:rsidRDefault="00A92422" w:rsidP="00A92422">
      <w:pPr>
        <w:ind w:left="720"/>
        <w:rPr>
          <w:rFonts w:cs="Tahoma"/>
          <w:spacing w:val="-2"/>
        </w:rPr>
      </w:pPr>
      <w:r w:rsidRPr="000010FE">
        <w:rPr>
          <w:rFonts w:cs="Tahoma"/>
          <w:spacing w:val="-2"/>
          <w:lang w:val="it-IT"/>
        </w:rPr>
        <w:t>Utilizzando le CAL per Windows Server 2012 e le CAL per SQL Server 2012 ai sensi della presente concessione, le CAL Suite Qualificanti delle società in essere per SBS Premium Add-on non saranno più valide.</w:t>
      </w:r>
    </w:p>
    <w:p w:rsidR="00A92422" w:rsidRPr="00D87B79" w:rsidRDefault="00A92422" w:rsidP="00A92422">
      <w:pPr>
        <w:ind w:left="720"/>
        <w:rPr>
          <w:rFonts w:cs="Tahoma"/>
        </w:rPr>
      </w:pPr>
    </w:p>
    <w:p w:rsidR="00A92422" w:rsidRDefault="00A92422" w:rsidP="00A92422">
      <w:pPr>
        <w:ind w:left="720"/>
        <w:rPr>
          <w:rFonts w:cs="Tahoma"/>
        </w:rPr>
      </w:pPr>
      <w:r w:rsidRPr="00D87B79">
        <w:rPr>
          <w:rFonts w:cs="Tahoma"/>
          <w:color w:val="000000"/>
          <w:lang w:val="it-IT"/>
        </w:rPr>
        <w:t>Le Premium Add-on CAL Suite per SBS 2011 acquistate successivamente nello stesso periodo di validità dell’iscrizione nell’ambito di una procedura pianificata di true-up di una società Open Value Subscription o</w:t>
      </w:r>
      <w:r>
        <w:rPr>
          <w:rFonts w:cs="Tahoma"/>
          <w:color w:val="000000"/>
          <w:lang w:val="it-IT"/>
        </w:rPr>
        <w:t> </w:t>
      </w:r>
      <w:r w:rsidRPr="00D87B79">
        <w:rPr>
          <w:rFonts w:cs="Tahoma"/>
          <w:color w:val="000000"/>
          <w:lang w:val="it-IT"/>
        </w:rPr>
        <w:t>EES sono anch’esse CAL Qualificanti per gli scopi previsti dalla suddetta concessione.</w:t>
      </w:r>
      <w:r w:rsidRPr="00D87B79">
        <w:rPr>
          <w:rFonts w:cs="Tahoma"/>
        </w:rPr>
        <w:t xml:space="preserve"> </w:t>
      </w:r>
    </w:p>
    <w:p w:rsidR="00A92422" w:rsidRDefault="00A92422" w:rsidP="00A92422">
      <w:pPr>
        <w:ind w:left="720"/>
        <w:rPr>
          <w:rFonts w:cs="Tahoma"/>
        </w:rPr>
      </w:pPr>
    </w:p>
    <w:p w:rsidR="00A92422" w:rsidRDefault="00A92422" w:rsidP="00A92422">
      <w:pPr>
        <w:ind w:left="720"/>
        <w:rPr>
          <w:rFonts w:cs="Tahoma"/>
        </w:rPr>
      </w:pPr>
    </w:p>
    <w:p w:rsidR="00A92422" w:rsidRPr="00D87B79" w:rsidRDefault="00A92422" w:rsidP="00A92422">
      <w:pPr>
        <w:pStyle w:val="Heading2"/>
        <w:ind w:left="0"/>
        <w:rPr>
          <w:rFonts w:ascii="Tahoma" w:hAnsi="Tahoma" w:cs="Tahoma"/>
        </w:rPr>
      </w:pPr>
      <w:bookmarkStart w:id="1660" w:name="_124_Windows_Small_1"/>
      <w:bookmarkStart w:id="1661" w:name="_Toc336338381"/>
      <w:bookmarkStart w:id="1662" w:name="_115_Windows_Small"/>
      <w:bookmarkStart w:id="1663" w:name="_Toc342900425"/>
      <w:bookmarkEnd w:id="1660"/>
      <w:bookmarkEnd w:id="1661"/>
      <w:bookmarkEnd w:id="1662"/>
      <w:r w:rsidRPr="00D87B79">
        <w:rPr>
          <w:rFonts w:ascii="Tahoma" w:hAnsi="Tahoma" w:cs="Tahoma"/>
          <w:color w:val="F8701C"/>
          <w:sz w:val="22"/>
          <w:vertAlign w:val="superscript"/>
          <w:lang w:val="it-IT"/>
        </w:rPr>
        <w:t>115</w:t>
      </w:r>
      <w:r w:rsidRPr="00D87B79">
        <w:rPr>
          <w:rFonts w:ascii="Tahoma" w:hAnsi="Tahoma" w:cs="Tahoma"/>
          <w:color w:val="F8701C"/>
          <w:sz w:val="22"/>
          <w:lang w:val="it-IT"/>
        </w:rPr>
        <w:t xml:space="preserve"> Windows Small Business Server 2011 Essentials</w:t>
      </w:r>
      <w:bookmarkEnd w:id="1663"/>
    </w:p>
    <w:p w:rsidR="00A92422" w:rsidRPr="00D87B79" w:rsidRDefault="00A92422" w:rsidP="00A92422">
      <w:pPr>
        <w:rPr>
          <w:rFonts w:cs="Tahoma"/>
        </w:rPr>
      </w:pPr>
    </w:p>
    <w:p w:rsidR="00A92422" w:rsidRPr="00D87B79" w:rsidRDefault="00A92422" w:rsidP="00A92422">
      <w:pPr>
        <w:spacing w:after="60"/>
        <w:ind w:left="720"/>
        <w:rPr>
          <w:rFonts w:cs="Tahoma"/>
        </w:rPr>
      </w:pPr>
      <w:r w:rsidRPr="00D87B79">
        <w:rPr>
          <w:rFonts w:cs="Tahoma"/>
          <w:b/>
          <w:color w:val="000000"/>
          <w:lang w:val="it-IT"/>
        </w:rPr>
        <w:t>Concessioni di Licenza associate alla fine del ciclo di vita di Windows Small Business Server (SBS) 2011 Essentials</w:t>
      </w:r>
      <w:r w:rsidRPr="00D87B79">
        <w:rPr>
          <w:rFonts w:cs="Tahoma"/>
        </w:rPr>
        <w:t xml:space="preserve"> </w:t>
      </w:r>
    </w:p>
    <w:p w:rsidR="00A92422" w:rsidRPr="00D87B79" w:rsidRDefault="00A92422" w:rsidP="00A92422">
      <w:pPr>
        <w:ind w:left="720"/>
        <w:rPr>
          <w:rFonts w:cs="Tahoma"/>
        </w:rPr>
      </w:pPr>
      <w:r w:rsidRPr="00D87B79">
        <w:rPr>
          <w:rFonts w:cs="Tahoma"/>
          <w:lang w:val="it-IT"/>
        </w:rPr>
        <w:t>Windows SBS 2011 Essentials sarà l’ultima versione di Windows SBS Essentials.</w:t>
      </w:r>
      <w:r w:rsidRPr="00D87B79">
        <w:rPr>
          <w:rFonts w:cs="Tahoma"/>
        </w:rPr>
        <w:t xml:space="preserve"> </w:t>
      </w:r>
      <w:r w:rsidRPr="00D87B79">
        <w:rPr>
          <w:rFonts w:cs="Tahoma"/>
          <w:color w:val="000000"/>
          <w:lang w:val="it-IT"/>
        </w:rPr>
        <w:t xml:space="preserve">Le società titolari di contratti multilicenza con copertura Software Assurance attiva per le licenze per </w:t>
      </w:r>
      <w:r w:rsidRPr="00D87B79">
        <w:rPr>
          <w:rFonts w:cs="Tahoma"/>
          <w:lang w:val="it-IT"/>
        </w:rPr>
        <w:t>Windows SBS 2011 Essentials</w:t>
      </w:r>
      <w:r w:rsidRPr="00D87B79">
        <w:rPr>
          <w:rFonts w:cs="Tahoma"/>
          <w:color w:val="000000"/>
          <w:lang w:val="it-IT"/>
        </w:rPr>
        <w:t xml:space="preserve"> in data 1 novembre 2012 o in occasione della prima disponibilità di </w:t>
      </w:r>
      <w:r w:rsidRPr="00D87B79">
        <w:rPr>
          <w:rFonts w:cs="Tahoma"/>
          <w:lang w:val="it-IT"/>
        </w:rPr>
        <w:t>Windows Server 2012 Essentials</w:t>
      </w:r>
      <w:r w:rsidRPr="00D87B79">
        <w:rPr>
          <w:rFonts w:cs="Tahoma"/>
          <w:color w:val="000000"/>
          <w:lang w:val="it-IT"/>
        </w:rPr>
        <w:t xml:space="preserve"> per il download dal sito Web Volume Licensing Service Center, a seconda di quale evento si verificherà per primo, (“Licenze Qualificanti”) saranno autorizzate a effettuare l’aggiornamento al software </w:t>
      </w:r>
      <w:r w:rsidRPr="00D87B79">
        <w:rPr>
          <w:rFonts w:cs="Tahoma"/>
          <w:lang w:val="it-IT"/>
        </w:rPr>
        <w:t xml:space="preserve">Windows Server 2012 Essentials e a </w:t>
      </w:r>
      <w:r w:rsidRPr="00D87B79">
        <w:rPr>
          <w:rFonts w:cs="Tahoma"/>
          <w:color w:val="000000"/>
          <w:lang w:val="it-IT"/>
        </w:rPr>
        <w:t xml:space="preserve">utilizzarlo </w:t>
      </w:r>
      <w:r w:rsidRPr="000010FE">
        <w:rPr>
          <w:rFonts w:cs="Tahoma"/>
          <w:color w:val="000000"/>
          <w:u w:val="single"/>
          <w:lang w:val="it-IT"/>
        </w:rPr>
        <w:t xml:space="preserve">al posto di </w:t>
      </w:r>
      <w:r w:rsidRPr="000010FE">
        <w:rPr>
          <w:rFonts w:cs="Tahoma"/>
          <w:u w:val="single"/>
          <w:lang w:val="it-IT"/>
        </w:rPr>
        <w:t>SBS Essentials</w:t>
      </w:r>
      <w:r w:rsidRPr="00D87B79">
        <w:rPr>
          <w:rFonts w:cs="Tahoma"/>
          <w:color w:val="000000"/>
          <w:lang w:val="it-IT"/>
        </w:rPr>
        <w:t>.</w:t>
      </w:r>
      <w:r w:rsidRPr="00D87B79">
        <w:rPr>
          <w:rFonts w:cs="Tahoma"/>
        </w:rPr>
        <w:t xml:space="preserve"> </w:t>
      </w:r>
      <w:r w:rsidRPr="00D87B79">
        <w:rPr>
          <w:rFonts w:cs="Tahoma"/>
          <w:lang w:val="it-IT"/>
        </w:rPr>
        <w:t>Per agevolare tale utilizzo, per ogni Licenza Qualificante in suo possesso, alla società verrà concessa una licenza per Windows Server 2012 Essentials in base alla disponibilità di Windows Server 2012 Essentials. L'utilizzo di Windows Server 2012 Essentials sarà disciplinato ai sensi delle condizioni di licenza per tale prodotto contenute nei Diritti di Utilizzo del Prodotto</w:t>
      </w:r>
      <w:r>
        <w:rPr>
          <w:rFonts w:cs="Tahoma"/>
          <w:lang w:val="it-IT"/>
        </w:rPr>
        <w:t> </w:t>
      </w:r>
      <w:r w:rsidRPr="00D87B79">
        <w:rPr>
          <w:rFonts w:cs="Tahoma"/>
          <w:lang w:val="it-IT"/>
        </w:rPr>
        <w:t>e</w:t>
      </w:r>
      <w:r>
        <w:rPr>
          <w:rFonts w:cs="Tahoma"/>
          <w:lang w:val="it-IT"/>
        </w:rPr>
        <w:t> </w:t>
      </w:r>
      <w:r w:rsidRPr="00D87B79">
        <w:rPr>
          <w:rFonts w:cs="Tahoma"/>
          <w:lang w:val="it-IT"/>
        </w:rPr>
        <w:t>alle condizioni dei contratti multilicenza (Volume License) della società.</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lang w:val="it-IT"/>
        </w:rPr>
        <w:lastRenderedPageBreak/>
        <w:t>Nel caso in cui le società abbiano acquistato diritti perpetui per utilizzare software ai sensi di Licenze Qualificanti, le licenze acquistate ai sensi della presente concessione saranno anch’esse perpetue; diversamente, le licenze acquistate ai sensi della presente concessione cesseranno alla scadenza delle</w:t>
      </w:r>
      <w:r>
        <w:rPr>
          <w:rFonts w:cs="Tahoma"/>
          <w:lang w:val="it-IT"/>
        </w:rPr>
        <w:t> </w:t>
      </w:r>
      <w:r w:rsidRPr="00D87B79">
        <w:rPr>
          <w:rFonts w:cs="Tahoma"/>
          <w:lang w:val="it-IT"/>
        </w:rPr>
        <w:t>Licenze Qualificanti sottostanti.</w:t>
      </w:r>
    </w:p>
    <w:p w:rsidR="00A92422" w:rsidRPr="00D87B79" w:rsidRDefault="00A92422" w:rsidP="00A92422">
      <w:pPr>
        <w:ind w:left="720"/>
        <w:rPr>
          <w:rFonts w:cs="Tahoma"/>
        </w:rPr>
      </w:pPr>
      <w:r w:rsidRPr="00D87B79">
        <w:rPr>
          <w:rFonts w:cs="Tahoma"/>
          <w:lang w:val="it-IT"/>
        </w:rPr>
        <w:t>Eseguendo l’aggiornamento a Windows Server 2012 Essentials ai sensi della presente concessione, le</w:t>
      </w:r>
      <w:r>
        <w:rPr>
          <w:rFonts w:cs="Tahoma"/>
          <w:lang w:val="it-IT"/>
        </w:rPr>
        <w:t> </w:t>
      </w:r>
      <w:r w:rsidRPr="00D87B79">
        <w:rPr>
          <w:rFonts w:cs="Tahoma"/>
          <w:lang w:val="it-IT"/>
        </w:rPr>
        <w:t>Licenze Qualificanti delle società in essere per SBS Essentials non saranno più valide.</w:t>
      </w:r>
    </w:p>
    <w:p w:rsidR="00A92422" w:rsidRPr="00D87B79" w:rsidRDefault="00A92422" w:rsidP="00A92422">
      <w:pPr>
        <w:ind w:left="720"/>
        <w:rPr>
          <w:rFonts w:cs="Tahoma"/>
        </w:rPr>
      </w:pPr>
    </w:p>
    <w:p w:rsidR="00A92422" w:rsidRPr="00D87B79" w:rsidRDefault="00A92422" w:rsidP="00A92422">
      <w:pPr>
        <w:ind w:left="720"/>
        <w:rPr>
          <w:rFonts w:cs="Tahoma"/>
        </w:rPr>
      </w:pPr>
      <w:r w:rsidRPr="00D87B79">
        <w:rPr>
          <w:rFonts w:cs="Tahoma"/>
          <w:lang w:val="it-IT"/>
        </w:rPr>
        <w:t>Le licenze per SBS Essentials acquistate successivamente nello stesso periodo di validità dell’iscrizione nell’ambito di una procedura pianificata di true-up di una società Open Value Subscription o EES sono anch’esse Licenze Qualificanti per gli scopi previsti dalla suddetta concessione.</w:t>
      </w:r>
    </w:p>
    <w:p w:rsidR="00720CDE" w:rsidRDefault="00720CDE"/>
    <w:sectPr w:rsidR="00720CDE" w:rsidSect="0073455A">
      <w:endnotePr>
        <w:numFmt w:val="decimal"/>
      </w:endnotePr>
      <w:pgSz w:w="12240" w:h="15840" w:code="1"/>
      <w:pgMar w:top="1166"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MS UI Gothic">
    <w:panose1 w:val="020B0600070205080204"/>
    <w:charset w:val="80"/>
    <w:family w:val="swiss"/>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43EF" w:rsidRDefault="00CD1258">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lang w:val="it-IT"/>
      </w:rPr>
      <w:t>© 2009 Microsoft Corporation.</w:t>
    </w:r>
    <w:r>
      <w:rPr>
        <w:rFonts w:ascii="Trebuchet MS" w:hAnsi="Trebuchet MS"/>
        <w:color w:val="808080"/>
        <w:sz w:val="14"/>
      </w:rPr>
      <w:t xml:space="preserve"> </w:t>
    </w:r>
    <w:r>
      <w:rPr>
        <w:rFonts w:ascii="Trebuchet MS" w:hAnsi="Trebuchet MS"/>
        <w:color w:val="808080"/>
        <w:sz w:val="14"/>
        <w:lang w:val="it-IT"/>
      </w:rPr>
      <w:t>Tutti i diritti riservati.</w:t>
    </w:r>
    <w:r>
      <w:t xml:space="preserve"> </w:t>
    </w:r>
    <w:r>
      <w:rPr>
        <w:rFonts w:ascii="Trebuchet MS" w:hAnsi="Trebuchet MS"/>
        <w:color w:val="808080"/>
        <w:sz w:val="14"/>
        <w:lang w:val="it-IT"/>
      </w:rPr>
      <w:t xml:space="preserve">Pagina </w:t>
    </w:r>
    <w:r>
      <w:rPr>
        <w:lang w:val="it-IT"/>
      </w:rPr>
      <w:fldChar w:fldCharType="begin"/>
    </w:r>
    <w:r>
      <w:rPr>
        <w:lang w:val="it-IT"/>
      </w:rPr>
      <w:instrText xml:space="preserve"> PAGE </w:instrText>
    </w:r>
    <w:r>
      <w:rPr>
        <w:lang w:val="it-IT"/>
      </w:rPr>
      <w:fldChar w:fldCharType="separate"/>
    </w:r>
    <w:r>
      <w:rPr>
        <w:noProof/>
        <w:lang w:val="it-IT"/>
      </w:rPr>
      <w:t>2</w:t>
    </w:r>
    <w:r>
      <w:rPr>
        <w:lang w:val="it-IT"/>
      </w:rPr>
      <w:fldChar w:fldCharType="end"/>
    </w:r>
    <w:r>
      <w:rPr>
        <w:rFonts w:ascii="Trebuchet MS" w:hAnsi="Trebuchet MS"/>
        <w:color w:val="808080"/>
        <w:sz w:val="14"/>
        <w:lang w:val="it-IT"/>
      </w:rPr>
      <w:t xml:space="preserve"> di </w:t>
    </w:r>
    <w:r>
      <w:rPr>
        <w:lang w:val="it-IT"/>
      </w:rPr>
      <w:fldChar w:fldCharType="begin"/>
    </w:r>
    <w:r>
      <w:rPr>
        <w:lang w:val="it-IT"/>
      </w:rPr>
      <w:instrText xml:space="preserve"> NUMPAGES </w:instrText>
    </w:r>
    <w:r>
      <w:rPr>
        <w:lang w:val="it-IT"/>
      </w:rPr>
      <w:fldChar w:fldCharType="separate"/>
    </w:r>
    <w:r>
      <w:rPr>
        <w:noProof/>
        <w:lang w:val="it-IT"/>
      </w:rPr>
      <w:t>191</w:t>
    </w:r>
    <w:r>
      <w:rPr>
        <w:lang w:val="it-IT"/>
      </w:rPr>
      <w:fldChar w:fldCharType="end"/>
    </w:r>
    <w:r>
      <w:rPr>
        <w:rFonts w:ascii="Trebuchet MS" w:hAnsi="Trebuchet MS"/>
        <w:color w:val="808080"/>
        <w:sz w:val="14"/>
        <w:lang w:val="it-IT"/>
      </w:rPr>
      <w:t xml:space="preserve"> Pubblicato ad aprile 2009</w:t>
    </w:r>
  </w:p>
  <w:p w:rsidR="00FE43EF" w:rsidRDefault="00CD1258">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w:t>
    </w:r>
    <w:r>
      <w:rPr>
        <w:rFonts w:ascii="Trebuchet MS" w:hAnsi="Trebuchet MS"/>
        <w:color w:val="808080"/>
        <w:sz w:val="14"/>
        <w:lang w:val="it-IT"/>
      </w:rPr>
      <w:t xml:space="preserve">Microsoft </w:t>
    </w:r>
    <w:r>
      <w:rPr>
        <w:rFonts w:ascii="Trebuchet MS"/>
        <w:color w:val="808080"/>
        <w:sz w:val="14"/>
        <w:lang w:val="it-IT"/>
      </w:rPr>
      <w:t>è</w:t>
    </w:r>
    <w:r>
      <w:rPr>
        <w:rFonts w:ascii="Trebuchet MS" w:hAnsi="Trebuchet MS"/>
        <w:color w:val="808080"/>
        <w:sz w:val="14"/>
        <w:lang w:val="it-IT"/>
      </w:rPr>
      <w:t xml:space="preserve"> un marchio registrato di Microsoft Corporation negli Stati Uniti e/o negli altri paesi.</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43EF" w:rsidRDefault="00CD1258" w:rsidP="00210219"/>
  <w:p w:rsidR="00FE43EF" w:rsidRPr="009D7C8E" w:rsidRDefault="00CD1258" w:rsidP="00210219">
    <w:pPr>
      <w:pStyle w:val="Footer"/>
      <w:pBdr>
        <w:top w:val="single" w:sz="6" w:space="1" w:color="808080"/>
      </w:pBdr>
      <w:tabs>
        <w:tab w:val="clear" w:pos="5155"/>
        <w:tab w:val="clear" w:pos="10325"/>
        <w:tab w:val="right" w:pos="9360"/>
      </w:tabs>
      <w:rPr>
        <w:rFonts w:ascii="Trebuchet MS" w:hAnsi="Trebuchet MS"/>
        <w:color w:val="808080"/>
        <w:sz w:val="14"/>
      </w:rPr>
    </w:pPr>
    <w:r>
      <w:rPr>
        <w:rFonts w:ascii="Trebuchet MS" w:hAnsi="Trebuchet MS"/>
        <w:color w:val="808080"/>
        <w:sz w:val="14"/>
        <w:lang w:val="it-IT"/>
      </w:rPr>
      <w:t>© 2013 Microsoft Corporation.</w:t>
    </w:r>
    <w:r>
      <w:t xml:space="preserve"> </w:t>
    </w:r>
    <w:r>
      <w:rPr>
        <w:rFonts w:ascii="Trebuchet MS"/>
        <w:color w:val="808080"/>
        <w:sz w:val="14"/>
        <w:lang w:val="it-IT"/>
      </w:rPr>
      <w:t>Tutti i diritti riservati.</w:t>
    </w:r>
    <w:r>
      <w:tab/>
    </w:r>
    <w:r>
      <w:rPr>
        <w:rFonts w:ascii="Trebuchet MS" w:hAnsi="Trebuchet MS"/>
        <w:color w:val="808080"/>
        <w:sz w:val="14"/>
        <w:lang w:val="it-IT"/>
      </w:rPr>
      <w:t xml:space="preserve">Pagina </w:t>
    </w:r>
    <w:r>
      <w:fldChar w:fldCharType="begin"/>
    </w:r>
    <w:r>
      <w:instrText xml:space="preserve"> PAGE </w:instrText>
    </w:r>
    <w:r>
      <w:fldChar w:fldCharType="separate"/>
    </w:r>
    <w:r w:rsidR="00A92422">
      <w:rPr>
        <w:noProof/>
      </w:rPr>
      <w:t>1</w:t>
    </w:r>
    <w:r>
      <w:rPr>
        <w:noProof/>
      </w:rPr>
      <w:fldChar w:fldCharType="end"/>
    </w:r>
    <w:r>
      <w:rPr>
        <w:rFonts w:ascii="Trebuchet MS" w:hAnsi="Trebuchet MS"/>
        <w:color w:val="808080"/>
        <w:sz w:val="14"/>
      </w:rPr>
      <w:t xml:space="preserve"> </w:t>
    </w:r>
    <w:r>
      <w:rPr>
        <w:rFonts w:ascii="Trebuchet MS" w:hAnsi="Trebuchet MS"/>
        <w:color w:val="808080"/>
        <w:sz w:val="14"/>
        <w:lang w:val="it-IT"/>
      </w:rPr>
      <w:t xml:space="preserve">di </w:t>
    </w:r>
    <w:r>
      <w:fldChar w:fldCharType="begin"/>
    </w:r>
    <w:r>
      <w:instrText xml:space="preserve"> NUMPAGES </w:instrText>
    </w:r>
    <w:r>
      <w:fldChar w:fldCharType="separate"/>
    </w:r>
    <w:r w:rsidR="00A92422">
      <w:rPr>
        <w:noProof/>
      </w:rPr>
      <w:t>1</w:t>
    </w:r>
    <w:r>
      <w:rPr>
        <w:noProof/>
      </w:rPr>
      <w:fldChar w:fldCharType="end"/>
    </w:r>
    <w:r>
      <w:rPr>
        <w:rFonts w:ascii="Trebuchet MS" w:hAnsi="Trebuchet MS"/>
        <w:color w:val="808080"/>
        <w:sz w:val="14"/>
        <w:lang w:val="it-IT"/>
      </w:rPr>
      <w:t xml:space="preserve"> Pubblicato nel Gennaio 2013</w:t>
    </w:r>
  </w:p>
  <w:p w:rsidR="00FE43EF" w:rsidRDefault="00CD1258" w:rsidP="00210219">
    <w:pPr>
      <w:pStyle w:val="Footer"/>
      <w:rPr>
        <w:rFonts w:ascii="Verdana" w:hAnsi="Verdana"/>
        <w:color w:val="808080"/>
        <w:sz w:val="16"/>
      </w:rPr>
    </w:pPr>
    <w:r>
      <w:rPr>
        <w:rFonts w:ascii="Trebuchet MS" w:hAnsi="Trebuchet MS"/>
        <w:color w:val="808080"/>
        <w:sz w:val="14"/>
        <w:lang w:val="it-IT"/>
      </w:rPr>
      <w:t xml:space="preserve">Microsoft </w:t>
    </w:r>
    <w:r>
      <w:rPr>
        <w:rFonts w:ascii="Trebuchet MS"/>
        <w:color w:val="808080"/>
        <w:sz w:val="14"/>
        <w:lang w:val="it-IT"/>
      </w:rPr>
      <w:t>è</w:t>
    </w:r>
    <w:r>
      <w:rPr>
        <w:rFonts w:ascii="Trebuchet MS" w:hAnsi="Trebuchet MS"/>
        <w:color w:val="808080"/>
        <w:sz w:val="14"/>
        <w:lang w:val="it-IT"/>
      </w:rPr>
      <w:t xml:space="preserve"> un marchio registrato di Microsoft Corporation negli Stati Uniti e/o negli altri paesi.</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43EF" w:rsidRDefault="00CD1258" w:rsidP="00104EA3"/>
  <w:p w:rsidR="00FE43EF" w:rsidRPr="009D7C8E" w:rsidRDefault="00CD1258" w:rsidP="00104EA3">
    <w:pPr>
      <w:pStyle w:val="Footer"/>
      <w:pBdr>
        <w:top w:val="single" w:sz="6" w:space="1" w:color="808080"/>
      </w:pBdr>
      <w:tabs>
        <w:tab w:val="clear" w:pos="5155"/>
        <w:tab w:val="clear" w:pos="10325"/>
        <w:tab w:val="right" w:pos="9360"/>
      </w:tabs>
      <w:rPr>
        <w:rFonts w:ascii="Trebuchet MS" w:hAnsi="Trebuchet MS"/>
        <w:color w:val="808080"/>
        <w:sz w:val="14"/>
      </w:rPr>
    </w:pPr>
    <w:r>
      <w:rPr>
        <w:rFonts w:ascii="Trebuchet MS" w:hAnsi="Trebuchet MS"/>
        <w:color w:val="808080"/>
        <w:sz w:val="14"/>
        <w:lang w:val="it-IT"/>
      </w:rPr>
      <w:t>© 2013 Microsoft Corporation.</w:t>
    </w:r>
    <w:r>
      <w:t xml:space="preserve"> </w:t>
    </w:r>
    <w:r>
      <w:rPr>
        <w:rFonts w:ascii="Trebuchet MS"/>
        <w:color w:val="808080"/>
        <w:sz w:val="14"/>
        <w:lang w:val="it-IT"/>
      </w:rPr>
      <w:t>Tutti i diritti riservati.</w:t>
    </w:r>
    <w:r>
      <w:tab/>
    </w:r>
    <w:r>
      <w:rPr>
        <w:rFonts w:ascii="Trebuchet MS" w:hAnsi="Trebuchet MS"/>
        <w:color w:val="808080"/>
        <w:sz w:val="14"/>
        <w:lang w:val="it-IT"/>
      </w:rPr>
      <w:t xml:space="preserve">Pagina </w:t>
    </w:r>
    <w:r>
      <w:fldChar w:fldCharType="begin"/>
    </w:r>
    <w:r>
      <w:instrText xml:space="preserve"> PAGE </w:instrText>
    </w:r>
    <w:r>
      <w:fldChar w:fldCharType="separate"/>
    </w:r>
    <w:r w:rsidR="00A92422">
      <w:rPr>
        <w:noProof/>
      </w:rPr>
      <w:t>189</w:t>
    </w:r>
    <w:r>
      <w:rPr>
        <w:noProof/>
      </w:rPr>
      <w:fldChar w:fldCharType="end"/>
    </w:r>
    <w:r>
      <w:rPr>
        <w:rFonts w:ascii="Trebuchet MS" w:hAnsi="Trebuchet MS"/>
        <w:color w:val="808080"/>
        <w:sz w:val="14"/>
      </w:rPr>
      <w:t xml:space="preserve"> </w:t>
    </w:r>
    <w:r>
      <w:rPr>
        <w:rFonts w:ascii="Trebuchet MS" w:hAnsi="Trebuchet MS"/>
        <w:color w:val="808080"/>
        <w:sz w:val="14"/>
        <w:lang w:val="it-IT"/>
      </w:rPr>
      <w:t xml:space="preserve">di </w:t>
    </w:r>
    <w:r>
      <w:fldChar w:fldCharType="begin"/>
    </w:r>
    <w:r>
      <w:instrText xml:space="preserve"> NUMPAGES </w:instrText>
    </w:r>
    <w:r>
      <w:fldChar w:fldCharType="separate"/>
    </w:r>
    <w:r w:rsidR="00A92422">
      <w:rPr>
        <w:noProof/>
      </w:rPr>
      <w:t>189</w:t>
    </w:r>
    <w:r>
      <w:rPr>
        <w:noProof/>
      </w:rPr>
      <w:fldChar w:fldCharType="end"/>
    </w:r>
    <w:r>
      <w:rPr>
        <w:rFonts w:ascii="Trebuchet MS" w:hAnsi="Trebuchet MS"/>
        <w:color w:val="808080"/>
        <w:sz w:val="14"/>
        <w:lang w:val="it-IT"/>
      </w:rPr>
      <w:t xml:space="preserve"> Pubblicato nel Gennaio 2013</w:t>
    </w:r>
  </w:p>
  <w:p w:rsidR="00FE43EF" w:rsidRDefault="00CD1258" w:rsidP="00104EA3">
    <w:pPr>
      <w:pStyle w:val="Footer"/>
      <w:rPr>
        <w:rFonts w:ascii="Verdana" w:hAnsi="Verdana"/>
        <w:color w:val="808080"/>
        <w:sz w:val="16"/>
      </w:rPr>
    </w:pPr>
    <w:r>
      <w:rPr>
        <w:rFonts w:ascii="Trebuchet MS" w:hAnsi="Trebuchet MS"/>
        <w:color w:val="808080"/>
        <w:sz w:val="14"/>
        <w:lang w:val="it-IT"/>
      </w:rPr>
      <w:t xml:space="preserve">Microsoft </w:t>
    </w:r>
    <w:r>
      <w:rPr>
        <w:rFonts w:ascii="Trebuchet MS"/>
        <w:color w:val="808080"/>
        <w:sz w:val="14"/>
        <w:lang w:val="it-IT"/>
      </w:rPr>
      <w:t>è</w:t>
    </w:r>
    <w:r>
      <w:rPr>
        <w:rFonts w:ascii="Trebuchet MS" w:hAnsi="Trebuchet MS"/>
        <w:color w:val="808080"/>
        <w:sz w:val="14"/>
        <w:lang w:val="it-IT"/>
      </w:rPr>
      <w:t xml:space="preserve"> un marchio registrato di Microsoft Corporation negli Stati Uniti e/o negli altri paesi.</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43EF" w:rsidRDefault="00CD1258"/>
  <w:p w:rsidR="00FE43EF" w:rsidRDefault="00CD1258">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lang w:val="it-IT"/>
      </w:rPr>
      <w:t xml:space="preserve">© 2009 Microsoft </w:t>
    </w:r>
    <w:r>
      <w:rPr>
        <w:rFonts w:ascii="Trebuchet MS" w:hAnsi="Trebuchet MS"/>
        <w:color w:val="808080"/>
        <w:sz w:val="14"/>
        <w:lang w:val="it-IT"/>
      </w:rPr>
      <w:t>Corporation.</w:t>
    </w:r>
    <w:r>
      <w:rPr>
        <w:rFonts w:ascii="Trebuchet MS" w:hAnsi="Trebuchet MS"/>
        <w:color w:val="808080"/>
        <w:sz w:val="14"/>
      </w:rPr>
      <w:t xml:space="preserve"> </w:t>
    </w:r>
    <w:r>
      <w:rPr>
        <w:rFonts w:ascii="Trebuchet MS" w:hAnsi="Trebuchet MS"/>
        <w:color w:val="808080"/>
        <w:sz w:val="14"/>
        <w:lang w:val="it-IT"/>
      </w:rPr>
      <w:t>Tutti i diritti riservati.</w:t>
    </w:r>
    <w:r>
      <w:t xml:space="preserve"> </w:t>
    </w:r>
    <w:r>
      <w:rPr>
        <w:rFonts w:ascii="Trebuchet MS" w:hAnsi="Trebuchet MS"/>
        <w:color w:val="808080"/>
        <w:sz w:val="14"/>
        <w:lang w:val="it-IT"/>
      </w:rPr>
      <w:t xml:space="preserve">Pagina </w:t>
    </w:r>
    <w:r>
      <w:rPr>
        <w:lang w:val="it-IT"/>
      </w:rPr>
      <w:fldChar w:fldCharType="begin"/>
    </w:r>
    <w:r>
      <w:rPr>
        <w:lang w:val="it-IT"/>
      </w:rPr>
      <w:instrText xml:space="preserve"> PAGE </w:instrText>
    </w:r>
    <w:r>
      <w:rPr>
        <w:lang w:val="it-IT"/>
      </w:rPr>
      <w:fldChar w:fldCharType="separate"/>
    </w:r>
    <w:r>
      <w:rPr>
        <w:noProof/>
        <w:lang w:val="it-IT"/>
      </w:rPr>
      <w:t>1</w:t>
    </w:r>
    <w:r>
      <w:rPr>
        <w:lang w:val="it-IT"/>
      </w:rPr>
      <w:fldChar w:fldCharType="end"/>
    </w:r>
    <w:r>
      <w:rPr>
        <w:rFonts w:ascii="Trebuchet MS" w:hAnsi="Trebuchet MS"/>
        <w:color w:val="808080"/>
        <w:sz w:val="14"/>
        <w:lang w:val="it-IT"/>
      </w:rPr>
      <w:t xml:space="preserve"> di </w:t>
    </w:r>
    <w:r>
      <w:rPr>
        <w:lang w:val="it-IT"/>
      </w:rPr>
      <w:fldChar w:fldCharType="begin"/>
    </w:r>
    <w:r>
      <w:rPr>
        <w:lang w:val="it-IT"/>
      </w:rPr>
      <w:instrText xml:space="preserve"> NUMPAGES </w:instrText>
    </w:r>
    <w:r>
      <w:rPr>
        <w:lang w:val="it-IT"/>
      </w:rPr>
      <w:fldChar w:fldCharType="separate"/>
    </w:r>
    <w:r>
      <w:rPr>
        <w:noProof/>
        <w:lang w:val="it-IT"/>
      </w:rPr>
      <w:t>191</w:t>
    </w:r>
    <w:r>
      <w:rPr>
        <w:lang w:val="it-IT"/>
      </w:rPr>
      <w:fldChar w:fldCharType="end"/>
    </w:r>
    <w:r>
      <w:rPr>
        <w:rFonts w:ascii="Trebuchet MS" w:hAnsi="Trebuchet MS"/>
        <w:color w:val="808080"/>
        <w:sz w:val="14"/>
        <w:lang w:val="it-IT"/>
      </w:rPr>
      <w:t xml:space="preserve"> Pubblicato a maggio 2009</w:t>
    </w:r>
  </w:p>
  <w:p w:rsidR="00FE43EF" w:rsidRDefault="00CD1258">
    <w:pPr>
      <w:pStyle w:val="Footer"/>
      <w:rPr>
        <w:rFonts w:ascii="Verdana" w:hAnsi="Verdana"/>
        <w:color w:val="808080"/>
        <w:sz w:val="16"/>
      </w:rPr>
    </w:pPr>
    <w:r>
      <w:rPr>
        <w:rFonts w:ascii="Trebuchet MS" w:hAnsi="Trebuchet MS"/>
        <w:color w:val="808080"/>
        <w:sz w:val="14"/>
        <w:lang w:val="it-IT"/>
      </w:rPr>
      <w:t xml:space="preserve">Microsoft </w:t>
    </w:r>
    <w:r>
      <w:rPr>
        <w:rFonts w:ascii="Trebuchet MS"/>
        <w:color w:val="808080"/>
        <w:sz w:val="14"/>
        <w:lang w:val="it-IT"/>
      </w:rPr>
      <w:t>è</w:t>
    </w:r>
    <w:r>
      <w:rPr>
        <w:rFonts w:ascii="Trebuchet MS" w:hAnsi="Trebuchet MS"/>
        <w:color w:val="808080"/>
        <w:sz w:val="14"/>
        <w:lang w:val="it-IT"/>
      </w:rPr>
      <w:t xml:space="preserve"> un marchio registrato di Microsoft Corporation negli Stati Uniti e/o negli altri paesi.</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43EF" w:rsidRDefault="00CD1258" w:rsidP="00D20A6C">
    <w:pPr>
      <w:pStyle w:val="Header"/>
      <w:tabs>
        <w:tab w:val="clear" w:pos="3240"/>
        <w:tab w:val="left" w:pos="2970"/>
      </w:tabs>
      <w:ind w:firstLine="2160"/>
    </w:pPr>
    <w:r>
      <w:rPr>
        <w:noProof/>
      </w:rPr>
      <mc:AlternateContent>
        <mc:Choice Requires="wps">
          <w:drawing>
            <wp:anchor distT="0" distB="0" distL="114300" distR="114300" simplePos="0" relativeHeight="251661312" behindDoc="0" locked="0" layoutInCell="0" allowOverlap="1" wp14:anchorId="5304B96D" wp14:editId="774A6123">
              <wp:simplePos x="0" y="0"/>
              <wp:positionH relativeFrom="column">
                <wp:posOffset>-314325</wp:posOffset>
              </wp:positionH>
              <wp:positionV relativeFrom="paragraph">
                <wp:posOffset>-139700</wp:posOffset>
              </wp:positionV>
              <wp:extent cx="2228850" cy="574675"/>
              <wp:effectExtent l="0" t="0" r="0" b="0"/>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E43EF" w:rsidRDefault="00CD1258" w:rsidP="00D20A6C">
                          <w:r>
                            <w:rPr>
                              <w:noProof/>
                            </w:rPr>
                            <w:drawing>
                              <wp:inline distT="0" distB="0" distL="0" distR="0" wp14:anchorId="1C443233" wp14:editId="7F469B40">
                                <wp:extent cx="1952625" cy="495300"/>
                                <wp:effectExtent l="0" t="0" r="9525" b="0"/>
                                <wp:docPr id="24" name="Picture 24" descr="Description: logo(I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logo(ITA).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52625" cy="49530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0" o:spid="_x0000_s1030" type="#_x0000_t202" style="position:absolute;left:0;text-align:left;margin-left:-24.75pt;margin-top:-11pt;width:175.5pt;height:45.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" o:allowincell="f" filled="f" stroked="f">
              <v:textbox>
                <w:txbxContent>
                  <w:p w:rsidR="00FE43EF" w:rsidRDefault="00CD1258" w:rsidP="00D20A6C">
                    <w:r>
                      <w:rPr>
                        <w:noProof/>
                      </w:rPr>
                      <w:drawing>
                        <wp:inline distT="0" distB="0" distL="0" distR="0" wp14:anchorId="1C443233" wp14:editId="7F469B40">
                          <wp:extent cx="1952625" cy="495300"/>
                          <wp:effectExtent l="0" t="0" r="9525" b="0"/>
                          <wp:docPr id="24" name="Picture 24" descr="Description: logo(I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logo(ITA).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52625" cy="495300"/>
                                  </a:xfrm>
                                  <a:prstGeom prst="rect">
                                    <a:avLst/>
                                  </a:prstGeom>
                                  <a:noFill/>
                                  <a:ln>
                                    <a:noFill/>
                                  </a:ln>
                                </pic:spPr>
                              </pic:pic>
                            </a:graphicData>
                          </a:graphic>
                        </wp:inline>
                      </w:drawing>
                    </w:r>
                  </w:p>
                </w:txbxContent>
              </v:textbox>
            </v:shape>
          </w:pict>
        </mc:Fallback>
      </mc:AlternateContent>
    </w:r>
  </w:p>
  <w:p w:rsidR="00FE43EF" w:rsidRDefault="00CD1258" w:rsidP="00D20A6C">
    <w:r>
      <w:rPr>
        <w:noProof/>
      </w:rPr>
      <mc:AlternateContent>
        <mc:Choice Requires="wps">
          <w:drawing>
            <wp:anchor distT="4294967295" distB="4294967295" distL="114300" distR="114300" simplePos="0" relativeHeight="251660288" behindDoc="0" locked="0" layoutInCell="0" allowOverlap="1" wp14:anchorId="16D9E5C6" wp14:editId="4050A8AF">
              <wp:simplePos x="0" y="0"/>
              <wp:positionH relativeFrom="column">
                <wp:posOffset>-23495</wp:posOffset>
              </wp:positionH>
              <wp:positionV relativeFrom="paragraph">
                <wp:posOffset>70484</wp:posOffset>
              </wp:positionV>
              <wp:extent cx="6931025" cy="0"/>
              <wp:effectExtent l="0" t="0" r="22225" b="19050"/>
              <wp:wrapNone/>
              <wp:docPr id="28" name="Straight Connector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8"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43EF" w:rsidRDefault="00CD1258" w:rsidP="00276455">
    <w:pPr>
      <w:ind w:rightChars="185" w:right="333"/>
    </w:pPr>
  </w:p>
  <w:p w:rsidR="00FE43EF" w:rsidRDefault="00CD1258" w:rsidP="00276455">
    <w:pPr>
      <w:ind w:rightChars="185" w:right="333"/>
    </w:pPr>
  </w:p>
  <w:p w:rsidR="00FE43EF" w:rsidRDefault="00CD1258" w:rsidP="00276455">
    <w:pPr>
      <w:ind w:rightChars="185" w:right="333"/>
    </w:pPr>
    <w:r>
      <w:rPr>
        <w:noProof/>
      </w:rPr>
      <w:drawing>
        <wp:anchor distT="0" distB="0" distL="114300" distR="114300" simplePos="0" relativeHeight="251659264" behindDoc="0" locked="0" layoutInCell="1" allowOverlap="1" wp14:anchorId="32F4D920" wp14:editId="763A71D8">
          <wp:simplePos x="0" y="0"/>
          <wp:positionH relativeFrom="margin">
            <wp:align>center</wp:align>
          </wp:positionH>
          <wp:positionV relativeFrom="paragraph">
            <wp:posOffset>15240</wp:posOffset>
          </wp:positionV>
          <wp:extent cx="5734050" cy="561975"/>
          <wp:effectExtent l="0" t="0" r="0" b="0"/>
          <wp:wrapNone/>
          <wp:docPr id="23"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a:ln>
                    <a:noFill/>
                  </a:ln>
                </pic:spPr>
              </pic:pic>
            </a:graphicData>
          </a:graphic>
        </wp:anchor>
      </w:drawing>
    </w:r>
  </w:p>
  <w:p w:rsidR="00FE43EF" w:rsidRDefault="00CD1258">
    <w:pPr>
      <w:pStyle w:val="Header"/>
      <w:tabs>
        <w:tab w:val="left" w:pos="8550"/>
        <w:tab w:val="left" w:pos="12600"/>
      </w:tabs>
      <w:ind w:right="-1788"/>
    </w:pPr>
    <w:r>
      <w:rPr>
        <w:noProof/>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43EF" w:rsidRDefault="00CD1258" w:rsidP="00A92422">
    <w:pPr>
      <w:ind w:rightChars="185" w:right="333"/>
    </w:pPr>
  </w:p>
  <w:p w:rsidR="00FE43EF" w:rsidRDefault="00CD1258">
    <w:pPr>
      <w:pStyle w:val="Header"/>
      <w:tabs>
        <w:tab w:val="left" w:pos="8550"/>
        <w:tab w:val="left" w:pos="12600"/>
      </w:tabs>
      <w:ind w:right="-1788"/>
    </w:pPr>
    <w:r>
      <w:rPr>
        <w:noProof/>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rPr>
        <w:rFonts w:cs="Times New Roman"/>
      </w:rPr>
    </w:lvl>
    <w:lvl w:ilvl="1" w:tplc="04090019" w:tentative="1">
      <w:start w:val="1"/>
      <w:numFmt w:val="lowerLetter"/>
      <w:lvlText w:val="%2."/>
      <w:lvlJc w:val="left"/>
      <w:pPr>
        <w:ind w:left="3600" w:hanging="360"/>
      </w:pPr>
      <w:rPr>
        <w:rFonts w:cs="Times New Roman"/>
      </w:rPr>
    </w:lvl>
    <w:lvl w:ilvl="2" w:tplc="0409001B" w:tentative="1">
      <w:start w:val="1"/>
      <w:numFmt w:val="lowerRoman"/>
      <w:lvlText w:val="%3."/>
      <w:lvlJc w:val="right"/>
      <w:pPr>
        <w:ind w:left="4320" w:hanging="180"/>
      </w:pPr>
      <w:rPr>
        <w:rFonts w:cs="Times New Roman"/>
      </w:rPr>
    </w:lvl>
    <w:lvl w:ilvl="3" w:tplc="0409000F" w:tentative="1">
      <w:start w:val="1"/>
      <w:numFmt w:val="decimal"/>
      <w:lvlText w:val="%4."/>
      <w:lvlJc w:val="left"/>
      <w:pPr>
        <w:ind w:left="5040" w:hanging="360"/>
      </w:pPr>
      <w:rPr>
        <w:rFonts w:cs="Times New Roman"/>
      </w:rPr>
    </w:lvl>
    <w:lvl w:ilvl="4" w:tplc="04090019" w:tentative="1">
      <w:start w:val="1"/>
      <w:numFmt w:val="lowerLetter"/>
      <w:lvlText w:val="%5."/>
      <w:lvlJc w:val="left"/>
      <w:pPr>
        <w:ind w:left="5760" w:hanging="360"/>
      </w:pPr>
      <w:rPr>
        <w:rFonts w:cs="Times New Roman"/>
      </w:rPr>
    </w:lvl>
    <w:lvl w:ilvl="5" w:tplc="0409001B" w:tentative="1">
      <w:start w:val="1"/>
      <w:numFmt w:val="lowerRoman"/>
      <w:lvlText w:val="%6."/>
      <w:lvlJc w:val="right"/>
      <w:pPr>
        <w:ind w:left="6480" w:hanging="180"/>
      </w:pPr>
      <w:rPr>
        <w:rFonts w:cs="Times New Roman"/>
      </w:rPr>
    </w:lvl>
    <w:lvl w:ilvl="6" w:tplc="0409000F" w:tentative="1">
      <w:start w:val="1"/>
      <w:numFmt w:val="decimal"/>
      <w:lvlText w:val="%7."/>
      <w:lvlJc w:val="left"/>
      <w:pPr>
        <w:ind w:left="7200" w:hanging="360"/>
      </w:pPr>
      <w:rPr>
        <w:rFonts w:cs="Times New Roman"/>
      </w:rPr>
    </w:lvl>
    <w:lvl w:ilvl="7" w:tplc="04090019" w:tentative="1">
      <w:start w:val="1"/>
      <w:numFmt w:val="lowerLetter"/>
      <w:lvlText w:val="%8."/>
      <w:lvlJc w:val="left"/>
      <w:pPr>
        <w:ind w:left="7920" w:hanging="360"/>
      </w:pPr>
      <w:rPr>
        <w:rFonts w:cs="Times New Roman"/>
      </w:rPr>
    </w:lvl>
    <w:lvl w:ilvl="8" w:tplc="0409001B" w:tentative="1">
      <w:start w:val="1"/>
      <w:numFmt w:val="lowerRoman"/>
      <w:lvlText w:val="%9."/>
      <w:lvlJc w:val="right"/>
      <w:pPr>
        <w:ind w:left="8640" w:hanging="180"/>
      </w:pPr>
      <w:rPr>
        <w:rFonts w:cs="Times New Roman"/>
      </w:r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cs="Times New Roman"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7874971C"/>
    <w:lvl w:ilvl="0" w:tplc="04090017">
      <w:start w:val="1"/>
      <w:numFmt w:val="lowerLetter"/>
      <w:lvlText w:val="%1)"/>
      <w:lvlJc w:val="left"/>
      <w:pPr>
        <w:ind w:left="3600" w:hanging="360"/>
      </w:pPr>
      <w:rPr>
        <w:rFonts w:cs="Times New Roman"/>
      </w:rPr>
    </w:lvl>
    <w:lvl w:ilvl="1" w:tplc="04090019" w:tentative="1">
      <w:start w:val="1"/>
      <w:numFmt w:val="lowerLetter"/>
      <w:lvlText w:val="%2."/>
      <w:lvlJc w:val="left"/>
      <w:pPr>
        <w:ind w:left="4320" w:hanging="360"/>
      </w:pPr>
      <w:rPr>
        <w:rFonts w:cs="Times New Roman"/>
      </w:rPr>
    </w:lvl>
    <w:lvl w:ilvl="2" w:tplc="0409001B" w:tentative="1">
      <w:start w:val="1"/>
      <w:numFmt w:val="lowerRoman"/>
      <w:lvlText w:val="%3."/>
      <w:lvlJc w:val="right"/>
      <w:pPr>
        <w:ind w:left="5040" w:hanging="180"/>
      </w:pPr>
      <w:rPr>
        <w:rFonts w:cs="Times New Roman"/>
      </w:rPr>
    </w:lvl>
    <w:lvl w:ilvl="3" w:tplc="0409000F" w:tentative="1">
      <w:start w:val="1"/>
      <w:numFmt w:val="decimal"/>
      <w:lvlText w:val="%4."/>
      <w:lvlJc w:val="left"/>
      <w:pPr>
        <w:ind w:left="5760" w:hanging="360"/>
      </w:pPr>
      <w:rPr>
        <w:rFonts w:cs="Times New Roman"/>
      </w:rPr>
    </w:lvl>
    <w:lvl w:ilvl="4" w:tplc="04090019" w:tentative="1">
      <w:start w:val="1"/>
      <w:numFmt w:val="lowerLetter"/>
      <w:lvlText w:val="%5."/>
      <w:lvlJc w:val="left"/>
      <w:pPr>
        <w:ind w:left="6480" w:hanging="360"/>
      </w:pPr>
      <w:rPr>
        <w:rFonts w:cs="Times New Roman"/>
      </w:rPr>
    </w:lvl>
    <w:lvl w:ilvl="5" w:tplc="0409001B" w:tentative="1">
      <w:start w:val="1"/>
      <w:numFmt w:val="lowerRoman"/>
      <w:lvlText w:val="%6."/>
      <w:lvlJc w:val="right"/>
      <w:pPr>
        <w:ind w:left="7200" w:hanging="180"/>
      </w:pPr>
      <w:rPr>
        <w:rFonts w:cs="Times New Roman"/>
      </w:rPr>
    </w:lvl>
    <w:lvl w:ilvl="6" w:tplc="0409000F" w:tentative="1">
      <w:start w:val="1"/>
      <w:numFmt w:val="decimal"/>
      <w:lvlText w:val="%7."/>
      <w:lvlJc w:val="left"/>
      <w:pPr>
        <w:ind w:left="7920" w:hanging="360"/>
      </w:pPr>
      <w:rPr>
        <w:rFonts w:cs="Times New Roman"/>
      </w:rPr>
    </w:lvl>
    <w:lvl w:ilvl="7" w:tplc="04090019" w:tentative="1">
      <w:start w:val="1"/>
      <w:numFmt w:val="lowerLetter"/>
      <w:lvlText w:val="%8."/>
      <w:lvlJc w:val="left"/>
      <w:pPr>
        <w:ind w:left="8640" w:hanging="360"/>
      </w:pPr>
      <w:rPr>
        <w:rFonts w:cs="Times New Roman"/>
      </w:rPr>
    </w:lvl>
    <w:lvl w:ilvl="8" w:tplc="0409001B" w:tentative="1">
      <w:start w:val="1"/>
      <w:numFmt w:val="lowerRoman"/>
      <w:lvlText w:val="%9."/>
      <w:lvlJc w:val="right"/>
      <w:pPr>
        <w:ind w:left="9360" w:hanging="180"/>
      </w:pPr>
      <w:rPr>
        <w:rFonts w:cs="Times New Roman"/>
      </w:r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rPr>
    </w:lvl>
    <w:lvl w:ilvl="2" w:tplc="0826EDFE">
      <w:start w:val="1"/>
      <w:numFmt w:val="bullet"/>
      <w:lvlText w:val=""/>
      <w:lvlJc w:val="left"/>
      <w:pPr>
        <w:ind w:left="3060" w:hanging="180"/>
      </w:pPr>
      <w:rPr>
        <w:rFonts w:ascii="Webdings" w:hAnsi="Webdings" w:hint="default"/>
        <w:b w:val="0"/>
        <w:i w:val="0"/>
        <w:color w:val="auto"/>
        <w:sz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8">
    <w:nsid w:val="0E404D25"/>
    <w:multiLevelType w:val="hybridMultilevel"/>
    <w:tmpl w:val="337C94CA"/>
    <w:lvl w:ilvl="0" w:tplc="966083C4">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rPr>
        <w:rFonts w:cs="Times New Roman"/>
      </w:rPr>
    </w:lvl>
    <w:lvl w:ilvl="2" w:tplc="0409001B" w:tentative="1">
      <w:start w:val="1"/>
      <w:numFmt w:val="lowerRoman"/>
      <w:lvlText w:val="%3."/>
      <w:lvlJc w:val="right"/>
      <w:pPr>
        <w:ind w:left="2580" w:hanging="180"/>
      </w:pPr>
      <w:rPr>
        <w:rFonts w:cs="Times New Roman"/>
      </w:rPr>
    </w:lvl>
    <w:lvl w:ilvl="3" w:tplc="0409000F" w:tentative="1">
      <w:start w:val="1"/>
      <w:numFmt w:val="decimal"/>
      <w:lvlText w:val="%4."/>
      <w:lvlJc w:val="left"/>
      <w:pPr>
        <w:ind w:left="3300" w:hanging="360"/>
      </w:pPr>
      <w:rPr>
        <w:rFonts w:cs="Times New Roman"/>
      </w:rPr>
    </w:lvl>
    <w:lvl w:ilvl="4" w:tplc="04090019" w:tentative="1">
      <w:start w:val="1"/>
      <w:numFmt w:val="lowerLetter"/>
      <w:lvlText w:val="%5."/>
      <w:lvlJc w:val="left"/>
      <w:pPr>
        <w:ind w:left="4020" w:hanging="360"/>
      </w:pPr>
      <w:rPr>
        <w:rFonts w:cs="Times New Roman"/>
      </w:rPr>
    </w:lvl>
    <w:lvl w:ilvl="5" w:tplc="0409001B" w:tentative="1">
      <w:start w:val="1"/>
      <w:numFmt w:val="lowerRoman"/>
      <w:lvlText w:val="%6."/>
      <w:lvlJc w:val="right"/>
      <w:pPr>
        <w:ind w:left="4740" w:hanging="180"/>
      </w:pPr>
      <w:rPr>
        <w:rFonts w:cs="Times New Roman"/>
      </w:rPr>
    </w:lvl>
    <w:lvl w:ilvl="6" w:tplc="0409000F" w:tentative="1">
      <w:start w:val="1"/>
      <w:numFmt w:val="decimal"/>
      <w:lvlText w:val="%7."/>
      <w:lvlJc w:val="left"/>
      <w:pPr>
        <w:ind w:left="5460" w:hanging="360"/>
      </w:pPr>
      <w:rPr>
        <w:rFonts w:cs="Times New Roman"/>
      </w:rPr>
    </w:lvl>
    <w:lvl w:ilvl="7" w:tplc="04090019" w:tentative="1">
      <w:start w:val="1"/>
      <w:numFmt w:val="lowerLetter"/>
      <w:lvlText w:val="%8."/>
      <w:lvlJc w:val="left"/>
      <w:pPr>
        <w:ind w:left="6180" w:hanging="360"/>
      </w:pPr>
      <w:rPr>
        <w:rFonts w:cs="Times New Roman"/>
      </w:rPr>
    </w:lvl>
    <w:lvl w:ilvl="8" w:tplc="0409001B" w:tentative="1">
      <w:start w:val="1"/>
      <w:numFmt w:val="lowerRoman"/>
      <w:lvlText w:val="%9."/>
      <w:lvlJc w:val="right"/>
      <w:pPr>
        <w:ind w:left="6900" w:hanging="180"/>
      </w:pPr>
      <w:rPr>
        <w:rFonts w:cs="Times New Roman"/>
      </w:rPr>
    </w:lvl>
  </w:abstractNum>
  <w:abstractNum w:abstractNumId="21">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cs="Times New Roman"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rPr>
    </w:lvl>
    <w:lvl w:ilvl="2">
      <w:start w:val="1"/>
      <w:numFmt w:val="lowerLetter"/>
      <w:lvlText w:val="%3)"/>
      <w:lvlJc w:val="left"/>
      <w:pPr>
        <w:tabs>
          <w:tab w:val="num" w:pos="1080"/>
        </w:tabs>
        <w:ind w:left="1080" w:hanging="360"/>
      </w:pPr>
      <w:rPr>
        <w:rFonts w:cs="Times New Roman" w:hint="default"/>
        <w:b/>
        <w:color w:val="auto"/>
      </w:rPr>
    </w:lvl>
    <w:lvl w:ilvl="3">
      <w:start w:val="1"/>
      <w:numFmt w:val="lowerLetter"/>
      <w:lvlText w:val="%4)"/>
      <w:lvlJc w:val="left"/>
      <w:pPr>
        <w:tabs>
          <w:tab w:val="num" w:pos="1440"/>
        </w:tabs>
        <w:ind w:left="1800" w:hanging="360"/>
      </w:pPr>
      <w:rPr>
        <w:rFonts w:cs="Times New Roman"/>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5FF1D91"/>
    <w:multiLevelType w:val="hybridMultilevel"/>
    <w:tmpl w:val="ABA8C2C2"/>
    <w:lvl w:ilvl="0" w:tplc="28B89498">
      <w:start w:val="1"/>
      <w:numFmt w:val="decimal"/>
      <w:lvlText w:val="%1."/>
      <w:lvlJc w:val="left"/>
      <w:pPr>
        <w:ind w:left="1440" w:hanging="360"/>
      </w:pPr>
      <w:rPr>
        <w:rFonts w:ascii="Tahoma" w:hAnsi="Tahoma" w:cs="Tahoma" w:hint="default"/>
        <w:sz w:val="18"/>
        <w:szCs w:val="18"/>
      </w:rPr>
    </w:lvl>
    <w:lvl w:ilvl="1" w:tplc="04090019">
      <w:start w:val="1"/>
      <w:numFmt w:val="decimal"/>
      <w:lvlText w:val="%2."/>
      <w:lvlJc w:val="left"/>
      <w:pPr>
        <w:tabs>
          <w:tab w:val="num" w:pos="2160"/>
        </w:tabs>
        <w:ind w:left="2160" w:hanging="360"/>
      </w:pPr>
      <w:rPr>
        <w:rFonts w:cs="Times New Roman"/>
      </w:rPr>
    </w:lvl>
    <w:lvl w:ilvl="2" w:tplc="0409001B">
      <w:start w:val="1"/>
      <w:numFmt w:val="decimal"/>
      <w:lvlText w:val="%3."/>
      <w:lvlJc w:val="left"/>
      <w:pPr>
        <w:tabs>
          <w:tab w:val="num" w:pos="2880"/>
        </w:tabs>
        <w:ind w:left="2880" w:hanging="360"/>
      </w:pPr>
      <w:rPr>
        <w:rFonts w:cs="Times New Roman"/>
      </w:rPr>
    </w:lvl>
    <w:lvl w:ilvl="3" w:tplc="0409000F">
      <w:start w:val="1"/>
      <w:numFmt w:val="decimal"/>
      <w:lvlText w:val="%4."/>
      <w:lvlJc w:val="left"/>
      <w:pPr>
        <w:tabs>
          <w:tab w:val="num" w:pos="3600"/>
        </w:tabs>
        <w:ind w:left="3600" w:hanging="360"/>
      </w:pPr>
      <w:rPr>
        <w:rFonts w:cs="Times New Roman"/>
      </w:rPr>
    </w:lvl>
    <w:lvl w:ilvl="4" w:tplc="04090019">
      <w:start w:val="1"/>
      <w:numFmt w:val="decimal"/>
      <w:lvlText w:val="%5."/>
      <w:lvlJc w:val="left"/>
      <w:pPr>
        <w:tabs>
          <w:tab w:val="num" w:pos="4320"/>
        </w:tabs>
        <w:ind w:left="4320" w:hanging="360"/>
      </w:pPr>
      <w:rPr>
        <w:rFonts w:cs="Times New Roman"/>
      </w:rPr>
    </w:lvl>
    <w:lvl w:ilvl="5" w:tplc="0409001B">
      <w:start w:val="1"/>
      <w:numFmt w:val="decimal"/>
      <w:lvlText w:val="%6."/>
      <w:lvlJc w:val="left"/>
      <w:pPr>
        <w:tabs>
          <w:tab w:val="num" w:pos="5040"/>
        </w:tabs>
        <w:ind w:left="5040" w:hanging="360"/>
      </w:pPr>
      <w:rPr>
        <w:rFonts w:cs="Times New Roman"/>
      </w:rPr>
    </w:lvl>
    <w:lvl w:ilvl="6" w:tplc="0409000F">
      <w:start w:val="1"/>
      <w:numFmt w:val="decimal"/>
      <w:lvlText w:val="%7."/>
      <w:lvlJc w:val="left"/>
      <w:pPr>
        <w:tabs>
          <w:tab w:val="num" w:pos="5760"/>
        </w:tabs>
        <w:ind w:left="5760" w:hanging="360"/>
      </w:pPr>
      <w:rPr>
        <w:rFonts w:cs="Times New Roman"/>
      </w:rPr>
    </w:lvl>
    <w:lvl w:ilvl="7" w:tplc="04090019">
      <w:start w:val="1"/>
      <w:numFmt w:val="decimal"/>
      <w:lvlText w:val="%8."/>
      <w:lvlJc w:val="left"/>
      <w:pPr>
        <w:tabs>
          <w:tab w:val="num" w:pos="6480"/>
        </w:tabs>
        <w:ind w:left="6480" w:hanging="360"/>
      </w:pPr>
      <w:rPr>
        <w:rFonts w:cs="Times New Roman"/>
      </w:rPr>
    </w:lvl>
    <w:lvl w:ilvl="8" w:tplc="0409001B">
      <w:start w:val="1"/>
      <w:numFmt w:val="decimal"/>
      <w:lvlText w:val="%9."/>
      <w:lvlJc w:val="left"/>
      <w:pPr>
        <w:tabs>
          <w:tab w:val="num" w:pos="7200"/>
        </w:tabs>
        <w:ind w:left="7200" w:hanging="360"/>
      </w:pPr>
      <w:rPr>
        <w:rFonts w:cs="Times New Roman"/>
      </w:rPr>
    </w:lvl>
  </w:abstractNum>
  <w:abstractNum w:abstractNumId="26">
    <w:nsid w:val="1A461F1F"/>
    <w:multiLevelType w:val="hybridMultilevel"/>
    <w:tmpl w:val="539040CA"/>
    <w:lvl w:ilvl="0" w:tplc="952C4BD0">
      <w:start w:val="1"/>
      <w:numFmt w:val="lowerLetter"/>
      <w:lvlText w:val="%1)"/>
      <w:lvlJc w:val="left"/>
      <w:pPr>
        <w:ind w:left="720" w:hanging="360"/>
      </w:pPr>
      <w:rPr>
        <w:rFonts w:cs="Times New Roman"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7">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8">
    <w:nsid w:val="1BC87612"/>
    <w:multiLevelType w:val="hybridMultilevel"/>
    <w:tmpl w:val="C2500C6A"/>
    <w:lvl w:ilvl="0" w:tplc="9412EB8E">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0">
    <w:nsid w:val="1C4F47D3"/>
    <w:multiLevelType w:val="hybridMultilevel"/>
    <w:tmpl w:val="F48AE866"/>
    <w:lvl w:ilvl="0" w:tplc="461AAE72">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CC30CCB"/>
    <w:multiLevelType w:val="hybridMultilevel"/>
    <w:tmpl w:val="0BC60840"/>
    <w:lvl w:ilvl="0" w:tplc="C4C44152">
      <w:start w:val="1"/>
      <w:numFmt w:val="bullet"/>
      <w:lvlText w:val=""/>
      <w:lvlJc w:val="left"/>
      <w:pPr>
        <w:ind w:left="1890" w:hanging="360"/>
      </w:pPr>
      <w:rPr>
        <w:rFonts w:ascii="Symbol" w:hAnsi="Symbol" w:hint="default"/>
        <w:b w:val="0"/>
        <w:i w:val="0"/>
        <w:color w:val="auto"/>
        <w:sz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2">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3">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4">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18"/>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hint="default"/>
      </w:rPr>
    </w:lvl>
    <w:lvl w:ilvl="8" w:tplc="04090005">
      <w:start w:val="1"/>
      <w:numFmt w:val="bullet"/>
      <w:lvlText w:val=""/>
      <w:lvlJc w:val="left"/>
      <w:pPr>
        <w:ind w:left="7560" w:hanging="360"/>
      </w:pPr>
      <w:rPr>
        <w:rFonts w:ascii="Wingdings" w:hAnsi="Wingdings" w:hint="default"/>
      </w:rPr>
    </w:lvl>
  </w:abstractNum>
  <w:abstractNum w:abstractNumId="35">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6">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7">
    <w:nsid w:val="28AE539D"/>
    <w:multiLevelType w:val="hybridMultilevel"/>
    <w:tmpl w:val="68D402D8"/>
    <w:lvl w:ilvl="0" w:tplc="78BA0B52">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40">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1">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4">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46">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8">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0">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1">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8F419FA"/>
    <w:multiLevelType w:val="multilevel"/>
    <w:tmpl w:val="95184C38"/>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600" w:hanging="108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4680" w:hanging="1440"/>
      </w:pPr>
      <w:rPr>
        <w:rFonts w:cs="Times New Roman" w:hint="default"/>
      </w:rPr>
    </w:lvl>
  </w:abstractNum>
  <w:abstractNum w:abstractNumId="53">
    <w:nsid w:val="3A806EA4"/>
    <w:multiLevelType w:val="hybridMultilevel"/>
    <w:tmpl w:val="1076F6F2"/>
    <w:lvl w:ilvl="0" w:tplc="3EAEEDD4">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2F0680D8">
      <w:start w:val="1"/>
      <w:numFmt w:val="bullet"/>
      <w:lvlText w:val=""/>
      <w:lvlJc w:val="left"/>
      <w:pPr>
        <w:ind w:left="2160" w:hanging="360"/>
      </w:pPr>
      <w:rPr>
        <w:rFonts w:ascii="Webdings" w:hAnsi="Webdings" w:hint="default"/>
        <w:b w:val="0"/>
        <w:i w:val="0"/>
        <w:color w:val="FF6600"/>
        <w:sz w:val="24"/>
        <w:szCs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5">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7">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58">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59">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2">
    <w:nsid w:val="46EF72CA"/>
    <w:multiLevelType w:val="hybridMultilevel"/>
    <w:tmpl w:val="E53256F4"/>
    <w:lvl w:ilvl="0" w:tplc="4D926990">
      <w:start w:val="1"/>
      <w:numFmt w:val="decimal"/>
      <w:lvlText w:val="%1."/>
      <w:lvlJc w:val="left"/>
      <w:pPr>
        <w:ind w:left="900" w:hanging="360"/>
      </w:pPr>
      <w:rPr>
        <w:rFonts w:cs="Times New Roman" w:hint="default"/>
        <w:sz w:val="18"/>
        <w:szCs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3">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4">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65">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66">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hint="default"/>
      </w:rPr>
    </w:lvl>
    <w:lvl w:ilvl="8" w:tplc="04090005">
      <w:start w:val="1"/>
      <w:numFmt w:val="bullet"/>
      <w:lvlText w:val=""/>
      <w:lvlJc w:val="left"/>
      <w:pPr>
        <w:ind w:left="6536" w:hanging="360"/>
      </w:pPr>
      <w:rPr>
        <w:rFonts w:ascii="Wingdings" w:hAnsi="Wingdings" w:hint="default"/>
      </w:rPr>
    </w:lvl>
  </w:abstractNum>
  <w:abstractNum w:abstractNumId="67">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69">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pPr>
      <w:rPr>
        <w:rFonts w:cs="Times New Roman"/>
      </w:rPr>
    </w:lvl>
    <w:lvl w:ilvl="2">
      <w:numFmt w:val="decimal"/>
      <w:lvlText w:val=""/>
      <w:lvlJc w:val="left"/>
      <w:pPr>
        <w:ind w:left="432"/>
      </w:pPr>
      <w:rPr>
        <w:rFonts w:cs="Times New Roman"/>
      </w:rPr>
    </w:lvl>
    <w:lvl w:ilvl="3">
      <w:numFmt w:val="decimal"/>
      <w:lvlText w:val=""/>
      <w:lvlJc w:val="left"/>
      <w:pPr>
        <w:ind w:left="432"/>
      </w:pPr>
      <w:rPr>
        <w:rFonts w:cs="Times New Roman"/>
      </w:rPr>
    </w:lvl>
    <w:lvl w:ilvl="4">
      <w:numFmt w:val="decimal"/>
      <w:lvlText w:val=""/>
      <w:lvlJc w:val="left"/>
      <w:pPr>
        <w:ind w:left="432"/>
      </w:pPr>
      <w:rPr>
        <w:rFonts w:cs="Times New Roman"/>
      </w:rPr>
    </w:lvl>
    <w:lvl w:ilvl="5">
      <w:numFmt w:val="decimal"/>
      <w:lvlText w:val=""/>
      <w:lvlJc w:val="left"/>
      <w:pPr>
        <w:ind w:left="432"/>
      </w:pPr>
      <w:rPr>
        <w:rFonts w:cs="Times New Roman"/>
      </w:rPr>
    </w:lvl>
    <w:lvl w:ilvl="6">
      <w:numFmt w:val="decimal"/>
      <w:lvlText w:val=""/>
      <w:lvlJc w:val="left"/>
      <w:pPr>
        <w:ind w:left="432"/>
      </w:pPr>
      <w:rPr>
        <w:rFonts w:cs="Times New Roman"/>
      </w:rPr>
    </w:lvl>
    <w:lvl w:ilvl="7">
      <w:numFmt w:val="decimal"/>
      <w:lvlText w:val=""/>
      <w:lvlJc w:val="left"/>
      <w:pPr>
        <w:ind w:left="432"/>
      </w:pPr>
      <w:rPr>
        <w:rFonts w:cs="Times New Roman"/>
      </w:rPr>
    </w:lvl>
    <w:lvl w:ilvl="8">
      <w:numFmt w:val="decimal"/>
      <w:lvlText w:val=""/>
      <w:lvlJc w:val="left"/>
      <w:pPr>
        <w:ind w:left="432"/>
      </w:pPr>
      <w:rPr>
        <w:rFonts w:cs="Times New Roman"/>
      </w:rPr>
    </w:lvl>
  </w:abstractNum>
  <w:abstractNum w:abstractNumId="70">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72">
    <w:nsid w:val="517F365B"/>
    <w:multiLevelType w:val="hybridMultilevel"/>
    <w:tmpl w:val="D9926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4">
    <w:nsid w:val="51E514ED"/>
    <w:multiLevelType w:val="multilevel"/>
    <w:tmpl w:val="279E5052"/>
    <w:lvl w:ilvl="0">
      <w:start w:val="1"/>
      <w:numFmt w:val="decimal"/>
      <w:lvlText w:val="%1."/>
      <w:lvlJc w:val="left"/>
      <w:pPr>
        <w:ind w:left="360" w:hanging="360"/>
      </w:pPr>
      <w:rPr>
        <w:rFonts w:cs="Times New Roman" w:hint="default"/>
        <w:b/>
        <w:i w:val="0"/>
        <w:color w:val="000000"/>
        <w:sz w:val="18"/>
        <w:szCs w:val="18"/>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75">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9">
    <w:nsid w:val="59780705"/>
    <w:multiLevelType w:val="hybridMultilevel"/>
    <w:tmpl w:val="F21CD68E"/>
    <w:lvl w:ilvl="0" w:tplc="04090017">
      <w:start w:val="1"/>
      <w:numFmt w:val="lowerLetter"/>
      <w:lvlText w:val="%1)"/>
      <w:lvlJc w:val="left"/>
      <w:pPr>
        <w:ind w:left="2160" w:hanging="360"/>
      </w:pPr>
      <w:rPr>
        <w:rFonts w:cs="Times New Roman"/>
      </w:rPr>
    </w:lvl>
    <w:lvl w:ilvl="1" w:tplc="04090019" w:tentative="1">
      <w:start w:val="1"/>
      <w:numFmt w:val="lowerLetter"/>
      <w:lvlText w:val="%2."/>
      <w:lvlJc w:val="left"/>
      <w:pPr>
        <w:ind w:left="2880" w:hanging="360"/>
      </w:pPr>
      <w:rPr>
        <w:rFonts w:cs="Times New Roman"/>
      </w:rPr>
    </w:lvl>
    <w:lvl w:ilvl="2" w:tplc="0409001B" w:tentative="1">
      <w:start w:val="1"/>
      <w:numFmt w:val="lowerRoman"/>
      <w:lvlText w:val="%3."/>
      <w:lvlJc w:val="right"/>
      <w:pPr>
        <w:ind w:left="3600" w:hanging="180"/>
      </w:pPr>
      <w:rPr>
        <w:rFonts w:cs="Times New Roman"/>
      </w:rPr>
    </w:lvl>
    <w:lvl w:ilvl="3" w:tplc="0409000F" w:tentative="1">
      <w:start w:val="1"/>
      <w:numFmt w:val="decimal"/>
      <w:lvlText w:val="%4."/>
      <w:lvlJc w:val="left"/>
      <w:pPr>
        <w:ind w:left="4320" w:hanging="360"/>
      </w:pPr>
      <w:rPr>
        <w:rFonts w:cs="Times New Roman"/>
      </w:rPr>
    </w:lvl>
    <w:lvl w:ilvl="4" w:tplc="04090019" w:tentative="1">
      <w:start w:val="1"/>
      <w:numFmt w:val="lowerLetter"/>
      <w:lvlText w:val="%5."/>
      <w:lvlJc w:val="left"/>
      <w:pPr>
        <w:ind w:left="5040" w:hanging="360"/>
      </w:pPr>
      <w:rPr>
        <w:rFonts w:cs="Times New Roman"/>
      </w:rPr>
    </w:lvl>
    <w:lvl w:ilvl="5" w:tplc="0409001B" w:tentative="1">
      <w:start w:val="1"/>
      <w:numFmt w:val="lowerRoman"/>
      <w:lvlText w:val="%6."/>
      <w:lvlJc w:val="right"/>
      <w:pPr>
        <w:ind w:left="5760" w:hanging="180"/>
      </w:pPr>
      <w:rPr>
        <w:rFonts w:cs="Times New Roman"/>
      </w:rPr>
    </w:lvl>
    <w:lvl w:ilvl="6" w:tplc="0409000F" w:tentative="1">
      <w:start w:val="1"/>
      <w:numFmt w:val="decimal"/>
      <w:lvlText w:val="%7."/>
      <w:lvlJc w:val="left"/>
      <w:pPr>
        <w:ind w:left="6480" w:hanging="360"/>
      </w:pPr>
      <w:rPr>
        <w:rFonts w:cs="Times New Roman"/>
      </w:rPr>
    </w:lvl>
    <w:lvl w:ilvl="7" w:tplc="04090019" w:tentative="1">
      <w:start w:val="1"/>
      <w:numFmt w:val="lowerLetter"/>
      <w:lvlText w:val="%8."/>
      <w:lvlJc w:val="left"/>
      <w:pPr>
        <w:ind w:left="7200" w:hanging="360"/>
      </w:pPr>
      <w:rPr>
        <w:rFonts w:cs="Times New Roman"/>
      </w:rPr>
    </w:lvl>
    <w:lvl w:ilvl="8" w:tplc="0409001B" w:tentative="1">
      <w:start w:val="1"/>
      <w:numFmt w:val="lowerRoman"/>
      <w:lvlText w:val="%9."/>
      <w:lvlJc w:val="right"/>
      <w:pPr>
        <w:ind w:left="7920" w:hanging="180"/>
      </w:pPr>
      <w:rPr>
        <w:rFonts w:cs="Times New Roman"/>
      </w:rPr>
    </w:lvl>
  </w:abstractNum>
  <w:abstractNum w:abstractNumId="80">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81">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BB27E92"/>
    <w:multiLevelType w:val="hybridMultilevel"/>
    <w:tmpl w:val="54C8D558"/>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F3BAC7B0">
      <w:start w:val="1"/>
      <w:numFmt w:val="lowerRoman"/>
      <w:lvlText w:val="%3."/>
      <w:lvlJc w:val="lef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83">
    <w:nsid w:val="5CD36762"/>
    <w:multiLevelType w:val="hybridMultilevel"/>
    <w:tmpl w:val="F03E2830"/>
    <w:lvl w:ilvl="0" w:tplc="3A6221AE">
      <w:start w:val="1"/>
      <w:numFmt w:val="bullet"/>
      <w:lvlText w:val=""/>
      <w:lvlJc w:val="left"/>
      <w:pPr>
        <w:ind w:left="720" w:hanging="360"/>
      </w:pPr>
      <w:rPr>
        <w:rFonts w:ascii="Webdings" w:hAnsi="Webdings" w:hint="default"/>
        <w:b w:val="0"/>
        <w:i w:val="0"/>
        <w:color w:val="FF6600"/>
        <w:sz w:val="24"/>
        <w:szCs w:val="24"/>
      </w:rPr>
    </w:lvl>
    <w:lvl w:ilvl="1" w:tplc="04090019">
      <w:start w:val="1"/>
      <w:numFmt w:val="lowerLetter"/>
      <w:lvlText w:val="%2."/>
      <w:lvlJc w:val="left"/>
      <w:pPr>
        <w:ind w:left="1440" w:hanging="360"/>
      </w:pPr>
      <w:rPr>
        <w:rFonts w:cs="Times New Roman"/>
      </w:rPr>
    </w:lvl>
    <w:lvl w:ilvl="2" w:tplc="8F96F1DE">
      <w:start w:val="1"/>
      <w:numFmt w:val="bullet"/>
      <w:lvlText w:val=""/>
      <w:lvlJc w:val="left"/>
      <w:pPr>
        <w:ind w:left="2160" w:hanging="180"/>
      </w:pPr>
      <w:rPr>
        <w:rFonts w:ascii="Webdings" w:hAnsi="Webdings" w:hint="default"/>
        <w:b w:val="0"/>
        <w:i w:val="0"/>
        <w:color w:val="auto"/>
        <w:sz w:val="18"/>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4">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85">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86">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7">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8">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89">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65681004"/>
    <w:multiLevelType w:val="hybridMultilevel"/>
    <w:tmpl w:val="36A22E4A"/>
    <w:lvl w:ilvl="0" w:tplc="15A84F44">
      <w:start w:val="1"/>
      <w:numFmt w:val="bullet"/>
      <w:lvlText w:val=""/>
      <w:lvlJc w:val="left"/>
      <w:pPr>
        <w:tabs>
          <w:tab w:val="num" w:pos="360"/>
        </w:tabs>
        <w:ind w:left="360" w:hanging="360"/>
      </w:pPr>
      <w:rPr>
        <w:rFonts w:ascii="Webdings" w:hAnsi="Webdings" w:hint="default"/>
        <w:b w:val="0"/>
        <w:i w:val="0"/>
        <w:color w:val="FF6600"/>
        <w:sz w:val="24"/>
        <w:szCs w:val="24"/>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92">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3">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94">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95">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96">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7">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6B2C4D22"/>
    <w:multiLevelType w:val="hybridMultilevel"/>
    <w:tmpl w:val="1E7864CC"/>
    <w:lvl w:ilvl="0" w:tplc="D902DDBC">
      <w:start w:val="1"/>
      <w:numFmt w:val="bullet"/>
      <w:lvlText w:val=""/>
      <w:lvlJc w:val="left"/>
      <w:pPr>
        <w:ind w:left="720" w:hanging="360"/>
      </w:pPr>
      <w:rPr>
        <w:rFonts w:ascii="Webdings" w:hAnsi="Webdings" w:hint="default"/>
        <w:b w:val="0"/>
        <w:i w:val="0"/>
        <w:color w:val="FF6600"/>
        <w:sz w:val="24"/>
      </w:rPr>
    </w:lvl>
    <w:lvl w:ilvl="1" w:tplc="49D015C8">
      <w:start w:val="1"/>
      <w:numFmt w:val="decimal"/>
      <w:lvlText w:val="%2."/>
      <w:lvlJc w:val="left"/>
      <w:pPr>
        <w:tabs>
          <w:tab w:val="num" w:pos="1440"/>
        </w:tabs>
        <w:ind w:left="1440" w:hanging="360"/>
      </w:pPr>
      <w:rPr>
        <w:rFonts w:cs="Times New Roman"/>
        <w:b/>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101">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03">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4">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5">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06">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7">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08">
    <w:nsid w:val="76155754"/>
    <w:multiLevelType w:val="hybridMultilevel"/>
    <w:tmpl w:val="FFA60A54"/>
    <w:lvl w:ilvl="0" w:tplc="B99AE6E2">
      <w:start w:val="1"/>
      <w:numFmt w:val="lowerLetter"/>
      <w:lvlText w:val="%1."/>
      <w:lvlJc w:val="left"/>
      <w:pPr>
        <w:ind w:left="720" w:hanging="360"/>
      </w:pPr>
      <w:rPr>
        <w:rFonts w:cs="Times New Roman" w:hint="default"/>
        <w:b w:val="0"/>
      </w:rPr>
    </w:lvl>
    <w:lvl w:ilvl="1" w:tplc="AA702CCC">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9">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77014573"/>
    <w:multiLevelType w:val="hybridMultilevel"/>
    <w:tmpl w:val="63A08400"/>
    <w:lvl w:ilvl="0" w:tplc="556EB51A">
      <w:start w:val="1"/>
      <w:numFmt w:val="bullet"/>
      <w:lvlText w:val=""/>
      <w:lvlJc w:val="left"/>
      <w:pPr>
        <w:ind w:left="1987" w:hanging="360"/>
      </w:pPr>
      <w:rPr>
        <w:rFonts w:ascii="Webdings" w:hAnsi="Webdings" w:hint="default"/>
        <w:b w:val="0"/>
        <w:i w:val="0"/>
        <w:color w:val="FF6600"/>
        <w:sz w:val="24"/>
        <w:szCs w:val="24"/>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1">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2">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7A113F27"/>
    <w:multiLevelType w:val="hybridMultilevel"/>
    <w:tmpl w:val="D940F3E2"/>
    <w:lvl w:ilvl="0" w:tplc="04090017">
      <w:start w:val="1"/>
      <w:numFmt w:val="lowerLetter"/>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14">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5">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6">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7ECB0344"/>
    <w:multiLevelType w:val="hybridMultilevel"/>
    <w:tmpl w:val="FB28CD4E"/>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9">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25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7FD144C3"/>
    <w:multiLevelType w:val="multilevel"/>
    <w:tmpl w:val="3D36A410"/>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600" w:hanging="108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4680" w:hanging="1440"/>
      </w:pPr>
      <w:rPr>
        <w:rFonts w:cs="Times New Roman" w:hint="default"/>
      </w:rPr>
    </w:lvl>
  </w:abstractNum>
  <w:abstractNum w:abstractNumId="122">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5"/>
  </w:num>
  <w:num w:numId="2">
    <w:abstractNumId w:val="104"/>
  </w:num>
  <w:num w:numId="3">
    <w:abstractNumId w:val="66"/>
  </w:num>
  <w:num w:numId="4">
    <w:abstractNumId w:val="41"/>
  </w:num>
  <w:num w:numId="5">
    <w:abstractNumId w:val="68"/>
  </w:num>
  <w:num w:numId="6">
    <w:abstractNumId w:val="7"/>
  </w:num>
  <w:num w:numId="7">
    <w:abstractNumId w:val="87"/>
  </w:num>
  <w:num w:numId="8">
    <w:abstractNumId w:val="15"/>
  </w:num>
  <w:num w:numId="9">
    <w:abstractNumId w:val="33"/>
  </w:num>
  <w:num w:numId="10">
    <w:abstractNumId w:val="119"/>
  </w:num>
  <w:num w:numId="11">
    <w:abstractNumId w:val="54"/>
  </w:num>
  <w:num w:numId="12">
    <w:abstractNumId w:val="32"/>
  </w:num>
  <w:num w:numId="13">
    <w:abstractNumId w:val="1"/>
  </w:num>
  <w:num w:numId="14">
    <w:abstractNumId w:val="11"/>
  </w:num>
  <w:num w:numId="15">
    <w:abstractNumId w:val="114"/>
  </w:num>
  <w:num w:numId="16">
    <w:abstractNumId w:val="55"/>
  </w:num>
  <w:num w:numId="17">
    <w:abstractNumId w:val="122"/>
  </w:num>
  <w:num w:numId="18">
    <w:abstractNumId w:val="112"/>
  </w:num>
  <w:num w:numId="19">
    <w:abstractNumId w:val="94"/>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06"/>
  </w:num>
  <w:num w:numId="21">
    <w:abstractNumId w:val="10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3"/>
  </w:num>
  <w:num w:numId="23">
    <w:abstractNumId w:val="64"/>
  </w:num>
  <w:num w:numId="24">
    <w:abstractNumId w:val="89"/>
  </w:num>
  <w:num w:numId="25">
    <w:abstractNumId w:val="94"/>
  </w:num>
  <w:num w:numId="26">
    <w:abstractNumId w:val="92"/>
  </w:num>
  <w:num w:numId="27">
    <w:abstractNumId w:val="42"/>
  </w:num>
  <w:num w:numId="28">
    <w:abstractNumId w:val="76"/>
  </w:num>
  <w:num w:numId="29">
    <w:abstractNumId w:val="116"/>
  </w:num>
  <w:num w:numId="30">
    <w:abstractNumId w:val="93"/>
  </w:num>
  <w:num w:numId="31">
    <w:abstractNumId w:val="38"/>
  </w:num>
  <w:num w:numId="32">
    <w:abstractNumId w:val="49"/>
  </w:num>
  <w:num w:numId="33">
    <w:abstractNumId w:val="96"/>
  </w:num>
  <w:num w:numId="34">
    <w:abstractNumId w:val="24"/>
  </w:num>
  <w:num w:numId="35">
    <w:abstractNumId w:val="9"/>
  </w:num>
  <w:num w:numId="36">
    <w:abstractNumId w:val="20"/>
  </w:num>
  <w:num w:numId="37">
    <w:abstractNumId w:val="62"/>
  </w:num>
  <w:num w:numId="38">
    <w:abstractNumId w:val="100"/>
  </w:num>
  <w:num w:numId="39">
    <w:abstractNumId w:val="57"/>
  </w:num>
  <w:num w:numId="40">
    <w:abstractNumId w:val="45"/>
  </w:num>
  <w:num w:numId="41">
    <w:abstractNumId w:val="85"/>
  </w:num>
  <w:num w:numId="42">
    <w:abstractNumId w:val="84"/>
  </w:num>
  <w:num w:numId="43">
    <w:abstractNumId w:val="10"/>
  </w:num>
  <w:num w:numId="44">
    <w:abstractNumId w:val="80"/>
  </w:num>
  <w:num w:numId="45">
    <w:abstractNumId w:val="95"/>
  </w:num>
  <w:num w:numId="46">
    <w:abstractNumId w:val="99"/>
  </w:num>
  <w:num w:numId="47">
    <w:abstractNumId w:val="71"/>
  </w:num>
  <w:num w:numId="48">
    <w:abstractNumId w:val="88"/>
  </w:num>
  <w:num w:numId="49">
    <w:abstractNumId w:val="65"/>
  </w:num>
  <w:num w:numId="50">
    <w:abstractNumId w:val="117"/>
  </w:num>
  <w:num w:numId="51">
    <w:abstractNumId w:val="59"/>
  </w:num>
  <w:num w:numId="52">
    <w:abstractNumId w:val="67"/>
  </w:num>
  <w:num w:numId="53">
    <w:abstractNumId w:val="16"/>
  </w:num>
  <w:num w:numId="54">
    <w:abstractNumId w:val="108"/>
  </w:num>
  <w:num w:numId="55">
    <w:abstractNumId w:val="56"/>
  </w:num>
  <w:num w:numId="56">
    <w:abstractNumId w:val="4"/>
  </w:num>
  <w:num w:numId="57">
    <w:abstractNumId w:val="46"/>
  </w:num>
  <w:num w:numId="58">
    <w:abstractNumId w:val="60"/>
  </w:num>
  <w:num w:numId="59">
    <w:abstractNumId w:val="77"/>
  </w:num>
  <w:num w:numId="60">
    <w:abstractNumId w:val="97"/>
  </w:num>
  <w:num w:numId="61">
    <w:abstractNumId w:val="19"/>
  </w:num>
  <w:num w:numId="62">
    <w:abstractNumId w:val="90"/>
  </w:num>
  <w:num w:numId="63">
    <w:abstractNumId w:val="103"/>
  </w:num>
  <w:num w:numId="64">
    <w:abstractNumId w:val="13"/>
  </w:num>
  <w:num w:numId="65">
    <w:abstractNumId w:val="98"/>
  </w:num>
  <w:num w:numId="66">
    <w:abstractNumId w:val="105"/>
  </w:num>
  <w:num w:numId="67">
    <w:abstractNumId w:val="0"/>
  </w:num>
  <w:num w:numId="68">
    <w:abstractNumId w:val="107"/>
  </w:num>
  <w:num w:numId="69">
    <w:abstractNumId w:val="115"/>
  </w:num>
  <w:num w:numId="70">
    <w:abstractNumId w:val="63"/>
  </w:num>
  <w:num w:numId="71">
    <w:abstractNumId w:val="21"/>
  </w:num>
  <w:num w:numId="72">
    <w:abstractNumId w:val="39"/>
  </w:num>
  <w:num w:numId="73">
    <w:abstractNumId w:val="50"/>
  </w:num>
  <w:num w:numId="74">
    <w:abstractNumId w:val="48"/>
  </w:num>
  <w:num w:numId="75">
    <w:abstractNumId w:val="35"/>
  </w:num>
  <w:num w:numId="76">
    <w:abstractNumId w:val="8"/>
  </w:num>
  <w:num w:numId="77">
    <w:abstractNumId w:val="73"/>
  </w:num>
  <w:num w:numId="78">
    <w:abstractNumId w:val="40"/>
  </w:num>
  <w:num w:numId="79">
    <w:abstractNumId w:val="118"/>
  </w:num>
  <w:num w:numId="80">
    <w:abstractNumId w:val="110"/>
  </w:num>
  <w:num w:numId="81">
    <w:abstractNumId w:val="102"/>
  </w:num>
  <w:num w:numId="82">
    <w:abstractNumId w:val="23"/>
  </w:num>
  <w:num w:numId="83">
    <w:abstractNumId w:val="29"/>
  </w:num>
  <w:num w:numId="84">
    <w:abstractNumId w:val="72"/>
  </w:num>
  <w:num w:numId="85">
    <w:abstractNumId w:val="27"/>
  </w:num>
  <w:num w:numId="86">
    <w:abstractNumId w:val="70"/>
  </w:num>
  <w:num w:numId="87">
    <w:abstractNumId w:val="109"/>
  </w:num>
  <w:num w:numId="88">
    <w:abstractNumId w:val="101"/>
  </w:num>
  <w:num w:numId="89">
    <w:abstractNumId w:val="75"/>
  </w:num>
  <w:num w:numId="90">
    <w:abstractNumId w:val="30"/>
  </w:num>
  <w:num w:numId="91">
    <w:abstractNumId w:val="17"/>
  </w:num>
  <w:num w:numId="92">
    <w:abstractNumId w:val="53"/>
  </w:num>
  <w:num w:numId="93">
    <w:abstractNumId w:val="28"/>
  </w:num>
  <w:num w:numId="94">
    <w:abstractNumId w:val="82"/>
  </w:num>
  <w:num w:numId="95">
    <w:abstractNumId w:val="2"/>
  </w:num>
  <w:num w:numId="96">
    <w:abstractNumId w:val="9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81"/>
  </w:num>
  <w:num w:numId="98">
    <w:abstractNumId w:val="37"/>
  </w:num>
  <w:num w:numId="99">
    <w:abstractNumId w:val="51"/>
  </w:num>
  <w:num w:numId="100">
    <w:abstractNumId w:val="14"/>
  </w:num>
  <w:num w:numId="101">
    <w:abstractNumId w:val="36"/>
  </w:num>
  <w:num w:numId="102">
    <w:abstractNumId w:val="111"/>
  </w:num>
  <w:num w:numId="103">
    <w:abstractNumId w:val="58"/>
  </w:num>
  <w:num w:numId="104">
    <w:abstractNumId w:val="31"/>
  </w:num>
  <w:num w:numId="105">
    <w:abstractNumId w:val="74"/>
  </w:num>
  <w:num w:numId="106">
    <w:abstractNumId w:val="44"/>
  </w:num>
  <w:num w:numId="107">
    <w:abstractNumId w:val="18"/>
  </w:num>
  <w:num w:numId="108">
    <w:abstractNumId w:val="47"/>
  </w:num>
  <w:num w:numId="109">
    <w:abstractNumId w:val="121"/>
  </w:num>
  <w:num w:numId="110">
    <w:abstractNumId w:val="120"/>
  </w:num>
  <w:num w:numId="111">
    <w:abstractNumId w:val="52"/>
  </w:num>
  <w:num w:numId="112">
    <w:abstractNumId w:val="61"/>
  </w:num>
  <w:num w:numId="113">
    <w:abstractNumId w:val="3"/>
  </w:num>
  <w:num w:numId="114">
    <w:abstractNumId w:val="83"/>
  </w:num>
  <w:num w:numId="115">
    <w:abstractNumId w:val="26"/>
  </w:num>
  <w:num w:numId="116">
    <w:abstractNumId w:val="91"/>
  </w:num>
  <w:num w:numId="117">
    <w:abstractNumId w:val="5"/>
  </w:num>
  <w:num w:numId="118">
    <w:abstractNumId w:val="78"/>
  </w:num>
  <w:num w:numId="119">
    <w:abstractNumId w:val="34"/>
  </w:num>
  <w:num w:numId="120">
    <w:abstractNumId w:val="113"/>
  </w:num>
  <w:num w:numId="121">
    <w:abstractNumId w:val="79"/>
  </w:num>
  <w:num w:numId="122">
    <w:abstractNumId w:val="6"/>
  </w:num>
  <w:num w:numId="123">
    <w:abstractNumId w:val="12"/>
  </w:num>
  <w:num w:numId="124">
    <w:abstractNumId w:val="86"/>
  </w:num>
  <w:num w:numId="125">
    <w:abstractNumId w:val="22"/>
  </w:num>
  <w:num w:numId="126">
    <w:abstractNumId w:val="69"/>
  </w:num>
  <w:numIdMacAtCleanup w:val="1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dit="forms" w:enforcement="1" w:cryptProviderType="rsaFull" w:cryptAlgorithmClass="hash" w:cryptAlgorithmType="typeAny" w:cryptAlgorithmSid="4" w:cryptSpinCount="100000" w:hash="ikextOBzjOngeRSSPiaqlx/SPzg=" w:salt="cwHK+l2N4xOkE8hDDM3Uow=="/>
  <w:defaultTabStop w:val="720"/>
  <w:characterSpacingControl w:val="doNotCompress"/>
  <w:endnotePr>
    <w:numFmt w:val="decimal"/>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2422"/>
    <w:rsid w:val="00720CDE"/>
    <w:rsid w:val="00A92422"/>
    <w:rsid w:val="00CD12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0" w:unhideWhenUsed="0" w:qFormat="1"/>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2422"/>
    <w:pPr>
      <w:spacing w:after="0" w:line="240" w:lineRule="auto"/>
    </w:pPr>
    <w:rPr>
      <w:rFonts w:ascii="Tahoma" w:eastAsia="MS Mincho" w:hAnsi="Tahoma" w:cs="Times New Roman"/>
      <w:sz w:val="18"/>
    </w:rPr>
  </w:style>
  <w:style w:type="paragraph" w:styleId="Heading1">
    <w:name w:val="heading 1"/>
    <w:basedOn w:val="Normal"/>
    <w:next w:val="Normal"/>
    <w:link w:val="Heading1Char"/>
    <w:uiPriority w:val="9"/>
    <w:qFormat/>
    <w:rsid w:val="00A92422"/>
    <w:pPr>
      <w:keepNext/>
      <w:spacing w:after="120"/>
      <w:outlineLvl w:val="0"/>
    </w:pPr>
    <w:rPr>
      <w:b/>
      <w:bCs/>
      <w:caps/>
      <w:color w:val="000000"/>
      <w:sz w:val="36"/>
      <w:szCs w:val="36"/>
      <w:lang w:val="it-IT"/>
    </w:rPr>
  </w:style>
  <w:style w:type="paragraph" w:styleId="Heading2">
    <w:name w:val="heading 2"/>
    <w:basedOn w:val="Normal"/>
    <w:next w:val="Normal"/>
    <w:link w:val="Heading2Char"/>
    <w:uiPriority w:val="9"/>
    <w:qFormat/>
    <w:rsid w:val="00A92422"/>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A92422"/>
    <w:pPr>
      <w:ind w:left="0"/>
      <w:outlineLvl w:val="2"/>
    </w:pPr>
    <w:rPr>
      <w:sz w:val="20"/>
      <w:szCs w:val="20"/>
    </w:rPr>
  </w:style>
  <w:style w:type="paragraph" w:styleId="Heading4">
    <w:name w:val="heading 4"/>
    <w:basedOn w:val="Normal"/>
    <w:next w:val="Normal"/>
    <w:link w:val="Heading4Char"/>
    <w:uiPriority w:val="9"/>
    <w:qFormat/>
    <w:rsid w:val="00A92422"/>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A92422"/>
    <w:pPr>
      <w:outlineLvl w:val="4"/>
    </w:pPr>
    <w:rPr>
      <w:u w:val="single"/>
    </w:rPr>
  </w:style>
  <w:style w:type="paragraph" w:styleId="Heading6">
    <w:name w:val="heading 6"/>
    <w:basedOn w:val="Body"/>
    <w:next w:val="Normal"/>
    <w:link w:val="Heading6Char"/>
    <w:uiPriority w:val="9"/>
    <w:qFormat/>
    <w:rsid w:val="00A92422"/>
    <w:pPr>
      <w:spacing w:after="120"/>
      <w:ind w:left="0"/>
      <w:outlineLvl w:val="5"/>
    </w:pPr>
    <w:rPr>
      <w:b/>
      <w:color w:val="FF6600"/>
      <w:szCs w:val="20"/>
    </w:rPr>
  </w:style>
  <w:style w:type="paragraph" w:styleId="Heading7">
    <w:name w:val="heading 7"/>
    <w:basedOn w:val="Heading3"/>
    <w:next w:val="Normal"/>
    <w:link w:val="Heading7Char"/>
    <w:uiPriority w:val="9"/>
    <w:qFormat/>
    <w:rsid w:val="00A92422"/>
    <w:pPr>
      <w:outlineLvl w:val="6"/>
    </w:pPr>
  </w:style>
  <w:style w:type="paragraph" w:styleId="Heading8">
    <w:name w:val="heading 8"/>
    <w:basedOn w:val="Normal"/>
    <w:next w:val="Normal"/>
    <w:link w:val="Heading8Char"/>
    <w:uiPriority w:val="9"/>
    <w:qFormat/>
    <w:rsid w:val="00A92422"/>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A92422"/>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92422"/>
    <w:rPr>
      <w:rFonts w:ascii="Tahoma" w:eastAsia="MS Mincho" w:hAnsi="Tahoma" w:cs="Times New Roman"/>
      <w:b/>
      <w:bCs/>
      <w:caps/>
      <w:color w:val="000000"/>
      <w:sz w:val="36"/>
      <w:szCs w:val="36"/>
      <w:lang w:val="it-IT"/>
    </w:rPr>
  </w:style>
  <w:style w:type="character" w:customStyle="1" w:styleId="Heading2Char">
    <w:name w:val="Heading 2 Char"/>
    <w:basedOn w:val="DefaultParagraphFont"/>
    <w:link w:val="Heading2"/>
    <w:uiPriority w:val="9"/>
    <w:rsid w:val="00A92422"/>
    <w:rPr>
      <w:rFonts w:ascii="Trebuchet MS" w:eastAsia="MS Mincho" w:hAnsi="Trebuchet MS" w:cs="Times New Roman"/>
      <w:b/>
      <w:sz w:val="24"/>
      <w:szCs w:val="24"/>
    </w:rPr>
  </w:style>
  <w:style w:type="character" w:customStyle="1" w:styleId="Heading3Char">
    <w:name w:val="Heading 3 Char"/>
    <w:basedOn w:val="DefaultParagraphFont"/>
    <w:link w:val="Heading3"/>
    <w:uiPriority w:val="9"/>
    <w:rsid w:val="00A92422"/>
    <w:rPr>
      <w:rFonts w:ascii="Trebuchet MS" w:eastAsia="MS Mincho" w:hAnsi="Trebuchet MS" w:cs="Times New Roman"/>
      <w:b/>
      <w:sz w:val="20"/>
      <w:szCs w:val="20"/>
    </w:rPr>
  </w:style>
  <w:style w:type="character" w:customStyle="1" w:styleId="Heading4Char">
    <w:name w:val="Heading 4 Char"/>
    <w:basedOn w:val="DefaultParagraphFont"/>
    <w:link w:val="Heading4"/>
    <w:uiPriority w:val="9"/>
    <w:rsid w:val="00A92422"/>
    <w:rPr>
      <w:rFonts w:ascii="Trebuchet MS" w:eastAsia="MS Mincho" w:hAnsi="Trebuchet MS" w:cs="Times New Roman"/>
      <w:b/>
      <w:sz w:val="20"/>
      <w:szCs w:val="20"/>
    </w:rPr>
  </w:style>
  <w:style w:type="character" w:customStyle="1" w:styleId="Heading5Char">
    <w:name w:val="Heading 5 Char"/>
    <w:basedOn w:val="DefaultParagraphFont"/>
    <w:link w:val="Heading5"/>
    <w:uiPriority w:val="9"/>
    <w:rsid w:val="00A92422"/>
    <w:rPr>
      <w:rFonts w:ascii="Trebuchet MS" w:eastAsia="MS Mincho" w:hAnsi="Trebuchet MS" w:cs="Times New Roman"/>
      <w:sz w:val="20"/>
      <w:szCs w:val="20"/>
      <w:u w:val="single"/>
    </w:rPr>
  </w:style>
  <w:style w:type="character" w:customStyle="1" w:styleId="Heading6Char">
    <w:name w:val="Heading 6 Char"/>
    <w:basedOn w:val="DefaultParagraphFont"/>
    <w:link w:val="Heading6"/>
    <w:uiPriority w:val="9"/>
    <w:rsid w:val="00A92422"/>
    <w:rPr>
      <w:rFonts w:ascii="Trebuchet MS" w:eastAsia="MS Mincho" w:hAnsi="Trebuchet MS" w:cs="Times New Roman"/>
      <w:b/>
      <w:color w:val="FF6600"/>
      <w:sz w:val="20"/>
      <w:szCs w:val="20"/>
    </w:rPr>
  </w:style>
  <w:style w:type="character" w:customStyle="1" w:styleId="Heading7Char">
    <w:name w:val="Heading 7 Char"/>
    <w:basedOn w:val="DefaultParagraphFont"/>
    <w:link w:val="Heading7"/>
    <w:uiPriority w:val="9"/>
    <w:rsid w:val="00A92422"/>
    <w:rPr>
      <w:rFonts w:ascii="Trebuchet MS" w:eastAsia="MS Mincho" w:hAnsi="Trebuchet MS" w:cs="Times New Roman"/>
      <w:b/>
      <w:sz w:val="20"/>
      <w:szCs w:val="20"/>
    </w:rPr>
  </w:style>
  <w:style w:type="character" w:customStyle="1" w:styleId="Heading8Char">
    <w:name w:val="Heading 8 Char"/>
    <w:basedOn w:val="DefaultParagraphFont"/>
    <w:link w:val="Heading8"/>
    <w:uiPriority w:val="9"/>
    <w:rsid w:val="00A92422"/>
    <w:rPr>
      <w:rFonts w:ascii="Times New Roman" w:eastAsia="MS Mincho" w:hAnsi="Times New Roman" w:cs="Times New Roman"/>
      <w:i/>
      <w:iCs/>
      <w:sz w:val="24"/>
      <w:szCs w:val="24"/>
    </w:rPr>
  </w:style>
  <w:style w:type="character" w:customStyle="1" w:styleId="Heading9Char">
    <w:name w:val="Heading 9 Char"/>
    <w:basedOn w:val="DefaultParagraphFont"/>
    <w:link w:val="Heading9"/>
    <w:uiPriority w:val="9"/>
    <w:rsid w:val="00A92422"/>
    <w:rPr>
      <w:rFonts w:ascii="Arial" w:eastAsia="MS Mincho" w:hAnsi="Arial" w:cs="Times New Roman"/>
      <w:sz w:val="20"/>
      <w:szCs w:val="20"/>
    </w:rPr>
  </w:style>
  <w:style w:type="paragraph" w:customStyle="1" w:styleId="AppendixIndent">
    <w:name w:val="Appendix Indent"/>
    <w:basedOn w:val="Normal"/>
    <w:rsid w:val="00A92422"/>
    <w:pPr>
      <w:spacing w:before="60"/>
      <w:ind w:left="360"/>
    </w:pPr>
    <w:rPr>
      <w:rFonts w:ascii="Trebuchet MS" w:hAnsi="Trebuchet MS"/>
      <w:sz w:val="20"/>
      <w:szCs w:val="20"/>
    </w:rPr>
  </w:style>
  <w:style w:type="paragraph" w:customStyle="1" w:styleId="Body">
    <w:name w:val="Body"/>
    <w:basedOn w:val="Normal"/>
    <w:rsid w:val="00A92422"/>
    <w:pPr>
      <w:ind w:left="720"/>
    </w:pPr>
    <w:rPr>
      <w:rFonts w:ascii="Trebuchet MS" w:hAnsi="Trebuchet MS"/>
      <w:sz w:val="20"/>
      <w:szCs w:val="24"/>
    </w:rPr>
  </w:style>
  <w:style w:type="character" w:styleId="Hyperlink">
    <w:name w:val="Hyperlink"/>
    <w:uiPriority w:val="99"/>
    <w:unhideWhenUsed/>
    <w:rsid w:val="00A92422"/>
    <w:rPr>
      <w:color w:val="0000FF"/>
      <w:u w:val="single"/>
    </w:rPr>
  </w:style>
  <w:style w:type="character" w:customStyle="1" w:styleId="BodyChar">
    <w:name w:val="Body Char"/>
    <w:rsid w:val="00A92422"/>
    <w:rPr>
      <w:rFonts w:ascii="Trebuchet MS" w:hAnsi="Trebuchet MS"/>
      <w:sz w:val="24"/>
      <w:lang w:val="en-US" w:eastAsia="en-US"/>
    </w:rPr>
  </w:style>
  <w:style w:type="paragraph" w:customStyle="1" w:styleId="Char">
    <w:name w:val="Char"/>
    <w:basedOn w:val="Normal"/>
    <w:rsid w:val="00A92422"/>
    <w:pPr>
      <w:spacing w:after="160" w:line="240" w:lineRule="exact"/>
    </w:pPr>
    <w:rPr>
      <w:sz w:val="20"/>
      <w:szCs w:val="20"/>
    </w:rPr>
  </w:style>
  <w:style w:type="paragraph" w:customStyle="1" w:styleId="ProductNames">
    <w:name w:val="Product Names"/>
    <w:basedOn w:val="Normal"/>
    <w:rsid w:val="00A92422"/>
    <w:pPr>
      <w:keepLines/>
      <w:spacing w:before="20" w:after="20"/>
    </w:pPr>
    <w:rPr>
      <w:rFonts w:ascii="Trebuchet MS" w:hAnsi="Trebuchet MS" w:cs="Arial"/>
      <w:position w:val="-11"/>
      <w:sz w:val="16"/>
      <w:szCs w:val="16"/>
    </w:rPr>
  </w:style>
  <w:style w:type="character" w:customStyle="1" w:styleId="ProductNamesChar">
    <w:name w:val="Product Names Char"/>
    <w:rsid w:val="00A92422"/>
    <w:rPr>
      <w:rFonts w:ascii="Trebuchet MS" w:hAnsi="Trebuchet MS"/>
      <w:position w:val="-11"/>
      <w:sz w:val="16"/>
    </w:rPr>
  </w:style>
  <w:style w:type="paragraph" w:customStyle="1" w:styleId="ChartKeyHeadings">
    <w:name w:val="ChartKey Headings"/>
    <w:basedOn w:val="Normal"/>
    <w:rsid w:val="00A92422"/>
    <w:pPr>
      <w:ind w:left="720"/>
    </w:pPr>
    <w:rPr>
      <w:rFonts w:ascii="Trebuchet MS" w:hAnsi="Trebuchet MS" w:cs="Arial"/>
      <w:b/>
      <w:sz w:val="24"/>
      <w:szCs w:val="20"/>
    </w:rPr>
  </w:style>
  <w:style w:type="character" w:styleId="FollowedHyperlink">
    <w:name w:val="FollowedHyperlink"/>
    <w:uiPriority w:val="99"/>
    <w:rsid w:val="00A92422"/>
    <w:rPr>
      <w:color w:val="800080"/>
      <w:u w:val="single"/>
    </w:rPr>
  </w:style>
  <w:style w:type="paragraph" w:styleId="Header">
    <w:name w:val="header"/>
    <w:basedOn w:val="Normal"/>
    <w:link w:val="HeaderChar"/>
    <w:uiPriority w:val="99"/>
    <w:rsid w:val="00A92422"/>
    <w:pPr>
      <w:tabs>
        <w:tab w:val="left" w:pos="3240"/>
      </w:tabs>
      <w:spacing w:before="400"/>
      <w:ind w:right="-187"/>
      <w:jc w:val="center"/>
    </w:pPr>
    <w:rPr>
      <w:rFonts w:ascii="Trebuchet MS" w:hAnsi="Trebuchet MS"/>
      <w:sz w:val="15"/>
      <w:szCs w:val="15"/>
    </w:rPr>
  </w:style>
  <w:style w:type="character" w:customStyle="1" w:styleId="HeaderChar">
    <w:name w:val="Header Char"/>
    <w:basedOn w:val="DefaultParagraphFont"/>
    <w:link w:val="Header"/>
    <w:uiPriority w:val="99"/>
    <w:rsid w:val="00A92422"/>
    <w:rPr>
      <w:rFonts w:ascii="Trebuchet MS" w:eastAsia="MS Mincho" w:hAnsi="Trebuchet MS" w:cs="Times New Roman"/>
      <w:sz w:val="15"/>
      <w:szCs w:val="15"/>
    </w:rPr>
  </w:style>
  <w:style w:type="paragraph" w:styleId="Footer">
    <w:name w:val="footer"/>
    <w:basedOn w:val="Normal"/>
    <w:link w:val="FooterChar"/>
    <w:uiPriority w:val="99"/>
    <w:rsid w:val="00A92422"/>
    <w:pPr>
      <w:tabs>
        <w:tab w:val="center" w:pos="5155"/>
        <w:tab w:val="right" w:pos="10325"/>
      </w:tabs>
      <w:spacing w:line="210" w:lineRule="exact"/>
    </w:pPr>
    <w:rPr>
      <w:rFonts w:ascii="Arial Narrow" w:hAnsi="Arial Narrow"/>
      <w:szCs w:val="20"/>
    </w:rPr>
  </w:style>
  <w:style w:type="character" w:customStyle="1" w:styleId="FooterChar">
    <w:name w:val="Footer Char"/>
    <w:basedOn w:val="DefaultParagraphFont"/>
    <w:link w:val="Footer"/>
    <w:uiPriority w:val="99"/>
    <w:rsid w:val="00A92422"/>
    <w:rPr>
      <w:rFonts w:ascii="Arial Narrow" w:eastAsia="MS Mincho" w:hAnsi="Arial Narrow" w:cs="Times New Roman"/>
      <w:sz w:val="18"/>
      <w:szCs w:val="20"/>
    </w:rPr>
  </w:style>
  <w:style w:type="paragraph" w:customStyle="1" w:styleId="PublishDate">
    <w:name w:val="Publish Date"/>
    <w:basedOn w:val="Normal"/>
    <w:rsid w:val="00A92422"/>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A92422"/>
    <w:rPr>
      <w:rFonts w:ascii="Trebuchet MS" w:hAnsi="Trebuchet MS"/>
      <w:b/>
      <w:color w:val="FF6600"/>
      <w:sz w:val="24"/>
    </w:rPr>
  </w:style>
  <w:style w:type="paragraph" w:customStyle="1" w:styleId="ProductEndnote">
    <w:name w:val="Product Endnote"/>
    <w:basedOn w:val="Normal"/>
    <w:link w:val="ProductEndnoteChar"/>
    <w:uiPriority w:val="99"/>
    <w:rsid w:val="00A92422"/>
    <w:pPr>
      <w:keepNext/>
      <w:spacing w:after="120"/>
      <w:ind w:left="216" w:hanging="216"/>
    </w:pPr>
    <w:rPr>
      <w:rFonts w:ascii="Trebuchet MS" w:eastAsiaTheme="minorHAnsi" w:hAnsi="Trebuchet MS" w:cstheme="minorBidi"/>
      <w:b/>
      <w:color w:val="FF6600"/>
      <w:sz w:val="24"/>
    </w:rPr>
  </w:style>
  <w:style w:type="paragraph" w:styleId="TOC1">
    <w:name w:val="toc 1"/>
    <w:basedOn w:val="Normal"/>
    <w:next w:val="Normal"/>
    <w:autoRedefine/>
    <w:uiPriority w:val="39"/>
    <w:rsid w:val="00A92422"/>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A92422"/>
    <w:pPr>
      <w:tabs>
        <w:tab w:val="num" w:pos="1080"/>
      </w:tabs>
      <w:ind w:left="720"/>
    </w:pPr>
    <w:rPr>
      <w:rFonts w:ascii="Trebuchet MS" w:hAnsi="Trebuchet MS"/>
      <w:sz w:val="20"/>
      <w:szCs w:val="24"/>
    </w:rPr>
  </w:style>
  <w:style w:type="paragraph" w:customStyle="1" w:styleId="Bodywithspace">
    <w:name w:val="Body with space"/>
    <w:basedOn w:val="Normal"/>
    <w:rsid w:val="00A92422"/>
    <w:pPr>
      <w:spacing w:before="80" w:after="80"/>
      <w:ind w:left="720"/>
    </w:pPr>
    <w:rPr>
      <w:rFonts w:ascii="Trebuchet MS" w:hAnsi="Trebuchet MS" w:cs="Arial"/>
      <w:sz w:val="20"/>
      <w:szCs w:val="20"/>
    </w:rPr>
  </w:style>
  <w:style w:type="paragraph" w:customStyle="1" w:styleId="TableHeadingsGreen">
    <w:name w:val="Table Headings Green"/>
    <w:basedOn w:val="Normal"/>
    <w:rsid w:val="00A92422"/>
    <w:pPr>
      <w:spacing w:before="40"/>
      <w:jc w:val="center"/>
    </w:pPr>
    <w:rPr>
      <w:rFonts w:ascii="Trebuchet MS" w:hAnsi="Trebuchet MS"/>
      <w:b/>
      <w:bCs/>
      <w:color w:val="008000"/>
      <w:sz w:val="11"/>
      <w:szCs w:val="20"/>
    </w:rPr>
  </w:style>
  <w:style w:type="paragraph" w:customStyle="1" w:styleId="NumberedSteps">
    <w:name w:val="Numbered Steps"/>
    <w:basedOn w:val="Body"/>
    <w:rsid w:val="00A92422"/>
    <w:pPr>
      <w:spacing w:before="200" w:after="200"/>
    </w:pPr>
    <w:rPr>
      <w:bCs/>
    </w:rPr>
  </w:style>
  <w:style w:type="paragraph" w:styleId="EndnoteText">
    <w:name w:val="endnote text"/>
    <w:basedOn w:val="Normal"/>
    <w:link w:val="EndnoteTextChar"/>
    <w:uiPriority w:val="99"/>
    <w:rsid w:val="00A92422"/>
    <w:pPr>
      <w:ind w:left="900"/>
    </w:pPr>
    <w:rPr>
      <w:rFonts w:ascii="Trebuchet MS" w:hAnsi="Trebuchet MS"/>
      <w:sz w:val="24"/>
      <w:szCs w:val="20"/>
      <w:lang w:val="x-none" w:eastAsia="x-none"/>
    </w:rPr>
  </w:style>
  <w:style w:type="character" w:customStyle="1" w:styleId="EndnoteTextChar">
    <w:name w:val="Endnote Text Char"/>
    <w:basedOn w:val="DefaultParagraphFont"/>
    <w:link w:val="EndnoteText"/>
    <w:uiPriority w:val="99"/>
    <w:rsid w:val="00A92422"/>
    <w:rPr>
      <w:rFonts w:ascii="Trebuchet MS" w:eastAsia="MS Mincho" w:hAnsi="Trebuchet MS" w:cs="Times New Roman"/>
      <w:sz w:val="24"/>
      <w:szCs w:val="20"/>
      <w:lang w:val="x-none" w:eastAsia="x-none"/>
    </w:rPr>
  </w:style>
  <w:style w:type="character" w:styleId="EndnoteReference">
    <w:name w:val="endnote reference"/>
    <w:uiPriority w:val="99"/>
    <w:semiHidden/>
    <w:rsid w:val="00A92422"/>
    <w:rPr>
      <w:rFonts w:ascii="Trebuchet MS" w:hAnsi="Trebuchet MS"/>
      <w:b/>
      <w:color w:val="FF0000"/>
      <w:sz w:val="18"/>
      <w:vertAlign w:val="superscript"/>
    </w:rPr>
  </w:style>
  <w:style w:type="paragraph" w:customStyle="1" w:styleId="TableVerticalText">
    <w:name w:val="Table Vertical Text"/>
    <w:basedOn w:val="Normal"/>
    <w:rsid w:val="00A92422"/>
    <w:pPr>
      <w:ind w:left="115" w:right="115"/>
      <w:jc w:val="center"/>
    </w:pPr>
    <w:rPr>
      <w:rFonts w:ascii="Trebuchet MS" w:hAnsi="Trebuchet MS"/>
      <w:sz w:val="11"/>
      <w:szCs w:val="20"/>
    </w:rPr>
  </w:style>
  <w:style w:type="paragraph" w:customStyle="1" w:styleId="TableHeadingsBlack">
    <w:name w:val="Table Headings Black"/>
    <w:basedOn w:val="Normal"/>
    <w:rsid w:val="00A92422"/>
    <w:pPr>
      <w:spacing w:before="40"/>
      <w:jc w:val="center"/>
    </w:pPr>
    <w:rPr>
      <w:rFonts w:ascii="Trebuchet MS" w:hAnsi="Trebuchet MS"/>
      <w:sz w:val="11"/>
      <w:szCs w:val="20"/>
    </w:rPr>
  </w:style>
  <w:style w:type="paragraph" w:customStyle="1" w:styleId="TableHeadingsBlue">
    <w:name w:val="Table Headings Blue"/>
    <w:basedOn w:val="Normal"/>
    <w:rsid w:val="00A92422"/>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A92422"/>
    <w:pPr>
      <w:spacing w:before="40"/>
      <w:jc w:val="center"/>
    </w:pPr>
    <w:rPr>
      <w:rFonts w:ascii="Trebuchet MS" w:hAnsi="Trebuchet MS"/>
      <w:b/>
      <w:bCs/>
      <w:color w:val="FF0000"/>
      <w:sz w:val="11"/>
      <w:szCs w:val="20"/>
    </w:rPr>
  </w:style>
  <w:style w:type="paragraph" w:customStyle="1" w:styleId="TableText">
    <w:name w:val="Table Text"/>
    <w:basedOn w:val="Heading3"/>
    <w:rsid w:val="00A92422"/>
    <w:pPr>
      <w:jc w:val="center"/>
      <w:outlineLvl w:val="9"/>
    </w:pPr>
    <w:rPr>
      <w:b w:val="0"/>
      <w:sz w:val="15"/>
      <w:szCs w:val="15"/>
    </w:rPr>
  </w:style>
  <w:style w:type="paragraph" w:customStyle="1" w:styleId="AppendixTableHeadings">
    <w:name w:val="Appendix Table Headings"/>
    <w:basedOn w:val="AppendixTableText"/>
    <w:rsid w:val="00A92422"/>
    <w:rPr>
      <w:b/>
      <w:bCs/>
    </w:rPr>
  </w:style>
  <w:style w:type="paragraph" w:customStyle="1" w:styleId="AppendixTableText">
    <w:name w:val="Appendix Table Text"/>
    <w:basedOn w:val="Normal"/>
    <w:rsid w:val="00A92422"/>
    <w:pPr>
      <w:spacing w:line="240" w:lineRule="atLeast"/>
      <w:jc w:val="center"/>
    </w:pPr>
    <w:rPr>
      <w:rFonts w:ascii="Trebuchet MS" w:hAnsi="Trebuchet MS" w:cs="Arial"/>
      <w:szCs w:val="18"/>
    </w:rPr>
  </w:style>
  <w:style w:type="paragraph" w:styleId="TOC2">
    <w:name w:val="toc 2"/>
    <w:basedOn w:val="Normal"/>
    <w:next w:val="Normal"/>
    <w:uiPriority w:val="39"/>
    <w:rsid w:val="00A92422"/>
    <w:pPr>
      <w:tabs>
        <w:tab w:val="right" w:leader="dot" w:pos="9360"/>
      </w:tabs>
    </w:pPr>
    <w:rPr>
      <w:noProof/>
      <w:szCs w:val="20"/>
    </w:rPr>
  </w:style>
  <w:style w:type="paragraph" w:customStyle="1" w:styleId="FootnoteBulletLevel2">
    <w:name w:val="Footnote Bullet Level 2"/>
    <w:basedOn w:val="Normal"/>
    <w:rsid w:val="00A92422"/>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A92422"/>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A92422"/>
    <w:pPr>
      <w:spacing w:after="60"/>
    </w:pPr>
    <w:rPr>
      <w:rFonts w:ascii="Trebuchet MS" w:hAnsi="Trebuchet MS" w:cs="Arial"/>
      <w:sz w:val="20"/>
      <w:szCs w:val="20"/>
    </w:rPr>
  </w:style>
  <w:style w:type="character" w:customStyle="1" w:styleId="ProductEndnoteCharChar">
    <w:name w:val="Product Endnote Char Char"/>
    <w:rsid w:val="00A92422"/>
    <w:rPr>
      <w:rFonts w:ascii="Trebuchet MS" w:hAnsi="Trebuchet MS"/>
      <w:b/>
      <w:color w:val="FF6600"/>
      <w:sz w:val="24"/>
    </w:rPr>
  </w:style>
  <w:style w:type="paragraph" w:customStyle="1" w:styleId="FootnoteBulletLevel1">
    <w:name w:val="Footnote Bullet Level 1"/>
    <w:basedOn w:val="Normal"/>
    <w:rsid w:val="00A92422"/>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A92422"/>
    <w:rPr>
      <w:rFonts w:ascii="Trebuchet MS" w:hAnsi="Trebuchet MS"/>
    </w:rPr>
  </w:style>
  <w:style w:type="paragraph" w:styleId="TOC3">
    <w:name w:val="toc 3"/>
    <w:basedOn w:val="Normal"/>
    <w:next w:val="Normal"/>
    <w:uiPriority w:val="39"/>
    <w:rsid w:val="00A92422"/>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A92422"/>
    <w:pPr>
      <w:ind w:left="1260"/>
    </w:pPr>
  </w:style>
  <w:style w:type="paragraph" w:styleId="TOC4">
    <w:name w:val="toc 4"/>
    <w:basedOn w:val="Normal"/>
    <w:next w:val="Normal"/>
    <w:autoRedefine/>
    <w:uiPriority w:val="39"/>
    <w:rsid w:val="00A92422"/>
    <w:pPr>
      <w:tabs>
        <w:tab w:val="right" w:leader="dot" w:pos="9360"/>
      </w:tabs>
    </w:pPr>
    <w:rPr>
      <w:szCs w:val="24"/>
    </w:rPr>
  </w:style>
  <w:style w:type="paragraph" w:styleId="TOC5">
    <w:name w:val="toc 5"/>
    <w:basedOn w:val="Normal"/>
    <w:next w:val="Normal"/>
    <w:autoRedefine/>
    <w:uiPriority w:val="39"/>
    <w:rsid w:val="00A92422"/>
    <w:pPr>
      <w:ind w:left="960"/>
    </w:pPr>
    <w:rPr>
      <w:rFonts w:ascii="Times New Roman" w:hAnsi="Times New Roman"/>
      <w:sz w:val="24"/>
      <w:szCs w:val="24"/>
    </w:rPr>
  </w:style>
  <w:style w:type="paragraph" w:styleId="TOC6">
    <w:name w:val="toc 6"/>
    <w:basedOn w:val="Normal"/>
    <w:next w:val="Normal"/>
    <w:autoRedefine/>
    <w:uiPriority w:val="39"/>
    <w:rsid w:val="00A92422"/>
    <w:pPr>
      <w:ind w:left="1200"/>
    </w:pPr>
    <w:rPr>
      <w:rFonts w:ascii="Times New Roman" w:hAnsi="Times New Roman"/>
      <w:sz w:val="24"/>
      <w:szCs w:val="24"/>
    </w:rPr>
  </w:style>
  <w:style w:type="paragraph" w:styleId="TOC7">
    <w:name w:val="toc 7"/>
    <w:basedOn w:val="Normal"/>
    <w:next w:val="Normal"/>
    <w:autoRedefine/>
    <w:uiPriority w:val="39"/>
    <w:rsid w:val="00A92422"/>
    <w:pPr>
      <w:ind w:left="1440"/>
    </w:pPr>
    <w:rPr>
      <w:rFonts w:ascii="Times New Roman" w:hAnsi="Times New Roman"/>
      <w:sz w:val="24"/>
      <w:szCs w:val="24"/>
    </w:rPr>
  </w:style>
  <w:style w:type="paragraph" w:styleId="TOC8">
    <w:name w:val="toc 8"/>
    <w:basedOn w:val="Normal"/>
    <w:next w:val="Normal"/>
    <w:autoRedefine/>
    <w:uiPriority w:val="39"/>
    <w:rsid w:val="00A92422"/>
    <w:pPr>
      <w:ind w:left="1680"/>
    </w:pPr>
    <w:rPr>
      <w:rFonts w:ascii="Times New Roman" w:hAnsi="Times New Roman"/>
      <w:sz w:val="24"/>
      <w:szCs w:val="24"/>
    </w:rPr>
  </w:style>
  <w:style w:type="paragraph" w:styleId="TOC9">
    <w:name w:val="toc 9"/>
    <w:basedOn w:val="Normal"/>
    <w:next w:val="Normal"/>
    <w:autoRedefine/>
    <w:uiPriority w:val="39"/>
    <w:rsid w:val="00A92422"/>
    <w:pPr>
      <w:ind w:left="1920"/>
    </w:pPr>
    <w:rPr>
      <w:rFonts w:ascii="Times New Roman" w:hAnsi="Times New Roman"/>
      <w:sz w:val="24"/>
      <w:szCs w:val="24"/>
    </w:rPr>
  </w:style>
  <w:style w:type="paragraph" w:customStyle="1" w:styleId="AppendixBulletIndent">
    <w:name w:val="Appendix Bullet Indent"/>
    <w:basedOn w:val="AppendixFlushBulletedList"/>
    <w:rsid w:val="00A92422"/>
    <w:pPr>
      <w:tabs>
        <w:tab w:val="clear" w:pos="360"/>
        <w:tab w:val="num" w:pos="720"/>
      </w:tabs>
      <w:ind w:left="720"/>
    </w:pPr>
  </w:style>
  <w:style w:type="paragraph" w:customStyle="1" w:styleId="AppendixFlushBulletedList">
    <w:name w:val="Appendix Flush Bulleted List"/>
    <w:basedOn w:val="Normal"/>
    <w:rsid w:val="00A92422"/>
    <w:pPr>
      <w:tabs>
        <w:tab w:val="num" w:pos="360"/>
      </w:tabs>
      <w:ind w:left="360" w:hanging="360"/>
    </w:pPr>
    <w:rPr>
      <w:rFonts w:ascii="Trebuchet MS" w:hAnsi="Trebuchet MS" w:cs="Arial"/>
      <w:sz w:val="20"/>
      <w:szCs w:val="20"/>
    </w:rPr>
  </w:style>
  <w:style w:type="paragraph" w:customStyle="1" w:styleId="ProductPool">
    <w:name w:val="Product Pool"/>
    <w:basedOn w:val="Heading3"/>
    <w:rsid w:val="00A92422"/>
  </w:style>
  <w:style w:type="paragraph" w:customStyle="1" w:styleId="AppendixTabbedList">
    <w:name w:val="Appendix Tabbed List"/>
    <w:basedOn w:val="AppendixBodyText"/>
    <w:rsid w:val="00A92422"/>
    <w:pPr>
      <w:tabs>
        <w:tab w:val="left" w:pos="2520"/>
      </w:tabs>
    </w:pPr>
  </w:style>
  <w:style w:type="paragraph" w:customStyle="1" w:styleId="ProductNote">
    <w:name w:val="Product Note"/>
    <w:basedOn w:val="ProductNames"/>
    <w:rsid w:val="00A92422"/>
    <w:pPr>
      <w:spacing w:before="0" w:after="0"/>
    </w:pPr>
    <w:rPr>
      <w:sz w:val="12"/>
      <w:szCs w:val="12"/>
    </w:rPr>
  </w:style>
  <w:style w:type="character" w:customStyle="1" w:styleId="ProductNoteCharChar">
    <w:name w:val="Product Note Char Char"/>
    <w:rsid w:val="00A92422"/>
    <w:rPr>
      <w:rFonts w:ascii="Trebuchet MS" w:hAnsi="Trebuchet MS"/>
      <w:position w:val="-11"/>
      <w:sz w:val="12"/>
    </w:rPr>
  </w:style>
  <w:style w:type="paragraph" w:customStyle="1" w:styleId="Bulletedlistflush">
    <w:name w:val="Bulleted list flush"/>
    <w:basedOn w:val="BulletedList"/>
    <w:rsid w:val="00A92422"/>
    <w:pPr>
      <w:tabs>
        <w:tab w:val="clear" w:pos="1080"/>
        <w:tab w:val="num" w:pos="360"/>
      </w:tabs>
      <w:ind w:left="360" w:hanging="360"/>
    </w:pPr>
  </w:style>
  <w:style w:type="paragraph" w:styleId="BalloonText">
    <w:name w:val="Balloon Text"/>
    <w:basedOn w:val="Normal"/>
    <w:link w:val="BalloonTextChar"/>
    <w:uiPriority w:val="99"/>
    <w:semiHidden/>
    <w:rsid w:val="00A92422"/>
    <w:rPr>
      <w:sz w:val="16"/>
      <w:szCs w:val="16"/>
    </w:rPr>
  </w:style>
  <w:style w:type="character" w:customStyle="1" w:styleId="BalloonTextChar">
    <w:name w:val="Balloon Text Char"/>
    <w:basedOn w:val="DefaultParagraphFont"/>
    <w:link w:val="BalloonText"/>
    <w:uiPriority w:val="99"/>
    <w:semiHidden/>
    <w:rsid w:val="00A92422"/>
    <w:rPr>
      <w:rFonts w:ascii="Tahoma" w:eastAsia="MS Mincho" w:hAnsi="Tahoma" w:cs="Times New Roman"/>
      <w:sz w:val="16"/>
      <w:szCs w:val="16"/>
    </w:rPr>
  </w:style>
  <w:style w:type="paragraph" w:customStyle="1" w:styleId="StyleHeading22Left138Firstline0">
    <w:name w:val="Style Heading 2 #2 + Left:  1.38&quot; First line:  0&quot;"/>
    <w:basedOn w:val="Normal"/>
    <w:rsid w:val="00A92422"/>
    <w:pPr>
      <w:ind w:left="1008"/>
      <w:jc w:val="both"/>
    </w:pPr>
    <w:rPr>
      <w:rFonts w:ascii="Arial" w:hAnsi="Arial"/>
      <w:sz w:val="20"/>
      <w:szCs w:val="20"/>
    </w:rPr>
  </w:style>
  <w:style w:type="paragraph" w:customStyle="1" w:styleId="AppendIndent">
    <w:name w:val="Append_Indent"/>
    <w:basedOn w:val="Normal"/>
    <w:rsid w:val="00A92422"/>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A92422"/>
    <w:pPr>
      <w:jc w:val="left"/>
    </w:pPr>
    <w:rPr>
      <w:rFonts w:ascii="Trebuchet MS" w:hAnsi="Trebuchet MS"/>
    </w:rPr>
  </w:style>
  <w:style w:type="paragraph" w:customStyle="1" w:styleId="styleheading22left138firstline00">
    <w:name w:val="styleheading22left138firstline0"/>
    <w:basedOn w:val="Normal"/>
    <w:rsid w:val="00A92422"/>
    <w:pPr>
      <w:ind w:left="1008"/>
      <w:jc w:val="both"/>
    </w:pPr>
    <w:rPr>
      <w:rFonts w:ascii="Arial" w:hAnsi="Arial" w:cs="Arial"/>
      <w:sz w:val="20"/>
      <w:szCs w:val="20"/>
    </w:rPr>
  </w:style>
  <w:style w:type="paragraph" w:customStyle="1" w:styleId="Char1">
    <w:name w:val="Char1"/>
    <w:basedOn w:val="Normal"/>
    <w:rsid w:val="00A92422"/>
    <w:pPr>
      <w:spacing w:after="160" w:line="240" w:lineRule="exact"/>
    </w:pPr>
    <w:rPr>
      <w:sz w:val="20"/>
      <w:szCs w:val="20"/>
    </w:rPr>
  </w:style>
  <w:style w:type="paragraph" w:customStyle="1" w:styleId="StyleHeading22Left025Firstline0">
    <w:name w:val="Style Heading 2 #2 + Left:  0.25&quot; First line:  0&quot;"/>
    <w:basedOn w:val="Normal"/>
    <w:rsid w:val="00A92422"/>
    <w:pPr>
      <w:tabs>
        <w:tab w:val="num" w:pos="720"/>
      </w:tabs>
      <w:ind w:left="720" w:hanging="360"/>
      <w:jc w:val="both"/>
    </w:pPr>
    <w:rPr>
      <w:rFonts w:ascii="Arial" w:hAnsi="Arial"/>
      <w:b/>
      <w:sz w:val="20"/>
      <w:szCs w:val="20"/>
    </w:rPr>
  </w:style>
  <w:style w:type="character" w:styleId="CommentReference">
    <w:name w:val="annotation reference"/>
    <w:uiPriority w:val="99"/>
    <w:rsid w:val="00A92422"/>
    <w:rPr>
      <w:sz w:val="16"/>
    </w:rPr>
  </w:style>
  <w:style w:type="character" w:styleId="PageNumber">
    <w:name w:val="page number"/>
    <w:uiPriority w:val="99"/>
    <w:rsid w:val="00A92422"/>
    <w:rPr>
      <w:rFonts w:cs="Times New Roman"/>
    </w:rPr>
  </w:style>
  <w:style w:type="paragraph" w:styleId="ListBullet3">
    <w:name w:val="List Bullet 3"/>
    <w:basedOn w:val="Normal"/>
    <w:uiPriority w:val="99"/>
    <w:rsid w:val="00A92422"/>
    <w:pPr>
      <w:tabs>
        <w:tab w:val="num" w:pos="1080"/>
      </w:tabs>
      <w:ind w:left="1080" w:hanging="360"/>
    </w:pPr>
    <w:rPr>
      <w:rFonts w:ascii="Arial" w:hAnsi="Arial" w:cs="Arial"/>
      <w:sz w:val="20"/>
      <w:szCs w:val="20"/>
    </w:rPr>
  </w:style>
  <w:style w:type="paragraph" w:customStyle="1" w:styleId="appendixbodytext0">
    <w:name w:val="appendixbodytext"/>
    <w:basedOn w:val="Normal"/>
    <w:rsid w:val="00A92422"/>
    <w:pPr>
      <w:spacing w:after="60"/>
    </w:pPr>
    <w:rPr>
      <w:rFonts w:ascii="Trebuchet MS" w:hAnsi="Trebuchet MS"/>
      <w:sz w:val="20"/>
      <w:szCs w:val="20"/>
    </w:rPr>
  </w:style>
  <w:style w:type="paragraph" w:customStyle="1" w:styleId="tableclose">
    <w:name w:val="tableclose"/>
    <w:basedOn w:val="Normal"/>
    <w:rsid w:val="00A92422"/>
    <w:rPr>
      <w:rFonts w:ascii="Arial" w:hAnsi="Arial" w:cs="Arial"/>
      <w:sz w:val="20"/>
      <w:szCs w:val="20"/>
    </w:rPr>
  </w:style>
  <w:style w:type="paragraph" w:customStyle="1" w:styleId="appendindent0">
    <w:name w:val="appendindent"/>
    <w:basedOn w:val="Normal"/>
    <w:rsid w:val="00A92422"/>
    <w:pPr>
      <w:ind w:left="720" w:hanging="360"/>
    </w:pPr>
    <w:rPr>
      <w:rFonts w:ascii="Trebuchet MS" w:hAnsi="Trebuchet MS"/>
      <w:b/>
      <w:bCs/>
      <w:sz w:val="20"/>
      <w:szCs w:val="20"/>
    </w:rPr>
  </w:style>
  <w:style w:type="paragraph" w:customStyle="1" w:styleId="productnames0">
    <w:name w:val="productnames"/>
    <w:basedOn w:val="Normal"/>
    <w:rsid w:val="00A92422"/>
    <w:pPr>
      <w:spacing w:before="20" w:after="20"/>
    </w:pPr>
    <w:rPr>
      <w:rFonts w:ascii="Trebuchet MS" w:hAnsi="Trebuchet MS"/>
      <w:position w:val="-11"/>
      <w:sz w:val="16"/>
      <w:szCs w:val="16"/>
    </w:rPr>
  </w:style>
  <w:style w:type="paragraph" w:customStyle="1" w:styleId="Char3">
    <w:name w:val="Char3"/>
    <w:basedOn w:val="Normal"/>
    <w:rsid w:val="00A92422"/>
    <w:pPr>
      <w:spacing w:after="160" w:line="240" w:lineRule="exact"/>
    </w:pPr>
    <w:rPr>
      <w:sz w:val="20"/>
      <w:szCs w:val="20"/>
    </w:rPr>
  </w:style>
  <w:style w:type="paragraph" w:customStyle="1" w:styleId="exceptionbody">
    <w:name w:val="exception body"/>
    <w:uiPriority w:val="99"/>
    <w:rsid w:val="00A92422"/>
    <w:pPr>
      <w:spacing w:after="60" w:line="255" w:lineRule="exact"/>
      <w:ind w:left="216"/>
    </w:pPr>
    <w:rPr>
      <w:rFonts w:ascii="Trebuchet MS" w:eastAsia="MS PGothic" w:hAnsi="Trebuchet MS" w:cs="Tahoma"/>
      <w:iCs/>
      <w:color w:val="000000"/>
      <w:sz w:val="18"/>
      <w:szCs w:val="18"/>
      <w:lang w:eastAsia="ja-JP"/>
    </w:rPr>
  </w:style>
  <w:style w:type="paragraph" w:customStyle="1" w:styleId="ColorfulList-Accent11">
    <w:name w:val="Colorful List - Accent 11"/>
    <w:basedOn w:val="Normal"/>
    <w:uiPriority w:val="34"/>
    <w:qFormat/>
    <w:rsid w:val="00A92422"/>
    <w:pPr>
      <w:ind w:left="720"/>
      <w:contextualSpacing/>
    </w:pPr>
    <w:rPr>
      <w:rFonts w:ascii="Times New Roman" w:hAnsi="Times New Roman"/>
      <w:sz w:val="24"/>
      <w:szCs w:val="24"/>
    </w:rPr>
  </w:style>
  <w:style w:type="paragraph" w:styleId="FootnoteText">
    <w:name w:val="footnote text"/>
    <w:basedOn w:val="Normal"/>
    <w:link w:val="FootnoteTextChar"/>
    <w:semiHidden/>
    <w:rsid w:val="00A92422"/>
    <w:rPr>
      <w:rFonts w:ascii="Trebuchet MS" w:hAnsi="Trebuchet MS"/>
      <w:sz w:val="20"/>
      <w:szCs w:val="20"/>
    </w:rPr>
  </w:style>
  <w:style w:type="character" w:customStyle="1" w:styleId="FootnoteTextChar">
    <w:name w:val="Footnote Text Char"/>
    <w:basedOn w:val="DefaultParagraphFont"/>
    <w:link w:val="FootnoteText"/>
    <w:semiHidden/>
    <w:rsid w:val="00A92422"/>
    <w:rPr>
      <w:rFonts w:ascii="Trebuchet MS" w:eastAsia="MS Mincho" w:hAnsi="Trebuchet MS" w:cs="Times New Roman"/>
      <w:sz w:val="20"/>
      <w:szCs w:val="20"/>
    </w:rPr>
  </w:style>
  <w:style w:type="paragraph" w:customStyle="1" w:styleId="bodywithspace0">
    <w:name w:val="bodywithspace"/>
    <w:basedOn w:val="Normal"/>
    <w:rsid w:val="00A92422"/>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A92422"/>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A92422"/>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A92422"/>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A92422"/>
    <w:rPr>
      <w:sz w:val="16"/>
      <w:szCs w:val="16"/>
    </w:rPr>
  </w:style>
  <w:style w:type="character" w:customStyle="1" w:styleId="DocumentMapChar">
    <w:name w:val="Document Map Char"/>
    <w:basedOn w:val="DefaultParagraphFont"/>
    <w:link w:val="DocumentMap"/>
    <w:uiPriority w:val="99"/>
    <w:rsid w:val="00A92422"/>
    <w:rPr>
      <w:rFonts w:ascii="Tahoma" w:eastAsia="MS Mincho" w:hAnsi="Tahoma" w:cs="Times New Roman"/>
      <w:sz w:val="16"/>
      <w:szCs w:val="16"/>
    </w:rPr>
  </w:style>
  <w:style w:type="paragraph" w:customStyle="1" w:styleId="NoSpacing1">
    <w:name w:val="No Spacing1"/>
    <w:basedOn w:val="Normal"/>
    <w:link w:val="NoSpacingChar"/>
    <w:uiPriority w:val="1"/>
    <w:qFormat/>
    <w:rsid w:val="00A92422"/>
    <w:rPr>
      <w:rFonts w:ascii="Calibri" w:hAnsi="Calibri"/>
      <w:sz w:val="20"/>
      <w:szCs w:val="20"/>
      <w:lang w:val="x-none" w:eastAsia="zh-TW"/>
    </w:rPr>
  </w:style>
  <w:style w:type="character" w:customStyle="1" w:styleId="NoSpacingChar">
    <w:name w:val="No Spacing Char"/>
    <w:link w:val="NoSpacing1"/>
    <w:uiPriority w:val="1"/>
    <w:locked/>
    <w:rsid w:val="00A92422"/>
    <w:rPr>
      <w:rFonts w:ascii="Calibri" w:eastAsia="MS Mincho" w:hAnsi="Calibri" w:cs="Times New Roman"/>
      <w:sz w:val="20"/>
      <w:szCs w:val="20"/>
      <w:lang w:val="x-none" w:eastAsia="zh-TW"/>
    </w:rPr>
  </w:style>
  <w:style w:type="paragraph" w:customStyle="1" w:styleId="footnotebulletlevel20">
    <w:name w:val="footnotebulletlevel2"/>
    <w:basedOn w:val="Normal"/>
    <w:rsid w:val="00A92422"/>
    <w:pPr>
      <w:tabs>
        <w:tab w:val="num" w:pos="900"/>
      </w:tabs>
      <w:snapToGrid w:val="0"/>
      <w:spacing w:before="120"/>
      <w:ind w:left="1267" w:hanging="360"/>
    </w:pPr>
    <w:rPr>
      <w:rFonts w:ascii="Trebuchet MS" w:hAnsi="Trebuchet MS"/>
      <w:sz w:val="20"/>
      <w:szCs w:val="20"/>
    </w:rPr>
  </w:style>
  <w:style w:type="character" w:styleId="Strong">
    <w:name w:val="Strong"/>
    <w:uiPriority w:val="22"/>
    <w:qFormat/>
    <w:rsid w:val="00A92422"/>
    <w:rPr>
      <w:b/>
    </w:rPr>
  </w:style>
  <w:style w:type="paragraph" w:styleId="CommentText">
    <w:name w:val="annotation text"/>
    <w:basedOn w:val="Normal"/>
    <w:link w:val="CommentTextChar"/>
    <w:uiPriority w:val="99"/>
    <w:rsid w:val="00A92422"/>
    <w:rPr>
      <w:rFonts w:ascii="Trebuchet MS" w:hAnsi="Trebuchet MS"/>
      <w:sz w:val="20"/>
      <w:szCs w:val="20"/>
    </w:rPr>
  </w:style>
  <w:style w:type="character" w:customStyle="1" w:styleId="CommentTextChar">
    <w:name w:val="Comment Text Char"/>
    <w:basedOn w:val="DefaultParagraphFont"/>
    <w:link w:val="CommentText"/>
    <w:uiPriority w:val="99"/>
    <w:rsid w:val="00A92422"/>
    <w:rPr>
      <w:rFonts w:ascii="Trebuchet MS" w:eastAsia="MS Mincho" w:hAnsi="Trebuchet MS" w:cs="Times New Roman"/>
      <w:sz w:val="20"/>
      <w:szCs w:val="20"/>
    </w:rPr>
  </w:style>
  <w:style w:type="paragraph" w:styleId="CommentSubject">
    <w:name w:val="annotation subject"/>
    <w:basedOn w:val="CommentText"/>
    <w:next w:val="CommentText"/>
    <w:link w:val="CommentSubjectChar"/>
    <w:semiHidden/>
    <w:rsid w:val="00A92422"/>
    <w:rPr>
      <w:b/>
    </w:rPr>
  </w:style>
  <w:style w:type="character" w:customStyle="1" w:styleId="CommentSubjectChar">
    <w:name w:val="Comment Subject Char"/>
    <w:basedOn w:val="CommentTextChar"/>
    <w:link w:val="CommentSubject"/>
    <w:semiHidden/>
    <w:rsid w:val="00A92422"/>
    <w:rPr>
      <w:rFonts w:ascii="Trebuchet MS" w:eastAsia="MS Mincho" w:hAnsi="Trebuchet MS" w:cs="Times New Roman"/>
      <w:b/>
      <w:sz w:val="20"/>
      <w:szCs w:val="20"/>
    </w:rPr>
  </w:style>
  <w:style w:type="paragraph" w:styleId="NormalWeb">
    <w:name w:val="Normal (Web)"/>
    <w:basedOn w:val="Normal"/>
    <w:uiPriority w:val="99"/>
    <w:unhideWhenUsed/>
    <w:rsid w:val="00A92422"/>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A92422"/>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A92422"/>
    <w:rPr>
      <w:vertAlign w:val="superscript"/>
    </w:rPr>
  </w:style>
  <w:style w:type="paragraph" w:styleId="PlainText">
    <w:name w:val="Plain Text"/>
    <w:basedOn w:val="Normal"/>
    <w:link w:val="PlainTextChar"/>
    <w:uiPriority w:val="99"/>
    <w:unhideWhenUsed/>
    <w:rsid w:val="00A92422"/>
    <w:rPr>
      <w:rFonts w:ascii="Consolas" w:hAnsi="Consolas"/>
      <w:sz w:val="21"/>
      <w:szCs w:val="21"/>
    </w:rPr>
  </w:style>
  <w:style w:type="character" w:customStyle="1" w:styleId="PlainTextChar">
    <w:name w:val="Plain Text Char"/>
    <w:basedOn w:val="DefaultParagraphFont"/>
    <w:link w:val="PlainText"/>
    <w:uiPriority w:val="99"/>
    <w:rsid w:val="00A92422"/>
    <w:rPr>
      <w:rFonts w:ascii="Consolas" w:eastAsia="MS Mincho" w:hAnsi="Consolas" w:cs="Times New Roman"/>
      <w:sz w:val="21"/>
      <w:szCs w:val="21"/>
    </w:rPr>
  </w:style>
  <w:style w:type="paragraph" w:customStyle="1" w:styleId="productendnote0">
    <w:name w:val="productendnote"/>
    <w:basedOn w:val="Normal"/>
    <w:rsid w:val="00A92422"/>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A92422"/>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A92422"/>
    <w:rPr>
      <w:rFonts w:ascii="Times New Roman" w:hAnsi="Times New Roman"/>
      <w:sz w:val="24"/>
      <w:szCs w:val="24"/>
    </w:rPr>
  </w:style>
  <w:style w:type="paragraph" w:styleId="BodyText">
    <w:name w:val="Body Text"/>
    <w:basedOn w:val="Normal"/>
    <w:link w:val="BodyTextChar"/>
    <w:uiPriority w:val="99"/>
    <w:unhideWhenUsed/>
    <w:rsid w:val="00A92422"/>
    <w:pPr>
      <w:spacing w:before="100" w:after="180" w:line="260" w:lineRule="exact"/>
    </w:pPr>
    <w:rPr>
      <w:rFonts w:ascii="Verdana" w:hAnsi="Verdana"/>
      <w:color w:val="000000"/>
      <w:sz w:val="20"/>
      <w:szCs w:val="20"/>
      <w:lang w:val="x-none" w:eastAsia="x-none"/>
    </w:rPr>
  </w:style>
  <w:style w:type="character" w:customStyle="1" w:styleId="BodyTextChar">
    <w:name w:val="Body Text Char"/>
    <w:basedOn w:val="DefaultParagraphFont"/>
    <w:link w:val="BodyText"/>
    <w:uiPriority w:val="99"/>
    <w:rsid w:val="00A92422"/>
    <w:rPr>
      <w:rFonts w:ascii="Verdana" w:eastAsia="MS Mincho" w:hAnsi="Verdana" w:cs="Times New Roman"/>
      <w:color w:val="000000"/>
      <w:sz w:val="20"/>
      <w:szCs w:val="20"/>
      <w:lang w:val="x-none" w:eastAsia="x-none"/>
    </w:rPr>
  </w:style>
  <w:style w:type="paragraph" w:customStyle="1" w:styleId="ColorfulShading-Accent11">
    <w:name w:val="Colorful Shading - Accent 11"/>
    <w:hidden/>
    <w:uiPriority w:val="99"/>
    <w:semiHidden/>
    <w:rsid w:val="00A92422"/>
    <w:pPr>
      <w:spacing w:after="0" w:line="240" w:lineRule="auto"/>
    </w:pPr>
    <w:rPr>
      <w:rFonts w:ascii="Calibri" w:eastAsia="MS Mincho" w:hAnsi="Calibri" w:cs="Times New Roman"/>
    </w:rPr>
  </w:style>
  <w:style w:type="paragraph" w:styleId="BodyText2">
    <w:name w:val="Body Text 2"/>
    <w:basedOn w:val="Normal"/>
    <w:link w:val="BodyText2Char"/>
    <w:uiPriority w:val="99"/>
    <w:semiHidden/>
    <w:unhideWhenUsed/>
    <w:rsid w:val="00A92422"/>
    <w:pPr>
      <w:spacing w:after="120" w:line="480" w:lineRule="auto"/>
    </w:pPr>
    <w:rPr>
      <w:rFonts w:ascii="Calibri" w:hAnsi="Calibri"/>
      <w:sz w:val="22"/>
    </w:rPr>
  </w:style>
  <w:style w:type="character" w:customStyle="1" w:styleId="BodyText2Char">
    <w:name w:val="Body Text 2 Char"/>
    <w:basedOn w:val="DefaultParagraphFont"/>
    <w:link w:val="BodyText2"/>
    <w:uiPriority w:val="99"/>
    <w:semiHidden/>
    <w:rsid w:val="00A92422"/>
    <w:rPr>
      <w:rFonts w:ascii="Calibri" w:eastAsia="MS Mincho" w:hAnsi="Calibri" w:cs="Times New Roman"/>
    </w:rPr>
  </w:style>
  <w:style w:type="paragraph" w:customStyle="1" w:styleId="normal1">
    <w:name w:val="normal1"/>
    <w:basedOn w:val="Normal"/>
    <w:rsid w:val="00A92422"/>
    <w:rPr>
      <w:rFonts w:ascii="Arial" w:hAnsi="Arial" w:cs="Arial"/>
      <w:sz w:val="20"/>
      <w:szCs w:val="20"/>
    </w:rPr>
  </w:style>
  <w:style w:type="paragraph" w:customStyle="1" w:styleId="normal195">
    <w:name w:val="normal1 9.5"/>
    <w:basedOn w:val="Normal"/>
    <w:rsid w:val="00A92422"/>
    <w:pPr>
      <w:ind w:left="720"/>
      <w:jc w:val="both"/>
    </w:pPr>
    <w:rPr>
      <w:rFonts w:ascii="Arial" w:hAnsi="Arial" w:cs="Arial"/>
      <w:sz w:val="19"/>
      <w:szCs w:val="19"/>
    </w:rPr>
  </w:style>
  <w:style w:type="character" w:customStyle="1" w:styleId="Head1Char">
    <w:name w:val="Head 1 Char"/>
    <w:link w:val="Head1"/>
    <w:locked/>
    <w:rsid w:val="00A92422"/>
    <w:rPr>
      <w:rFonts w:ascii="Arial" w:hAnsi="Arial"/>
      <w:b/>
      <w:i/>
    </w:rPr>
  </w:style>
  <w:style w:type="paragraph" w:customStyle="1" w:styleId="Head1">
    <w:name w:val="Head 1"/>
    <w:basedOn w:val="Normal"/>
    <w:link w:val="Head1Char"/>
    <w:rsid w:val="00A92422"/>
    <w:pPr>
      <w:spacing w:before="120" w:after="120"/>
      <w:jc w:val="both"/>
    </w:pPr>
    <w:rPr>
      <w:rFonts w:ascii="Arial" w:eastAsiaTheme="minorHAnsi" w:hAnsi="Arial" w:cstheme="minorBidi"/>
      <w:b/>
      <w:i/>
      <w:sz w:val="22"/>
    </w:rPr>
  </w:style>
  <w:style w:type="table" w:styleId="TableGrid">
    <w:name w:val="Table Grid"/>
    <w:basedOn w:val="TableNormal"/>
    <w:uiPriority w:val="59"/>
    <w:rsid w:val="00A92422"/>
    <w:pPr>
      <w:spacing w:after="0" w:line="240" w:lineRule="auto"/>
    </w:pPr>
    <w:rPr>
      <w:rFonts w:ascii="Calibri" w:eastAsia="MS Mincho"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A92422"/>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A92422"/>
    <w:pPr>
      <w:ind w:left="720"/>
      <w:contextualSpacing/>
    </w:pPr>
    <w:rPr>
      <w:rFonts w:ascii="Times New Roman" w:hAnsi="Times New Roman"/>
      <w:sz w:val="24"/>
      <w:szCs w:val="20"/>
      <w:lang w:val="x-none" w:eastAsia="x-none"/>
    </w:rPr>
  </w:style>
  <w:style w:type="paragraph" w:styleId="Revision">
    <w:name w:val="Revision"/>
    <w:hidden/>
    <w:uiPriority w:val="99"/>
    <w:semiHidden/>
    <w:rsid w:val="00A92422"/>
    <w:pPr>
      <w:spacing w:after="0" w:line="240" w:lineRule="auto"/>
    </w:pPr>
    <w:rPr>
      <w:rFonts w:ascii="Calibri" w:eastAsia="MS Mincho" w:hAnsi="Calibri" w:cs="Times New Roman"/>
    </w:rPr>
  </w:style>
  <w:style w:type="paragraph" w:styleId="Title">
    <w:name w:val="Title"/>
    <w:basedOn w:val="Normal"/>
    <w:next w:val="Normal"/>
    <w:link w:val="TitleChar"/>
    <w:qFormat/>
    <w:rsid w:val="00A92422"/>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rsid w:val="00A92422"/>
    <w:rPr>
      <w:rFonts w:ascii="Cambria" w:eastAsia="MS Mincho" w:hAnsi="Cambria" w:cs="Times New Roman"/>
      <w:b/>
      <w:bCs/>
      <w:kern w:val="28"/>
      <w:sz w:val="32"/>
      <w:szCs w:val="32"/>
    </w:rPr>
  </w:style>
  <w:style w:type="paragraph" w:customStyle="1" w:styleId="productlist">
    <w:name w:val="product list"/>
    <w:basedOn w:val="Normal"/>
    <w:uiPriority w:val="99"/>
    <w:rsid w:val="00A92422"/>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A92422"/>
    <w:pPr>
      <w:spacing w:before="100" w:beforeAutospacing="1" w:after="100" w:afterAutospacing="1"/>
    </w:pPr>
    <w:rPr>
      <w:rFonts w:ascii="Times New Roman" w:hAnsi="Times New Roman"/>
      <w:sz w:val="24"/>
      <w:szCs w:val="24"/>
    </w:rPr>
  </w:style>
  <w:style w:type="character" w:styleId="Emphasis">
    <w:name w:val="Emphasis"/>
    <w:qFormat/>
    <w:rsid w:val="00A92422"/>
    <w:rPr>
      <w:i/>
    </w:rPr>
  </w:style>
  <w:style w:type="paragraph" w:styleId="Subtitle">
    <w:name w:val="Subtitle"/>
    <w:basedOn w:val="Normal"/>
    <w:next w:val="Normal"/>
    <w:link w:val="SubtitleChar"/>
    <w:qFormat/>
    <w:rsid w:val="00A92422"/>
    <w:pPr>
      <w:spacing w:after="60"/>
      <w:jc w:val="center"/>
      <w:outlineLvl w:val="1"/>
    </w:pPr>
    <w:rPr>
      <w:rFonts w:ascii="Cambria" w:hAnsi="Cambria"/>
      <w:sz w:val="24"/>
      <w:szCs w:val="24"/>
    </w:rPr>
  </w:style>
  <w:style w:type="character" w:customStyle="1" w:styleId="SubtitleChar">
    <w:name w:val="Subtitle Char"/>
    <w:basedOn w:val="DefaultParagraphFont"/>
    <w:link w:val="Subtitle"/>
    <w:rsid w:val="00A92422"/>
    <w:rPr>
      <w:rFonts w:ascii="Cambria" w:eastAsia="MS Mincho" w:hAnsi="Cambria" w:cs="Times New Roman"/>
      <w:sz w:val="24"/>
      <w:szCs w:val="24"/>
    </w:rPr>
  </w:style>
  <w:style w:type="paragraph" w:styleId="NoSpacing">
    <w:name w:val="No Spacing"/>
    <w:uiPriority w:val="1"/>
    <w:qFormat/>
    <w:rsid w:val="00A92422"/>
    <w:pPr>
      <w:spacing w:after="0" w:line="240" w:lineRule="auto"/>
    </w:pPr>
    <w:rPr>
      <w:rFonts w:ascii="Calibri" w:eastAsia="MS Mincho" w:hAnsi="Calibri" w:cs="Times New Roman"/>
    </w:rPr>
  </w:style>
  <w:style w:type="character" w:customStyle="1" w:styleId="formelementblack1">
    <w:name w:val="formelement_black1"/>
    <w:rsid w:val="00A92422"/>
    <w:rPr>
      <w:rFonts w:ascii="Verdana" w:hAnsi="Verdana"/>
      <w:color w:val="000000"/>
      <w:sz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A92422"/>
    <w:rPr>
      <w:rFonts w:ascii="Times New Roman" w:eastAsia="MS Mincho" w:hAnsi="Times New Roman" w:cs="Times New Roman"/>
      <w:sz w:val="24"/>
      <w:szCs w:val="20"/>
      <w:lang w:val="x-none" w:eastAsia="x-none"/>
    </w:rPr>
  </w:style>
  <w:style w:type="paragraph" w:customStyle="1" w:styleId="3iNumbered2ndlevel">
    <w:name w:val="3i. Numbered 2nd level"/>
    <w:basedOn w:val="Normal"/>
    <w:uiPriority w:val="99"/>
    <w:rsid w:val="00A92422"/>
    <w:pPr>
      <w:spacing w:before="60" w:line="160" w:lineRule="exact"/>
      <w:ind w:left="624" w:hanging="340"/>
    </w:pPr>
    <w:rPr>
      <w:rFonts w:cs="Tahoma"/>
      <w:color w:val="000000"/>
      <w:sz w:val="14"/>
      <w:szCs w:val="14"/>
    </w:rPr>
  </w:style>
  <w:style w:type="character" w:customStyle="1" w:styleId="emailstyle28">
    <w:name w:val="emailstyle28"/>
    <w:semiHidden/>
    <w:rsid w:val="00A92422"/>
    <w:rPr>
      <w:rFonts w:ascii="Calibri" w:hAnsi="Calibri"/>
      <w:color w:val="1F497D"/>
    </w:rPr>
  </w:style>
  <w:style w:type="character" w:customStyle="1" w:styleId="emailstyle25">
    <w:name w:val="emailstyle25"/>
    <w:semiHidden/>
    <w:rsid w:val="00A92422"/>
    <w:rPr>
      <w:rFonts w:ascii="Calibri" w:hAnsi="Calibri"/>
      <w:color w:val="auto"/>
    </w:rPr>
  </w:style>
  <w:style w:type="table" w:customStyle="1" w:styleId="TableGrid1">
    <w:name w:val="Table Grid1"/>
    <w:basedOn w:val="TableNormal"/>
    <w:next w:val="TableGrid"/>
    <w:uiPriority w:val="59"/>
    <w:rsid w:val="00A92422"/>
    <w:pPr>
      <w:spacing w:after="0" w:line="240" w:lineRule="auto"/>
    </w:pPr>
    <w:rPr>
      <w:rFonts w:ascii="Calibri" w:eastAsia="MS Mincho"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A92422"/>
    <w:pPr>
      <w:snapToGrid w:val="0"/>
      <w:spacing w:before="60" w:after="60"/>
      <w:ind w:left="1627" w:hanging="360"/>
    </w:pPr>
    <w:rPr>
      <w:rFonts w:ascii="Trebuchet MS" w:hAnsi="Trebuchet MS"/>
      <w:sz w:val="20"/>
      <w:szCs w:val="20"/>
    </w:rPr>
  </w:style>
  <w:style w:type="table" w:customStyle="1" w:styleId="TableGrid2">
    <w:name w:val="Table Grid2"/>
    <w:basedOn w:val="TableNormal"/>
    <w:next w:val="TableGrid"/>
    <w:uiPriority w:val="59"/>
    <w:rsid w:val="00A92422"/>
    <w:pPr>
      <w:spacing w:after="0" w:line="240" w:lineRule="auto"/>
    </w:pPr>
    <w:rPr>
      <w:rFonts w:ascii="Calibri" w:eastAsia="MS Mincho"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A92422"/>
    <w:pPr>
      <w:spacing w:before="60" w:after="60" w:line="240" w:lineRule="auto"/>
      <w:ind w:left="72" w:right="72"/>
    </w:pPr>
    <w:rPr>
      <w:rFonts w:ascii="Arial" w:hAnsi="Arial" w:cs="Arial"/>
      <w:b/>
      <w:bCs/>
      <w:color w:val="FFFFFF"/>
    </w:rPr>
  </w:style>
  <w:style w:type="table" w:customStyle="1" w:styleId="TableGrid3">
    <w:name w:val="Table Grid3"/>
    <w:basedOn w:val="TableNormal"/>
    <w:next w:val="TableGrid"/>
    <w:uiPriority w:val="59"/>
    <w:rsid w:val="00A92422"/>
    <w:pPr>
      <w:spacing w:after="0" w:line="240" w:lineRule="auto"/>
    </w:pPr>
    <w:rPr>
      <w:rFonts w:ascii="Calibri" w:eastAsia="MS Mincho"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A92422"/>
    <w:pPr>
      <w:spacing w:after="0" w:line="240" w:lineRule="auto"/>
    </w:pPr>
    <w:rPr>
      <w:rFonts w:ascii="Calibri" w:eastAsia="MS Mincho"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A92422"/>
    <w:pPr>
      <w:keepNext/>
      <w:keepLines/>
      <w:pBdr>
        <w:bottom w:val="single" w:sz="8" w:space="1" w:color="404040"/>
      </w:pBdr>
      <w:spacing w:before="240"/>
    </w:pPr>
    <w:rPr>
      <w:rFonts w:ascii="Arial" w:hAnsi="Arial"/>
      <w:sz w:val="28"/>
      <w:szCs w:val="20"/>
      <w:lang w:val="x-none" w:eastAsia="x-none"/>
    </w:rPr>
  </w:style>
  <w:style w:type="character" w:customStyle="1" w:styleId="PURProductNameChar">
    <w:name w:val="PUR Product Name Char"/>
    <w:link w:val="PURProductName"/>
    <w:uiPriority w:val="3"/>
    <w:locked/>
    <w:rsid w:val="00A92422"/>
    <w:rPr>
      <w:rFonts w:ascii="Arial" w:eastAsia="MS Mincho" w:hAnsi="Arial" w:cs="Times New Roman"/>
      <w:sz w:val="28"/>
      <w:szCs w:val="20"/>
      <w:lang w:val="x-none" w:eastAsia="x-none"/>
    </w:rPr>
  </w:style>
  <w:style w:type="character" w:customStyle="1" w:styleId="PURBlueStrong-IndentedChar">
    <w:name w:val="PUR Blue Strong - Indented Char"/>
    <w:link w:val="PURBlueStrong-Indented"/>
    <w:uiPriority w:val="3"/>
    <w:locked/>
    <w:rsid w:val="00A92422"/>
    <w:rPr>
      <w:rFonts w:ascii="Arial" w:hAnsi="Arial"/>
      <w:smallCaps/>
      <w:color w:val="1F497D"/>
      <w:spacing w:val="-4"/>
    </w:rPr>
  </w:style>
  <w:style w:type="paragraph" w:customStyle="1" w:styleId="PURBlueStrong-Indented">
    <w:name w:val="PUR Blue Strong - Indented"/>
    <w:basedOn w:val="Normal"/>
    <w:link w:val="PURBlueStrong-IndentedChar"/>
    <w:uiPriority w:val="3"/>
    <w:rsid w:val="00A92422"/>
    <w:pPr>
      <w:keepNext/>
      <w:spacing w:after="60" w:line="240" w:lineRule="exact"/>
      <w:ind w:left="270"/>
    </w:pPr>
    <w:rPr>
      <w:rFonts w:ascii="Arial" w:eastAsiaTheme="minorHAnsi" w:hAnsi="Arial" w:cstheme="minorBidi"/>
      <w:smallCaps/>
      <w:color w:val="1F497D"/>
      <w:spacing w:val="-4"/>
      <w:sz w:val="22"/>
    </w:rPr>
  </w:style>
  <w:style w:type="paragraph" w:customStyle="1" w:styleId="hangindent195">
    <w:name w:val="hang indent1 9.5"/>
    <w:basedOn w:val="Normal"/>
    <w:rsid w:val="00A92422"/>
    <w:pPr>
      <w:ind w:left="1440" w:hanging="720"/>
      <w:jc w:val="both"/>
    </w:pPr>
    <w:rPr>
      <w:rFonts w:ascii="Arial" w:hAnsi="Arial" w:cs="Arial"/>
      <w:sz w:val="19"/>
      <w:szCs w:val="19"/>
    </w:rPr>
  </w:style>
  <w:style w:type="character" w:customStyle="1" w:styleId="PURBody-IndentedChar">
    <w:name w:val="PUR Body - Indented Char"/>
    <w:link w:val="PURBody-Indented"/>
    <w:uiPriority w:val="3"/>
    <w:locked/>
    <w:rsid w:val="00A92422"/>
  </w:style>
  <w:style w:type="paragraph" w:customStyle="1" w:styleId="PURBody-Indented">
    <w:name w:val="PUR Body - Indented"/>
    <w:basedOn w:val="Normal"/>
    <w:link w:val="PURBody-IndentedChar"/>
    <w:uiPriority w:val="3"/>
    <w:rsid w:val="00A92422"/>
    <w:pPr>
      <w:spacing w:after="120"/>
      <w:ind w:left="270"/>
    </w:pPr>
    <w:rPr>
      <w:rFonts w:asciiTheme="minorHAnsi" w:eastAsiaTheme="minorHAnsi" w:hAnsiTheme="minorHAnsi" w:cstheme="minorBidi"/>
      <w:sz w:val="22"/>
    </w:rPr>
  </w:style>
  <w:style w:type="character" w:customStyle="1" w:styleId="PURBullet-IndentedChar">
    <w:name w:val="PUR Bullet- Indented Char"/>
    <w:link w:val="PURBullet-Indented"/>
    <w:uiPriority w:val="3"/>
    <w:locked/>
    <w:rsid w:val="00A92422"/>
  </w:style>
  <w:style w:type="paragraph" w:customStyle="1" w:styleId="PURBullet-Indented">
    <w:name w:val="PUR Bullet- Indented"/>
    <w:basedOn w:val="Normal"/>
    <w:link w:val="PURBullet-IndentedChar"/>
    <w:uiPriority w:val="3"/>
    <w:rsid w:val="00A92422"/>
    <w:pPr>
      <w:spacing w:after="120" w:line="240" w:lineRule="exact"/>
      <w:ind w:left="540" w:hanging="360"/>
      <w:contextualSpacing/>
    </w:pPr>
    <w:rPr>
      <w:rFonts w:asciiTheme="minorHAnsi" w:eastAsiaTheme="minorHAnsi" w:hAnsiTheme="minorHAnsi" w:cstheme="minorBidi"/>
      <w:sz w:val="22"/>
    </w:rPr>
  </w:style>
  <w:style w:type="character" w:customStyle="1" w:styleId="LogoportMarkup">
    <w:name w:val="LogoportMarkup"/>
    <w:rsid w:val="00A92422"/>
    <w:rPr>
      <w:rFonts w:ascii="Courier New" w:hAnsi="Courier New"/>
      <w:color w:val="FF0000"/>
      <w:sz w:val="76"/>
      <w:lang w:val="en-US" w:eastAsia="en-US"/>
    </w:rPr>
  </w:style>
  <w:style w:type="character" w:customStyle="1" w:styleId="LogoportDoNotTranslate">
    <w:name w:val="LogoportDoNotTranslate"/>
    <w:rsid w:val="00A92422"/>
    <w:rPr>
      <w:rFonts w:ascii="Courier New" w:hAnsi="Courier New"/>
      <w:color w:val="808080"/>
      <w:sz w:val="76"/>
      <w:lang w:val="en-US" w:eastAsia="en-US"/>
    </w:rPr>
  </w:style>
  <w:style w:type="character" w:customStyle="1" w:styleId="BodyChar2">
    <w:name w:val="Body Char2"/>
    <w:rsid w:val="00A92422"/>
    <w:rPr>
      <w:rFonts w:ascii="Trebuchet MS" w:hAnsi="Trebuchet MS"/>
    </w:rPr>
  </w:style>
  <w:style w:type="character" w:customStyle="1" w:styleId="LogoportPopup">
    <w:name w:val="LogoportPopup"/>
    <w:uiPriority w:val="99"/>
    <w:rsid w:val="00A92422"/>
    <w:rPr>
      <w:rFonts w:ascii="Courier New" w:hAnsi="Courier New"/>
      <w:noProof/>
      <w:vanish/>
      <w:color w:val="008000"/>
    </w:rPr>
  </w:style>
  <w:style w:type="character" w:customStyle="1" w:styleId="Titolo3Carattere1">
    <w:name w:val="Titolo 3 Carattere1"/>
    <w:uiPriority w:val="9"/>
    <w:semiHidden/>
    <w:rsid w:val="00A92422"/>
    <w:rPr>
      <w:rFonts w:ascii="Cambria" w:hAnsi="Cambria"/>
      <w:b/>
      <w:color w:val="4F81BD"/>
      <w:sz w:val="24"/>
      <w:lang w:val="de-DE" w:eastAsia="x-none"/>
    </w:rPr>
  </w:style>
  <w:style w:type="character" w:customStyle="1" w:styleId="EndnoteTextChar1">
    <w:name w:val="Endnote Text Char1"/>
    <w:uiPriority w:val="99"/>
    <w:locked/>
    <w:rsid w:val="00A92422"/>
    <w:rPr>
      <w:rFonts w:ascii="Trebuchet MS" w:eastAsia="MS Mincho" w:hAnsi="Trebuchet MS" w:cs="Times New Roman"/>
      <w:sz w:val="20"/>
      <w:szCs w:val="24"/>
    </w:rPr>
  </w:style>
  <w:style w:type="paragraph" w:customStyle="1" w:styleId="Style1">
    <w:name w:val="Style1"/>
    <w:basedOn w:val="Heading1"/>
    <w:link w:val="Style1Char"/>
    <w:qFormat/>
    <w:rsid w:val="00A92422"/>
  </w:style>
  <w:style w:type="character" w:customStyle="1" w:styleId="Style1Char">
    <w:name w:val="Style1 Char"/>
    <w:basedOn w:val="Heading1Char"/>
    <w:link w:val="Style1"/>
    <w:rsid w:val="00A92422"/>
    <w:rPr>
      <w:rFonts w:ascii="Tahoma" w:eastAsia="MS Mincho" w:hAnsi="Tahoma" w:cs="Times New Roman"/>
      <w:b/>
      <w:bCs/>
      <w:caps/>
      <w:color w:val="000000"/>
      <w:sz w:val="36"/>
      <w:szCs w:val="36"/>
      <w:lang w:val="it-IT"/>
    </w:rPr>
  </w:style>
  <w:style w:type="paragraph" w:customStyle="1" w:styleId="Style2">
    <w:name w:val="Style2"/>
    <w:basedOn w:val="Heading1"/>
    <w:link w:val="Style2Char"/>
    <w:qFormat/>
    <w:rsid w:val="00A92422"/>
  </w:style>
  <w:style w:type="character" w:customStyle="1" w:styleId="Style2Char">
    <w:name w:val="Style2 Char"/>
    <w:basedOn w:val="Heading1Char"/>
    <w:link w:val="Style2"/>
    <w:rsid w:val="00A92422"/>
    <w:rPr>
      <w:rFonts w:ascii="Tahoma" w:eastAsia="MS Mincho" w:hAnsi="Tahoma" w:cs="Times New Roman"/>
      <w:b/>
      <w:bCs/>
      <w:caps/>
      <w:color w:val="000000"/>
      <w:sz w:val="36"/>
      <w:szCs w:val="36"/>
      <w:lang w:val="it-IT"/>
    </w:rPr>
  </w:style>
  <w:style w:type="paragraph" w:customStyle="1" w:styleId="Style3">
    <w:name w:val="Style3"/>
    <w:basedOn w:val="Heading1"/>
    <w:link w:val="Style3Char"/>
    <w:qFormat/>
    <w:rsid w:val="00A92422"/>
  </w:style>
  <w:style w:type="character" w:customStyle="1" w:styleId="Style3Char">
    <w:name w:val="Style3 Char"/>
    <w:basedOn w:val="Heading1Char"/>
    <w:link w:val="Style3"/>
    <w:rsid w:val="00A92422"/>
    <w:rPr>
      <w:rFonts w:ascii="Tahoma" w:eastAsia="MS Mincho" w:hAnsi="Tahoma" w:cs="Times New Roman"/>
      <w:b/>
      <w:bCs/>
      <w:caps/>
      <w:color w:val="000000"/>
      <w:sz w:val="36"/>
      <w:szCs w:val="36"/>
      <w:lang w:val="it-IT"/>
    </w:rPr>
  </w:style>
  <w:style w:type="character" w:customStyle="1" w:styleId="FootnoteTextChar1">
    <w:name w:val="Footnote Text Char1"/>
    <w:uiPriority w:val="99"/>
    <w:semiHidden/>
    <w:rsid w:val="00A92422"/>
    <w:rPr>
      <w:rFonts w:ascii="Calibri" w:eastAsia="MS Mincho" w:hAnsi="Calibri" w:cs="Times New Roman"/>
      <w:sz w:val="20"/>
      <w:szCs w:val="20"/>
    </w:rPr>
  </w:style>
  <w:style w:type="character" w:customStyle="1" w:styleId="CommentTextChar1">
    <w:name w:val="Comment Text Char1"/>
    <w:uiPriority w:val="99"/>
    <w:semiHidden/>
    <w:rsid w:val="00A92422"/>
    <w:rPr>
      <w:rFonts w:ascii="Calibri" w:eastAsia="MS Mincho" w:hAnsi="Calibri" w:cs="Times New Roman"/>
      <w:sz w:val="20"/>
      <w:szCs w:val="20"/>
    </w:rPr>
  </w:style>
  <w:style w:type="character" w:customStyle="1" w:styleId="CommentSubjectChar1">
    <w:name w:val="Comment Subject Char1"/>
    <w:uiPriority w:val="99"/>
    <w:semiHidden/>
    <w:rsid w:val="00A92422"/>
    <w:rPr>
      <w:rFonts w:ascii="Calibri" w:eastAsia="MS Mincho" w:hAnsi="Calibri" w:cs="Times New Roman"/>
      <w:b/>
      <w:bCs/>
      <w:sz w:val="20"/>
      <w:szCs w:val="20"/>
    </w:rPr>
  </w:style>
  <w:style w:type="character" w:customStyle="1" w:styleId="BodyTextChar1">
    <w:name w:val="Body Text Char1"/>
    <w:uiPriority w:val="99"/>
    <w:locked/>
    <w:rsid w:val="00A92422"/>
    <w:rPr>
      <w:rFonts w:ascii="Verdana" w:eastAsia="MS Mincho" w:hAnsi="Verdana" w:cs="Times New Roman"/>
      <w:color w:val="000000"/>
    </w:rPr>
  </w:style>
  <w:style w:type="paragraph" w:customStyle="1" w:styleId="Style4">
    <w:name w:val="Style4"/>
    <w:basedOn w:val="Heading1"/>
    <w:link w:val="Style4Char"/>
    <w:qFormat/>
    <w:rsid w:val="00A92422"/>
  </w:style>
  <w:style w:type="character" w:customStyle="1" w:styleId="Style4Char">
    <w:name w:val="Style4 Char"/>
    <w:basedOn w:val="Heading1Char"/>
    <w:link w:val="Style4"/>
    <w:rsid w:val="00A92422"/>
    <w:rPr>
      <w:rFonts w:ascii="Tahoma" w:eastAsia="MS Mincho" w:hAnsi="Tahoma" w:cs="Times New Roman"/>
      <w:b/>
      <w:bCs/>
      <w:caps/>
      <w:color w:val="000000"/>
      <w:sz w:val="36"/>
      <w:szCs w:val="36"/>
      <w:lang w:val="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0" w:unhideWhenUsed="0" w:qFormat="1"/>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2422"/>
    <w:pPr>
      <w:spacing w:after="0" w:line="240" w:lineRule="auto"/>
    </w:pPr>
    <w:rPr>
      <w:rFonts w:ascii="Tahoma" w:eastAsia="MS Mincho" w:hAnsi="Tahoma" w:cs="Times New Roman"/>
      <w:sz w:val="18"/>
    </w:rPr>
  </w:style>
  <w:style w:type="paragraph" w:styleId="Heading1">
    <w:name w:val="heading 1"/>
    <w:basedOn w:val="Normal"/>
    <w:next w:val="Normal"/>
    <w:link w:val="Heading1Char"/>
    <w:uiPriority w:val="9"/>
    <w:qFormat/>
    <w:rsid w:val="00A92422"/>
    <w:pPr>
      <w:keepNext/>
      <w:spacing w:after="120"/>
      <w:outlineLvl w:val="0"/>
    </w:pPr>
    <w:rPr>
      <w:b/>
      <w:bCs/>
      <w:caps/>
      <w:color w:val="000000"/>
      <w:sz w:val="36"/>
      <w:szCs w:val="36"/>
      <w:lang w:val="it-IT"/>
    </w:rPr>
  </w:style>
  <w:style w:type="paragraph" w:styleId="Heading2">
    <w:name w:val="heading 2"/>
    <w:basedOn w:val="Normal"/>
    <w:next w:val="Normal"/>
    <w:link w:val="Heading2Char"/>
    <w:uiPriority w:val="9"/>
    <w:qFormat/>
    <w:rsid w:val="00A92422"/>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A92422"/>
    <w:pPr>
      <w:ind w:left="0"/>
      <w:outlineLvl w:val="2"/>
    </w:pPr>
    <w:rPr>
      <w:sz w:val="20"/>
      <w:szCs w:val="20"/>
    </w:rPr>
  </w:style>
  <w:style w:type="paragraph" w:styleId="Heading4">
    <w:name w:val="heading 4"/>
    <w:basedOn w:val="Normal"/>
    <w:next w:val="Normal"/>
    <w:link w:val="Heading4Char"/>
    <w:uiPriority w:val="9"/>
    <w:qFormat/>
    <w:rsid w:val="00A92422"/>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A92422"/>
    <w:pPr>
      <w:outlineLvl w:val="4"/>
    </w:pPr>
    <w:rPr>
      <w:u w:val="single"/>
    </w:rPr>
  </w:style>
  <w:style w:type="paragraph" w:styleId="Heading6">
    <w:name w:val="heading 6"/>
    <w:basedOn w:val="Body"/>
    <w:next w:val="Normal"/>
    <w:link w:val="Heading6Char"/>
    <w:uiPriority w:val="9"/>
    <w:qFormat/>
    <w:rsid w:val="00A92422"/>
    <w:pPr>
      <w:spacing w:after="120"/>
      <w:ind w:left="0"/>
      <w:outlineLvl w:val="5"/>
    </w:pPr>
    <w:rPr>
      <w:b/>
      <w:color w:val="FF6600"/>
      <w:szCs w:val="20"/>
    </w:rPr>
  </w:style>
  <w:style w:type="paragraph" w:styleId="Heading7">
    <w:name w:val="heading 7"/>
    <w:basedOn w:val="Heading3"/>
    <w:next w:val="Normal"/>
    <w:link w:val="Heading7Char"/>
    <w:uiPriority w:val="9"/>
    <w:qFormat/>
    <w:rsid w:val="00A92422"/>
    <w:pPr>
      <w:outlineLvl w:val="6"/>
    </w:pPr>
  </w:style>
  <w:style w:type="paragraph" w:styleId="Heading8">
    <w:name w:val="heading 8"/>
    <w:basedOn w:val="Normal"/>
    <w:next w:val="Normal"/>
    <w:link w:val="Heading8Char"/>
    <w:uiPriority w:val="9"/>
    <w:qFormat/>
    <w:rsid w:val="00A92422"/>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A92422"/>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92422"/>
    <w:rPr>
      <w:rFonts w:ascii="Tahoma" w:eastAsia="MS Mincho" w:hAnsi="Tahoma" w:cs="Times New Roman"/>
      <w:b/>
      <w:bCs/>
      <w:caps/>
      <w:color w:val="000000"/>
      <w:sz w:val="36"/>
      <w:szCs w:val="36"/>
      <w:lang w:val="it-IT"/>
    </w:rPr>
  </w:style>
  <w:style w:type="character" w:customStyle="1" w:styleId="Heading2Char">
    <w:name w:val="Heading 2 Char"/>
    <w:basedOn w:val="DefaultParagraphFont"/>
    <w:link w:val="Heading2"/>
    <w:uiPriority w:val="9"/>
    <w:rsid w:val="00A92422"/>
    <w:rPr>
      <w:rFonts w:ascii="Trebuchet MS" w:eastAsia="MS Mincho" w:hAnsi="Trebuchet MS" w:cs="Times New Roman"/>
      <w:b/>
      <w:sz w:val="24"/>
      <w:szCs w:val="24"/>
    </w:rPr>
  </w:style>
  <w:style w:type="character" w:customStyle="1" w:styleId="Heading3Char">
    <w:name w:val="Heading 3 Char"/>
    <w:basedOn w:val="DefaultParagraphFont"/>
    <w:link w:val="Heading3"/>
    <w:uiPriority w:val="9"/>
    <w:rsid w:val="00A92422"/>
    <w:rPr>
      <w:rFonts w:ascii="Trebuchet MS" w:eastAsia="MS Mincho" w:hAnsi="Trebuchet MS" w:cs="Times New Roman"/>
      <w:b/>
      <w:sz w:val="20"/>
      <w:szCs w:val="20"/>
    </w:rPr>
  </w:style>
  <w:style w:type="character" w:customStyle="1" w:styleId="Heading4Char">
    <w:name w:val="Heading 4 Char"/>
    <w:basedOn w:val="DefaultParagraphFont"/>
    <w:link w:val="Heading4"/>
    <w:uiPriority w:val="9"/>
    <w:rsid w:val="00A92422"/>
    <w:rPr>
      <w:rFonts w:ascii="Trebuchet MS" w:eastAsia="MS Mincho" w:hAnsi="Trebuchet MS" w:cs="Times New Roman"/>
      <w:b/>
      <w:sz w:val="20"/>
      <w:szCs w:val="20"/>
    </w:rPr>
  </w:style>
  <w:style w:type="character" w:customStyle="1" w:styleId="Heading5Char">
    <w:name w:val="Heading 5 Char"/>
    <w:basedOn w:val="DefaultParagraphFont"/>
    <w:link w:val="Heading5"/>
    <w:uiPriority w:val="9"/>
    <w:rsid w:val="00A92422"/>
    <w:rPr>
      <w:rFonts w:ascii="Trebuchet MS" w:eastAsia="MS Mincho" w:hAnsi="Trebuchet MS" w:cs="Times New Roman"/>
      <w:sz w:val="20"/>
      <w:szCs w:val="20"/>
      <w:u w:val="single"/>
    </w:rPr>
  </w:style>
  <w:style w:type="character" w:customStyle="1" w:styleId="Heading6Char">
    <w:name w:val="Heading 6 Char"/>
    <w:basedOn w:val="DefaultParagraphFont"/>
    <w:link w:val="Heading6"/>
    <w:uiPriority w:val="9"/>
    <w:rsid w:val="00A92422"/>
    <w:rPr>
      <w:rFonts w:ascii="Trebuchet MS" w:eastAsia="MS Mincho" w:hAnsi="Trebuchet MS" w:cs="Times New Roman"/>
      <w:b/>
      <w:color w:val="FF6600"/>
      <w:sz w:val="20"/>
      <w:szCs w:val="20"/>
    </w:rPr>
  </w:style>
  <w:style w:type="character" w:customStyle="1" w:styleId="Heading7Char">
    <w:name w:val="Heading 7 Char"/>
    <w:basedOn w:val="DefaultParagraphFont"/>
    <w:link w:val="Heading7"/>
    <w:uiPriority w:val="9"/>
    <w:rsid w:val="00A92422"/>
    <w:rPr>
      <w:rFonts w:ascii="Trebuchet MS" w:eastAsia="MS Mincho" w:hAnsi="Trebuchet MS" w:cs="Times New Roman"/>
      <w:b/>
      <w:sz w:val="20"/>
      <w:szCs w:val="20"/>
    </w:rPr>
  </w:style>
  <w:style w:type="character" w:customStyle="1" w:styleId="Heading8Char">
    <w:name w:val="Heading 8 Char"/>
    <w:basedOn w:val="DefaultParagraphFont"/>
    <w:link w:val="Heading8"/>
    <w:uiPriority w:val="9"/>
    <w:rsid w:val="00A92422"/>
    <w:rPr>
      <w:rFonts w:ascii="Times New Roman" w:eastAsia="MS Mincho" w:hAnsi="Times New Roman" w:cs="Times New Roman"/>
      <w:i/>
      <w:iCs/>
      <w:sz w:val="24"/>
      <w:szCs w:val="24"/>
    </w:rPr>
  </w:style>
  <w:style w:type="character" w:customStyle="1" w:styleId="Heading9Char">
    <w:name w:val="Heading 9 Char"/>
    <w:basedOn w:val="DefaultParagraphFont"/>
    <w:link w:val="Heading9"/>
    <w:uiPriority w:val="9"/>
    <w:rsid w:val="00A92422"/>
    <w:rPr>
      <w:rFonts w:ascii="Arial" w:eastAsia="MS Mincho" w:hAnsi="Arial" w:cs="Times New Roman"/>
      <w:sz w:val="20"/>
      <w:szCs w:val="20"/>
    </w:rPr>
  </w:style>
  <w:style w:type="paragraph" w:customStyle="1" w:styleId="AppendixIndent">
    <w:name w:val="Appendix Indent"/>
    <w:basedOn w:val="Normal"/>
    <w:rsid w:val="00A92422"/>
    <w:pPr>
      <w:spacing w:before="60"/>
      <w:ind w:left="360"/>
    </w:pPr>
    <w:rPr>
      <w:rFonts w:ascii="Trebuchet MS" w:hAnsi="Trebuchet MS"/>
      <w:sz w:val="20"/>
      <w:szCs w:val="20"/>
    </w:rPr>
  </w:style>
  <w:style w:type="paragraph" w:customStyle="1" w:styleId="Body">
    <w:name w:val="Body"/>
    <w:basedOn w:val="Normal"/>
    <w:rsid w:val="00A92422"/>
    <w:pPr>
      <w:ind w:left="720"/>
    </w:pPr>
    <w:rPr>
      <w:rFonts w:ascii="Trebuchet MS" w:hAnsi="Trebuchet MS"/>
      <w:sz w:val="20"/>
      <w:szCs w:val="24"/>
    </w:rPr>
  </w:style>
  <w:style w:type="character" w:styleId="Hyperlink">
    <w:name w:val="Hyperlink"/>
    <w:uiPriority w:val="99"/>
    <w:unhideWhenUsed/>
    <w:rsid w:val="00A92422"/>
    <w:rPr>
      <w:color w:val="0000FF"/>
      <w:u w:val="single"/>
    </w:rPr>
  </w:style>
  <w:style w:type="character" w:customStyle="1" w:styleId="BodyChar">
    <w:name w:val="Body Char"/>
    <w:rsid w:val="00A92422"/>
    <w:rPr>
      <w:rFonts w:ascii="Trebuchet MS" w:hAnsi="Trebuchet MS"/>
      <w:sz w:val="24"/>
      <w:lang w:val="en-US" w:eastAsia="en-US"/>
    </w:rPr>
  </w:style>
  <w:style w:type="paragraph" w:customStyle="1" w:styleId="Char">
    <w:name w:val="Char"/>
    <w:basedOn w:val="Normal"/>
    <w:rsid w:val="00A92422"/>
    <w:pPr>
      <w:spacing w:after="160" w:line="240" w:lineRule="exact"/>
    </w:pPr>
    <w:rPr>
      <w:sz w:val="20"/>
      <w:szCs w:val="20"/>
    </w:rPr>
  </w:style>
  <w:style w:type="paragraph" w:customStyle="1" w:styleId="ProductNames">
    <w:name w:val="Product Names"/>
    <w:basedOn w:val="Normal"/>
    <w:rsid w:val="00A92422"/>
    <w:pPr>
      <w:keepLines/>
      <w:spacing w:before="20" w:after="20"/>
    </w:pPr>
    <w:rPr>
      <w:rFonts w:ascii="Trebuchet MS" w:hAnsi="Trebuchet MS" w:cs="Arial"/>
      <w:position w:val="-11"/>
      <w:sz w:val="16"/>
      <w:szCs w:val="16"/>
    </w:rPr>
  </w:style>
  <w:style w:type="character" w:customStyle="1" w:styleId="ProductNamesChar">
    <w:name w:val="Product Names Char"/>
    <w:rsid w:val="00A92422"/>
    <w:rPr>
      <w:rFonts w:ascii="Trebuchet MS" w:hAnsi="Trebuchet MS"/>
      <w:position w:val="-11"/>
      <w:sz w:val="16"/>
    </w:rPr>
  </w:style>
  <w:style w:type="paragraph" w:customStyle="1" w:styleId="ChartKeyHeadings">
    <w:name w:val="ChartKey Headings"/>
    <w:basedOn w:val="Normal"/>
    <w:rsid w:val="00A92422"/>
    <w:pPr>
      <w:ind w:left="720"/>
    </w:pPr>
    <w:rPr>
      <w:rFonts w:ascii="Trebuchet MS" w:hAnsi="Trebuchet MS" w:cs="Arial"/>
      <w:b/>
      <w:sz w:val="24"/>
      <w:szCs w:val="20"/>
    </w:rPr>
  </w:style>
  <w:style w:type="character" w:styleId="FollowedHyperlink">
    <w:name w:val="FollowedHyperlink"/>
    <w:uiPriority w:val="99"/>
    <w:rsid w:val="00A92422"/>
    <w:rPr>
      <w:color w:val="800080"/>
      <w:u w:val="single"/>
    </w:rPr>
  </w:style>
  <w:style w:type="paragraph" w:styleId="Header">
    <w:name w:val="header"/>
    <w:basedOn w:val="Normal"/>
    <w:link w:val="HeaderChar"/>
    <w:uiPriority w:val="99"/>
    <w:rsid w:val="00A92422"/>
    <w:pPr>
      <w:tabs>
        <w:tab w:val="left" w:pos="3240"/>
      </w:tabs>
      <w:spacing w:before="400"/>
      <w:ind w:right="-187"/>
      <w:jc w:val="center"/>
    </w:pPr>
    <w:rPr>
      <w:rFonts w:ascii="Trebuchet MS" w:hAnsi="Trebuchet MS"/>
      <w:sz w:val="15"/>
      <w:szCs w:val="15"/>
    </w:rPr>
  </w:style>
  <w:style w:type="character" w:customStyle="1" w:styleId="HeaderChar">
    <w:name w:val="Header Char"/>
    <w:basedOn w:val="DefaultParagraphFont"/>
    <w:link w:val="Header"/>
    <w:uiPriority w:val="99"/>
    <w:rsid w:val="00A92422"/>
    <w:rPr>
      <w:rFonts w:ascii="Trebuchet MS" w:eastAsia="MS Mincho" w:hAnsi="Trebuchet MS" w:cs="Times New Roman"/>
      <w:sz w:val="15"/>
      <w:szCs w:val="15"/>
    </w:rPr>
  </w:style>
  <w:style w:type="paragraph" w:styleId="Footer">
    <w:name w:val="footer"/>
    <w:basedOn w:val="Normal"/>
    <w:link w:val="FooterChar"/>
    <w:uiPriority w:val="99"/>
    <w:rsid w:val="00A92422"/>
    <w:pPr>
      <w:tabs>
        <w:tab w:val="center" w:pos="5155"/>
        <w:tab w:val="right" w:pos="10325"/>
      </w:tabs>
      <w:spacing w:line="210" w:lineRule="exact"/>
    </w:pPr>
    <w:rPr>
      <w:rFonts w:ascii="Arial Narrow" w:hAnsi="Arial Narrow"/>
      <w:szCs w:val="20"/>
    </w:rPr>
  </w:style>
  <w:style w:type="character" w:customStyle="1" w:styleId="FooterChar">
    <w:name w:val="Footer Char"/>
    <w:basedOn w:val="DefaultParagraphFont"/>
    <w:link w:val="Footer"/>
    <w:uiPriority w:val="99"/>
    <w:rsid w:val="00A92422"/>
    <w:rPr>
      <w:rFonts w:ascii="Arial Narrow" w:eastAsia="MS Mincho" w:hAnsi="Arial Narrow" w:cs="Times New Roman"/>
      <w:sz w:val="18"/>
      <w:szCs w:val="20"/>
    </w:rPr>
  </w:style>
  <w:style w:type="paragraph" w:customStyle="1" w:styleId="PublishDate">
    <w:name w:val="Publish Date"/>
    <w:basedOn w:val="Normal"/>
    <w:rsid w:val="00A92422"/>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A92422"/>
    <w:rPr>
      <w:rFonts w:ascii="Trebuchet MS" w:hAnsi="Trebuchet MS"/>
      <w:b/>
      <w:color w:val="FF6600"/>
      <w:sz w:val="24"/>
    </w:rPr>
  </w:style>
  <w:style w:type="paragraph" w:customStyle="1" w:styleId="ProductEndnote">
    <w:name w:val="Product Endnote"/>
    <w:basedOn w:val="Normal"/>
    <w:link w:val="ProductEndnoteChar"/>
    <w:uiPriority w:val="99"/>
    <w:rsid w:val="00A92422"/>
    <w:pPr>
      <w:keepNext/>
      <w:spacing w:after="120"/>
      <w:ind w:left="216" w:hanging="216"/>
    </w:pPr>
    <w:rPr>
      <w:rFonts w:ascii="Trebuchet MS" w:eastAsiaTheme="minorHAnsi" w:hAnsi="Trebuchet MS" w:cstheme="minorBidi"/>
      <w:b/>
      <w:color w:val="FF6600"/>
      <w:sz w:val="24"/>
    </w:rPr>
  </w:style>
  <w:style w:type="paragraph" w:styleId="TOC1">
    <w:name w:val="toc 1"/>
    <w:basedOn w:val="Normal"/>
    <w:next w:val="Normal"/>
    <w:autoRedefine/>
    <w:uiPriority w:val="39"/>
    <w:rsid w:val="00A92422"/>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A92422"/>
    <w:pPr>
      <w:tabs>
        <w:tab w:val="num" w:pos="1080"/>
      </w:tabs>
      <w:ind w:left="720"/>
    </w:pPr>
    <w:rPr>
      <w:rFonts w:ascii="Trebuchet MS" w:hAnsi="Trebuchet MS"/>
      <w:sz w:val="20"/>
      <w:szCs w:val="24"/>
    </w:rPr>
  </w:style>
  <w:style w:type="paragraph" w:customStyle="1" w:styleId="Bodywithspace">
    <w:name w:val="Body with space"/>
    <w:basedOn w:val="Normal"/>
    <w:rsid w:val="00A92422"/>
    <w:pPr>
      <w:spacing w:before="80" w:after="80"/>
      <w:ind w:left="720"/>
    </w:pPr>
    <w:rPr>
      <w:rFonts w:ascii="Trebuchet MS" w:hAnsi="Trebuchet MS" w:cs="Arial"/>
      <w:sz w:val="20"/>
      <w:szCs w:val="20"/>
    </w:rPr>
  </w:style>
  <w:style w:type="paragraph" w:customStyle="1" w:styleId="TableHeadingsGreen">
    <w:name w:val="Table Headings Green"/>
    <w:basedOn w:val="Normal"/>
    <w:rsid w:val="00A92422"/>
    <w:pPr>
      <w:spacing w:before="40"/>
      <w:jc w:val="center"/>
    </w:pPr>
    <w:rPr>
      <w:rFonts w:ascii="Trebuchet MS" w:hAnsi="Trebuchet MS"/>
      <w:b/>
      <w:bCs/>
      <w:color w:val="008000"/>
      <w:sz w:val="11"/>
      <w:szCs w:val="20"/>
    </w:rPr>
  </w:style>
  <w:style w:type="paragraph" w:customStyle="1" w:styleId="NumberedSteps">
    <w:name w:val="Numbered Steps"/>
    <w:basedOn w:val="Body"/>
    <w:rsid w:val="00A92422"/>
    <w:pPr>
      <w:spacing w:before="200" w:after="200"/>
    </w:pPr>
    <w:rPr>
      <w:bCs/>
    </w:rPr>
  </w:style>
  <w:style w:type="paragraph" w:styleId="EndnoteText">
    <w:name w:val="endnote text"/>
    <w:basedOn w:val="Normal"/>
    <w:link w:val="EndnoteTextChar"/>
    <w:uiPriority w:val="99"/>
    <w:rsid w:val="00A92422"/>
    <w:pPr>
      <w:ind w:left="900"/>
    </w:pPr>
    <w:rPr>
      <w:rFonts w:ascii="Trebuchet MS" w:hAnsi="Trebuchet MS"/>
      <w:sz w:val="24"/>
      <w:szCs w:val="20"/>
      <w:lang w:val="x-none" w:eastAsia="x-none"/>
    </w:rPr>
  </w:style>
  <w:style w:type="character" w:customStyle="1" w:styleId="EndnoteTextChar">
    <w:name w:val="Endnote Text Char"/>
    <w:basedOn w:val="DefaultParagraphFont"/>
    <w:link w:val="EndnoteText"/>
    <w:uiPriority w:val="99"/>
    <w:rsid w:val="00A92422"/>
    <w:rPr>
      <w:rFonts w:ascii="Trebuchet MS" w:eastAsia="MS Mincho" w:hAnsi="Trebuchet MS" w:cs="Times New Roman"/>
      <w:sz w:val="24"/>
      <w:szCs w:val="20"/>
      <w:lang w:val="x-none" w:eastAsia="x-none"/>
    </w:rPr>
  </w:style>
  <w:style w:type="character" w:styleId="EndnoteReference">
    <w:name w:val="endnote reference"/>
    <w:uiPriority w:val="99"/>
    <w:semiHidden/>
    <w:rsid w:val="00A92422"/>
    <w:rPr>
      <w:rFonts w:ascii="Trebuchet MS" w:hAnsi="Trebuchet MS"/>
      <w:b/>
      <w:color w:val="FF0000"/>
      <w:sz w:val="18"/>
      <w:vertAlign w:val="superscript"/>
    </w:rPr>
  </w:style>
  <w:style w:type="paragraph" w:customStyle="1" w:styleId="TableVerticalText">
    <w:name w:val="Table Vertical Text"/>
    <w:basedOn w:val="Normal"/>
    <w:rsid w:val="00A92422"/>
    <w:pPr>
      <w:ind w:left="115" w:right="115"/>
      <w:jc w:val="center"/>
    </w:pPr>
    <w:rPr>
      <w:rFonts w:ascii="Trebuchet MS" w:hAnsi="Trebuchet MS"/>
      <w:sz w:val="11"/>
      <w:szCs w:val="20"/>
    </w:rPr>
  </w:style>
  <w:style w:type="paragraph" w:customStyle="1" w:styleId="TableHeadingsBlack">
    <w:name w:val="Table Headings Black"/>
    <w:basedOn w:val="Normal"/>
    <w:rsid w:val="00A92422"/>
    <w:pPr>
      <w:spacing w:before="40"/>
      <w:jc w:val="center"/>
    </w:pPr>
    <w:rPr>
      <w:rFonts w:ascii="Trebuchet MS" w:hAnsi="Trebuchet MS"/>
      <w:sz w:val="11"/>
      <w:szCs w:val="20"/>
    </w:rPr>
  </w:style>
  <w:style w:type="paragraph" w:customStyle="1" w:styleId="TableHeadingsBlue">
    <w:name w:val="Table Headings Blue"/>
    <w:basedOn w:val="Normal"/>
    <w:rsid w:val="00A92422"/>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A92422"/>
    <w:pPr>
      <w:spacing w:before="40"/>
      <w:jc w:val="center"/>
    </w:pPr>
    <w:rPr>
      <w:rFonts w:ascii="Trebuchet MS" w:hAnsi="Trebuchet MS"/>
      <w:b/>
      <w:bCs/>
      <w:color w:val="FF0000"/>
      <w:sz w:val="11"/>
      <w:szCs w:val="20"/>
    </w:rPr>
  </w:style>
  <w:style w:type="paragraph" w:customStyle="1" w:styleId="TableText">
    <w:name w:val="Table Text"/>
    <w:basedOn w:val="Heading3"/>
    <w:rsid w:val="00A92422"/>
    <w:pPr>
      <w:jc w:val="center"/>
      <w:outlineLvl w:val="9"/>
    </w:pPr>
    <w:rPr>
      <w:b w:val="0"/>
      <w:sz w:val="15"/>
      <w:szCs w:val="15"/>
    </w:rPr>
  </w:style>
  <w:style w:type="paragraph" w:customStyle="1" w:styleId="AppendixTableHeadings">
    <w:name w:val="Appendix Table Headings"/>
    <w:basedOn w:val="AppendixTableText"/>
    <w:rsid w:val="00A92422"/>
    <w:rPr>
      <w:b/>
      <w:bCs/>
    </w:rPr>
  </w:style>
  <w:style w:type="paragraph" w:customStyle="1" w:styleId="AppendixTableText">
    <w:name w:val="Appendix Table Text"/>
    <w:basedOn w:val="Normal"/>
    <w:rsid w:val="00A92422"/>
    <w:pPr>
      <w:spacing w:line="240" w:lineRule="atLeast"/>
      <w:jc w:val="center"/>
    </w:pPr>
    <w:rPr>
      <w:rFonts w:ascii="Trebuchet MS" w:hAnsi="Trebuchet MS" w:cs="Arial"/>
      <w:szCs w:val="18"/>
    </w:rPr>
  </w:style>
  <w:style w:type="paragraph" w:styleId="TOC2">
    <w:name w:val="toc 2"/>
    <w:basedOn w:val="Normal"/>
    <w:next w:val="Normal"/>
    <w:uiPriority w:val="39"/>
    <w:rsid w:val="00A92422"/>
    <w:pPr>
      <w:tabs>
        <w:tab w:val="right" w:leader="dot" w:pos="9360"/>
      </w:tabs>
    </w:pPr>
    <w:rPr>
      <w:noProof/>
      <w:szCs w:val="20"/>
    </w:rPr>
  </w:style>
  <w:style w:type="paragraph" w:customStyle="1" w:styleId="FootnoteBulletLevel2">
    <w:name w:val="Footnote Bullet Level 2"/>
    <w:basedOn w:val="Normal"/>
    <w:rsid w:val="00A92422"/>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A92422"/>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A92422"/>
    <w:pPr>
      <w:spacing w:after="60"/>
    </w:pPr>
    <w:rPr>
      <w:rFonts w:ascii="Trebuchet MS" w:hAnsi="Trebuchet MS" w:cs="Arial"/>
      <w:sz w:val="20"/>
      <w:szCs w:val="20"/>
    </w:rPr>
  </w:style>
  <w:style w:type="character" w:customStyle="1" w:styleId="ProductEndnoteCharChar">
    <w:name w:val="Product Endnote Char Char"/>
    <w:rsid w:val="00A92422"/>
    <w:rPr>
      <w:rFonts w:ascii="Trebuchet MS" w:hAnsi="Trebuchet MS"/>
      <w:b/>
      <w:color w:val="FF6600"/>
      <w:sz w:val="24"/>
    </w:rPr>
  </w:style>
  <w:style w:type="paragraph" w:customStyle="1" w:styleId="FootnoteBulletLevel1">
    <w:name w:val="Footnote Bullet Level 1"/>
    <w:basedOn w:val="Normal"/>
    <w:rsid w:val="00A92422"/>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A92422"/>
    <w:rPr>
      <w:rFonts w:ascii="Trebuchet MS" w:hAnsi="Trebuchet MS"/>
    </w:rPr>
  </w:style>
  <w:style w:type="paragraph" w:styleId="TOC3">
    <w:name w:val="toc 3"/>
    <w:basedOn w:val="Normal"/>
    <w:next w:val="Normal"/>
    <w:uiPriority w:val="39"/>
    <w:rsid w:val="00A92422"/>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A92422"/>
    <w:pPr>
      <w:ind w:left="1260"/>
    </w:pPr>
  </w:style>
  <w:style w:type="paragraph" w:styleId="TOC4">
    <w:name w:val="toc 4"/>
    <w:basedOn w:val="Normal"/>
    <w:next w:val="Normal"/>
    <w:autoRedefine/>
    <w:uiPriority w:val="39"/>
    <w:rsid w:val="00A92422"/>
    <w:pPr>
      <w:tabs>
        <w:tab w:val="right" w:leader="dot" w:pos="9360"/>
      </w:tabs>
    </w:pPr>
    <w:rPr>
      <w:szCs w:val="24"/>
    </w:rPr>
  </w:style>
  <w:style w:type="paragraph" w:styleId="TOC5">
    <w:name w:val="toc 5"/>
    <w:basedOn w:val="Normal"/>
    <w:next w:val="Normal"/>
    <w:autoRedefine/>
    <w:uiPriority w:val="39"/>
    <w:rsid w:val="00A92422"/>
    <w:pPr>
      <w:ind w:left="960"/>
    </w:pPr>
    <w:rPr>
      <w:rFonts w:ascii="Times New Roman" w:hAnsi="Times New Roman"/>
      <w:sz w:val="24"/>
      <w:szCs w:val="24"/>
    </w:rPr>
  </w:style>
  <w:style w:type="paragraph" w:styleId="TOC6">
    <w:name w:val="toc 6"/>
    <w:basedOn w:val="Normal"/>
    <w:next w:val="Normal"/>
    <w:autoRedefine/>
    <w:uiPriority w:val="39"/>
    <w:rsid w:val="00A92422"/>
    <w:pPr>
      <w:ind w:left="1200"/>
    </w:pPr>
    <w:rPr>
      <w:rFonts w:ascii="Times New Roman" w:hAnsi="Times New Roman"/>
      <w:sz w:val="24"/>
      <w:szCs w:val="24"/>
    </w:rPr>
  </w:style>
  <w:style w:type="paragraph" w:styleId="TOC7">
    <w:name w:val="toc 7"/>
    <w:basedOn w:val="Normal"/>
    <w:next w:val="Normal"/>
    <w:autoRedefine/>
    <w:uiPriority w:val="39"/>
    <w:rsid w:val="00A92422"/>
    <w:pPr>
      <w:ind w:left="1440"/>
    </w:pPr>
    <w:rPr>
      <w:rFonts w:ascii="Times New Roman" w:hAnsi="Times New Roman"/>
      <w:sz w:val="24"/>
      <w:szCs w:val="24"/>
    </w:rPr>
  </w:style>
  <w:style w:type="paragraph" w:styleId="TOC8">
    <w:name w:val="toc 8"/>
    <w:basedOn w:val="Normal"/>
    <w:next w:val="Normal"/>
    <w:autoRedefine/>
    <w:uiPriority w:val="39"/>
    <w:rsid w:val="00A92422"/>
    <w:pPr>
      <w:ind w:left="1680"/>
    </w:pPr>
    <w:rPr>
      <w:rFonts w:ascii="Times New Roman" w:hAnsi="Times New Roman"/>
      <w:sz w:val="24"/>
      <w:szCs w:val="24"/>
    </w:rPr>
  </w:style>
  <w:style w:type="paragraph" w:styleId="TOC9">
    <w:name w:val="toc 9"/>
    <w:basedOn w:val="Normal"/>
    <w:next w:val="Normal"/>
    <w:autoRedefine/>
    <w:uiPriority w:val="39"/>
    <w:rsid w:val="00A92422"/>
    <w:pPr>
      <w:ind w:left="1920"/>
    </w:pPr>
    <w:rPr>
      <w:rFonts w:ascii="Times New Roman" w:hAnsi="Times New Roman"/>
      <w:sz w:val="24"/>
      <w:szCs w:val="24"/>
    </w:rPr>
  </w:style>
  <w:style w:type="paragraph" w:customStyle="1" w:styleId="AppendixBulletIndent">
    <w:name w:val="Appendix Bullet Indent"/>
    <w:basedOn w:val="AppendixFlushBulletedList"/>
    <w:rsid w:val="00A92422"/>
    <w:pPr>
      <w:tabs>
        <w:tab w:val="clear" w:pos="360"/>
        <w:tab w:val="num" w:pos="720"/>
      </w:tabs>
      <w:ind w:left="720"/>
    </w:pPr>
  </w:style>
  <w:style w:type="paragraph" w:customStyle="1" w:styleId="AppendixFlushBulletedList">
    <w:name w:val="Appendix Flush Bulleted List"/>
    <w:basedOn w:val="Normal"/>
    <w:rsid w:val="00A92422"/>
    <w:pPr>
      <w:tabs>
        <w:tab w:val="num" w:pos="360"/>
      </w:tabs>
      <w:ind w:left="360" w:hanging="360"/>
    </w:pPr>
    <w:rPr>
      <w:rFonts w:ascii="Trebuchet MS" w:hAnsi="Trebuchet MS" w:cs="Arial"/>
      <w:sz w:val="20"/>
      <w:szCs w:val="20"/>
    </w:rPr>
  </w:style>
  <w:style w:type="paragraph" w:customStyle="1" w:styleId="ProductPool">
    <w:name w:val="Product Pool"/>
    <w:basedOn w:val="Heading3"/>
    <w:rsid w:val="00A92422"/>
  </w:style>
  <w:style w:type="paragraph" w:customStyle="1" w:styleId="AppendixTabbedList">
    <w:name w:val="Appendix Tabbed List"/>
    <w:basedOn w:val="AppendixBodyText"/>
    <w:rsid w:val="00A92422"/>
    <w:pPr>
      <w:tabs>
        <w:tab w:val="left" w:pos="2520"/>
      </w:tabs>
    </w:pPr>
  </w:style>
  <w:style w:type="paragraph" w:customStyle="1" w:styleId="ProductNote">
    <w:name w:val="Product Note"/>
    <w:basedOn w:val="ProductNames"/>
    <w:rsid w:val="00A92422"/>
    <w:pPr>
      <w:spacing w:before="0" w:after="0"/>
    </w:pPr>
    <w:rPr>
      <w:sz w:val="12"/>
      <w:szCs w:val="12"/>
    </w:rPr>
  </w:style>
  <w:style w:type="character" w:customStyle="1" w:styleId="ProductNoteCharChar">
    <w:name w:val="Product Note Char Char"/>
    <w:rsid w:val="00A92422"/>
    <w:rPr>
      <w:rFonts w:ascii="Trebuchet MS" w:hAnsi="Trebuchet MS"/>
      <w:position w:val="-11"/>
      <w:sz w:val="12"/>
    </w:rPr>
  </w:style>
  <w:style w:type="paragraph" w:customStyle="1" w:styleId="Bulletedlistflush">
    <w:name w:val="Bulleted list flush"/>
    <w:basedOn w:val="BulletedList"/>
    <w:rsid w:val="00A92422"/>
    <w:pPr>
      <w:tabs>
        <w:tab w:val="clear" w:pos="1080"/>
        <w:tab w:val="num" w:pos="360"/>
      </w:tabs>
      <w:ind w:left="360" w:hanging="360"/>
    </w:pPr>
  </w:style>
  <w:style w:type="paragraph" w:styleId="BalloonText">
    <w:name w:val="Balloon Text"/>
    <w:basedOn w:val="Normal"/>
    <w:link w:val="BalloonTextChar"/>
    <w:uiPriority w:val="99"/>
    <w:semiHidden/>
    <w:rsid w:val="00A92422"/>
    <w:rPr>
      <w:sz w:val="16"/>
      <w:szCs w:val="16"/>
    </w:rPr>
  </w:style>
  <w:style w:type="character" w:customStyle="1" w:styleId="BalloonTextChar">
    <w:name w:val="Balloon Text Char"/>
    <w:basedOn w:val="DefaultParagraphFont"/>
    <w:link w:val="BalloonText"/>
    <w:uiPriority w:val="99"/>
    <w:semiHidden/>
    <w:rsid w:val="00A92422"/>
    <w:rPr>
      <w:rFonts w:ascii="Tahoma" w:eastAsia="MS Mincho" w:hAnsi="Tahoma" w:cs="Times New Roman"/>
      <w:sz w:val="16"/>
      <w:szCs w:val="16"/>
    </w:rPr>
  </w:style>
  <w:style w:type="paragraph" w:customStyle="1" w:styleId="StyleHeading22Left138Firstline0">
    <w:name w:val="Style Heading 2 #2 + Left:  1.38&quot; First line:  0&quot;"/>
    <w:basedOn w:val="Normal"/>
    <w:rsid w:val="00A92422"/>
    <w:pPr>
      <w:ind w:left="1008"/>
      <w:jc w:val="both"/>
    </w:pPr>
    <w:rPr>
      <w:rFonts w:ascii="Arial" w:hAnsi="Arial"/>
      <w:sz w:val="20"/>
      <w:szCs w:val="20"/>
    </w:rPr>
  </w:style>
  <w:style w:type="paragraph" w:customStyle="1" w:styleId="AppendIndent">
    <w:name w:val="Append_Indent"/>
    <w:basedOn w:val="Normal"/>
    <w:rsid w:val="00A92422"/>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A92422"/>
    <w:pPr>
      <w:jc w:val="left"/>
    </w:pPr>
    <w:rPr>
      <w:rFonts w:ascii="Trebuchet MS" w:hAnsi="Trebuchet MS"/>
    </w:rPr>
  </w:style>
  <w:style w:type="paragraph" w:customStyle="1" w:styleId="styleheading22left138firstline00">
    <w:name w:val="styleheading22left138firstline0"/>
    <w:basedOn w:val="Normal"/>
    <w:rsid w:val="00A92422"/>
    <w:pPr>
      <w:ind w:left="1008"/>
      <w:jc w:val="both"/>
    </w:pPr>
    <w:rPr>
      <w:rFonts w:ascii="Arial" w:hAnsi="Arial" w:cs="Arial"/>
      <w:sz w:val="20"/>
      <w:szCs w:val="20"/>
    </w:rPr>
  </w:style>
  <w:style w:type="paragraph" w:customStyle="1" w:styleId="Char1">
    <w:name w:val="Char1"/>
    <w:basedOn w:val="Normal"/>
    <w:rsid w:val="00A92422"/>
    <w:pPr>
      <w:spacing w:after="160" w:line="240" w:lineRule="exact"/>
    </w:pPr>
    <w:rPr>
      <w:sz w:val="20"/>
      <w:szCs w:val="20"/>
    </w:rPr>
  </w:style>
  <w:style w:type="paragraph" w:customStyle="1" w:styleId="StyleHeading22Left025Firstline0">
    <w:name w:val="Style Heading 2 #2 + Left:  0.25&quot; First line:  0&quot;"/>
    <w:basedOn w:val="Normal"/>
    <w:rsid w:val="00A92422"/>
    <w:pPr>
      <w:tabs>
        <w:tab w:val="num" w:pos="720"/>
      </w:tabs>
      <w:ind w:left="720" w:hanging="360"/>
      <w:jc w:val="both"/>
    </w:pPr>
    <w:rPr>
      <w:rFonts w:ascii="Arial" w:hAnsi="Arial"/>
      <w:b/>
      <w:sz w:val="20"/>
      <w:szCs w:val="20"/>
    </w:rPr>
  </w:style>
  <w:style w:type="character" w:styleId="CommentReference">
    <w:name w:val="annotation reference"/>
    <w:uiPriority w:val="99"/>
    <w:rsid w:val="00A92422"/>
    <w:rPr>
      <w:sz w:val="16"/>
    </w:rPr>
  </w:style>
  <w:style w:type="character" w:styleId="PageNumber">
    <w:name w:val="page number"/>
    <w:uiPriority w:val="99"/>
    <w:rsid w:val="00A92422"/>
    <w:rPr>
      <w:rFonts w:cs="Times New Roman"/>
    </w:rPr>
  </w:style>
  <w:style w:type="paragraph" w:styleId="ListBullet3">
    <w:name w:val="List Bullet 3"/>
    <w:basedOn w:val="Normal"/>
    <w:uiPriority w:val="99"/>
    <w:rsid w:val="00A92422"/>
    <w:pPr>
      <w:tabs>
        <w:tab w:val="num" w:pos="1080"/>
      </w:tabs>
      <w:ind w:left="1080" w:hanging="360"/>
    </w:pPr>
    <w:rPr>
      <w:rFonts w:ascii="Arial" w:hAnsi="Arial" w:cs="Arial"/>
      <w:sz w:val="20"/>
      <w:szCs w:val="20"/>
    </w:rPr>
  </w:style>
  <w:style w:type="paragraph" w:customStyle="1" w:styleId="appendixbodytext0">
    <w:name w:val="appendixbodytext"/>
    <w:basedOn w:val="Normal"/>
    <w:rsid w:val="00A92422"/>
    <w:pPr>
      <w:spacing w:after="60"/>
    </w:pPr>
    <w:rPr>
      <w:rFonts w:ascii="Trebuchet MS" w:hAnsi="Trebuchet MS"/>
      <w:sz w:val="20"/>
      <w:szCs w:val="20"/>
    </w:rPr>
  </w:style>
  <w:style w:type="paragraph" w:customStyle="1" w:styleId="tableclose">
    <w:name w:val="tableclose"/>
    <w:basedOn w:val="Normal"/>
    <w:rsid w:val="00A92422"/>
    <w:rPr>
      <w:rFonts w:ascii="Arial" w:hAnsi="Arial" w:cs="Arial"/>
      <w:sz w:val="20"/>
      <w:szCs w:val="20"/>
    </w:rPr>
  </w:style>
  <w:style w:type="paragraph" w:customStyle="1" w:styleId="appendindent0">
    <w:name w:val="appendindent"/>
    <w:basedOn w:val="Normal"/>
    <w:rsid w:val="00A92422"/>
    <w:pPr>
      <w:ind w:left="720" w:hanging="360"/>
    </w:pPr>
    <w:rPr>
      <w:rFonts w:ascii="Trebuchet MS" w:hAnsi="Trebuchet MS"/>
      <w:b/>
      <w:bCs/>
      <w:sz w:val="20"/>
      <w:szCs w:val="20"/>
    </w:rPr>
  </w:style>
  <w:style w:type="paragraph" w:customStyle="1" w:styleId="productnames0">
    <w:name w:val="productnames"/>
    <w:basedOn w:val="Normal"/>
    <w:rsid w:val="00A92422"/>
    <w:pPr>
      <w:spacing w:before="20" w:after="20"/>
    </w:pPr>
    <w:rPr>
      <w:rFonts w:ascii="Trebuchet MS" w:hAnsi="Trebuchet MS"/>
      <w:position w:val="-11"/>
      <w:sz w:val="16"/>
      <w:szCs w:val="16"/>
    </w:rPr>
  </w:style>
  <w:style w:type="paragraph" w:customStyle="1" w:styleId="Char3">
    <w:name w:val="Char3"/>
    <w:basedOn w:val="Normal"/>
    <w:rsid w:val="00A92422"/>
    <w:pPr>
      <w:spacing w:after="160" w:line="240" w:lineRule="exact"/>
    </w:pPr>
    <w:rPr>
      <w:sz w:val="20"/>
      <w:szCs w:val="20"/>
    </w:rPr>
  </w:style>
  <w:style w:type="paragraph" w:customStyle="1" w:styleId="exceptionbody">
    <w:name w:val="exception body"/>
    <w:uiPriority w:val="99"/>
    <w:rsid w:val="00A92422"/>
    <w:pPr>
      <w:spacing w:after="60" w:line="255" w:lineRule="exact"/>
      <w:ind w:left="216"/>
    </w:pPr>
    <w:rPr>
      <w:rFonts w:ascii="Trebuchet MS" w:eastAsia="MS PGothic" w:hAnsi="Trebuchet MS" w:cs="Tahoma"/>
      <w:iCs/>
      <w:color w:val="000000"/>
      <w:sz w:val="18"/>
      <w:szCs w:val="18"/>
      <w:lang w:eastAsia="ja-JP"/>
    </w:rPr>
  </w:style>
  <w:style w:type="paragraph" w:customStyle="1" w:styleId="ColorfulList-Accent11">
    <w:name w:val="Colorful List - Accent 11"/>
    <w:basedOn w:val="Normal"/>
    <w:uiPriority w:val="34"/>
    <w:qFormat/>
    <w:rsid w:val="00A92422"/>
    <w:pPr>
      <w:ind w:left="720"/>
      <w:contextualSpacing/>
    </w:pPr>
    <w:rPr>
      <w:rFonts w:ascii="Times New Roman" w:hAnsi="Times New Roman"/>
      <w:sz w:val="24"/>
      <w:szCs w:val="24"/>
    </w:rPr>
  </w:style>
  <w:style w:type="paragraph" w:styleId="FootnoteText">
    <w:name w:val="footnote text"/>
    <w:basedOn w:val="Normal"/>
    <w:link w:val="FootnoteTextChar"/>
    <w:semiHidden/>
    <w:rsid w:val="00A92422"/>
    <w:rPr>
      <w:rFonts w:ascii="Trebuchet MS" w:hAnsi="Trebuchet MS"/>
      <w:sz w:val="20"/>
      <w:szCs w:val="20"/>
    </w:rPr>
  </w:style>
  <w:style w:type="character" w:customStyle="1" w:styleId="FootnoteTextChar">
    <w:name w:val="Footnote Text Char"/>
    <w:basedOn w:val="DefaultParagraphFont"/>
    <w:link w:val="FootnoteText"/>
    <w:semiHidden/>
    <w:rsid w:val="00A92422"/>
    <w:rPr>
      <w:rFonts w:ascii="Trebuchet MS" w:eastAsia="MS Mincho" w:hAnsi="Trebuchet MS" w:cs="Times New Roman"/>
      <w:sz w:val="20"/>
      <w:szCs w:val="20"/>
    </w:rPr>
  </w:style>
  <w:style w:type="paragraph" w:customStyle="1" w:styleId="bodywithspace0">
    <w:name w:val="bodywithspace"/>
    <w:basedOn w:val="Normal"/>
    <w:rsid w:val="00A92422"/>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A92422"/>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A92422"/>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A92422"/>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A92422"/>
    <w:rPr>
      <w:sz w:val="16"/>
      <w:szCs w:val="16"/>
    </w:rPr>
  </w:style>
  <w:style w:type="character" w:customStyle="1" w:styleId="DocumentMapChar">
    <w:name w:val="Document Map Char"/>
    <w:basedOn w:val="DefaultParagraphFont"/>
    <w:link w:val="DocumentMap"/>
    <w:uiPriority w:val="99"/>
    <w:rsid w:val="00A92422"/>
    <w:rPr>
      <w:rFonts w:ascii="Tahoma" w:eastAsia="MS Mincho" w:hAnsi="Tahoma" w:cs="Times New Roman"/>
      <w:sz w:val="16"/>
      <w:szCs w:val="16"/>
    </w:rPr>
  </w:style>
  <w:style w:type="paragraph" w:customStyle="1" w:styleId="NoSpacing1">
    <w:name w:val="No Spacing1"/>
    <w:basedOn w:val="Normal"/>
    <w:link w:val="NoSpacingChar"/>
    <w:uiPriority w:val="1"/>
    <w:qFormat/>
    <w:rsid w:val="00A92422"/>
    <w:rPr>
      <w:rFonts w:ascii="Calibri" w:hAnsi="Calibri"/>
      <w:sz w:val="20"/>
      <w:szCs w:val="20"/>
      <w:lang w:val="x-none" w:eastAsia="zh-TW"/>
    </w:rPr>
  </w:style>
  <w:style w:type="character" w:customStyle="1" w:styleId="NoSpacingChar">
    <w:name w:val="No Spacing Char"/>
    <w:link w:val="NoSpacing1"/>
    <w:uiPriority w:val="1"/>
    <w:locked/>
    <w:rsid w:val="00A92422"/>
    <w:rPr>
      <w:rFonts w:ascii="Calibri" w:eastAsia="MS Mincho" w:hAnsi="Calibri" w:cs="Times New Roman"/>
      <w:sz w:val="20"/>
      <w:szCs w:val="20"/>
      <w:lang w:val="x-none" w:eastAsia="zh-TW"/>
    </w:rPr>
  </w:style>
  <w:style w:type="paragraph" w:customStyle="1" w:styleId="footnotebulletlevel20">
    <w:name w:val="footnotebulletlevel2"/>
    <w:basedOn w:val="Normal"/>
    <w:rsid w:val="00A92422"/>
    <w:pPr>
      <w:tabs>
        <w:tab w:val="num" w:pos="900"/>
      </w:tabs>
      <w:snapToGrid w:val="0"/>
      <w:spacing w:before="120"/>
      <w:ind w:left="1267" w:hanging="360"/>
    </w:pPr>
    <w:rPr>
      <w:rFonts w:ascii="Trebuchet MS" w:hAnsi="Trebuchet MS"/>
      <w:sz w:val="20"/>
      <w:szCs w:val="20"/>
    </w:rPr>
  </w:style>
  <w:style w:type="character" w:styleId="Strong">
    <w:name w:val="Strong"/>
    <w:uiPriority w:val="22"/>
    <w:qFormat/>
    <w:rsid w:val="00A92422"/>
    <w:rPr>
      <w:b/>
    </w:rPr>
  </w:style>
  <w:style w:type="paragraph" w:styleId="CommentText">
    <w:name w:val="annotation text"/>
    <w:basedOn w:val="Normal"/>
    <w:link w:val="CommentTextChar"/>
    <w:uiPriority w:val="99"/>
    <w:rsid w:val="00A92422"/>
    <w:rPr>
      <w:rFonts w:ascii="Trebuchet MS" w:hAnsi="Trebuchet MS"/>
      <w:sz w:val="20"/>
      <w:szCs w:val="20"/>
    </w:rPr>
  </w:style>
  <w:style w:type="character" w:customStyle="1" w:styleId="CommentTextChar">
    <w:name w:val="Comment Text Char"/>
    <w:basedOn w:val="DefaultParagraphFont"/>
    <w:link w:val="CommentText"/>
    <w:uiPriority w:val="99"/>
    <w:rsid w:val="00A92422"/>
    <w:rPr>
      <w:rFonts w:ascii="Trebuchet MS" w:eastAsia="MS Mincho" w:hAnsi="Trebuchet MS" w:cs="Times New Roman"/>
      <w:sz w:val="20"/>
      <w:szCs w:val="20"/>
    </w:rPr>
  </w:style>
  <w:style w:type="paragraph" w:styleId="CommentSubject">
    <w:name w:val="annotation subject"/>
    <w:basedOn w:val="CommentText"/>
    <w:next w:val="CommentText"/>
    <w:link w:val="CommentSubjectChar"/>
    <w:semiHidden/>
    <w:rsid w:val="00A92422"/>
    <w:rPr>
      <w:b/>
    </w:rPr>
  </w:style>
  <w:style w:type="character" w:customStyle="1" w:styleId="CommentSubjectChar">
    <w:name w:val="Comment Subject Char"/>
    <w:basedOn w:val="CommentTextChar"/>
    <w:link w:val="CommentSubject"/>
    <w:semiHidden/>
    <w:rsid w:val="00A92422"/>
    <w:rPr>
      <w:rFonts w:ascii="Trebuchet MS" w:eastAsia="MS Mincho" w:hAnsi="Trebuchet MS" w:cs="Times New Roman"/>
      <w:b/>
      <w:sz w:val="20"/>
      <w:szCs w:val="20"/>
    </w:rPr>
  </w:style>
  <w:style w:type="paragraph" w:styleId="NormalWeb">
    <w:name w:val="Normal (Web)"/>
    <w:basedOn w:val="Normal"/>
    <w:uiPriority w:val="99"/>
    <w:unhideWhenUsed/>
    <w:rsid w:val="00A92422"/>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A92422"/>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A92422"/>
    <w:rPr>
      <w:vertAlign w:val="superscript"/>
    </w:rPr>
  </w:style>
  <w:style w:type="paragraph" w:styleId="PlainText">
    <w:name w:val="Plain Text"/>
    <w:basedOn w:val="Normal"/>
    <w:link w:val="PlainTextChar"/>
    <w:uiPriority w:val="99"/>
    <w:unhideWhenUsed/>
    <w:rsid w:val="00A92422"/>
    <w:rPr>
      <w:rFonts w:ascii="Consolas" w:hAnsi="Consolas"/>
      <w:sz w:val="21"/>
      <w:szCs w:val="21"/>
    </w:rPr>
  </w:style>
  <w:style w:type="character" w:customStyle="1" w:styleId="PlainTextChar">
    <w:name w:val="Plain Text Char"/>
    <w:basedOn w:val="DefaultParagraphFont"/>
    <w:link w:val="PlainText"/>
    <w:uiPriority w:val="99"/>
    <w:rsid w:val="00A92422"/>
    <w:rPr>
      <w:rFonts w:ascii="Consolas" w:eastAsia="MS Mincho" w:hAnsi="Consolas" w:cs="Times New Roman"/>
      <w:sz w:val="21"/>
      <w:szCs w:val="21"/>
    </w:rPr>
  </w:style>
  <w:style w:type="paragraph" w:customStyle="1" w:styleId="productendnote0">
    <w:name w:val="productendnote"/>
    <w:basedOn w:val="Normal"/>
    <w:rsid w:val="00A92422"/>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A92422"/>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A92422"/>
    <w:rPr>
      <w:rFonts w:ascii="Times New Roman" w:hAnsi="Times New Roman"/>
      <w:sz w:val="24"/>
      <w:szCs w:val="24"/>
    </w:rPr>
  </w:style>
  <w:style w:type="paragraph" w:styleId="BodyText">
    <w:name w:val="Body Text"/>
    <w:basedOn w:val="Normal"/>
    <w:link w:val="BodyTextChar"/>
    <w:uiPriority w:val="99"/>
    <w:unhideWhenUsed/>
    <w:rsid w:val="00A92422"/>
    <w:pPr>
      <w:spacing w:before="100" w:after="180" w:line="260" w:lineRule="exact"/>
    </w:pPr>
    <w:rPr>
      <w:rFonts w:ascii="Verdana" w:hAnsi="Verdana"/>
      <w:color w:val="000000"/>
      <w:sz w:val="20"/>
      <w:szCs w:val="20"/>
      <w:lang w:val="x-none" w:eastAsia="x-none"/>
    </w:rPr>
  </w:style>
  <w:style w:type="character" w:customStyle="1" w:styleId="BodyTextChar">
    <w:name w:val="Body Text Char"/>
    <w:basedOn w:val="DefaultParagraphFont"/>
    <w:link w:val="BodyText"/>
    <w:uiPriority w:val="99"/>
    <w:rsid w:val="00A92422"/>
    <w:rPr>
      <w:rFonts w:ascii="Verdana" w:eastAsia="MS Mincho" w:hAnsi="Verdana" w:cs="Times New Roman"/>
      <w:color w:val="000000"/>
      <w:sz w:val="20"/>
      <w:szCs w:val="20"/>
      <w:lang w:val="x-none" w:eastAsia="x-none"/>
    </w:rPr>
  </w:style>
  <w:style w:type="paragraph" w:customStyle="1" w:styleId="ColorfulShading-Accent11">
    <w:name w:val="Colorful Shading - Accent 11"/>
    <w:hidden/>
    <w:uiPriority w:val="99"/>
    <w:semiHidden/>
    <w:rsid w:val="00A92422"/>
    <w:pPr>
      <w:spacing w:after="0" w:line="240" w:lineRule="auto"/>
    </w:pPr>
    <w:rPr>
      <w:rFonts w:ascii="Calibri" w:eastAsia="MS Mincho" w:hAnsi="Calibri" w:cs="Times New Roman"/>
    </w:rPr>
  </w:style>
  <w:style w:type="paragraph" w:styleId="BodyText2">
    <w:name w:val="Body Text 2"/>
    <w:basedOn w:val="Normal"/>
    <w:link w:val="BodyText2Char"/>
    <w:uiPriority w:val="99"/>
    <w:semiHidden/>
    <w:unhideWhenUsed/>
    <w:rsid w:val="00A92422"/>
    <w:pPr>
      <w:spacing w:after="120" w:line="480" w:lineRule="auto"/>
    </w:pPr>
    <w:rPr>
      <w:rFonts w:ascii="Calibri" w:hAnsi="Calibri"/>
      <w:sz w:val="22"/>
    </w:rPr>
  </w:style>
  <w:style w:type="character" w:customStyle="1" w:styleId="BodyText2Char">
    <w:name w:val="Body Text 2 Char"/>
    <w:basedOn w:val="DefaultParagraphFont"/>
    <w:link w:val="BodyText2"/>
    <w:uiPriority w:val="99"/>
    <w:semiHidden/>
    <w:rsid w:val="00A92422"/>
    <w:rPr>
      <w:rFonts w:ascii="Calibri" w:eastAsia="MS Mincho" w:hAnsi="Calibri" w:cs="Times New Roman"/>
    </w:rPr>
  </w:style>
  <w:style w:type="paragraph" w:customStyle="1" w:styleId="normal1">
    <w:name w:val="normal1"/>
    <w:basedOn w:val="Normal"/>
    <w:rsid w:val="00A92422"/>
    <w:rPr>
      <w:rFonts w:ascii="Arial" w:hAnsi="Arial" w:cs="Arial"/>
      <w:sz w:val="20"/>
      <w:szCs w:val="20"/>
    </w:rPr>
  </w:style>
  <w:style w:type="paragraph" w:customStyle="1" w:styleId="normal195">
    <w:name w:val="normal1 9.5"/>
    <w:basedOn w:val="Normal"/>
    <w:rsid w:val="00A92422"/>
    <w:pPr>
      <w:ind w:left="720"/>
      <w:jc w:val="both"/>
    </w:pPr>
    <w:rPr>
      <w:rFonts w:ascii="Arial" w:hAnsi="Arial" w:cs="Arial"/>
      <w:sz w:val="19"/>
      <w:szCs w:val="19"/>
    </w:rPr>
  </w:style>
  <w:style w:type="character" w:customStyle="1" w:styleId="Head1Char">
    <w:name w:val="Head 1 Char"/>
    <w:link w:val="Head1"/>
    <w:locked/>
    <w:rsid w:val="00A92422"/>
    <w:rPr>
      <w:rFonts w:ascii="Arial" w:hAnsi="Arial"/>
      <w:b/>
      <w:i/>
    </w:rPr>
  </w:style>
  <w:style w:type="paragraph" w:customStyle="1" w:styleId="Head1">
    <w:name w:val="Head 1"/>
    <w:basedOn w:val="Normal"/>
    <w:link w:val="Head1Char"/>
    <w:rsid w:val="00A92422"/>
    <w:pPr>
      <w:spacing w:before="120" w:after="120"/>
      <w:jc w:val="both"/>
    </w:pPr>
    <w:rPr>
      <w:rFonts w:ascii="Arial" w:eastAsiaTheme="minorHAnsi" w:hAnsi="Arial" w:cstheme="minorBidi"/>
      <w:b/>
      <w:i/>
      <w:sz w:val="22"/>
    </w:rPr>
  </w:style>
  <w:style w:type="table" w:styleId="TableGrid">
    <w:name w:val="Table Grid"/>
    <w:basedOn w:val="TableNormal"/>
    <w:uiPriority w:val="59"/>
    <w:rsid w:val="00A92422"/>
    <w:pPr>
      <w:spacing w:after="0" w:line="240" w:lineRule="auto"/>
    </w:pPr>
    <w:rPr>
      <w:rFonts w:ascii="Calibri" w:eastAsia="MS Mincho"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A92422"/>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A92422"/>
    <w:pPr>
      <w:ind w:left="720"/>
      <w:contextualSpacing/>
    </w:pPr>
    <w:rPr>
      <w:rFonts w:ascii="Times New Roman" w:hAnsi="Times New Roman"/>
      <w:sz w:val="24"/>
      <w:szCs w:val="20"/>
      <w:lang w:val="x-none" w:eastAsia="x-none"/>
    </w:rPr>
  </w:style>
  <w:style w:type="paragraph" w:styleId="Revision">
    <w:name w:val="Revision"/>
    <w:hidden/>
    <w:uiPriority w:val="99"/>
    <w:semiHidden/>
    <w:rsid w:val="00A92422"/>
    <w:pPr>
      <w:spacing w:after="0" w:line="240" w:lineRule="auto"/>
    </w:pPr>
    <w:rPr>
      <w:rFonts w:ascii="Calibri" w:eastAsia="MS Mincho" w:hAnsi="Calibri" w:cs="Times New Roman"/>
    </w:rPr>
  </w:style>
  <w:style w:type="paragraph" w:styleId="Title">
    <w:name w:val="Title"/>
    <w:basedOn w:val="Normal"/>
    <w:next w:val="Normal"/>
    <w:link w:val="TitleChar"/>
    <w:qFormat/>
    <w:rsid w:val="00A92422"/>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rsid w:val="00A92422"/>
    <w:rPr>
      <w:rFonts w:ascii="Cambria" w:eastAsia="MS Mincho" w:hAnsi="Cambria" w:cs="Times New Roman"/>
      <w:b/>
      <w:bCs/>
      <w:kern w:val="28"/>
      <w:sz w:val="32"/>
      <w:szCs w:val="32"/>
    </w:rPr>
  </w:style>
  <w:style w:type="paragraph" w:customStyle="1" w:styleId="productlist">
    <w:name w:val="product list"/>
    <w:basedOn w:val="Normal"/>
    <w:uiPriority w:val="99"/>
    <w:rsid w:val="00A92422"/>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A92422"/>
    <w:pPr>
      <w:spacing w:before="100" w:beforeAutospacing="1" w:after="100" w:afterAutospacing="1"/>
    </w:pPr>
    <w:rPr>
      <w:rFonts w:ascii="Times New Roman" w:hAnsi="Times New Roman"/>
      <w:sz w:val="24"/>
      <w:szCs w:val="24"/>
    </w:rPr>
  </w:style>
  <w:style w:type="character" w:styleId="Emphasis">
    <w:name w:val="Emphasis"/>
    <w:qFormat/>
    <w:rsid w:val="00A92422"/>
    <w:rPr>
      <w:i/>
    </w:rPr>
  </w:style>
  <w:style w:type="paragraph" w:styleId="Subtitle">
    <w:name w:val="Subtitle"/>
    <w:basedOn w:val="Normal"/>
    <w:next w:val="Normal"/>
    <w:link w:val="SubtitleChar"/>
    <w:qFormat/>
    <w:rsid w:val="00A92422"/>
    <w:pPr>
      <w:spacing w:after="60"/>
      <w:jc w:val="center"/>
      <w:outlineLvl w:val="1"/>
    </w:pPr>
    <w:rPr>
      <w:rFonts w:ascii="Cambria" w:hAnsi="Cambria"/>
      <w:sz w:val="24"/>
      <w:szCs w:val="24"/>
    </w:rPr>
  </w:style>
  <w:style w:type="character" w:customStyle="1" w:styleId="SubtitleChar">
    <w:name w:val="Subtitle Char"/>
    <w:basedOn w:val="DefaultParagraphFont"/>
    <w:link w:val="Subtitle"/>
    <w:rsid w:val="00A92422"/>
    <w:rPr>
      <w:rFonts w:ascii="Cambria" w:eastAsia="MS Mincho" w:hAnsi="Cambria" w:cs="Times New Roman"/>
      <w:sz w:val="24"/>
      <w:szCs w:val="24"/>
    </w:rPr>
  </w:style>
  <w:style w:type="paragraph" w:styleId="NoSpacing">
    <w:name w:val="No Spacing"/>
    <w:uiPriority w:val="1"/>
    <w:qFormat/>
    <w:rsid w:val="00A92422"/>
    <w:pPr>
      <w:spacing w:after="0" w:line="240" w:lineRule="auto"/>
    </w:pPr>
    <w:rPr>
      <w:rFonts w:ascii="Calibri" w:eastAsia="MS Mincho" w:hAnsi="Calibri" w:cs="Times New Roman"/>
    </w:rPr>
  </w:style>
  <w:style w:type="character" w:customStyle="1" w:styleId="formelementblack1">
    <w:name w:val="formelement_black1"/>
    <w:rsid w:val="00A92422"/>
    <w:rPr>
      <w:rFonts w:ascii="Verdana" w:hAnsi="Verdana"/>
      <w:color w:val="000000"/>
      <w:sz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A92422"/>
    <w:rPr>
      <w:rFonts w:ascii="Times New Roman" w:eastAsia="MS Mincho" w:hAnsi="Times New Roman" w:cs="Times New Roman"/>
      <w:sz w:val="24"/>
      <w:szCs w:val="20"/>
      <w:lang w:val="x-none" w:eastAsia="x-none"/>
    </w:rPr>
  </w:style>
  <w:style w:type="paragraph" w:customStyle="1" w:styleId="3iNumbered2ndlevel">
    <w:name w:val="3i. Numbered 2nd level"/>
    <w:basedOn w:val="Normal"/>
    <w:uiPriority w:val="99"/>
    <w:rsid w:val="00A92422"/>
    <w:pPr>
      <w:spacing w:before="60" w:line="160" w:lineRule="exact"/>
      <w:ind w:left="624" w:hanging="340"/>
    </w:pPr>
    <w:rPr>
      <w:rFonts w:cs="Tahoma"/>
      <w:color w:val="000000"/>
      <w:sz w:val="14"/>
      <w:szCs w:val="14"/>
    </w:rPr>
  </w:style>
  <w:style w:type="character" w:customStyle="1" w:styleId="emailstyle28">
    <w:name w:val="emailstyle28"/>
    <w:semiHidden/>
    <w:rsid w:val="00A92422"/>
    <w:rPr>
      <w:rFonts w:ascii="Calibri" w:hAnsi="Calibri"/>
      <w:color w:val="1F497D"/>
    </w:rPr>
  </w:style>
  <w:style w:type="character" w:customStyle="1" w:styleId="emailstyle25">
    <w:name w:val="emailstyle25"/>
    <w:semiHidden/>
    <w:rsid w:val="00A92422"/>
    <w:rPr>
      <w:rFonts w:ascii="Calibri" w:hAnsi="Calibri"/>
      <w:color w:val="auto"/>
    </w:rPr>
  </w:style>
  <w:style w:type="table" w:customStyle="1" w:styleId="TableGrid1">
    <w:name w:val="Table Grid1"/>
    <w:basedOn w:val="TableNormal"/>
    <w:next w:val="TableGrid"/>
    <w:uiPriority w:val="59"/>
    <w:rsid w:val="00A92422"/>
    <w:pPr>
      <w:spacing w:after="0" w:line="240" w:lineRule="auto"/>
    </w:pPr>
    <w:rPr>
      <w:rFonts w:ascii="Calibri" w:eastAsia="MS Mincho"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A92422"/>
    <w:pPr>
      <w:snapToGrid w:val="0"/>
      <w:spacing w:before="60" w:after="60"/>
      <w:ind w:left="1627" w:hanging="360"/>
    </w:pPr>
    <w:rPr>
      <w:rFonts w:ascii="Trebuchet MS" w:hAnsi="Trebuchet MS"/>
      <w:sz w:val="20"/>
      <w:szCs w:val="20"/>
    </w:rPr>
  </w:style>
  <w:style w:type="table" w:customStyle="1" w:styleId="TableGrid2">
    <w:name w:val="Table Grid2"/>
    <w:basedOn w:val="TableNormal"/>
    <w:next w:val="TableGrid"/>
    <w:uiPriority w:val="59"/>
    <w:rsid w:val="00A92422"/>
    <w:pPr>
      <w:spacing w:after="0" w:line="240" w:lineRule="auto"/>
    </w:pPr>
    <w:rPr>
      <w:rFonts w:ascii="Calibri" w:eastAsia="MS Mincho"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A92422"/>
    <w:pPr>
      <w:spacing w:before="60" w:after="60" w:line="240" w:lineRule="auto"/>
      <w:ind w:left="72" w:right="72"/>
    </w:pPr>
    <w:rPr>
      <w:rFonts w:ascii="Arial" w:hAnsi="Arial" w:cs="Arial"/>
      <w:b/>
      <w:bCs/>
      <w:color w:val="FFFFFF"/>
    </w:rPr>
  </w:style>
  <w:style w:type="table" w:customStyle="1" w:styleId="TableGrid3">
    <w:name w:val="Table Grid3"/>
    <w:basedOn w:val="TableNormal"/>
    <w:next w:val="TableGrid"/>
    <w:uiPriority w:val="59"/>
    <w:rsid w:val="00A92422"/>
    <w:pPr>
      <w:spacing w:after="0" w:line="240" w:lineRule="auto"/>
    </w:pPr>
    <w:rPr>
      <w:rFonts w:ascii="Calibri" w:eastAsia="MS Mincho"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A92422"/>
    <w:pPr>
      <w:spacing w:after="0" w:line="240" w:lineRule="auto"/>
    </w:pPr>
    <w:rPr>
      <w:rFonts w:ascii="Calibri" w:eastAsia="MS Mincho"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A92422"/>
    <w:pPr>
      <w:keepNext/>
      <w:keepLines/>
      <w:pBdr>
        <w:bottom w:val="single" w:sz="8" w:space="1" w:color="404040"/>
      </w:pBdr>
      <w:spacing w:before="240"/>
    </w:pPr>
    <w:rPr>
      <w:rFonts w:ascii="Arial" w:hAnsi="Arial"/>
      <w:sz w:val="28"/>
      <w:szCs w:val="20"/>
      <w:lang w:val="x-none" w:eastAsia="x-none"/>
    </w:rPr>
  </w:style>
  <w:style w:type="character" w:customStyle="1" w:styleId="PURProductNameChar">
    <w:name w:val="PUR Product Name Char"/>
    <w:link w:val="PURProductName"/>
    <w:uiPriority w:val="3"/>
    <w:locked/>
    <w:rsid w:val="00A92422"/>
    <w:rPr>
      <w:rFonts w:ascii="Arial" w:eastAsia="MS Mincho" w:hAnsi="Arial" w:cs="Times New Roman"/>
      <w:sz w:val="28"/>
      <w:szCs w:val="20"/>
      <w:lang w:val="x-none" w:eastAsia="x-none"/>
    </w:rPr>
  </w:style>
  <w:style w:type="character" w:customStyle="1" w:styleId="PURBlueStrong-IndentedChar">
    <w:name w:val="PUR Blue Strong - Indented Char"/>
    <w:link w:val="PURBlueStrong-Indented"/>
    <w:uiPriority w:val="3"/>
    <w:locked/>
    <w:rsid w:val="00A92422"/>
    <w:rPr>
      <w:rFonts w:ascii="Arial" w:hAnsi="Arial"/>
      <w:smallCaps/>
      <w:color w:val="1F497D"/>
      <w:spacing w:val="-4"/>
    </w:rPr>
  </w:style>
  <w:style w:type="paragraph" w:customStyle="1" w:styleId="PURBlueStrong-Indented">
    <w:name w:val="PUR Blue Strong - Indented"/>
    <w:basedOn w:val="Normal"/>
    <w:link w:val="PURBlueStrong-IndentedChar"/>
    <w:uiPriority w:val="3"/>
    <w:rsid w:val="00A92422"/>
    <w:pPr>
      <w:keepNext/>
      <w:spacing w:after="60" w:line="240" w:lineRule="exact"/>
      <w:ind w:left="270"/>
    </w:pPr>
    <w:rPr>
      <w:rFonts w:ascii="Arial" w:eastAsiaTheme="minorHAnsi" w:hAnsi="Arial" w:cstheme="minorBidi"/>
      <w:smallCaps/>
      <w:color w:val="1F497D"/>
      <w:spacing w:val="-4"/>
      <w:sz w:val="22"/>
    </w:rPr>
  </w:style>
  <w:style w:type="paragraph" w:customStyle="1" w:styleId="hangindent195">
    <w:name w:val="hang indent1 9.5"/>
    <w:basedOn w:val="Normal"/>
    <w:rsid w:val="00A92422"/>
    <w:pPr>
      <w:ind w:left="1440" w:hanging="720"/>
      <w:jc w:val="both"/>
    </w:pPr>
    <w:rPr>
      <w:rFonts w:ascii="Arial" w:hAnsi="Arial" w:cs="Arial"/>
      <w:sz w:val="19"/>
      <w:szCs w:val="19"/>
    </w:rPr>
  </w:style>
  <w:style w:type="character" w:customStyle="1" w:styleId="PURBody-IndentedChar">
    <w:name w:val="PUR Body - Indented Char"/>
    <w:link w:val="PURBody-Indented"/>
    <w:uiPriority w:val="3"/>
    <w:locked/>
    <w:rsid w:val="00A92422"/>
  </w:style>
  <w:style w:type="paragraph" w:customStyle="1" w:styleId="PURBody-Indented">
    <w:name w:val="PUR Body - Indented"/>
    <w:basedOn w:val="Normal"/>
    <w:link w:val="PURBody-IndentedChar"/>
    <w:uiPriority w:val="3"/>
    <w:rsid w:val="00A92422"/>
    <w:pPr>
      <w:spacing w:after="120"/>
      <w:ind w:left="270"/>
    </w:pPr>
    <w:rPr>
      <w:rFonts w:asciiTheme="minorHAnsi" w:eastAsiaTheme="minorHAnsi" w:hAnsiTheme="minorHAnsi" w:cstheme="minorBidi"/>
      <w:sz w:val="22"/>
    </w:rPr>
  </w:style>
  <w:style w:type="character" w:customStyle="1" w:styleId="PURBullet-IndentedChar">
    <w:name w:val="PUR Bullet- Indented Char"/>
    <w:link w:val="PURBullet-Indented"/>
    <w:uiPriority w:val="3"/>
    <w:locked/>
    <w:rsid w:val="00A92422"/>
  </w:style>
  <w:style w:type="paragraph" w:customStyle="1" w:styleId="PURBullet-Indented">
    <w:name w:val="PUR Bullet- Indented"/>
    <w:basedOn w:val="Normal"/>
    <w:link w:val="PURBullet-IndentedChar"/>
    <w:uiPriority w:val="3"/>
    <w:rsid w:val="00A92422"/>
    <w:pPr>
      <w:spacing w:after="120" w:line="240" w:lineRule="exact"/>
      <w:ind w:left="540" w:hanging="360"/>
      <w:contextualSpacing/>
    </w:pPr>
    <w:rPr>
      <w:rFonts w:asciiTheme="minorHAnsi" w:eastAsiaTheme="minorHAnsi" w:hAnsiTheme="minorHAnsi" w:cstheme="minorBidi"/>
      <w:sz w:val="22"/>
    </w:rPr>
  </w:style>
  <w:style w:type="character" w:customStyle="1" w:styleId="LogoportMarkup">
    <w:name w:val="LogoportMarkup"/>
    <w:rsid w:val="00A92422"/>
    <w:rPr>
      <w:rFonts w:ascii="Courier New" w:hAnsi="Courier New"/>
      <w:color w:val="FF0000"/>
      <w:sz w:val="76"/>
      <w:lang w:val="en-US" w:eastAsia="en-US"/>
    </w:rPr>
  </w:style>
  <w:style w:type="character" w:customStyle="1" w:styleId="LogoportDoNotTranslate">
    <w:name w:val="LogoportDoNotTranslate"/>
    <w:rsid w:val="00A92422"/>
    <w:rPr>
      <w:rFonts w:ascii="Courier New" w:hAnsi="Courier New"/>
      <w:color w:val="808080"/>
      <w:sz w:val="76"/>
      <w:lang w:val="en-US" w:eastAsia="en-US"/>
    </w:rPr>
  </w:style>
  <w:style w:type="character" w:customStyle="1" w:styleId="BodyChar2">
    <w:name w:val="Body Char2"/>
    <w:rsid w:val="00A92422"/>
    <w:rPr>
      <w:rFonts w:ascii="Trebuchet MS" w:hAnsi="Trebuchet MS"/>
    </w:rPr>
  </w:style>
  <w:style w:type="character" w:customStyle="1" w:styleId="LogoportPopup">
    <w:name w:val="LogoportPopup"/>
    <w:uiPriority w:val="99"/>
    <w:rsid w:val="00A92422"/>
    <w:rPr>
      <w:rFonts w:ascii="Courier New" w:hAnsi="Courier New"/>
      <w:noProof/>
      <w:vanish/>
      <w:color w:val="008000"/>
    </w:rPr>
  </w:style>
  <w:style w:type="character" w:customStyle="1" w:styleId="Titolo3Carattere1">
    <w:name w:val="Titolo 3 Carattere1"/>
    <w:uiPriority w:val="9"/>
    <w:semiHidden/>
    <w:rsid w:val="00A92422"/>
    <w:rPr>
      <w:rFonts w:ascii="Cambria" w:hAnsi="Cambria"/>
      <w:b/>
      <w:color w:val="4F81BD"/>
      <w:sz w:val="24"/>
      <w:lang w:val="de-DE" w:eastAsia="x-none"/>
    </w:rPr>
  </w:style>
  <w:style w:type="character" w:customStyle="1" w:styleId="EndnoteTextChar1">
    <w:name w:val="Endnote Text Char1"/>
    <w:uiPriority w:val="99"/>
    <w:locked/>
    <w:rsid w:val="00A92422"/>
    <w:rPr>
      <w:rFonts w:ascii="Trebuchet MS" w:eastAsia="MS Mincho" w:hAnsi="Trebuchet MS" w:cs="Times New Roman"/>
      <w:sz w:val="20"/>
      <w:szCs w:val="24"/>
    </w:rPr>
  </w:style>
  <w:style w:type="paragraph" w:customStyle="1" w:styleId="Style1">
    <w:name w:val="Style1"/>
    <w:basedOn w:val="Heading1"/>
    <w:link w:val="Style1Char"/>
    <w:qFormat/>
    <w:rsid w:val="00A92422"/>
  </w:style>
  <w:style w:type="character" w:customStyle="1" w:styleId="Style1Char">
    <w:name w:val="Style1 Char"/>
    <w:basedOn w:val="Heading1Char"/>
    <w:link w:val="Style1"/>
    <w:rsid w:val="00A92422"/>
    <w:rPr>
      <w:rFonts w:ascii="Tahoma" w:eastAsia="MS Mincho" w:hAnsi="Tahoma" w:cs="Times New Roman"/>
      <w:b/>
      <w:bCs/>
      <w:caps/>
      <w:color w:val="000000"/>
      <w:sz w:val="36"/>
      <w:szCs w:val="36"/>
      <w:lang w:val="it-IT"/>
    </w:rPr>
  </w:style>
  <w:style w:type="paragraph" w:customStyle="1" w:styleId="Style2">
    <w:name w:val="Style2"/>
    <w:basedOn w:val="Heading1"/>
    <w:link w:val="Style2Char"/>
    <w:qFormat/>
    <w:rsid w:val="00A92422"/>
  </w:style>
  <w:style w:type="character" w:customStyle="1" w:styleId="Style2Char">
    <w:name w:val="Style2 Char"/>
    <w:basedOn w:val="Heading1Char"/>
    <w:link w:val="Style2"/>
    <w:rsid w:val="00A92422"/>
    <w:rPr>
      <w:rFonts w:ascii="Tahoma" w:eastAsia="MS Mincho" w:hAnsi="Tahoma" w:cs="Times New Roman"/>
      <w:b/>
      <w:bCs/>
      <w:caps/>
      <w:color w:val="000000"/>
      <w:sz w:val="36"/>
      <w:szCs w:val="36"/>
      <w:lang w:val="it-IT"/>
    </w:rPr>
  </w:style>
  <w:style w:type="paragraph" w:customStyle="1" w:styleId="Style3">
    <w:name w:val="Style3"/>
    <w:basedOn w:val="Heading1"/>
    <w:link w:val="Style3Char"/>
    <w:qFormat/>
    <w:rsid w:val="00A92422"/>
  </w:style>
  <w:style w:type="character" w:customStyle="1" w:styleId="Style3Char">
    <w:name w:val="Style3 Char"/>
    <w:basedOn w:val="Heading1Char"/>
    <w:link w:val="Style3"/>
    <w:rsid w:val="00A92422"/>
    <w:rPr>
      <w:rFonts w:ascii="Tahoma" w:eastAsia="MS Mincho" w:hAnsi="Tahoma" w:cs="Times New Roman"/>
      <w:b/>
      <w:bCs/>
      <w:caps/>
      <w:color w:val="000000"/>
      <w:sz w:val="36"/>
      <w:szCs w:val="36"/>
      <w:lang w:val="it-IT"/>
    </w:rPr>
  </w:style>
  <w:style w:type="character" w:customStyle="1" w:styleId="FootnoteTextChar1">
    <w:name w:val="Footnote Text Char1"/>
    <w:uiPriority w:val="99"/>
    <w:semiHidden/>
    <w:rsid w:val="00A92422"/>
    <w:rPr>
      <w:rFonts w:ascii="Calibri" w:eastAsia="MS Mincho" w:hAnsi="Calibri" w:cs="Times New Roman"/>
      <w:sz w:val="20"/>
      <w:szCs w:val="20"/>
    </w:rPr>
  </w:style>
  <w:style w:type="character" w:customStyle="1" w:styleId="CommentTextChar1">
    <w:name w:val="Comment Text Char1"/>
    <w:uiPriority w:val="99"/>
    <w:semiHidden/>
    <w:rsid w:val="00A92422"/>
    <w:rPr>
      <w:rFonts w:ascii="Calibri" w:eastAsia="MS Mincho" w:hAnsi="Calibri" w:cs="Times New Roman"/>
      <w:sz w:val="20"/>
      <w:szCs w:val="20"/>
    </w:rPr>
  </w:style>
  <w:style w:type="character" w:customStyle="1" w:styleId="CommentSubjectChar1">
    <w:name w:val="Comment Subject Char1"/>
    <w:uiPriority w:val="99"/>
    <w:semiHidden/>
    <w:rsid w:val="00A92422"/>
    <w:rPr>
      <w:rFonts w:ascii="Calibri" w:eastAsia="MS Mincho" w:hAnsi="Calibri" w:cs="Times New Roman"/>
      <w:b/>
      <w:bCs/>
      <w:sz w:val="20"/>
      <w:szCs w:val="20"/>
    </w:rPr>
  </w:style>
  <w:style w:type="character" w:customStyle="1" w:styleId="BodyTextChar1">
    <w:name w:val="Body Text Char1"/>
    <w:uiPriority w:val="99"/>
    <w:locked/>
    <w:rsid w:val="00A92422"/>
    <w:rPr>
      <w:rFonts w:ascii="Verdana" w:eastAsia="MS Mincho" w:hAnsi="Verdana" w:cs="Times New Roman"/>
      <w:color w:val="000000"/>
    </w:rPr>
  </w:style>
  <w:style w:type="paragraph" w:customStyle="1" w:styleId="Style4">
    <w:name w:val="Style4"/>
    <w:basedOn w:val="Heading1"/>
    <w:link w:val="Style4Char"/>
    <w:qFormat/>
    <w:rsid w:val="00A92422"/>
  </w:style>
  <w:style w:type="character" w:customStyle="1" w:styleId="Style4Char">
    <w:name w:val="Style4 Char"/>
    <w:basedOn w:val="Heading1Char"/>
    <w:link w:val="Style4"/>
    <w:rsid w:val="00A92422"/>
    <w:rPr>
      <w:rFonts w:ascii="Tahoma" w:eastAsia="MS Mincho" w:hAnsi="Tahoma" w:cs="Times New Roman"/>
      <w:b/>
      <w:bCs/>
      <w:caps/>
      <w:color w:val="000000"/>
      <w:sz w:val="36"/>
      <w:szCs w:val="36"/>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www.microsoft.com/spd" TargetMode="External"/><Relationship Id="rId26" Type="http://schemas.openxmlformats.org/officeDocument/2006/relationships/hyperlink" Target="https://www.microsoft.com/licensing/servicecenter/default.aspx" TargetMode="External"/><Relationship Id="rId39" Type="http://schemas.openxmlformats.org/officeDocument/2006/relationships/hyperlink" Target="https://www.certiport.com/PORTAL/desktopdefault.aspx?tabid=682&amp;roleid=101" TargetMode="External"/><Relationship Id="rId21" Type="http://schemas.openxmlformats.org/officeDocument/2006/relationships/hyperlink" Target="http://support.microsoft.com/common/international.aspx?rdpath=dm;en-us;lifecycle" TargetMode="External"/><Relationship Id="rId34" Type="http://schemas.openxmlformats.org/officeDocument/2006/relationships/hyperlink" Target="http://www.microsoft.com/sqlserver/en/us/get-sql-server/how-to-buy.aspx" TargetMode="External"/><Relationship Id="rId42" Type="http://schemas.openxmlformats.org/officeDocument/2006/relationships/fontTable" Target="fontTable.xml"/><Relationship Id="rId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www.microsoft.com/online/faq.aspx" TargetMode="External"/><Relationship Id="rId20" Type="http://schemas.openxmlformats.org/officeDocument/2006/relationships/hyperlink" Target="http://support.microsoft.com/lifecycle" TargetMode="External"/><Relationship Id="rId29" Type="http://schemas.openxmlformats.org/officeDocument/2006/relationships/hyperlink" Target="http://www.vexcel.com/geospatial/bingmapsserver/index.asp" TargetMode="External"/><Relationship Id="rId41" Type="http://schemas.openxmlformats.org/officeDocument/2006/relationships/hyperlink" Target="http://www.microsoft.com/sqlserver/2008/en/us/parallel-data-warehouse.aspx" TargetMode="Externa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image" Target="media/image4.png"/><Relationship Id="rId24" Type="http://schemas.openxmlformats.org/officeDocument/2006/relationships/hyperlink" Target="http://www.microsoft.com/licensing" TargetMode="External"/><Relationship Id="rId32" Type="http://schemas.openxmlformats.org/officeDocument/2006/relationships/hyperlink" Target="http://www.microsoft.com/licensing/contracts" TargetMode="External"/><Relationship Id="rId37" Type="http://schemas.openxmlformats.org/officeDocument/2006/relationships/hyperlink" Target="http://www.microsoft.com" TargetMode="External"/><Relationship Id="rId40" Type="http://schemas.openxmlformats.org/officeDocument/2006/relationships/hyperlink" Target="https://www.certiport.com/PORTAL/desktopdefault.aspx?tabid=682&amp;roleid=101" TargetMode="External"/><Relationship Id="rId5" Type="http://schemas.openxmlformats.org/officeDocument/2006/relationships/webSettings" Target="webSettings.xml"/><Relationship Id="rId15" Type="http://schemas.openxmlformats.org/officeDocument/2006/relationships/hyperlink" Target="http://www.microsoft.com/licensing" TargetMode="External"/><Relationship Id="rId23" Type="http://schemas.openxmlformats.org/officeDocument/2006/relationships/hyperlink" Target="http://www.microsoft.com/technet/subscription" TargetMode="External"/><Relationship Id="rId28" Type="http://schemas.openxmlformats.org/officeDocument/2006/relationships/hyperlink" Target="http://www.microsoft.com/licensing/resources/vol/volumelicensekey/default.mspx" TargetMode="External"/><Relationship Id="rId36" Type="http://schemas.openxmlformats.org/officeDocument/2006/relationships/hyperlink" Target="http://www.microsoft.com/en-us/dynamics/erp-explore-ax-capabilities.aspx" TargetMode="External"/><Relationship Id="rId10" Type="http://schemas.openxmlformats.org/officeDocument/2006/relationships/image" Target="media/image3.png"/><Relationship Id="rId19" Type="http://schemas.openxmlformats.org/officeDocument/2006/relationships/hyperlink" Target="http://www.microsoft.com/resources/sharedsource/Licensing/Enterprise.mspx" TargetMode="External"/><Relationship Id="rId31" Type="http://schemas.openxmlformats.org/officeDocument/2006/relationships/hyperlink" Target="http://www.microsoft.com/education/pil/partnersinlearning.aspx"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4.xml"/><Relationship Id="rId22" Type="http://schemas.openxmlformats.org/officeDocument/2006/relationships/hyperlink" Target="http://support.microsoft.com/lifecycle" TargetMode="External"/><Relationship Id="rId27" Type="http://schemas.openxmlformats.org/officeDocument/2006/relationships/hyperlink" Target="http://www.microsoft.com/licensing/resources/vol/numbers.mspx" TargetMode="External"/><Relationship Id="rId30" Type="http://schemas.openxmlformats.org/officeDocument/2006/relationships/hyperlink" Target="http://www.microsoft.com/en-us/windows/windowsintune/faq/default.aspx" TargetMode="External"/><Relationship Id="rId35" Type="http://schemas.openxmlformats.org/officeDocument/2006/relationships/hyperlink" Target="http://www.microsoft.com/sqlserver/en/us/get-sql-server/how-to-buy.aspx" TargetMode="External"/><Relationship Id="rId43" Type="http://schemas.openxmlformats.org/officeDocument/2006/relationships/theme" Target="theme/theme1.xml"/><Relationship Id="rId8" Type="http://schemas.openxmlformats.org/officeDocument/2006/relationships/header" Target="header2.xml"/><Relationship Id="rId3" Type="http://schemas.microsoft.com/office/2007/relationships/stylesWithEffects" Target="stylesWithEffects.xml"/><Relationship Id="rId12" Type="http://schemas.openxmlformats.org/officeDocument/2006/relationships/footer" Target="footer3.xml"/><Relationship Id="rId17" Type="http://schemas.openxmlformats.org/officeDocument/2006/relationships/hyperlink" Target="http://www.microsoft.com/licensing" TargetMode="External"/><Relationship Id="rId25" Type="http://schemas.openxmlformats.org/officeDocument/2006/relationships/hyperlink" Target="http://www.microsoft.com/products/exporting/basics.htm" TargetMode="External"/><Relationship Id="rId33" Type="http://schemas.openxmlformats.org/officeDocument/2006/relationships/hyperlink" Target="http://www.vexcel.com/geospatial/bingmapsserver/index.asp" TargetMode="External"/><Relationship Id="rId38" Type="http://schemas.openxmlformats.org/officeDocument/2006/relationships/hyperlink" Target="http://www.microsoft.com/en-us/dynamics/erp-buy-ax-software.asp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189</Pages>
  <Words>91827</Words>
  <Characters>523420</Characters>
  <Application>Microsoft Office Word</Application>
  <DocSecurity>0</DocSecurity>
  <Lines>4361</Lines>
  <Paragraphs>1228</Paragraphs>
  <ScaleCrop>false</ScaleCrop>
  <Company>Microsoft Corporation</Company>
  <LinksUpToDate>false</LinksUpToDate>
  <CharactersWithSpaces>614019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2012-12-28T22:49:00Z</dcterms:created>
  <dcterms:modified xsi:type="dcterms:W3CDTF">2012-12-28T22:49:00Z</dcterms:modified>
</cp:coreProperties>
</file>